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1CF" w:rsidRDefault="008551CF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8551CF" w:rsidRDefault="008551CF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="008551CF" w:rsidRPr="009239AA" w:rsidRDefault="00A21BA9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8551CF" w:rsidRPr="00434E33">
        <w:rPr>
          <w:b/>
        </w:rPr>
        <w:t>TITLE OF INFORMATION COLLECTION:</w:t>
      </w:r>
      <w:r w:rsidR="008551CF">
        <w:t xml:space="preserve">  </w:t>
      </w:r>
      <w:r w:rsidR="00D02202">
        <w:br/>
      </w:r>
      <w:r w:rsidR="00D831AD">
        <w:t>Office of Federal Contract Compliance Programs (OFCCP) Event Evaluation Form</w:t>
      </w:r>
    </w:p>
    <w:p w:rsidR="008551CF" w:rsidRDefault="008551CF"/>
    <w:p w:rsidR="008551CF" w:rsidRPr="00A55112" w:rsidRDefault="008551CF" w:rsidP="00A55112">
      <w:r>
        <w:rPr>
          <w:b/>
        </w:rPr>
        <w:t>PURPOSE</w:t>
      </w:r>
      <w:r w:rsidRPr="009239AA">
        <w:rPr>
          <w:b/>
        </w:rPr>
        <w:t xml:space="preserve">: </w:t>
      </w:r>
      <w:r w:rsidR="00BA1EB4">
        <w:rPr>
          <w:b/>
        </w:rPr>
        <w:br/>
      </w:r>
      <w:r w:rsidR="00D831AD" w:rsidRPr="00D831AD">
        <w:t>OFCCP will distribute this form</w:t>
      </w:r>
      <w:r w:rsidR="00B80538">
        <w:t xml:space="preserve"> nationwide</w:t>
      </w:r>
      <w:r w:rsidR="00D831AD" w:rsidRPr="00D831AD">
        <w:t xml:space="preserve"> </w:t>
      </w:r>
      <w:r w:rsidR="00D02202">
        <w:t xml:space="preserve">to participants </w:t>
      </w:r>
      <w:r w:rsidR="00D831AD" w:rsidRPr="00D831AD">
        <w:t xml:space="preserve">at outreach and compliance assistance events to </w:t>
      </w:r>
      <w:r w:rsidR="00712674">
        <w:t>gather</w:t>
      </w:r>
      <w:r w:rsidR="00D02202">
        <w:t xml:space="preserve"> feedback regarding the relevance of event topic, content, presentation and materials.  OFCCP will </w:t>
      </w:r>
      <w:r w:rsidR="00676EDC">
        <w:t xml:space="preserve">use information gathered from this survey to </w:t>
      </w:r>
      <w:r w:rsidR="00BA1EB4">
        <w:t xml:space="preserve">enhance </w:t>
      </w:r>
      <w:r w:rsidR="00712674">
        <w:t xml:space="preserve">future </w:t>
      </w:r>
      <w:r w:rsidR="00BA1EB4">
        <w:t>event quality</w:t>
      </w:r>
      <w:r w:rsidR="00A55112">
        <w:t>.</w:t>
      </w:r>
      <w:r w:rsidR="00C80D16">
        <w:t xml:space="preserve"> </w:t>
      </w:r>
      <w:r w:rsidR="00A06607">
        <w:t>Based on customer feedback,</w:t>
      </w:r>
      <w:r w:rsidR="00C80D16">
        <w:t xml:space="preserve"> OFCCP may revise program content, develop new topics, improve materials and/or provide additional training to compliance officers on skills such as public speaking.</w:t>
      </w:r>
    </w:p>
    <w:p w:rsidR="008551CF" w:rsidRDefault="008551C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434E33" w:rsidRDefault="008551CF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551CF" w:rsidRDefault="00BA1EB4">
      <w:r>
        <w:t xml:space="preserve">Respondents will include a diverse array of stakeholders, including workers, </w:t>
      </w:r>
      <w:r w:rsidR="00712674">
        <w:t xml:space="preserve">job-seekers, </w:t>
      </w:r>
      <w:r>
        <w:t>community-based organizations, advocacy groups, federal contractors and federal, state and local government agencies.</w:t>
      </w:r>
    </w:p>
    <w:p w:rsidR="008551CF" w:rsidRDefault="008551CF">
      <w:pPr>
        <w:rPr>
          <w:b/>
        </w:rPr>
      </w:pPr>
    </w:p>
    <w:p w:rsidR="008551CF" w:rsidRPr="00F06866" w:rsidRDefault="008551CF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51CF" w:rsidRPr="00434E33" w:rsidRDefault="008551CF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D831AD">
        <w:rPr>
          <w:bCs/>
          <w:sz w:val="24"/>
        </w:rPr>
        <w:t>X]</w:t>
      </w:r>
      <w:r w:rsidRPr="00F06866">
        <w:rPr>
          <w:bCs/>
          <w:sz w:val="24"/>
        </w:rPr>
        <w:t xml:space="preserve"> Customer Satisfaction Survey    </w:t>
      </w:r>
    </w:p>
    <w:p w:rsidR="008551CF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551CF" w:rsidRDefault="008551CF">
      <w:pPr>
        <w:pStyle w:val="Header"/>
        <w:tabs>
          <w:tab w:val="clear" w:pos="4320"/>
          <w:tab w:val="clear" w:pos="8640"/>
        </w:tabs>
      </w:pPr>
    </w:p>
    <w:p w:rsidR="008551CF" w:rsidRDefault="008551CF">
      <w:pPr>
        <w:rPr>
          <w:b/>
        </w:rPr>
      </w:pPr>
      <w:r>
        <w:rPr>
          <w:b/>
        </w:rPr>
        <w:t>CERTIFICATION:</w:t>
      </w:r>
    </w:p>
    <w:p w:rsidR="008551CF" w:rsidRDefault="008551CF">
      <w:pPr>
        <w:rPr>
          <w:sz w:val="16"/>
          <w:szCs w:val="16"/>
        </w:rPr>
      </w:pPr>
    </w:p>
    <w:p w:rsidR="008551CF" w:rsidRPr="009C13B9" w:rsidRDefault="008551CF" w:rsidP="008101A5">
      <w:r>
        <w:t xml:space="preserve">I certify the following to be true: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results a</w:t>
      </w:r>
      <w:bookmarkStart w:id="0" w:name="_GoBack"/>
      <w:bookmarkEnd w:id="0"/>
      <w:r>
        <w:t xml:space="preserve">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551CF" w:rsidRDefault="008551CF" w:rsidP="009C13B9"/>
    <w:p w:rsidR="008551CF" w:rsidRDefault="008551CF" w:rsidP="009C13B9">
      <w:r>
        <w:t>Name:</w:t>
      </w:r>
      <w:r w:rsidR="00D831AD" w:rsidRPr="00D831AD">
        <w:rPr>
          <w:u w:val="single"/>
        </w:rPr>
        <w:t xml:space="preserve"> Renee </w:t>
      </w:r>
      <w:proofErr w:type="spellStart"/>
      <w:r w:rsidR="00D831AD" w:rsidRPr="00D831AD">
        <w:rPr>
          <w:u w:val="single"/>
        </w:rPr>
        <w:t>Tajudeen</w:t>
      </w:r>
      <w:proofErr w:type="spellEnd"/>
      <w:r w:rsidR="00D831AD" w:rsidRPr="00D831AD">
        <w:rPr>
          <w:u w:val="single"/>
        </w:rPr>
        <w:t xml:space="preserve">, </w:t>
      </w:r>
      <w:r w:rsidR="00B80538">
        <w:rPr>
          <w:u w:val="single"/>
        </w:rPr>
        <w:t>Director of Outreach</w:t>
      </w:r>
      <w:r w:rsidR="00D831AD" w:rsidRPr="00D831AD">
        <w:rPr>
          <w:u w:val="single"/>
        </w:rPr>
        <w:t>, Office of Federal Contract Compliance Programs</w:t>
      </w:r>
    </w:p>
    <w:p w:rsidR="008551CF" w:rsidRDefault="008551CF" w:rsidP="009C13B9">
      <w:pPr>
        <w:pStyle w:val="ListParagraph"/>
        <w:ind w:left="360"/>
      </w:pPr>
    </w:p>
    <w:p w:rsidR="008551CF" w:rsidRDefault="008551CF" w:rsidP="009C13B9">
      <w:r>
        <w:t>To assist review, please provide answers to the following question:</w:t>
      </w:r>
    </w:p>
    <w:p w:rsidR="008551CF" w:rsidRDefault="008551CF" w:rsidP="009C13B9">
      <w:pPr>
        <w:pStyle w:val="ListParagraph"/>
        <w:ind w:left="360"/>
      </w:pPr>
    </w:p>
    <w:p w:rsidR="008551CF" w:rsidRPr="00C86E91" w:rsidRDefault="008551CF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C33ACC">
        <w:t xml:space="preserve"> </w:t>
      </w:r>
      <w:r>
        <w:t>] Yes  [</w:t>
      </w:r>
      <w:r w:rsidR="00C33ACC">
        <w:t>X</w:t>
      </w:r>
      <w:r>
        <w:t xml:space="preserve">]  No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>, is the information that will be collected included in records that are subject to the Privacy Act of 1974?   [  ] Yes [</w:t>
      </w:r>
      <w:r w:rsidR="00D831AD">
        <w:t>X</w:t>
      </w:r>
      <w:r>
        <w:t xml:space="preserve">] No  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D831AD">
        <w:t>X</w:t>
      </w:r>
      <w:r>
        <w:t>] No</w:t>
      </w:r>
    </w:p>
    <w:p w:rsidR="00D845D7" w:rsidRDefault="00D845D7" w:rsidP="00C86E91">
      <w:pPr>
        <w:pStyle w:val="ListParagraph"/>
        <w:ind w:left="0"/>
        <w:rPr>
          <w:b/>
        </w:rPr>
      </w:pPr>
    </w:p>
    <w:p w:rsidR="00594352" w:rsidRDefault="00594352" w:rsidP="00C86E91">
      <w:pPr>
        <w:pStyle w:val="ListParagraph"/>
        <w:ind w:left="0"/>
        <w:rPr>
          <w:b/>
        </w:rPr>
      </w:pPr>
    </w:p>
    <w:p w:rsidR="008551CF" w:rsidRPr="00C86E91" w:rsidRDefault="008551CF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Payments:</w:t>
      </w:r>
    </w:p>
    <w:p w:rsidR="008551CF" w:rsidRPr="00A55112" w:rsidRDefault="008551CF">
      <w:r>
        <w:t>Is an incentive (e.g., money or reimbursement of expenses, token of appreciation) provided to participants?  [  ] Yes [</w:t>
      </w:r>
      <w:r w:rsidR="00D831AD">
        <w:t>X</w:t>
      </w:r>
      <w:r>
        <w:t xml:space="preserve">] No  </w:t>
      </w:r>
    </w:p>
    <w:p w:rsidR="008551CF" w:rsidRDefault="008551CF">
      <w:pPr>
        <w:rPr>
          <w:b/>
        </w:rPr>
      </w:pPr>
    </w:p>
    <w:p w:rsidR="008551CF" w:rsidRDefault="008551CF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551CF" w:rsidRPr="006832D9" w:rsidRDefault="008551CF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551CF" w:rsidTr="002D0C7E">
        <w:trPr>
          <w:trHeight w:val="274"/>
        </w:trPr>
        <w:tc>
          <w:tcPr>
            <w:tcW w:w="5418" w:type="dxa"/>
          </w:tcPr>
          <w:p w:rsidR="008551CF" w:rsidRPr="002D0C7E" w:rsidRDefault="008551CF" w:rsidP="00C8488C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8551CF" w:rsidTr="002D0C7E">
        <w:trPr>
          <w:trHeight w:val="274"/>
        </w:trPr>
        <w:tc>
          <w:tcPr>
            <w:tcW w:w="5418" w:type="dxa"/>
          </w:tcPr>
          <w:p w:rsidR="008551CF" w:rsidRDefault="00F05A80" w:rsidP="00843796">
            <w:r>
              <w:t>Individuals or Households (</w:t>
            </w:r>
            <w:r w:rsidR="00BA1EB4">
              <w:t>Workers</w:t>
            </w:r>
            <w:r w:rsidR="00B80538">
              <w:t>, Community-Based Organizations and Advocacy Groups</w:t>
            </w:r>
            <w:r>
              <w:t>)</w:t>
            </w:r>
          </w:p>
        </w:tc>
        <w:tc>
          <w:tcPr>
            <w:tcW w:w="1530" w:type="dxa"/>
          </w:tcPr>
          <w:p w:rsidR="008551CF" w:rsidRPr="00690BED" w:rsidRDefault="00F05A80" w:rsidP="00690BED">
            <w:r w:rsidRPr="00690BED">
              <w:t>6</w:t>
            </w:r>
            <w:r w:rsidR="00690BED" w:rsidRPr="00690BED">
              <w:t>1,925</w:t>
            </w:r>
          </w:p>
        </w:tc>
        <w:tc>
          <w:tcPr>
            <w:tcW w:w="1710" w:type="dxa"/>
          </w:tcPr>
          <w:p w:rsidR="008551CF" w:rsidRPr="00690BED" w:rsidRDefault="00B80538" w:rsidP="00843796">
            <w:r w:rsidRPr="00690BED">
              <w:t>6</w:t>
            </w:r>
            <w:r w:rsidR="00BA1EB4" w:rsidRPr="00690BED">
              <w:t xml:space="preserve"> minutes</w:t>
            </w:r>
          </w:p>
        </w:tc>
        <w:tc>
          <w:tcPr>
            <w:tcW w:w="1003" w:type="dxa"/>
          </w:tcPr>
          <w:p w:rsidR="008551CF" w:rsidRPr="00690BED" w:rsidRDefault="00690BED" w:rsidP="00843796">
            <w:r w:rsidRPr="00690BED">
              <w:t>6,192.5</w:t>
            </w:r>
          </w:p>
        </w:tc>
      </w:tr>
      <w:tr w:rsidR="00BA1EB4" w:rsidTr="002D0C7E">
        <w:trPr>
          <w:trHeight w:val="274"/>
        </w:trPr>
        <w:tc>
          <w:tcPr>
            <w:tcW w:w="5418" w:type="dxa"/>
          </w:tcPr>
          <w:p w:rsidR="00BA1EB4" w:rsidRDefault="00F05A80" w:rsidP="00843796">
            <w:r>
              <w:t>Private Sector (</w:t>
            </w:r>
            <w:r w:rsidR="00BA1EB4">
              <w:t>Federal Contractors</w:t>
            </w:r>
            <w:r>
              <w:t>)</w:t>
            </w:r>
          </w:p>
        </w:tc>
        <w:tc>
          <w:tcPr>
            <w:tcW w:w="1530" w:type="dxa"/>
          </w:tcPr>
          <w:p w:rsidR="00BA1EB4" w:rsidRPr="00690BED" w:rsidRDefault="00690BED" w:rsidP="00F05A80">
            <w:r w:rsidRPr="00690BED">
              <w:t>15,068</w:t>
            </w:r>
          </w:p>
        </w:tc>
        <w:tc>
          <w:tcPr>
            <w:tcW w:w="1710" w:type="dxa"/>
          </w:tcPr>
          <w:p w:rsidR="00BA1EB4" w:rsidRPr="00690BED" w:rsidRDefault="00B80538" w:rsidP="00843796">
            <w:r w:rsidRPr="00690BED">
              <w:t>6</w:t>
            </w:r>
            <w:r w:rsidR="00BA1EB4" w:rsidRPr="00690BED">
              <w:t xml:space="preserve"> minutes</w:t>
            </w:r>
          </w:p>
        </w:tc>
        <w:tc>
          <w:tcPr>
            <w:tcW w:w="1003" w:type="dxa"/>
          </w:tcPr>
          <w:p w:rsidR="00BA1EB4" w:rsidRPr="00690BED" w:rsidRDefault="00690BED" w:rsidP="00843796">
            <w:r w:rsidRPr="00690BED">
              <w:t>1,506.8</w:t>
            </w:r>
          </w:p>
        </w:tc>
      </w:tr>
      <w:tr w:rsidR="008551CF" w:rsidTr="002D0C7E">
        <w:trPr>
          <w:trHeight w:val="289"/>
        </w:trPr>
        <w:tc>
          <w:tcPr>
            <w:tcW w:w="5418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551CF" w:rsidRPr="00690BED" w:rsidRDefault="00F05A80" w:rsidP="00690BED">
            <w:pPr>
              <w:rPr>
                <w:b/>
              </w:rPr>
            </w:pPr>
            <w:r w:rsidRPr="00690BED">
              <w:rPr>
                <w:b/>
              </w:rPr>
              <w:t>76,</w:t>
            </w:r>
            <w:r w:rsidR="00690BED" w:rsidRPr="00690BED">
              <w:rPr>
                <w:b/>
              </w:rPr>
              <w:t>993</w:t>
            </w:r>
          </w:p>
        </w:tc>
        <w:tc>
          <w:tcPr>
            <w:tcW w:w="1710" w:type="dxa"/>
          </w:tcPr>
          <w:p w:rsidR="008551CF" w:rsidRPr="00690BED" w:rsidRDefault="009324CC" w:rsidP="00843796">
            <w:r>
              <w:t>6</w:t>
            </w:r>
            <w:r w:rsidRPr="00690BED">
              <w:t xml:space="preserve"> </w:t>
            </w:r>
            <w:r w:rsidR="00877B45" w:rsidRPr="00690BED">
              <w:t>minutes</w:t>
            </w:r>
          </w:p>
        </w:tc>
        <w:tc>
          <w:tcPr>
            <w:tcW w:w="1003" w:type="dxa"/>
          </w:tcPr>
          <w:p w:rsidR="008551CF" w:rsidRPr="00690BED" w:rsidRDefault="00690BED" w:rsidP="00843796">
            <w:pPr>
              <w:rPr>
                <w:b/>
              </w:rPr>
            </w:pPr>
            <w:r w:rsidRPr="00690BED">
              <w:rPr>
                <w:b/>
              </w:rPr>
              <w:t>7,699.3</w:t>
            </w:r>
          </w:p>
        </w:tc>
      </w:tr>
    </w:tbl>
    <w:p w:rsidR="008551CF" w:rsidRDefault="008551CF" w:rsidP="00F3170F"/>
    <w:p w:rsidR="008551CF" w:rsidRDefault="00AA43E0" w:rsidP="00F3170F">
      <w:r>
        <w:t>Over the past two years, OFCCP averaged 1,</w:t>
      </w:r>
      <w:r w:rsidR="008322CF">
        <w:t xml:space="preserve">986 outreach and compliance assistance events </w:t>
      </w:r>
      <w:r>
        <w:t>per year</w:t>
      </w:r>
      <w:r w:rsidR="009324CC">
        <w:t xml:space="preserve">.  The </w:t>
      </w:r>
      <w:r w:rsidR="006A66E8">
        <w:t>approximate</w:t>
      </w:r>
      <w:r w:rsidR="009324CC">
        <w:t xml:space="preserve"> total attendance for the two years was </w:t>
      </w:r>
      <w:r w:rsidR="008322CF">
        <w:t>76,99</w:t>
      </w:r>
      <w:r w:rsidR="00FC54E9">
        <w:t>3</w:t>
      </w:r>
      <w:r w:rsidR="009324CC">
        <w:t xml:space="preserve"> OFCCP stakeholders</w:t>
      </w:r>
      <w:r w:rsidR="00FC54E9">
        <w:t>.</w:t>
      </w:r>
      <w:r>
        <w:t xml:space="preserve">  </w:t>
      </w:r>
      <w:r w:rsidR="00690BED">
        <w:t>In FY2012, outreach attendees made up 80.43% of all event attendees, compared to 19.57% attendees for compliance assistance events.</w:t>
      </w:r>
      <w:r>
        <w:t xml:space="preserve"> </w:t>
      </w:r>
    </w:p>
    <w:p w:rsidR="00FC54E9" w:rsidRDefault="00FC54E9" w:rsidP="00F317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0"/>
        <w:gridCol w:w="1420"/>
        <w:gridCol w:w="1422"/>
        <w:gridCol w:w="1519"/>
        <w:gridCol w:w="1519"/>
        <w:gridCol w:w="1130"/>
        <w:gridCol w:w="1176"/>
      </w:tblGrid>
      <w:tr w:rsidR="00FC54E9" w:rsidTr="00690BED">
        <w:tc>
          <w:tcPr>
            <w:tcW w:w="1390" w:type="dxa"/>
          </w:tcPr>
          <w:p w:rsidR="00FC54E9" w:rsidRDefault="00FC54E9" w:rsidP="00F3170F"/>
        </w:tc>
        <w:tc>
          <w:tcPr>
            <w:tcW w:w="1420" w:type="dxa"/>
          </w:tcPr>
          <w:p w:rsidR="00FC54E9" w:rsidRDefault="00FC54E9" w:rsidP="00F3170F">
            <w:r>
              <w:t>Outreach Events</w:t>
            </w:r>
          </w:p>
        </w:tc>
        <w:tc>
          <w:tcPr>
            <w:tcW w:w="1422" w:type="dxa"/>
          </w:tcPr>
          <w:p w:rsidR="00FC54E9" w:rsidRDefault="00FC54E9" w:rsidP="00FC54E9">
            <w:r>
              <w:t>Outreach Attendees</w:t>
            </w:r>
          </w:p>
        </w:tc>
        <w:tc>
          <w:tcPr>
            <w:tcW w:w="1519" w:type="dxa"/>
          </w:tcPr>
          <w:p w:rsidR="00FC54E9" w:rsidRDefault="00FC54E9" w:rsidP="00F3170F">
            <w:r>
              <w:t>Compliance Assistance Events</w:t>
            </w:r>
          </w:p>
        </w:tc>
        <w:tc>
          <w:tcPr>
            <w:tcW w:w="1519" w:type="dxa"/>
          </w:tcPr>
          <w:p w:rsidR="00FC54E9" w:rsidRDefault="00FC54E9" w:rsidP="00FC54E9">
            <w:r>
              <w:t>Compliance Assistance Attendees</w:t>
            </w:r>
          </w:p>
        </w:tc>
        <w:tc>
          <w:tcPr>
            <w:tcW w:w="1130" w:type="dxa"/>
          </w:tcPr>
          <w:p w:rsidR="00FC54E9" w:rsidRDefault="00FC54E9" w:rsidP="00F3170F">
            <w:r>
              <w:t>Total Events</w:t>
            </w:r>
          </w:p>
        </w:tc>
        <w:tc>
          <w:tcPr>
            <w:tcW w:w="1176" w:type="dxa"/>
          </w:tcPr>
          <w:p w:rsidR="00FC54E9" w:rsidRDefault="00FC54E9" w:rsidP="00FC54E9">
            <w:r>
              <w:t>Total Attendees</w:t>
            </w:r>
          </w:p>
        </w:tc>
      </w:tr>
      <w:tr w:rsidR="00FC54E9" w:rsidTr="00690BED">
        <w:tc>
          <w:tcPr>
            <w:tcW w:w="1390" w:type="dxa"/>
          </w:tcPr>
          <w:p w:rsidR="00FC54E9" w:rsidRDefault="00FC54E9" w:rsidP="00F3170F">
            <w:r>
              <w:t>FY2011</w:t>
            </w:r>
          </w:p>
        </w:tc>
        <w:tc>
          <w:tcPr>
            <w:tcW w:w="1420" w:type="dxa"/>
          </w:tcPr>
          <w:p w:rsidR="00FC54E9" w:rsidRDefault="00FC54E9" w:rsidP="00F3170F">
            <w:r>
              <w:t>881</w:t>
            </w:r>
          </w:p>
        </w:tc>
        <w:tc>
          <w:tcPr>
            <w:tcW w:w="1422" w:type="dxa"/>
          </w:tcPr>
          <w:p w:rsidR="00FC54E9" w:rsidRDefault="00FC54E9" w:rsidP="00FC54E9">
            <w:pPr>
              <w:jc w:val="center"/>
            </w:pPr>
            <w:r>
              <w:t>--</w:t>
            </w:r>
          </w:p>
        </w:tc>
        <w:tc>
          <w:tcPr>
            <w:tcW w:w="1519" w:type="dxa"/>
          </w:tcPr>
          <w:p w:rsidR="00FC54E9" w:rsidRDefault="00FC54E9" w:rsidP="00F3170F">
            <w:r>
              <w:t>967</w:t>
            </w:r>
          </w:p>
        </w:tc>
        <w:tc>
          <w:tcPr>
            <w:tcW w:w="1519" w:type="dxa"/>
          </w:tcPr>
          <w:p w:rsidR="00FC54E9" w:rsidRDefault="00FC54E9" w:rsidP="00F3170F">
            <w:r>
              <w:t>61,183</w:t>
            </w:r>
            <w:r>
              <w:rPr>
                <w:rStyle w:val="FootnoteReference"/>
              </w:rPr>
              <w:footnoteReference w:id="1"/>
            </w:r>
          </w:p>
        </w:tc>
        <w:tc>
          <w:tcPr>
            <w:tcW w:w="1130" w:type="dxa"/>
          </w:tcPr>
          <w:p w:rsidR="00FC54E9" w:rsidRDefault="00FC54E9" w:rsidP="00F3170F">
            <w:r>
              <w:t>1,848</w:t>
            </w:r>
          </w:p>
        </w:tc>
        <w:tc>
          <w:tcPr>
            <w:tcW w:w="1176" w:type="dxa"/>
          </w:tcPr>
          <w:p w:rsidR="00FC54E9" w:rsidRDefault="00FC54E9" w:rsidP="00F3170F">
            <w:r>
              <w:t>61,183</w:t>
            </w:r>
          </w:p>
        </w:tc>
      </w:tr>
      <w:tr w:rsidR="00FC54E9" w:rsidTr="00690BED">
        <w:tc>
          <w:tcPr>
            <w:tcW w:w="1390" w:type="dxa"/>
          </w:tcPr>
          <w:p w:rsidR="00FC54E9" w:rsidRDefault="00FC54E9" w:rsidP="00F3170F">
            <w:r>
              <w:t>FY2012</w:t>
            </w:r>
          </w:p>
        </w:tc>
        <w:tc>
          <w:tcPr>
            <w:tcW w:w="1420" w:type="dxa"/>
          </w:tcPr>
          <w:p w:rsidR="00FC54E9" w:rsidRDefault="00FC54E9" w:rsidP="00F3170F">
            <w:r>
              <w:t>1,250</w:t>
            </w:r>
          </w:p>
        </w:tc>
        <w:tc>
          <w:tcPr>
            <w:tcW w:w="1422" w:type="dxa"/>
          </w:tcPr>
          <w:p w:rsidR="00FC54E9" w:rsidRDefault="00FC54E9" w:rsidP="00F3170F">
            <w:r>
              <w:t>74,638</w:t>
            </w:r>
          </w:p>
        </w:tc>
        <w:tc>
          <w:tcPr>
            <w:tcW w:w="1519" w:type="dxa"/>
          </w:tcPr>
          <w:p w:rsidR="00FC54E9" w:rsidRDefault="00FC54E9" w:rsidP="00F3170F">
            <w:r>
              <w:t>874</w:t>
            </w:r>
          </w:p>
        </w:tc>
        <w:tc>
          <w:tcPr>
            <w:tcW w:w="1519" w:type="dxa"/>
          </w:tcPr>
          <w:p w:rsidR="00FC54E9" w:rsidRDefault="00FC54E9" w:rsidP="00F3170F">
            <w:r>
              <w:t>18,165</w:t>
            </w:r>
          </w:p>
        </w:tc>
        <w:tc>
          <w:tcPr>
            <w:tcW w:w="1130" w:type="dxa"/>
          </w:tcPr>
          <w:p w:rsidR="00FC54E9" w:rsidRDefault="00FC54E9" w:rsidP="00F3170F">
            <w:r>
              <w:t>2,124</w:t>
            </w:r>
          </w:p>
        </w:tc>
        <w:tc>
          <w:tcPr>
            <w:tcW w:w="1176" w:type="dxa"/>
          </w:tcPr>
          <w:p w:rsidR="00FC54E9" w:rsidRDefault="00FC54E9" w:rsidP="00F3170F">
            <w:r>
              <w:t>92,803</w:t>
            </w:r>
          </w:p>
        </w:tc>
      </w:tr>
      <w:tr w:rsidR="00690BED" w:rsidTr="00690BED">
        <w:tc>
          <w:tcPr>
            <w:tcW w:w="7270" w:type="dxa"/>
            <w:gridSpan w:val="5"/>
          </w:tcPr>
          <w:p w:rsidR="00690BED" w:rsidRDefault="00690BED" w:rsidP="00690BED">
            <w:pPr>
              <w:jc w:val="center"/>
            </w:pPr>
            <w:r>
              <w:t>Average</w:t>
            </w:r>
          </w:p>
        </w:tc>
        <w:tc>
          <w:tcPr>
            <w:tcW w:w="1130" w:type="dxa"/>
          </w:tcPr>
          <w:p w:rsidR="00690BED" w:rsidRDefault="00690BED" w:rsidP="00F3170F">
            <w:r>
              <w:t>1,986</w:t>
            </w:r>
          </w:p>
        </w:tc>
        <w:tc>
          <w:tcPr>
            <w:tcW w:w="1176" w:type="dxa"/>
          </w:tcPr>
          <w:p w:rsidR="00690BED" w:rsidRDefault="00690BED" w:rsidP="00F3170F">
            <w:r>
              <w:t>76,993</w:t>
            </w:r>
          </w:p>
        </w:tc>
      </w:tr>
    </w:tbl>
    <w:p w:rsidR="00AA43E0" w:rsidRDefault="00AA43E0" w:rsidP="00F3170F"/>
    <w:p w:rsidR="008551CF" w:rsidRDefault="008551CF">
      <w:r>
        <w:rPr>
          <w:b/>
        </w:rPr>
        <w:t xml:space="preserve">FEDERAL COST:  </w:t>
      </w:r>
      <w:r>
        <w:t>The estimated annual cos</w:t>
      </w:r>
      <w:r w:rsidR="006F6485">
        <w:t>t to the Federal government is 1,</w:t>
      </w:r>
      <w:r w:rsidR="00690BED">
        <w:t>986</w:t>
      </w:r>
      <w:r w:rsidR="00AA43E0">
        <w:t xml:space="preserve"> </w:t>
      </w:r>
      <w:r w:rsidR="00A55112">
        <w:t xml:space="preserve">events x [$29.93 (GS-11 Hourly Rate)] = </w:t>
      </w:r>
      <w:r w:rsidR="006F6485">
        <w:rPr>
          <w:u w:val="single"/>
        </w:rPr>
        <w:t>$</w:t>
      </w:r>
      <w:r w:rsidR="00690BED">
        <w:rPr>
          <w:u w:val="single"/>
        </w:rPr>
        <w:t>59,440.98</w:t>
      </w:r>
      <w:r w:rsidR="00D845D7">
        <w:t>.</w:t>
      </w:r>
    </w:p>
    <w:p w:rsidR="00D845D7" w:rsidRDefault="00D845D7"/>
    <w:p w:rsidR="005F4B9B" w:rsidRDefault="00D845D7">
      <w:pPr>
        <w:rPr>
          <w:b/>
          <w:bCs/>
          <w:u w:val="single"/>
        </w:rPr>
      </w:pPr>
      <w:r>
        <w:t xml:space="preserve"> </w:t>
      </w:r>
      <w:r w:rsidR="005F4B9B">
        <w:t xml:space="preserve">The estimated annual cost to the government is $59,440.98.  This is based on the hourly rate of $29.93 (GS-11, step 1, Office of Personnel Management’s 2011 Salary Table for the Rest of the U.S.) for an OFCCP Compliance Officer.  We estimate that compliance officers will </w:t>
      </w:r>
      <w:r w:rsidR="00ED1614">
        <w:t>spend up</w:t>
      </w:r>
      <w:r w:rsidR="009531D1">
        <w:t xml:space="preserve"> to </w:t>
      </w:r>
      <w:r w:rsidR="005F4B9B">
        <w:t xml:space="preserve">1 hour </w:t>
      </w:r>
      <w:r w:rsidR="009E6849">
        <w:t xml:space="preserve">collecting, </w:t>
      </w:r>
      <w:r w:rsidR="005F4B9B">
        <w:t xml:space="preserve">reviewing </w:t>
      </w:r>
      <w:r w:rsidR="009E6849">
        <w:t xml:space="preserve">and analyzing </w:t>
      </w:r>
      <w:r w:rsidR="005F4B9B">
        <w:t>the forms after each event</w:t>
      </w:r>
      <w:proofErr w:type="gramStart"/>
      <w:r w:rsidR="009E6849">
        <w:t>.</w:t>
      </w:r>
      <w:r>
        <w:t>.</w:t>
      </w:r>
      <w:proofErr w:type="gramEnd"/>
      <w:r w:rsidR="009E6849">
        <w:t xml:space="preserve"> Specifically, </w:t>
      </w:r>
      <w:r w:rsidR="009531D1">
        <w:t>Compliance Officers may distribute the forms</w:t>
      </w:r>
      <w:r w:rsidR="00621B2E">
        <w:t xml:space="preserve"> </w:t>
      </w:r>
      <w:r w:rsidR="009531D1">
        <w:t xml:space="preserve">at each event or </w:t>
      </w:r>
      <w:r w:rsidR="00621B2E">
        <w:t xml:space="preserve">provide </w:t>
      </w:r>
      <w:r w:rsidR="009531D1">
        <w:t xml:space="preserve">electronically, if participant email addresses are collected on the event sign-in sheets.  Upon receipt of completed forms, Compliance Officers will review customer feedback and </w:t>
      </w:r>
      <w:r w:rsidR="00FE05A2">
        <w:t>analyze</w:t>
      </w:r>
      <w:r w:rsidR="009531D1">
        <w:t xml:space="preserve"> responses in an internal tracking system.  </w:t>
      </w:r>
    </w:p>
    <w:p w:rsidR="005F4B9B" w:rsidRDefault="005F4B9B">
      <w:pPr>
        <w:rPr>
          <w:b/>
          <w:bCs/>
          <w:u w:val="single"/>
        </w:rPr>
      </w:pPr>
    </w:p>
    <w:p w:rsidR="008551CF" w:rsidRDefault="008551CF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8551CF" w:rsidRDefault="008551CF" w:rsidP="00F06866">
      <w:pPr>
        <w:rPr>
          <w:b/>
        </w:rPr>
      </w:pPr>
    </w:p>
    <w:p w:rsidR="008551CF" w:rsidRDefault="008551CF" w:rsidP="00F06866">
      <w:pPr>
        <w:rPr>
          <w:b/>
        </w:rPr>
      </w:pPr>
      <w:r>
        <w:rPr>
          <w:b/>
        </w:rPr>
        <w:t>The selection of your targeted respondents</w:t>
      </w:r>
    </w:p>
    <w:p w:rsidR="008551CF" w:rsidRDefault="008551CF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</w:t>
      </w:r>
      <w:r w:rsidR="00877B45">
        <w:t>X</w:t>
      </w:r>
      <w:r>
        <w:t xml:space="preserve"> ] No</w:t>
      </w:r>
    </w:p>
    <w:p w:rsidR="008551CF" w:rsidRDefault="008551CF" w:rsidP="00636621">
      <w:pPr>
        <w:pStyle w:val="ListParagraph"/>
      </w:pPr>
    </w:p>
    <w:p w:rsidR="008551CF" w:rsidRDefault="008551CF" w:rsidP="00A403BB">
      <w:r w:rsidRPr="00636621">
        <w:lastRenderedPageBreak/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6F6485" w:rsidRDefault="006F6485" w:rsidP="00A403BB"/>
    <w:p w:rsidR="006F6485" w:rsidRDefault="006F6485" w:rsidP="00A403BB">
      <w:r>
        <w:t>Anyone that attends our events will have the opportunity to complete the survey. Our events are typically open to the public and advertised on the DOL calendar.</w:t>
      </w:r>
    </w:p>
    <w:p w:rsidR="008551CF" w:rsidRDefault="008551CF" w:rsidP="00A403BB">
      <w:pPr>
        <w:rPr>
          <w:b/>
        </w:rPr>
      </w:pPr>
    </w:p>
    <w:p w:rsidR="008551CF" w:rsidRDefault="008551CF" w:rsidP="00A403BB">
      <w:pPr>
        <w:rPr>
          <w:b/>
        </w:rPr>
      </w:pPr>
      <w:r>
        <w:rPr>
          <w:b/>
        </w:rPr>
        <w:t>Administration of the Instrument</w:t>
      </w:r>
    </w:p>
    <w:p w:rsidR="008551CF" w:rsidRDefault="008551CF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RDefault="008551CF" w:rsidP="001B0AAA">
      <w:pPr>
        <w:ind w:left="720"/>
      </w:pPr>
      <w:r>
        <w:t>[</w:t>
      </w:r>
      <w:r w:rsidR="00D845D7">
        <w:t xml:space="preserve"> </w:t>
      </w:r>
      <w:r>
        <w:t xml:space="preserve"> </w:t>
      </w:r>
      <w:r w:rsidR="00D845D7">
        <w:t xml:space="preserve">] </w:t>
      </w:r>
      <w:r>
        <w:t xml:space="preserve">Web-based or other forms of Social Media </w:t>
      </w:r>
    </w:p>
    <w:p w:rsidR="008551CF" w:rsidRDefault="008551CF" w:rsidP="001B0AAA">
      <w:pPr>
        <w:ind w:left="720"/>
      </w:pPr>
      <w:r>
        <w:t>[  ] Telephone</w:t>
      </w:r>
      <w:r>
        <w:tab/>
      </w:r>
    </w:p>
    <w:p w:rsidR="008551CF" w:rsidRDefault="008551CF" w:rsidP="001B0AAA">
      <w:pPr>
        <w:ind w:left="720"/>
      </w:pPr>
      <w:proofErr w:type="gramStart"/>
      <w:r>
        <w:t xml:space="preserve">[ </w:t>
      </w:r>
      <w:r w:rsidR="00877B45">
        <w:t>X</w:t>
      </w:r>
      <w:proofErr w:type="gramEnd"/>
      <w:r>
        <w:t xml:space="preserve"> ] In-person</w:t>
      </w:r>
      <w:r>
        <w:tab/>
      </w:r>
    </w:p>
    <w:p w:rsidR="008551CF" w:rsidRDefault="008551CF" w:rsidP="001B0AAA">
      <w:pPr>
        <w:ind w:left="720"/>
      </w:pPr>
      <w:r>
        <w:t xml:space="preserve">[  ] Mail </w:t>
      </w:r>
    </w:p>
    <w:p w:rsidR="008551CF" w:rsidRDefault="006F6485" w:rsidP="001B0AAA">
      <w:pPr>
        <w:ind w:left="720"/>
      </w:pPr>
      <w:proofErr w:type="gramStart"/>
      <w:r>
        <w:t>[ X</w:t>
      </w:r>
      <w:proofErr w:type="gramEnd"/>
      <w:r>
        <w:t xml:space="preserve">] Other  </w:t>
      </w:r>
      <w:r w:rsidR="00D845D7">
        <w:t xml:space="preserve">Compliance Officers collect email addresses on event sign-in sheets. </w:t>
      </w:r>
      <w:r>
        <w:t>This survey may be emailed to event attendees</w:t>
      </w:r>
      <w:r w:rsidR="00D845D7">
        <w:t xml:space="preserve"> to reduce cost of printing the survey and distributing at the event</w:t>
      </w:r>
      <w:r>
        <w:t xml:space="preserve">. </w:t>
      </w:r>
    </w:p>
    <w:p w:rsidR="006F6485" w:rsidRDefault="006F6485" w:rsidP="001B0AAA">
      <w:pPr>
        <w:ind w:left="720"/>
      </w:pPr>
    </w:p>
    <w:p w:rsidR="008551CF" w:rsidRDefault="008551CF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877B45">
        <w:t>X</w:t>
      </w:r>
      <w:r>
        <w:t xml:space="preserve"> ] No</w:t>
      </w:r>
    </w:p>
    <w:p w:rsidR="008551CF" w:rsidRDefault="008551CF" w:rsidP="00F24CFC">
      <w:pPr>
        <w:pStyle w:val="ListParagraph"/>
        <w:ind w:left="360"/>
      </w:pPr>
      <w:r>
        <w:t xml:space="preserve"> </w:t>
      </w:r>
    </w:p>
    <w:p w:rsidR="008551CF" w:rsidRPr="00F24CFC" w:rsidRDefault="008551CF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A55112" w:rsidRDefault="00A55112">
      <w:pPr>
        <w:rPr>
          <w:b/>
          <w:bCs/>
          <w:sz w:val="28"/>
        </w:rPr>
      </w:pPr>
      <w:r>
        <w:rPr>
          <w:sz w:val="28"/>
        </w:rPr>
        <w:br w:type="page"/>
      </w:r>
    </w:p>
    <w:p w:rsidR="008551CF" w:rsidRDefault="008551CF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51CF" w:rsidRDefault="008551CF" w:rsidP="00F24CFC">
      <w:pPr>
        <w:rPr>
          <w:b/>
        </w:rPr>
      </w:pPr>
    </w:p>
    <w:p w:rsidR="008551CF" w:rsidRDefault="00A21BA9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</w:t>
      </w:r>
      <w:proofErr w:type="gramStart"/>
      <w:r>
        <w:t>(e.g.</w:t>
      </w:r>
      <w:proofErr w:type="gramEnd"/>
      <w:r>
        <w:t xml:space="preserve">  Comment card for soliciting feedback on </w:t>
      </w:r>
      <w:proofErr w:type="spellStart"/>
      <w:r>
        <w:t>xxxx</w:t>
      </w:r>
      <w:proofErr w:type="spellEnd"/>
      <w:r>
        <w:t>)</w:t>
      </w:r>
    </w:p>
    <w:p w:rsidR="008551CF" w:rsidRPr="008F50D4" w:rsidRDefault="008551CF" w:rsidP="00F24CFC"/>
    <w:p w:rsidR="008551CF" w:rsidRPr="008F50D4" w:rsidRDefault="008551CF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51CF" w:rsidRPr="008F50D4" w:rsidRDefault="008551CF" w:rsidP="00F24CFC">
      <w:pPr>
        <w:rPr>
          <w:b/>
        </w:rPr>
      </w:pP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51CF" w:rsidRPr="008F50D4" w:rsidRDefault="008551CF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8551CF" w:rsidRPr="008F50D4" w:rsidRDefault="008551CF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RDefault="008551CF" w:rsidP="00F24CFC">
      <w:pPr>
        <w:rPr>
          <w:sz w:val="16"/>
          <w:szCs w:val="16"/>
        </w:rPr>
      </w:pPr>
    </w:p>
    <w:p w:rsidR="008551CF" w:rsidRDefault="008551CF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8551CF" w:rsidRPr="008F50D4" w:rsidRDefault="008551CF" w:rsidP="00F24CFC"/>
    <w:p w:rsidR="008551CF" w:rsidRPr="008F50D4" w:rsidRDefault="008551CF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RDefault="008551CF" w:rsidP="00F24CFC">
      <w:pPr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>BURDEN HOURS:</w:t>
      </w:r>
    </w:p>
    <w:p w:rsidR="008551CF" w:rsidRDefault="008551CF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8551CF" w:rsidRDefault="008551CF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RDefault="008551CF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8551CF" w:rsidRPr="008F50D4" w:rsidRDefault="008551CF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551CF" w:rsidRPr="006832D9" w:rsidRDefault="008551CF" w:rsidP="00F24CFC">
      <w:pPr>
        <w:keepNext/>
        <w:keepLines/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51CF" w:rsidRDefault="008551CF" w:rsidP="00F24CFC">
      <w:pPr>
        <w:rPr>
          <w:b/>
          <w:bCs/>
          <w:u w:val="single"/>
        </w:rPr>
      </w:pPr>
    </w:p>
    <w:p w:rsidR="008551CF" w:rsidRDefault="008551CF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8551CF" w:rsidRDefault="008551CF" w:rsidP="00F24CFC">
      <w:pPr>
        <w:rPr>
          <w:b/>
        </w:rPr>
      </w:pPr>
    </w:p>
    <w:p w:rsidR="008551CF" w:rsidRDefault="008551CF" w:rsidP="00F24CFC">
      <w:proofErr w:type="gramStart"/>
      <w:r>
        <w:rPr>
          <w:b/>
        </w:rPr>
        <w:t>The selection of your targeted respondents.</w:t>
      </w:r>
      <w:proofErr w:type="gramEnd"/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51CF" w:rsidRDefault="008551CF" w:rsidP="00F24CFC">
      <w:pPr>
        <w:rPr>
          <w:b/>
        </w:rPr>
      </w:pPr>
    </w:p>
    <w:p w:rsidR="008551CF" w:rsidRPr="003F1C5B" w:rsidRDefault="008551CF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8551CF" w:rsidRDefault="008551CF" w:rsidP="00F24CFC">
      <w:pPr>
        <w:pStyle w:val="ListParagraph"/>
        <w:ind w:left="360"/>
      </w:pPr>
    </w:p>
    <w:p w:rsidR="008551CF" w:rsidRDefault="008551CF" w:rsidP="00ED1614">
      <w:r w:rsidRPr="00F24CFC">
        <w:rPr>
          <w:b/>
        </w:rPr>
        <w:t>Please make sure that all instruments, instructions, and scripts are submitted with the request.</w:t>
      </w:r>
    </w:p>
    <w:sectPr w:rsidR="008551CF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FE6" w:rsidRDefault="00BD4FE6">
      <w:r>
        <w:separator/>
      </w:r>
    </w:p>
  </w:endnote>
  <w:endnote w:type="continuationSeparator" w:id="0">
    <w:p w:rsidR="00BD4FE6" w:rsidRDefault="00BD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849" w:rsidRDefault="00425FB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9E6849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E2B5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FE6" w:rsidRDefault="00BD4FE6">
      <w:r>
        <w:separator/>
      </w:r>
    </w:p>
  </w:footnote>
  <w:footnote w:type="continuationSeparator" w:id="0">
    <w:p w:rsidR="00BD4FE6" w:rsidRDefault="00BD4FE6">
      <w:r>
        <w:continuationSeparator/>
      </w:r>
    </w:p>
  </w:footnote>
  <w:footnote w:id="1">
    <w:p w:rsidR="009E6849" w:rsidRDefault="009E6849" w:rsidP="00FC54E9">
      <w:pPr>
        <w:pStyle w:val="FootnoteText"/>
      </w:pPr>
      <w:r>
        <w:rPr>
          <w:rStyle w:val="FootnoteReference"/>
        </w:rPr>
        <w:footnoteRef/>
      </w:r>
      <w:r>
        <w:t xml:space="preserve"> In FY2011, the agency reported outreach and compliance assistance data together.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02F4"/>
    <w:rsid w:val="00023A57"/>
    <w:rsid w:val="00036C36"/>
    <w:rsid w:val="00047A64"/>
    <w:rsid w:val="00067329"/>
    <w:rsid w:val="000B2838"/>
    <w:rsid w:val="000D44CA"/>
    <w:rsid w:val="000E200B"/>
    <w:rsid w:val="000F68BE"/>
    <w:rsid w:val="001927A4"/>
    <w:rsid w:val="00194AC6"/>
    <w:rsid w:val="001A1F7E"/>
    <w:rsid w:val="001A23B0"/>
    <w:rsid w:val="001A25CC"/>
    <w:rsid w:val="001B0AAA"/>
    <w:rsid w:val="001C39F7"/>
    <w:rsid w:val="00203C52"/>
    <w:rsid w:val="00237B48"/>
    <w:rsid w:val="0024521E"/>
    <w:rsid w:val="00263C3D"/>
    <w:rsid w:val="00274D0B"/>
    <w:rsid w:val="002B3C95"/>
    <w:rsid w:val="002D0B92"/>
    <w:rsid w:val="002D0C7E"/>
    <w:rsid w:val="002D20A2"/>
    <w:rsid w:val="002E2B57"/>
    <w:rsid w:val="003D5BBE"/>
    <w:rsid w:val="003E3C61"/>
    <w:rsid w:val="003E7C04"/>
    <w:rsid w:val="003F1C5B"/>
    <w:rsid w:val="00425FB2"/>
    <w:rsid w:val="00434E33"/>
    <w:rsid w:val="00441434"/>
    <w:rsid w:val="0045264C"/>
    <w:rsid w:val="0047057C"/>
    <w:rsid w:val="004876EC"/>
    <w:rsid w:val="004B1852"/>
    <w:rsid w:val="004B2059"/>
    <w:rsid w:val="004D6E14"/>
    <w:rsid w:val="004E6BBF"/>
    <w:rsid w:val="005009B0"/>
    <w:rsid w:val="00533234"/>
    <w:rsid w:val="00591A35"/>
    <w:rsid w:val="00594352"/>
    <w:rsid w:val="005A1006"/>
    <w:rsid w:val="005E714A"/>
    <w:rsid w:val="005F4B9B"/>
    <w:rsid w:val="006140A0"/>
    <w:rsid w:val="00621B2E"/>
    <w:rsid w:val="00636621"/>
    <w:rsid w:val="00642B49"/>
    <w:rsid w:val="00676EDC"/>
    <w:rsid w:val="006832D9"/>
    <w:rsid w:val="00690BED"/>
    <w:rsid w:val="0069403B"/>
    <w:rsid w:val="006A66E8"/>
    <w:rsid w:val="006D4684"/>
    <w:rsid w:val="006F3DDE"/>
    <w:rsid w:val="006F6485"/>
    <w:rsid w:val="00704678"/>
    <w:rsid w:val="00712674"/>
    <w:rsid w:val="0074015C"/>
    <w:rsid w:val="007425E7"/>
    <w:rsid w:val="00771068"/>
    <w:rsid w:val="00802607"/>
    <w:rsid w:val="008101A5"/>
    <w:rsid w:val="00822664"/>
    <w:rsid w:val="0082674A"/>
    <w:rsid w:val="008322CF"/>
    <w:rsid w:val="00843796"/>
    <w:rsid w:val="008551CF"/>
    <w:rsid w:val="00877B45"/>
    <w:rsid w:val="00895229"/>
    <w:rsid w:val="008F0203"/>
    <w:rsid w:val="008F50D4"/>
    <w:rsid w:val="00911D67"/>
    <w:rsid w:val="009239AA"/>
    <w:rsid w:val="009324CC"/>
    <w:rsid w:val="00935ADA"/>
    <w:rsid w:val="00946B6C"/>
    <w:rsid w:val="009531D1"/>
    <w:rsid w:val="00955A71"/>
    <w:rsid w:val="0096108F"/>
    <w:rsid w:val="009C13B9"/>
    <w:rsid w:val="009D01A2"/>
    <w:rsid w:val="009E6849"/>
    <w:rsid w:val="009F5923"/>
    <w:rsid w:val="00A04689"/>
    <w:rsid w:val="00A06607"/>
    <w:rsid w:val="00A21BA9"/>
    <w:rsid w:val="00A403BB"/>
    <w:rsid w:val="00A55112"/>
    <w:rsid w:val="00A56C65"/>
    <w:rsid w:val="00A674DF"/>
    <w:rsid w:val="00A83AA6"/>
    <w:rsid w:val="00AA43E0"/>
    <w:rsid w:val="00AC51B6"/>
    <w:rsid w:val="00AE1809"/>
    <w:rsid w:val="00B1164B"/>
    <w:rsid w:val="00B80538"/>
    <w:rsid w:val="00B80D76"/>
    <w:rsid w:val="00BA1EB4"/>
    <w:rsid w:val="00BA2105"/>
    <w:rsid w:val="00BA7E06"/>
    <w:rsid w:val="00BB43B5"/>
    <w:rsid w:val="00BB6219"/>
    <w:rsid w:val="00BD290F"/>
    <w:rsid w:val="00BD4FE6"/>
    <w:rsid w:val="00C14CC4"/>
    <w:rsid w:val="00C33ACC"/>
    <w:rsid w:val="00C33C52"/>
    <w:rsid w:val="00C40D8B"/>
    <w:rsid w:val="00C80D16"/>
    <w:rsid w:val="00C8407A"/>
    <w:rsid w:val="00C8488C"/>
    <w:rsid w:val="00C86E91"/>
    <w:rsid w:val="00CA2650"/>
    <w:rsid w:val="00CB1078"/>
    <w:rsid w:val="00CC6FAF"/>
    <w:rsid w:val="00D02202"/>
    <w:rsid w:val="00D24698"/>
    <w:rsid w:val="00D6383F"/>
    <w:rsid w:val="00D831AD"/>
    <w:rsid w:val="00D845D7"/>
    <w:rsid w:val="00DB59D0"/>
    <w:rsid w:val="00DC33D3"/>
    <w:rsid w:val="00E26329"/>
    <w:rsid w:val="00E40B50"/>
    <w:rsid w:val="00E50293"/>
    <w:rsid w:val="00E519A9"/>
    <w:rsid w:val="00E65FFC"/>
    <w:rsid w:val="00E80951"/>
    <w:rsid w:val="00E854FE"/>
    <w:rsid w:val="00E86CC6"/>
    <w:rsid w:val="00EB56B3"/>
    <w:rsid w:val="00ED1614"/>
    <w:rsid w:val="00ED6492"/>
    <w:rsid w:val="00EF2095"/>
    <w:rsid w:val="00F05A80"/>
    <w:rsid w:val="00F06866"/>
    <w:rsid w:val="00F15956"/>
    <w:rsid w:val="00F24CFC"/>
    <w:rsid w:val="00F3170F"/>
    <w:rsid w:val="00F44D65"/>
    <w:rsid w:val="00F976B0"/>
    <w:rsid w:val="00FA6DE7"/>
    <w:rsid w:val="00FC0A8E"/>
    <w:rsid w:val="00FC54E9"/>
    <w:rsid w:val="00FE05A2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0468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0468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04689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0468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04689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04689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0468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04689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04689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04689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4689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322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22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22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0468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0468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04689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0468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04689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04689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0468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04689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04689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04689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4689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322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22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22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434A1-F371-41CE-B2D1-60524A1D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Smyth, Michel - OASAM OCIO</cp:lastModifiedBy>
  <cp:revision>3</cp:revision>
  <cp:lastPrinted>2010-10-04T16:59:00Z</cp:lastPrinted>
  <dcterms:created xsi:type="dcterms:W3CDTF">2012-12-07T23:07:00Z</dcterms:created>
  <dcterms:modified xsi:type="dcterms:W3CDTF">2012-12-07T23:08:00Z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