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8D" w:rsidRPr="00417CB8" w:rsidRDefault="0006798D" w:rsidP="0006798D">
      <w:pPr>
        <w:rPr>
          <w:rFonts w:ascii="Cambria" w:hAnsi="Cambria"/>
          <w:b/>
          <w:sz w:val="28"/>
          <w:szCs w:val="28"/>
          <w:lang w:val="sv-SE"/>
        </w:rPr>
      </w:pPr>
      <w:r w:rsidRPr="00417CB8">
        <w:rPr>
          <w:rFonts w:ascii="Cambria" w:hAnsi="Cambria"/>
          <w:b/>
          <w:sz w:val="28"/>
          <w:szCs w:val="28"/>
          <w:lang w:val="sv-SE"/>
        </w:rPr>
        <w:t>M E M O R A N D U M</w:t>
      </w:r>
    </w:p>
    <w:p w:rsidR="0006798D" w:rsidRPr="00417CB8" w:rsidRDefault="0006798D" w:rsidP="0006798D">
      <w:pPr>
        <w:rPr>
          <w:rFonts w:ascii="Cambria" w:hAnsi="Cambria"/>
          <w:sz w:val="22"/>
          <w:szCs w:val="22"/>
          <w:lang w:val="sv-SE"/>
        </w:rPr>
      </w:pPr>
    </w:p>
    <w:p w:rsidR="00F012E0" w:rsidRDefault="0006798D" w:rsidP="00F012E0">
      <w:pPr>
        <w:tabs>
          <w:tab w:val="left" w:pos="1440"/>
        </w:tabs>
        <w:rPr>
          <w:rFonts w:ascii="Cambria" w:hAnsi="Cambria"/>
          <w:lang w:val="sv-SE"/>
        </w:rPr>
      </w:pPr>
      <w:r w:rsidRPr="00FD10F0">
        <w:rPr>
          <w:rFonts w:ascii="Cambria" w:hAnsi="Cambria"/>
          <w:lang w:val="sv-SE"/>
        </w:rPr>
        <w:t>TO:</w:t>
      </w:r>
      <w:r>
        <w:rPr>
          <w:rFonts w:ascii="Cambria" w:hAnsi="Cambria"/>
          <w:lang w:val="sv-SE"/>
        </w:rPr>
        <w:t xml:space="preserve">  </w:t>
      </w:r>
      <w:r>
        <w:rPr>
          <w:rFonts w:ascii="Cambria" w:hAnsi="Cambria"/>
          <w:lang w:val="sv-SE"/>
        </w:rPr>
        <w:tab/>
      </w:r>
      <w:r w:rsidR="00396EDC">
        <w:rPr>
          <w:rFonts w:ascii="Cambria" w:hAnsi="Cambria"/>
          <w:lang w:val="sv-SE"/>
        </w:rPr>
        <w:t>Margo Schwab</w:t>
      </w:r>
    </w:p>
    <w:p w:rsidR="0006798D" w:rsidRDefault="00396EDC" w:rsidP="0006798D">
      <w:pPr>
        <w:tabs>
          <w:tab w:val="left" w:pos="1440"/>
        </w:tabs>
        <w:rPr>
          <w:rFonts w:ascii="Cambria" w:hAnsi="Cambria"/>
          <w:lang w:val="sv-SE"/>
        </w:rPr>
      </w:pPr>
      <w:r>
        <w:rPr>
          <w:rFonts w:ascii="Cambria" w:hAnsi="Cambria"/>
          <w:lang w:val="sv-SE"/>
        </w:rPr>
        <w:tab/>
        <w:t>Josh Brammer</w:t>
      </w:r>
    </w:p>
    <w:p w:rsidR="0006798D" w:rsidRDefault="0006798D" w:rsidP="0006798D">
      <w:pPr>
        <w:tabs>
          <w:tab w:val="left" w:pos="1440"/>
        </w:tabs>
        <w:rPr>
          <w:rFonts w:ascii="Cambria" w:hAnsi="Cambria"/>
          <w:lang w:val="sv-SE"/>
        </w:rPr>
      </w:pPr>
    </w:p>
    <w:p w:rsidR="0006798D" w:rsidRPr="00417CB8" w:rsidRDefault="0006798D" w:rsidP="0006798D">
      <w:pPr>
        <w:tabs>
          <w:tab w:val="left" w:pos="1440"/>
        </w:tabs>
        <w:rPr>
          <w:rFonts w:ascii="Cambria" w:hAnsi="Cambria"/>
          <w:lang w:val="sv-SE"/>
        </w:rPr>
      </w:pPr>
      <w:r w:rsidRPr="00FD10F0">
        <w:rPr>
          <w:rFonts w:ascii="Cambria" w:hAnsi="Cambria"/>
          <w:lang w:val="sv-SE"/>
        </w:rPr>
        <w:t>FROM:</w:t>
      </w:r>
      <w:r>
        <w:rPr>
          <w:rFonts w:ascii="Cambria" w:hAnsi="Cambria"/>
          <w:lang w:val="sv-SE"/>
        </w:rPr>
        <w:t xml:space="preserve">  </w:t>
      </w:r>
      <w:r>
        <w:rPr>
          <w:rFonts w:ascii="Cambria" w:hAnsi="Cambria"/>
          <w:lang w:val="sv-SE"/>
        </w:rPr>
        <w:tab/>
        <w:t>Matthew Swain</w:t>
      </w:r>
      <w:r w:rsidR="00396EDC">
        <w:rPr>
          <w:rFonts w:ascii="Cambria" w:hAnsi="Cambria"/>
          <w:lang w:val="sv-SE"/>
        </w:rPr>
        <w:t>, ONC’s Office of Econmic Analysis, Evaluation, and Modeling</w:t>
      </w:r>
      <w:r w:rsidRPr="00417CB8">
        <w:rPr>
          <w:rFonts w:ascii="Cambria" w:hAnsi="Cambria"/>
          <w:lang w:val="sv-SE"/>
        </w:rPr>
        <w:t xml:space="preserve">             </w:t>
      </w:r>
    </w:p>
    <w:p w:rsidR="0006798D" w:rsidRPr="00417CB8" w:rsidRDefault="0006798D" w:rsidP="0006798D">
      <w:pPr>
        <w:rPr>
          <w:rFonts w:ascii="Cambria" w:hAnsi="Cambria"/>
          <w:lang w:val="sv-SE"/>
        </w:rPr>
      </w:pPr>
    </w:p>
    <w:p w:rsidR="0006798D" w:rsidRPr="00417CB8" w:rsidRDefault="0006798D" w:rsidP="0006798D">
      <w:pPr>
        <w:tabs>
          <w:tab w:val="left" w:pos="1440"/>
        </w:tabs>
        <w:rPr>
          <w:rFonts w:ascii="Cambria" w:hAnsi="Cambria"/>
        </w:rPr>
      </w:pPr>
      <w:r w:rsidRPr="006B75E7">
        <w:rPr>
          <w:rFonts w:ascii="Cambria" w:hAnsi="Cambria"/>
        </w:rPr>
        <w:t>DATE:</w:t>
      </w:r>
      <w:r w:rsidRPr="006B75E7">
        <w:rPr>
          <w:rFonts w:ascii="Cambria" w:hAnsi="Cambria"/>
        </w:rPr>
        <w:tab/>
      </w:r>
      <w:r w:rsidR="00396EDC">
        <w:rPr>
          <w:rFonts w:ascii="Cambria" w:hAnsi="Cambria"/>
        </w:rPr>
        <w:t xml:space="preserve">April </w:t>
      </w:r>
      <w:r w:rsidR="00044172">
        <w:rPr>
          <w:rFonts w:ascii="Cambria" w:hAnsi="Cambria"/>
        </w:rPr>
        <w:t>27</w:t>
      </w:r>
      <w:r w:rsidR="00396EDC">
        <w:rPr>
          <w:rFonts w:ascii="Cambria" w:hAnsi="Cambria"/>
        </w:rPr>
        <w:t>, 2011</w:t>
      </w:r>
    </w:p>
    <w:p w:rsidR="0006798D" w:rsidRPr="00417CB8" w:rsidRDefault="0006798D" w:rsidP="0006798D">
      <w:pPr>
        <w:rPr>
          <w:rFonts w:ascii="Cambria" w:hAnsi="Cambria"/>
        </w:rPr>
      </w:pPr>
    </w:p>
    <w:p w:rsidR="0006798D" w:rsidRPr="00396EDC" w:rsidRDefault="0006798D" w:rsidP="00396EDC">
      <w:pPr>
        <w:tabs>
          <w:tab w:val="left" w:pos="1440"/>
        </w:tabs>
        <w:ind w:left="1440" w:hanging="1440"/>
        <w:rPr>
          <w:rFonts w:ascii="Cambria" w:hAnsi="Cambria"/>
        </w:rPr>
      </w:pPr>
      <w:r>
        <w:rPr>
          <w:rFonts w:ascii="Cambria" w:hAnsi="Cambria"/>
        </w:rPr>
        <w:t>RE:</w:t>
      </w:r>
      <w:r>
        <w:rPr>
          <w:rFonts w:ascii="Cambria" w:hAnsi="Cambria"/>
        </w:rPr>
        <w:tab/>
      </w:r>
      <w:r w:rsidR="00396EDC">
        <w:rPr>
          <w:rFonts w:ascii="Cambria" w:hAnsi="Cambria"/>
        </w:rPr>
        <w:t xml:space="preserve">Non-Substantive Change to </w:t>
      </w:r>
      <w:r w:rsidR="00396EDC" w:rsidRPr="00396EDC">
        <w:rPr>
          <w:rFonts w:ascii="Cambria" w:hAnsi="Cambria"/>
        </w:rPr>
        <w:t>Evaluation of the IT Professionals in Health Care ("Workforce") Program</w:t>
      </w:r>
      <w:r w:rsidR="00396EDC">
        <w:rPr>
          <w:rFonts w:ascii="Cambria" w:hAnsi="Cambria"/>
        </w:rPr>
        <w:t xml:space="preserve">:  </w:t>
      </w:r>
      <w:r w:rsidR="00396EDC" w:rsidRPr="00396EDC">
        <w:rPr>
          <w:rFonts w:ascii="Cambria" w:hAnsi="Cambria"/>
        </w:rPr>
        <w:t>ICR Reference No: 201012-0990-002</w:t>
      </w:r>
    </w:p>
    <w:p w:rsidR="0006798D" w:rsidRPr="004F0964" w:rsidRDefault="0006798D" w:rsidP="0006798D">
      <w:pPr>
        <w:pBdr>
          <w:bottom w:val="single" w:sz="4" w:space="1" w:color="auto"/>
        </w:pBdr>
        <w:rPr>
          <w:rFonts w:ascii="Cambria" w:hAnsi="Cambria"/>
          <w:color w:val="FF0000"/>
          <w:sz w:val="22"/>
          <w:szCs w:val="22"/>
        </w:rPr>
      </w:pPr>
    </w:p>
    <w:p w:rsidR="0006798D" w:rsidRDefault="0006798D" w:rsidP="0006798D">
      <w:pPr>
        <w:rPr>
          <w:rFonts w:ascii="Cambria" w:hAnsi="Cambria"/>
          <w:color w:val="FF0000"/>
          <w:sz w:val="22"/>
          <w:szCs w:val="22"/>
        </w:rPr>
      </w:pPr>
    </w:p>
    <w:p w:rsidR="0048347B" w:rsidRDefault="00396EDC">
      <w:r>
        <w:t xml:space="preserve">This Memorandum is to request a non-substantive change to the Evaluation of the IT Professionals in Health Care Program; specifically, to </w:t>
      </w:r>
      <w:r w:rsidR="008F12F4">
        <w:t>the Supporting Statement, Section A.9:  Explanation of any Payment or Gift to Respondents.  The requested change is to add a second incentive option for survey respondents</w:t>
      </w:r>
      <w:r w:rsidR="0048347B">
        <w:t xml:space="preserve"> to the community college student </w:t>
      </w:r>
      <w:r w:rsidR="005C1FD1">
        <w:t xml:space="preserve">baseline and follow-up </w:t>
      </w:r>
      <w:r w:rsidR="0048347B">
        <w:t>surveys</w:t>
      </w:r>
      <w:r w:rsidR="00C544E1">
        <w:t xml:space="preserve"> in the form of</w:t>
      </w:r>
      <w:r w:rsidR="0048347B">
        <w:t xml:space="preserve"> </w:t>
      </w:r>
      <w:r w:rsidR="00C544E1">
        <w:t>two</w:t>
      </w:r>
      <w:r w:rsidR="0048347B">
        <w:t xml:space="preserve"> gift certificate</w:t>
      </w:r>
      <w:r w:rsidR="00C544E1">
        <w:t>s</w:t>
      </w:r>
      <w:r w:rsidR="0048347B">
        <w:t xml:space="preserve"> to Amazon.com for the amount of $25 </w:t>
      </w:r>
      <w:r w:rsidR="005C1FD1">
        <w:t xml:space="preserve">each </w:t>
      </w:r>
      <w:r w:rsidR="00C544E1">
        <w:t xml:space="preserve">in order to </w:t>
      </w:r>
      <w:r w:rsidR="005C1FD1">
        <w:t>facilitate</w:t>
      </w:r>
      <w:r w:rsidR="00C544E1">
        <w:t xml:space="preserve"> an 80% response rate</w:t>
      </w:r>
      <w:r w:rsidR="005C1FD1">
        <w:t xml:space="preserve"> on each of the surveys</w:t>
      </w:r>
      <w:r w:rsidR="0048347B">
        <w:t>.</w:t>
      </w:r>
      <w:r w:rsidR="008F12F4">
        <w:t xml:space="preserve">  </w:t>
      </w:r>
      <w:r w:rsidR="0048347B" w:rsidRPr="0048347B">
        <w:t xml:space="preserve"> </w:t>
      </w:r>
      <w:r w:rsidR="0048347B">
        <w:t xml:space="preserve"> </w:t>
      </w:r>
    </w:p>
    <w:p w:rsidR="0048347B" w:rsidRDefault="0048347B"/>
    <w:p w:rsidR="005C1FD1" w:rsidRDefault="008F12F4">
      <w:r>
        <w:t xml:space="preserve">Currently, the incentive offered to respondents </w:t>
      </w:r>
      <w:r w:rsidR="003E502A">
        <w:t xml:space="preserve">upon completion of the student survey </w:t>
      </w:r>
      <w:r>
        <w:t>is a reduced membership to the professional organization</w:t>
      </w:r>
      <w:r w:rsidR="005C1FD1">
        <w:t>,</w:t>
      </w:r>
      <w:r>
        <w:t xml:space="preserve"> Health Information and Management </w:t>
      </w:r>
      <w:r w:rsidR="003E502A">
        <w:t>Systems Society (HIMSS)</w:t>
      </w:r>
      <w:r>
        <w:t xml:space="preserve">. </w:t>
      </w:r>
      <w:r w:rsidR="003E502A">
        <w:t xml:space="preserve">This incentive is for </w:t>
      </w:r>
      <w:r w:rsidR="005C1FD1">
        <w:t xml:space="preserve">completion of </w:t>
      </w:r>
      <w:r w:rsidR="003E502A">
        <w:t xml:space="preserve">both the baseline </w:t>
      </w:r>
      <w:r>
        <w:t>and follow-up surveys.</w:t>
      </w:r>
      <w:r w:rsidR="003E502A">
        <w:t xml:space="preserve">  </w:t>
      </w:r>
      <w:r w:rsidR="005C1FD1">
        <w:t>We have found during the first few weeks of data collection that t</w:t>
      </w:r>
      <w:r w:rsidR="003E502A">
        <w:t xml:space="preserve">his </w:t>
      </w:r>
      <w:r w:rsidR="005C1FD1">
        <w:t>incentive is</w:t>
      </w:r>
      <w:r w:rsidR="003E502A">
        <w:t xml:space="preserve"> effective for graduates of the community college program; however, </w:t>
      </w:r>
      <w:r w:rsidR="005C1FD1">
        <w:t>it has been</w:t>
      </w:r>
      <w:r w:rsidR="003E502A">
        <w:t xml:space="preserve"> less </w:t>
      </w:r>
      <w:r w:rsidR="005C1FD1">
        <w:t>effective in enticing</w:t>
      </w:r>
      <w:r w:rsidR="003E502A">
        <w:t xml:space="preserve"> drop</w:t>
      </w:r>
      <w:r w:rsidR="00044172">
        <w:t>-</w:t>
      </w:r>
      <w:r w:rsidR="003E502A">
        <w:t>outs of the program</w:t>
      </w:r>
      <w:r w:rsidR="005C1FD1">
        <w:t xml:space="preserve"> to complete the survey</w:t>
      </w:r>
      <w:r w:rsidR="003E502A">
        <w:t xml:space="preserve">. </w:t>
      </w:r>
      <w:r w:rsidR="005C1FD1">
        <w:t>As Table 1 demonstrates, the current response rate for the baseline survey among students who are either still enrolled or completed the program is much higher than compared to those who have dropped out</w:t>
      </w:r>
      <w:r w:rsidR="004B4A02">
        <w:t xml:space="preserve"> of the program</w:t>
      </w:r>
      <w:r w:rsidR="005C1FD1">
        <w:t xml:space="preserve">. </w:t>
      </w:r>
    </w:p>
    <w:p w:rsidR="005C1FD1" w:rsidRDefault="005C1FD1"/>
    <w:p w:rsidR="00870F73" w:rsidRDefault="005C1FD1">
      <w:r>
        <w:t xml:space="preserve">In addition, one of the goals of </w:t>
      </w:r>
      <w:r w:rsidR="004B4A02">
        <w:t>the</w:t>
      </w:r>
      <w:r w:rsidR="003E502A">
        <w:t xml:space="preserve"> survey </w:t>
      </w:r>
      <w:r>
        <w:t>is to understand</w:t>
      </w:r>
      <w:r w:rsidR="003E502A">
        <w:t xml:space="preserve"> why certain students </w:t>
      </w:r>
      <w:r>
        <w:t xml:space="preserve">choose to </w:t>
      </w:r>
      <w:r w:rsidR="003E502A">
        <w:t xml:space="preserve">leave the program.  It is currently </w:t>
      </w:r>
      <w:r w:rsidR="00870F73">
        <w:t>hypothesi</w:t>
      </w:r>
      <w:r w:rsidR="003E502A">
        <w:t xml:space="preserve">zed that </w:t>
      </w:r>
      <w:r w:rsidR="00870F73">
        <w:t xml:space="preserve">one reason for students leaving </w:t>
      </w:r>
      <w:r>
        <w:t xml:space="preserve">the </w:t>
      </w:r>
      <w:r w:rsidR="00870F73">
        <w:t xml:space="preserve">program is </w:t>
      </w:r>
      <w:r>
        <w:t xml:space="preserve">that </w:t>
      </w:r>
      <w:r w:rsidR="00870F73">
        <w:t xml:space="preserve">they are no longer interested in the health information technology field.  If this </w:t>
      </w:r>
      <w:r>
        <w:t xml:space="preserve">is a valid </w:t>
      </w:r>
      <w:r w:rsidR="00870F73">
        <w:t xml:space="preserve">hypothesis, </w:t>
      </w:r>
      <w:r>
        <w:t xml:space="preserve">then </w:t>
      </w:r>
      <w:r w:rsidR="00870F73">
        <w:t xml:space="preserve">a </w:t>
      </w:r>
      <w:r>
        <w:t xml:space="preserve">one year </w:t>
      </w:r>
      <w:r w:rsidR="00870F73">
        <w:t xml:space="preserve">membership to a professional society in </w:t>
      </w:r>
      <w:r>
        <w:t xml:space="preserve">the health information technology </w:t>
      </w:r>
      <w:r w:rsidR="00870F73">
        <w:t xml:space="preserve">field may be </w:t>
      </w:r>
      <w:r>
        <w:t xml:space="preserve">less </w:t>
      </w:r>
      <w:r w:rsidR="00870F73">
        <w:t>effective</w:t>
      </w:r>
      <w:r>
        <w:t xml:space="preserve"> as an incentive </w:t>
      </w:r>
      <w:r w:rsidR="004B4A02">
        <w:t>for completing</w:t>
      </w:r>
      <w:r>
        <w:t xml:space="preserve"> the survey</w:t>
      </w:r>
      <w:r w:rsidR="00870F73">
        <w:t xml:space="preserve">.  </w:t>
      </w:r>
    </w:p>
    <w:p w:rsidR="00837AD8" w:rsidRDefault="00837AD8"/>
    <w:p w:rsidR="00870F73" w:rsidRDefault="00870F73">
      <w:r>
        <w:t>Table 1:</w:t>
      </w:r>
      <w:r w:rsidR="0048347B">
        <w:t xml:space="preserve">  Response Rate as of April 25, 2011</w:t>
      </w:r>
    </w:p>
    <w:p w:rsidR="00870F73" w:rsidRDefault="00870F73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808"/>
        <w:gridCol w:w="1296"/>
        <w:gridCol w:w="1170"/>
        <w:gridCol w:w="1176"/>
      </w:tblGrid>
      <w:tr w:rsidR="00870F73" w:rsidTr="00870F73">
        <w:tc>
          <w:tcPr>
            <w:tcW w:w="2808" w:type="dxa"/>
            <w:tcBorders>
              <w:top w:val="nil"/>
              <w:left w:val="nil"/>
              <w:bottom w:val="single" w:sz="8" w:space="0" w:color="E36C0A"/>
              <w:right w:val="nil"/>
            </w:tcBorders>
            <w:shd w:val="clear" w:color="auto" w:fill="F2730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3" w:rsidRPr="00870F73" w:rsidRDefault="00870F73">
            <w:pPr>
              <w:rPr>
                <w:rFonts w:ascii="Calibri" w:eastAsiaTheme="minorHAnsi" w:hAnsi="Calibri"/>
                <w:b/>
                <w:bCs/>
                <w:color w:val="FFFFFF"/>
                <w:sz w:val="20"/>
              </w:rPr>
            </w:pPr>
            <w:r w:rsidRPr="00870F73">
              <w:rPr>
                <w:b/>
                <w:bCs/>
                <w:color w:val="FFFFFF"/>
                <w:sz w:val="28"/>
                <w:szCs w:val="32"/>
              </w:rPr>
              <w:t>Enrollment Status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E36C0A"/>
              <w:right w:val="nil"/>
            </w:tcBorders>
            <w:shd w:val="clear" w:color="auto" w:fill="F2730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3" w:rsidRPr="00870F73" w:rsidRDefault="00870F73">
            <w:pPr>
              <w:jc w:val="center"/>
              <w:rPr>
                <w:rFonts w:ascii="Calibri" w:eastAsiaTheme="minorHAnsi" w:hAnsi="Calibri"/>
                <w:b/>
                <w:bCs/>
                <w:color w:val="FFFFFF"/>
                <w:sz w:val="20"/>
              </w:rPr>
            </w:pPr>
            <w:r w:rsidRPr="00870F73">
              <w:rPr>
                <w:b/>
                <w:bCs/>
                <w:color w:val="FFFFFF"/>
                <w:sz w:val="20"/>
              </w:rPr>
              <w:t>Completes</w:t>
            </w:r>
          </w:p>
          <w:p w:rsidR="00870F73" w:rsidRPr="00870F73" w:rsidRDefault="00870F73">
            <w:pPr>
              <w:jc w:val="center"/>
              <w:rPr>
                <w:rFonts w:ascii="Calibri" w:eastAsiaTheme="minorHAnsi" w:hAnsi="Calibri"/>
                <w:b/>
                <w:bCs/>
                <w:color w:val="FFFFFF"/>
                <w:sz w:val="20"/>
              </w:rPr>
            </w:pPr>
            <w:r w:rsidRPr="00870F73">
              <w:rPr>
                <w:b/>
                <w:bCs/>
                <w:color w:val="FFFFFF"/>
                <w:sz w:val="20"/>
              </w:rPr>
              <w:t>(N)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E36C0A"/>
              <w:right w:val="nil"/>
            </w:tcBorders>
            <w:shd w:val="clear" w:color="auto" w:fill="F2730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3" w:rsidRPr="00870F73" w:rsidRDefault="00870F73">
            <w:pPr>
              <w:jc w:val="center"/>
              <w:rPr>
                <w:rFonts w:ascii="Calibri" w:eastAsiaTheme="minorHAnsi" w:hAnsi="Calibri"/>
                <w:b/>
                <w:bCs/>
                <w:color w:val="FFFFFF"/>
                <w:sz w:val="20"/>
              </w:rPr>
            </w:pPr>
            <w:r w:rsidRPr="00870F73">
              <w:rPr>
                <w:b/>
                <w:bCs/>
                <w:color w:val="FFFFFF"/>
                <w:sz w:val="20"/>
              </w:rPr>
              <w:t>Sample Size</w:t>
            </w:r>
          </w:p>
          <w:p w:rsidR="00870F73" w:rsidRPr="00870F73" w:rsidRDefault="00870F73">
            <w:pPr>
              <w:jc w:val="center"/>
              <w:rPr>
                <w:rFonts w:ascii="Calibri" w:eastAsiaTheme="minorHAnsi" w:hAnsi="Calibri"/>
                <w:b/>
                <w:bCs/>
                <w:color w:val="FFFFFF"/>
                <w:sz w:val="20"/>
              </w:rPr>
            </w:pPr>
            <w:r w:rsidRPr="00870F73">
              <w:rPr>
                <w:b/>
                <w:bCs/>
                <w:color w:val="FFFFFF"/>
                <w:sz w:val="20"/>
              </w:rPr>
              <w:t>(N)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E36C0A"/>
              <w:right w:val="nil"/>
            </w:tcBorders>
            <w:shd w:val="clear" w:color="auto" w:fill="F2730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3" w:rsidRPr="00870F73" w:rsidRDefault="00870F73">
            <w:pPr>
              <w:jc w:val="center"/>
              <w:rPr>
                <w:rFonts w:ascii="Calibri" w:eastAsiaTheme="minorHAnsi" w:hAnsi="Calibri"/>
                <w:b/>
                <w:bCs/>
                <w:color w:val="FFFFFF"/>
                <w:sz w:val="20"/>
              </w:rPr>
            </w:pPr>
            <w:r w:rsidRPr="00870F73">
              <w:rPr>
                <w:b/>
                <w:bCs/>
                <w:color w:val="FFFFFF"/>
                <w:sz w:val="20"/>
              </w:rPr>
              <w:t>Response Rate</w:t>
            </w:r>
          </w:p>
          <w:p w:rsidR="00870F73" w:rsidRPr="00870F73" w:rsidRDefault="00870F73">
            <w:pPr>
              <w:jc w:val="center"/>
              <w:rPr>
                <w:rFonts w:ascii="Calibri" w:eastAsiaTheme="minorHAnsi" w:hAnsi="Calibri"/>
                <w:b/>
                <w:bCs/>
                <w:color w:val="FFFFFF"/>
                <w:sz w:val="20"/>
              </w:rPr>
            </w:pPr>
            <w:r w:rsidRPr="00870F73">
              <w:rPr>
                <w:b/>
                <w:bCs/>
                <w:color w:val="FFFFFF"/>
                <w:sz w:val="20"/>
              </w:rPr>
              <w:t>(%)</w:t>
            </w:r>
          </w:p>
        </w:tc>
      </w:tr>
      <w:tr w:rsidR="00870F73" w:rsidTr="00870F73">
        <w:tc>
          <w:tcPr>
            <w:tcW w:w="2808" w:type="dxa"/>
            <w:tcBorders>
              <w:top w:val="nil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3" w:rsidRDefault="00870F73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Enrolled/Completed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E36C0A"/>
              <w:right w:val="single" w:sz="8" w:space="0" w:color="E36C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F73" w:rsidRDefault="00870F73">
            <w:pPr>
              <w:jc w:val="center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E36C0A"/>
              <w:right w:val="single" w:sz="8" w:space="0" w:color="E36C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3" w:rsidRDefault="00870F73">
            <w:pPr>
              <w:jc w:val="center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E36C0A"/>
              <w:right w:val="single" w:sz="8" w:space="0" w:color="E36C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F73" w:rsidRDefault="00870F73">
            <w:pPr>
              <w:jc w:val="center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49%</w:t>
            </w:r>
          </w:p>
        </w:tc>
      </w:tr>
      <w:tr w:rsidR="00870F73" w:rsidTr="00870F73">
        <w:tc>
          <w:tcPr>
            <w:tcW w:w="2808" w:type="dxa"/>
            <w:tcBorders>
              <w:top w:val="nil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3" w:rsidRDefault="00870F73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Drop Out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E36C0A"/>
              <w:right w:val="single" w:sz="8" w:space="0" w:color="E36C0A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F73" w:rsidRDefault="00870F73">
            <w:pPr>
              <w:jc w:val="center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E36C0A"/>
              <w:right w:val="single" w:sz="8" w:space="0" w:color="E36C0A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3" w:rsidRDefault="00870F73">
            <w:pPr>
              <w:jc w:val="center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E36C0A"/>
              <w:right w:val="single" w:sz="8" w:space="0" w:color="E36C0A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F73" w:rsidRDefault="00870F73">
            <w:pPr>
              <w:jc w:val="center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23%</w:t>
            </w:r>
          </w:p>
        </w:tc>
      </w:tr>
    </w:tbl>
    <w:p w:rsidR="00870F73" w:rsidRDefault="00870F73"/>
    <w:p w:rsidR="00396EDC" w:rsidRDefault="00396EDC"/>
    <w:p w:rsidR="00396EDC" w:rsidRDefault="00396EDC"/>
    <w:p w:rsidR="00870F73" w:rsidRDefault="00870F73" w:rsidP="00396EDC">
      <w:pPr>
        <w:rPr>
          <w:color w:val="FF0000"/>
        </w:rPr>
      </w:pPr>
    </w:p>
    <w:p w:rsidR="00870F73" w:rsidRDefault="00870F73" w:rsidP="00396EDC">
      <w:pPr>
        <w:rPr>
          <w:color w:val="FF0000"/>
        </w:rPr>
      </w:pPr>
    </w:p>
    <w:p w:rsidR="00870F73" w:rsidRDefault="00870F73" w:rsidP="00396EDC">
      <w:pPr>
        <w:rPr>
          <w:color w:val="FF0000"/>
        </w:rPr>
      </w:pPr>
    </w:p>
    <w:p w:rsidR="00870F73" w:rsidRDefault="004B4A02" w:rsidP="00396EDC">
      <w:r>
        <w:t>Given the response rate differences between those students who are enrolled or completed their programs and those who have dropped out</w:t>
      </w:r>
      <w:r w:rsidR="00870F73">
        <w:t xml:space="preserve">, </w:t>
      </w:r>
      <w:r>
        <w:t>we believe it</w:t>
      </w:r>
      <w:r w:rsidR="00870F73">
        <w:t xml:space="preserve"> would be more beneficial to offer the second</w:t>
      </w:r>
      <w:r w:rsidR="00044172">
        <w:t>ary</w:t>
      </w:r>
      <w:r w:rsidR="00870F73">
        <w:t xml:space="preserve"> incentive </w:t>
      </w:r>
      <w:r>
        <w:t>of a</w:t>
      </w:r>
      <w:r w:rsidR="00044172">
        <w:t>n</w:t>
      </w:r>
      <w:r>
        <w:t xml:space="preserve"> Amazon.com gift certificate </w:t>
      </w:r>
      <w:r w:rsidR="00870F73">
        <w:t xml:space="preserve">to </w:t>
      </w:r>
      <w:r w:rsidR="005C1FD1">
        <w:t>dropouts of the program</w:t>
      </w:r>
      <w:r w:rsidR="00870F73">
        <w:t xml:space="preserve">.  </w:t>
      </w:r>
      <w:r>
        <w:t xml:space="preserve">In addition, if we find other non-respondent groups who are less inclined towards the HIMSS membership, we </w:t>
      </w:r>
      <w:r>
        <w:lastRenderedPageBreak/>
        <w:t xml:space="preserve">also would offer the alternative incentive for survey completion. </w:t>
      </w:r>
      <w:r w:rsidR="00870F73">
        <w:t>This change does not affect burden hours</w:t>
      </w:r>
      <w:r w:rsidR="009C2E1F">
        <w:t xml:space="preserve"> or total cost of the data collections activities for this evaluation, indicated in Section A.14. in the Supporting Statement.</w:t>
      </w:r>
    </w:p>
    <w:p w:rsidR="00870F73" w:rsidRDefault="00870F73" w:rsidP="00396EDC"/>
    <w:p w:rsidR="00870F73" w:rsidRDefault="00870F73" w:rsidP="00396EDC">
      <w:r>
        <w:t xml:space="preserve">If you have any questions or need further clarification, please contact Matthew Swain at </w:t>
      </w:r>
      <w:hyperlink r:id="rId5" w:history="1">
        <w:r w:rsidRPr="00D45625">
          <w:rPr>
            <w:rStyle w:val="Hyperlink"/>
          </w:rPr>
          <w:t>matthew.swain@hhs.gov</w:t>
        </w:r>
      </w:hyperlink>
      <w:r>
        <w:t xml:space="preserve">.  </w:t>
      </w:r>
    </w:p>
    <w:p w:rsidR="00870F73" w:rsidRDefault="00870F73" w:rsidP="00396EDC">
      <w:pPr>
        <w:rPr>
          <w:color w:val="FF0000"/>
        </w:rPr>
      </w:pPr>
    </w:p>
    <w:sectPr w:rsidR="00870F73" w:rsidSect="001A7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C6127"/>
    <w:multiLevelType w:val="hybridMultilevel"/>
    <w:tmpl w:val="D00E2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98D"/>
    <w:rsid w:val="00044172"/>
    <w:rsid w:val="0006798D"/>
    <w:rsid w:val="001560DB"/>
    <w:rsid w:val="001A7E3A"/>
    <w:rsid w:val="001B7ABA"/>
    <w:rsid w:val="00354917"/>
    <w:rsid w:val="00396EDC"/>
    <w:rsid w:val="003E502A"/>
    <w:rsid w:val="0048347B"/>
    <w:rsid w:val="004B4A02"/>
    <w:rsid w:val="005C1FD1"/>
    <w:rsid w:val="005E087B"/>
    <w:rsid w:val="007321E3"/>
    <w:rsid w:val="007475DC"/>
    <w:rsid w:val="00837AD8"/>
    <w:rsid w:val="00855A38"/>
    <w:rsid w:val="00870F73"/>
    <w:rsid w:val="008F12F4"/>
    <w:rsid w:val="00955E46"/>
    <w:rsid w:val="009C2E1F"/>
    <w:rsid w:val="00B017DA"/>
    <w:rsid w:val="00B17D81"/>
    <w:rsid w:val="00B44FB4"/>
    <w:rsid w:val="00C544E1"/>
    <w:rsid w:val="00CF11FE"/>
    <w:rsid w:val="00D55303"/>
    <w:rsid w:val="00DA4C6C"/>
    <w:rsid w:val="00EA68CD"/>
    <w:rsid w:val="00F012E0"/>
    <w:rsid w:val="00F5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8D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EDC"/>
    <w:pPr>
      <w:ind w:left="720"/>
    </w:pPr>
    <w:rPr>
      <w:rFonts w:ascii="Calibri" w:eastAsiaTheme="minorHAns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70F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1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F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FD1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F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F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thew.swain@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Swain</dc:creator>
  <cp:keywords/>
  <dc:description/>
  <cp:lastModifiedBy>Matthew Swain</cp:lastModifiedBy>
  <cp:revision>2</cp:revision>
  <dcterms:created xsi:type="dcterms:W3CDTF">2011-04-27T20:40:00Z</dcterms:created>
  <dcterms:modified xsi:type="dcterms:W3CDTF">2011-04-27T20:40:00Z</dcterms:modified>
</cp:coreProperties>
</file>