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825" w:rsidRDefault="00A43825" w:rsidP="00B05ACA">
      <w:pPr>
        <w:pStyle w:val="Heading2"/>
        <w:tabs>
          <w:tab w:val="left" w:pos="900"/>
        </w:tabs>
        <w:ind w:right="-180"/>
      </w:pPr>
      <w:r>
        <w:rPr>
          <w:sz w:val="28"/>
          <w:szCs w:val="28"/>
        </w:rPr>
        <w:t xml:space="preserve">Request for Approval under the </w:t>
      </w:r>
      <w:r w:rsidRPr="00F06866">
        <w:rPr>
          <w:sz w:val="28"/>
          <w:szCs w:val="28"/>
        </w:rPr>
        <w:t>“Generic Clearance for the Collection of Routine Customer Feedback”</w:t>
      </w:r>
      <w:r>
        <w:rPr>
          <w:sz w:val="28"/>
          <w:szCs w:val="28"/>
        </w:rPr>
        <w:t xml:space="preserve"> (OMB Control Number: 0935-0179)</w:t>
      </w:r>
    </w:p>
    <w:p w:rsidR="00A43825" w:rsidRPr="006A44F7" w:rsidRDefault="004569DA" w:rsidP="006A44F7">
      <w:pPr>
        <w:rPr>
          <w:b/>
          <w:bCs/>
        </w:rPr>
      </w:pPr>
      <w:r w:rsidRPr="004569DA">
        <w:rPr>
          <w:noProof/>
        </w:rPr>
        <w:pict>
          <v:line id="_x0000_s1026" style="position:absolute;z-index:251657728" from="0,0" to="468pt,0" o:allowincell="f" strokeweight="1.5pt"/>
        </w:pict>
      </w:r>
      <w:r w:rsidR="00A43825" w:rsidRPr="00434E33">
        <w:rPr>
          <w:b/>
          <w:bCs/>
        </w:rPr>
        <w:t>TITLE OF INFORMATION COLLECTION:</w:t>
      </w:r>
      <w:r w:rsidR="00A43825">
        <w:t xml:space="preserve">  AHRQ Publicity Center </w:t>
      </w:r>
      <w:r w:rsidR="00EF77F6" w:rsidRPr="00AA5389">
        <w:rPr>
          <w:rFonts w:cstheme="majorBidi"/>
          <w:sz w:val="24"/>
          <w:szCs w:val="24"/>
        </w:rPr>
        <w:t>P</w:t>
      </w:r>
      <w:r w:rsidR="00EF77F6">
        <w:rPr>
          <w:sz w:val="24"/>
          <w:szCs w:val="24"/>
        </w:rPr>
        <w:t>atient-C</w:t>
      </w:r>
      <w:r w:rsidR="00EF77F6" w:rsidRPr="00AA5389">
        <w:rPr>
          <w:sz w:val="24"/>
          <w:szCs w:val="24"/>
        </w:rPr>
        <w:t>entered Outcomes Research A</w:t>
      </w:r>
      <w:r w:rsidR="00EF77F6">
        <w:rPr>
          <w:sz w:val="24"/>
          <w:szCs w:val="24"/>
        </w:rPr>
        <w:t>wareness C</w:t>
      </w:r>
      <w:r w:rsidR="00EF77F6" w:rsidRPr="00AA5389">
        <w:rPr>
          <w:sz w:val="24"/>
          <w:szCs w:val="24"/>
        </w:rPr>
        <w:t>ampaign</w:t>
      </w:r>
      <w:r w:rsidR="00A43825">
        <w:t xml:space="preserve"> Concept Testing</w:t>
      </w:r>
    </w:p>
    <w:p w:rsidR="00A43825" w:rsidRDefault="00A43825" w:rsidP="00B05ACA">
      <w:pPr>
        <w:rPr>
          <w:b/>
          <w:bCs/>
        </w:rPr>
      </w:pPr>
      <w:r>
        <w:rPr>
          <w:b/>
          <w:bCs/>
        </w:rPr>
        <w:t>PURPOSE</w:t>
      </w:r>
      <w:r w:rsidRPr="009239AA">
        <w:rPr>
          <w:b/>
          <w:bCs/>
        </w:rPr>
        <w:t xml:space="preserve">:  </w:t>
      </w:r>
    </w:p>
    <w:p w:rsidR="006957BA" w:rsidRDefault="00A43825" w:rsidP="00EF77F6">
      <w:pPr>
        <w:rPr>
          <w:sz w:val="24"/>
          <w:szCs w:val="24"/>
        </w:rPr>
      </w:pPr>
      <w:r w:rsidRPr="007B6631">
        <w:rPr>
          <w:sz w:val="24"/>
          <w:szCs w:val="24"/>
        </w:rPr>
        <w:t xml:space="preserve">To </w:t>
      </w:r>
      <w:r w:rsidR="00846A63">
        <w:rPr>
          <w:sz w:val="24"/>
          <w:szCs w:val="24"/>
        </w:rPr>
        <w:t xml:space="preserve">use focus groups to </w:t>
      </w:r>
      <w:r w:rsidRPr="007B6631">
        <w:rPr>
          <w:sz w:val="24"/>
          <w:szCs w:val="24"/>
        </w:rPr>
        <w:t xml:space="preserve">test three (3) platform </w:t>
      </w:r>
      <w:r w:rsidR="00EF77F6">
        <w:rPr>
          <w:sz w:val="24"/>
          <w:szCs w:val="24"/>
        </w:rPr>
        <w:t>concepts for</w:t>
      </w:r>
      <w:r w:rsidRPr="007B6631">
        <w:rPr>
          <w:sz w:val="24"/>
          <w:szCs w:val="24"/>
        </w:rPr>
        <w:t xml:space="preserve"> </w:t>
      </w:r>
      <w:r w:rsidR="00EF77F6">
        <w:rPr>
          <w:sz w:val="24"/>
          <w:szCs w:val="24"/>
        </w:rPr>
        <w:t xml:space="preserve">an </w:t>
      </w:r>
      <w:r w:rsidR="00EF77F6">
        <w:t xml:space="preserve">AHRQ Publicity Center </w:t>
      </w:r>
      <w:r w:rsidR="00EF77F6" w:rsidRPr="00AA5389">
        <w:rPr>
          <w:rFonts w:cstheme="majorBidi"/>
          <w:sz w:val="24"/>
          <w:szCs w:val="24"/>
        </w:rPr>
        <w:t>P</w:t>
      </w:r>
      <w:r w:rsidR="00EF77F6">
        <w:rPr>
          <w:sz w:val="24"/>
          <w:szCs w:val="24"/>
        </w:rPr>
        <w:t>atient-C</w:t>
      </w:r>
      <w:r w:rsidR="00EF77F6" w:rsidRPr="00AA5389">
        <w:rPr>
          <w:sz w:val="24"/>
          <w:szCs w:val="24"/>
        </w:rPr>
        <w:t>entered Outcomes Research A</w:t>
      </w:r>
      <w:r w:rsidR="00EF77F6">
        <w:rPr>
          <w:sz w:val="24"/>
          <w:szCs w:val="24"/>
        </w:rPr>
        <w:t>wareness C</w:t>
      </w:r>
      <w:r w:rsidR="00EF77F6" w:rsidRPr="00AA5389">
        <w:rPr>
          <w:sz w:val="24"/>
          <w:szCs w:val="24"/>
        </w:rPr>
        <w:t>ampaign</w:t>
      </w:r>
      <w:r w:rsidR="00EF77F6">
        <w:rPr>
          <w:sz w:val="24"/>
          <w:szCs w:val="24"/>
        </w:rPr>
        <w:t xml:space="preserve"> </w:t>
      </w:r>
      <w:r>
        <w:rPr>
          <w:sz w:val="24"/>
          <w:szCs w:val="24"/>
        </w:rPr>
        <w:t xml:space="preserve">with </w:t>
      </w:r>
      <w:r w:rsidRPr="007B6631">
        <w:rPr>
          <w:sz w:val="24"/>
          <w:szCs w:val="24"/>
        </w:rPr>
        <w:t xml:space="preserve">English-language consumers. </w:t>
      </w:r>
      <w:r w:rsidR="00846A63">
        <w:rPr>
          <w:sz w:val="24"/>
          <w:szCs w:val="24"/>
        </w:rPr>
        <w:t xml:space="preserve"> A total of </w:t>
      </w:r>
      <w:r w:rsidR="00D72CC6">
        <w:rPr>
          <w:sz w:val="24"/>
          <w:szCs w:val="24"/>
        </w:rPr>
        <w:t>8</w:t>
      </w:r>
      <w:r w:rsidR="00846A63">
        <w:rPr>
          <w:sz w:val="24"/>
          <w:szCs w:val="24"/>
        </w:rPr>
        <w:t xml:space="preserve"> focus groups</w:t>
      </w:r>
      <w:r w:rsidR="00C444B2">
        <w:rPr>
          <w:sz w:val="24"/>
          <w:szCs w:val="24"/>
        </w:rPr>
        <w:t xml:space="preserve"> consisting of </w:t>
      </w:r>
      <w:r w:rsidR="00D72CC6">
        <w:rPr>
          <w:sz w:val="24"/>
          <w:szCs w:val="24"/>
        </w:rPr>
        <w:t>9</w:t>
      </w:r>
      <w:r w:rsidR="00C444B2">
        <w:rPr>
          <w:sz w:val="24"/>
          <w:szCs w:val="24"/>
        </w:rPr>
        <w:t xml:space="preserve"> persons </w:t>
      </w:r>
      <w:r w:rsidR="00D72CC6">
        <w:rPr>
          <w:sz w:val="24"/>
          <w:szCs w:val="24"/>
        </w:rPr>
        <w:t xml:space="preserve">each </w:t>
      </w:r>
      <w:r w:rsidR="00C444B2">
        <w:rPr>
          <w:sz w:val="24"/>
          <w:szCs w:val="24"/>
        </w:rPr>
        <w:t>will be conducted.</w:t>
      </w:r>
    </w:p>
    <w:p w:rsidR="00A43825" w:rsidRDefault="00EF77F6" w:rsidP="00CB10DA">
      <w:pPr>
        <w:rPr>
          <w:sz w:val="24"/>
          <w:szCs w:val="24"/>
        </w:rPr>
      </w:pPr>
      <w:r w:rsidRPr="007B6631">
        <w:rPr>
          <w:sz w:val="24"/>
          <w:szCs w:val="24"/>
        </w:rPr>
        <w:t>Th</w:t>
      </w:r>
      <w:r>
        <w:rPr>
          <w:sz w:val="24"/>
          <w:szCs w:val="24"/>
        </w:rPr>
        <w:t>is</w:t>
      </w:r>
      <w:r w:rsidRPr="007B6631">
        <w:rPr>
          <w:sz w:val="24"/>
          <w:szCs w:val="24"/>
        </w:rPr>
        <w:t xml:space="preserve"> </w:t>
      </w:r>
      <w:r>
        <w:rPr>
          <w:sz w:val="24"/>
          <w:szCs w:val="24"/>
        </w:rPr>
        <w:t xml:space="preserve">AHRQ patient-centered outcomes research awareness </w:t>
      </w:r>
      <w:r w:rsidRPr="007B6631">
        <w:rPr>
          <w:sz w:val="24"/>
          <w:szCs w:val="24"/>
        </w:rPr>
        <w:t>campaign</w:t>
      </w:r>
      <w:r>
        <w:rPr>
          <w:sz w:val="24"/>
          <w:szCs w:val="24"/>
        </w:rPr>
        <w:t xml:space="preserve"> </w:t>
      </w:r>
      <w:r w:rsidR="00A43825" w:rsidRPr="007B6631">
        <w:rPr>
          <w:sz w:val="24"/>
          <w:szCs w:val="24"/>
        </w:rPr>
        <w:t xml:space="preserve">is a multi-media campaign to </w:t>
      </w:r>
      <w:r w:rsidR="00CB10DA">
        <w:rPr>
          <w:sz w:val="24"/>
          <w:szCs w:val="24"/>
        </w:rPr>
        <w:t>make</w:t>
      </w:r>
      <w:r w:rsidR="00CB10DA" w:rsidRPr="007B6631">
        <w:rPr>
          <w:sz w:val="24"/>
          <w:szCs w:val="24"/>
        </w:rPr>
        <w:t xml:space="preserve"> </w:t>
      </w:r>
      <w:r w:rsidR="00A43825" w:rsidRPr="007B6631">
        <w:rPr>
          <w:sz w:val="24"/>
          <w:szCs w:val="24"/>
        </w:rPr>
        <w:t xml:space="preserve">research-based comparative health information </w:t>
      </w:r>
      <w:r w:rsidR="00CB10DA">
        <w:rPr>
          <w:sz w:val="24"/>
          <w:szCs w:val="24"/>
        </w:rPr>
        <w:t>recognizable for</w:t>
      </w:r>
      <w:r w:rsidR="00CB10DA" w:rsidRPr="007B6631">
        <w:rPr>
          <w:sz w:val="24"/>
          <w:szCs w:val="24"/>
        </w:rPr>
        <w:t xml:space="preserve"> </w:t>
      </w:r>
      <w:r w:rsidR="00A43825" w:rsidRPr="007B6631">
        <w:rPr>
          <w:sz w:val="24"/>
          <w:szCs w:val="24"/>
        </w:rPr>
        <w:t xml:space="preserve">consumers, and </w:t>
      </w:r>
      <w:r w:rsidR="00A43825">
        <w:rPr>
          <w:sz w:val="24"/>
          <w:szCs w:val="24"/>
        </w:rPr>
        <w:t>motivate consumers to seek out AHRQ consumer resources</w:t>
      </w:r>
      <w:r w:rsidR="00A43825" w:rsidRPr="007B6631">
        <w:rPr>
          <w:sz w:val="24"/>
          <w:szCs w:val="24"/>
        </w:rPr>
        <w:t xml:space="preserve">.   </w:t>
      </w:r>
      <w:r w:rsidR="00A43825">
        <w:rPr>
          <w:sz w:val="24"/>
          <w:szCs w:val="24"/>
        </w:rPr>
        <w:t>Concepts will be tested for comprehension and satisfaction with the intended audiences through the use of focus groups. Later research phases</w:t>
      </w:r>
      <w:r w:rsidR="006E0C0B">
        <w:rPr>
          <w:sz w:val="24"/>
          <w:szCs w:val="24"/>
        </w:rPr>
        <w:t xml:space="preserve">, to be submitted </w:t>
      </w:r>
      <w:r w:rsidR="0014512D">
        <w:rPr>
          <w:sz w:val="24"/>
          <w:szCs w:val="24"/>
        </w:rPr>
        <w:t xml:space="preserve">under another OMB clearance request </w:t>
      </w:r>
      <w:r w:rsidR="006E0C0B">
        <w:rPr>
          <w:sz w:val="24"/>
          <w:szCs w:val="24"/>
        </w:rPr>
        <w:t>at a later date,</w:t>
      </w:r>
      <w:r w:rsidR="00A43825">
        <w:rPr>
          <w:sz w:val="24"/>
          <w:szCs w:val="24"/>
        </w:rPr>
        <w:t xml:space="preserve"> will be held for Spanish-language consumers and for health</w:t>
      </w:r>
      <w:r w:rsidR="005650CB">
        <w:rPr>
          <w:sz w:val="24"/>
          <w:szCs w:val="24"/>
        </w:rPr>
        <w:t xml:space="preserve"> </w:t>
      </w:r>
      <w:r w:rsidR="00A43825">
        <w:rPr>
          <w:sz w:val="24"/>
          <w:szCs w:val="24"/>
        </w:rPr>
        <w:t>care professionals.</w:t>
      </w:r>
    </w:p>
    <w:p w:rsidR="00DF5793" w:rsidRDefault="00A43825" w:rsidP="000067A1">
      <w:pPr>
        <w:rPr>
          <w:sz w:val="24"/>
          <w:szCs w:val="24"/>
        </w:rPr>
      </w:pPr>
      <w:r>
        <w:rPr>
          <w:sz w:val="24"/>
          <w:szCs w:val="24"/>
        </w:rPr>
        <w:t xml:space="preserve">Each of the 3 concepts will have </w:t>
      </w:r>
      <w:r w:rsidR="00D1207E">
        <w:rPr>
          <w:sz w:val="24"/>
          <w:szCs w:val="24"/>
        </w:rPr>
        <w:t>2</w:t>
      </w:r>
      <w:r w:rsidR="005C1BAF">
        <w:rPr>
          <w:sz w:val="24"/>
          <w:szCs w:val="24"/>
        </w:rPr>
        <w:t xml:space="preserve"> to</w:t>
      </w:r>
      <w:r w:rsidR="000067A1">
        <w:rPr>
          <w:sz w:val="24"/>
          <w:szCs w:val="24"/>
        </w:rPr>
        <w:t xml:space="preserve"> </w:t>
      </w:r>
      <w:r w:rsidR="006D60C3">
        <w:rPr>
          <w:sz w:val="24"/>
          <w:szCs w:val="24"/>
        </w:rPr>
        <w:t>3</w:t>
      </w:r>
      <w:r w:rsidR="00D1207E">
        <w:rPr>
          <w:sz w:val="24"/>
          <w:szCs w:val="24"/>
        </w:rPr>
        <w:t xml:space="preserve"> </w:t>
      </w:r>
      <w:proofErr w:type="gramStart"/>
      <w:r>
        <w:rPr>
          <w:sz w:val="24"/>
          <w:szCs w:val="24"/>
        </w:rPr>
        <w:t>executions</w:t>
      </w:r>
      <w:r w:rsidR="001D25A0">
        <w:rPr>
          <w:sz w:val="24"/>
          <w:szCs w:val="24"/>
        </w:rPr>
        <w:t xml:space="preserve"> </w:t>
      </w:r>
      <w:r w:rsidR="00993A87" w:rsidRPr="00993A87">
        <w:rPr>
          <w:sz w:val="24"/>
          <w:szCs w:val="24"/>
        </w:rPr>
        <w:t xml:space="preserve"> </w:t>
      </w:r>
      <w:r w:rsidR="00D64CFC">
        <w:rPr>
          <w:sz w:val="24"/>
          <w:szCs w:val="24"/>
        </w:rPr>
        <w:t>(</w:t>
      </w:r>
      <w:proofErr w:type="gramEnd"/>
      <w:r w:rsidR="00D64CFC">
        <w:rPr>
          <w:sz w:val="24"/>
          <w:szCs w:val="24"/>
        </w:rPr>
        <w:t xml:space="preserve">see below concepts and corresponding executions) </w:t>
      </w:r>
      <w:r w:rsidR="00993A87">
        <w:rPr>
          <w:sz w:val="24"/>
          <w:szCs w:val="24"/>
        </w:rPr>
        <w:t>that will be tested with the audiences, for a total of 7 prospective advertisements</w:t>
      </w:r>
      <w:r w:rsidR="00DF5793">
        <w:rPr>
          <w:sz w:val="24"/>
          <w:szCs w:val="24"/>
        </w:rPr>
        <w:t xml:space="preserve"> (see Attachment D – Draft Advertisements)</w:t>
      </w:r>
      <w:r w:rsidR="00993A87">
        <w:rPr>
          <w:sz w:val="24"/>
          <w:szCs w:val="24"/>
        </w:rPr>
        <w:t>.</w:t>
      </w:r>
      <w:r w:rsidR="00DF5793">
        <w:rPr>
          <w:sz w:val="24"/>
          <w:szCs w:val="24"/>
        </w:rPr>
        <w:t xml:space="preserve"> With audience feedback, AHRQ can determine if the advertisements are understood by the audience and if they are motivating. </w:t>
      </w:r>
    </w:p>
    <w:tbl>
      <w:tblPr>
        <w:tblStyle w:val="TableGrid"/>
        <w:tblW w:w="0" w:type="auto"/>
        <w:tblInd w:w="468" w:type="dxa"/>
        <w:tblLook w:val="04A0"/>
      </w:tblPr>
      <w:tblGrid>
        <w:gridCol w:w="2610"/>
        <w:gridCol w:w="6750"/>
      </w:tblGrid>
      <w:tr w:rsidR="001D335F" w:rsidTr="001D335F">
        <w:trPr>
          <w:trHeight w:val="386"/>
        </w:trPr>
        <w:tc>
          <w:tcPr>
            <w:tcW w:w="2610" w:type="dxa"/>
            <w:vAlign w:val="bottom"/>
          </w:tcPr>
          <w:p w:rsidR="00993A87" w:rsidRPr="00C65293" w:rsidRDefault="00993A87" w:rsidP="00D3229A">
            <w:pPr>
              <w:jc w:val="center"/>
              <w:rPr>
                <w:rFonts w:asciiTheme="minorHAnsi" w:hAnsiTheme="minorHAnsi"/>
                <w:b/>
                <w:bCs/>
                <w:sz w:val="24"/>
                <w:szCs w:val="24"/>
              </w:rPr>
            </w:pPr>
            <w:r w:rsidRPr="00C65293">
              <w:rPr>
                <w:rFonts w:asciiTheme="minorHAnsi" w:hAnsiTheme="minorHAnsi"/>
                <w:b/>
                <w:bCs/>
                <w:sz w:val="24"/>
                <w:szCs w:val="24"/>
              </w:rPr>
              <w:t>Concept</w:t>
            </w:r>
            <w:r>
              <w:rPr>
                <w:rFonts w:asciiTheme="minorHAnsi" w:hAnsiTheme="minorHAnsi"/>
                <w:b/>
                <w:bCs/>
                <w:sz w:val="24"/>
                <w:szCs w:val="24"/>
              </w:rPr>
              <w:t>s</w:t>
            </w:r>
          </w:p>
        </w:tc>
        <w:tc>
          <w:tcPr>
            <w:tcW w:w="6750" w:type="dxa"/>
            <w:vAlign w:val="bottom"/>
          </w:tcPr>
          <w:p w:rsidR="00993A87" w:rsidRPr="00C65293" w:rsidRDefault="00993A87" w:rsidP="00D3229A">
            <w:pPr>
              <w:jc w:val="center"/>
              <w:rPr>
                <w:rFonts w:asciiTheme="minorHAnsi" w:hAnsiTheme="minorHAnsi"/>
                <w:b/>
                <w:bCs/>
                <w:sz w:val="24"/>
                <w:szCs w:val="24"/>
              </w:rPr>
            </w:pPr>
            <w:r w:rsidRPr="00C65293">
              <w:rPr>
                <w:rFonts w:asciiTheme="minorHAnsi" w:hAnsiTheme="minorHAnsi"/>
                <w:b/>
                <w:bCs/>
                <w:sz w:val="24"/>
                <w:szCs w:val="24"/>
              </w:rPr>
              <w:t>Executions</w:t>
            </w:r>
          </w:p>
        </w:tc>
      </w:tr>
      <w:tr w:rsidR="001D335F" w:rsidTr="001D335F">
        <w:tc>
          <w:tcPr>
            <w:tcW w:w="2610" w:type="dxa"/>
          </w:tcPr>
          <w:p w:rsidR="00993A87" w:rsidRPr="00C65293" w:rsidRDefault="00993A87" w:rsidP="00D3229A">
            <w:pPr>
              <w:rPr>
                <w:rFonts w:asciiTheme="minorHAnsi" w:hAnsiTheme="minorHAnsi"/>
                <w:sz w:val="24"/>
                <w:szCs w:val="24"/>
              </w:rPr>
            </w:pPr>
            <w:r w:rsidRPr="00C65293">
              <w:rPr>
                <w:rFonts w:asciiTheme="minorHAnsi" w:hAnsiTheme="minorHAnsi"/>
                <w:sz w:val="24"/>
                <w:szCs w:val="24"/>
              </w:rPr>
              <w:t>Empowerment</w:t>
            </w:r>
          </w:p>
        </w:tc>
        <w:tc>
          <w:tcPr>
            <w:tcW w:w="6750" w:type="dxa"/>
          </w:tcPr>
          <w:p w:rsidR="00993A87" w:rsidRDefault="00993A87" w:rsidP="00D3229A">
            <w:pPr>
              <w:pStyle w:val="ListParagraph"/>
              <w:numPr>
                <w:ilvl w:val="0"/>
                <w:numId w:val="8"/>
              </w:numPr>
              <w:rPr>
                <w:rFonts w:asciiTheme="minorHAnsi" w:hAnsiTheme="minorHAnsi"/>
                <w:sz w:val="24"/>
                <w:szCs w:val="24"/>
              </w:rPr>
            </w:pPr>
            <w:r>
              <w:rPr>
                <w:rFonts w:asciiTheme="minorHAnsi" w:hAnsiTheme="minorHAnsi"/>
                <w:sz w:val="24"/>
                <w:szCs w:val="24"/>
              </w:rPr>
              <w:t>Your doctor knows medicine, but you know you.</w:t>
            </w:r>
          </w:p>
          <w:p w:rsidR="00993A87" w:rsidRDefault="00993A87" w:rsidP="00D3229A">
            <w:pPr>
              <w:pStyle w:val="ListParagraph"/>
              <w:numPr>
                <w:ilvl w:val="0"/>
                <w:numId w:val="8"/>
              </w:numPr>
              <w:rPr>
                <w:rFonts w:asciiTheme="minorHAnsi" w:hAnsiTheme="minorHAnsi"/>
                <w:sz w:val="24"/>
                <w:szCs w:val="24"/>
              </w:rPr>
            </w:pPr>
            <w:r>
              <w:rPr>
                <w:rFonts w:asciiTheme="minorHAnsi" w:hAnsiTheme="minorHAnsi"/>
                <w:sz w:val="24"/>
                <w:szCs w:val="24"/>
              </w:rPr>
              <w:t>There are two people you should listen to when considering treatment options. Your doctor. And you.</w:t>
            </w:r>
          </w:p>
          <w:p w:rsidR="00993A87" w:rsidRPr="009E6DC7" w:rsidRDefault="00993A87" w:rsidP="00D3229A">
            <w:pPr>
              <w:pStyle w:val="ListParagraph"/>
              <w:numPr>
                <w:ilvl w:val="0"/>
                <w:numId w:val="8"/>
              </w:numPr>
              <w:rPr>
                <w:rFonts w:asciiTheme="minorHAnsi" w:hAnsiTheme="minorHAnsi"/>
                <w:sz w:val="24"/>
                <w:szCs w:val="24"/>
              </w:rPr>
            </w:pPr>
            <w:r>
              <w:rPr>
                <w:rFonts w:asciiTheme="minorHAnsi" w:hAnsiTheme="minorHAnsi"/>
                <w:sz w:val="24"/>
                <w:szCs w:val="24"/>
              </w:rPr>
              <w:t>It is possible to listen to both your doctor and your heart.</w:t>
            </w:r>
          </w:p>
        </w:tc>
      </w:tr>
      <w:tr w:rsidR="001D335F" w:rsidTr="001D335F">
        <w:tc>
          <w:tcPr>
            <w:tcW w:w="2610" w:type="dxa"/>
          </w:tcPr>
          <w:p w:rsidR="00993A87" w:rsidRPr="00C65293" w:rsidRDefault="00993A87" w:rsidP="00D3229A">
            <w:pPr>
              <w:rPr>
                <w:rFonts w:asciiTheme="minorHAnsi" w:hAnsiTheme="minorHAnsi"/>
                <w:sz w:val="24"/>
                <w:szCs w:val="24"/>
              </w:rPr>
            </w:pPr>
            <w:r w:rsidRPr="00C65293">
              <w:rPr>
                <w:rFonts w:asciiTheme="minorHAnsi" w:hAnsiTheme="minorHAnsi"/>
                <w:sz w:val="24"/>
                <w:szCs w:val="24"/>
              </w:rPr>
              <w:t>Reassurance</w:t>
            </w:r>
          </w:p>
        </w:tc>
        <w:tc>
          <w:tcPr>
            <w:tcW w:w="6750" w:type="dxa"/>
          </w:tcPr>
          <w:p w:rsidR="00993A87" w:rsidRDefault="00993A87" w:rsidP="00D3229A">
            <w:pPr>
              <w:pStyle w:val="ListParagraph"/>
              <w:numPr>
                <w:ilvl w:val="0"/>
                <w:numId w:val="9"/>
              </w:numPr>
              <w:rPr>
                <w:rFonts w:asciiTheme="minorHAnsi" w:hAnsiTheme="minorHAnsi"/>
                <w:sz w:val="24"/>
                <w:szCs w:val="24"/>
              </w:rPr>
            </w:pPr>
            <w:r>
              <w:rPr>
                <w:rFonts w:asciiTheme="minorHAnsi" w:hAnsiTheme="minorHAnsi"/>
                <w:sz w:val="24"/>
                <w:szCs w:val="24"/>
              </w:rPr>
              <w:t>Sorting through all your treatment options is now a fairly minor procedure.</w:t>
            </w:r>
          </w:p>
          <w:p w:rsidR="00993A87" w:rsidRPr="009E6DC7" w:rsidRDefault="00993A87" w:rsidP="00D3229A">
            <w:pPr>
              <w:pStyle w:val="ListParagraph"/>
              <w:numPr>
                <w:ilvl w:val="0"/>
                <w:numId w:val="9"/>
              </w:numPr>
              <w:rPr>
                <w:rFonts w:asciiTheme="minorHAnsi" w:hAnsiTheme="minorHAnsi"/>
                <w:sz w:val="24"/>
                <w:szCs w:val="24"/>
              </w:rPr>
            </w:pPr>
            <w:r>
              <w:rPr>
                <w:rFonts w:asciiTheme="minorHAnsi" w:hAnsiTheme="minorHAnsi"/>
                <w:sz w:val="24"/>
                <w:szCs w:val="24"/>
              </w:rPr>
              <w:t>Imagine having a GPS for better health.</w:t>
            </w:r>
          </w:p>
        </w:tc>
      </w:tr>
      <w:tr w:rsidR="001D335F" w:rsidTr="001D335F">
        <w:tc>
          <w:tcPr>
            <w:tcW w:w="2610" w:type="dxa"/>
          </w:tcPr>
          <w:p w:rsidR="00993A87" w:rsidRPr="00C65293" w:rsidRDefault="00993A87" w:rsidP="00D3229A">
            <w:pPr>
              <w:rPr>
                <w:rFonts w:asciiTheme="minorHAnsi" w:hAnsiTheme="minorHAnsi"/>
                <w:sz w:val="24"/>
                <w:szCs w:val="24"/>
              </w:rPr>
            </w:pPr>
            <w:r w:rsidRPr="00C65293">
              <w:rPr>
                <w:rFonts w:asciiTheme="minorHAnsi" w:hAnsiTheme="minorHAnsi"/>
                <w:sz w:val="24"/>
                <w:szCs w:val="24"/>
              </w:rPr>
              <w:t>Self-Advocacy</w:t>
            </w:r>
          </w:p>
        </w:tc>
        <w:tc>
          <w:tcPr>
            <w:tcW w:w="6750" w:type="dxa"/>
          </w:tcPr>
          <w:p w:rsidR="00993A87" w:rsidRDefault="00993A87" w:rsidP="00D3229A">
            <w:pPr>
              <w:pStyle w:val="ListParagraph"/>
              <w:numPr>
                <w:ilvl w:val="0"/>
                <w:numId w:val="10"/>
              </w:numPr>
              <w:rPr>
                <w:rFonts w:asciiTheme="minorHAnsi" w:hAnsiTheme="minorHAnsi"/>
                <w:sz w:val="24"/>
                <w:szCs w:val="24"/>
              </w:rPr>
            </w:pPr>
            <w:r>
              <w:rPr>
                <w:rFonts w:asciiTheme="minorHAnsi" w:hAnsiTheme="minorHAnsi"/>
                <w:sz w:val="24"/>
                <w:szCs w:val="24"/>
              </w:rPr>
              <w:t>Let’s take a cold hard look at your treatment options.</w:t>
            </w:r>
          </w:p>
          <w:p w:rsidR="00993A87" w:rsidRPr="00734C84" w:rsidRDefault="00993A87" w:rsidP="00916E99">
            <w:pPr>
              <w:pStyle w:val="ListParagraph"/>
              <w:numPr>
                <w:ilvl w:val="0"/>
                <w:numId w:val="10"/>
              </w:numPr>
              <w:rPr>
                <w:rFonts w:asciiTheme="minorHAnsi" w:hAnsiTheme="minorHAnsi"/>
                <w:sz w:val="24"/>
                <w:szCs w:val="24"/>
              </w:rPr>
            </w:pPr>
            <w:r>
              <w:rPr>
                <w:rFonts w:asciiTheme="minorHAnsi" w:hAnsiTheme="minorHAnsi"/>
                <w:sz w:val="24"/>
                <w:szCs w:val="24"/>
              </w:rPr>
              <w:t xml:space="preserve">Treatment </w:t>
            </w:r>
            <w:r w:rsidR="00916E99">
              <w:rPr>
                <w:rFonts w:asciiTheme="minorHAnsi" w:hAnsiTheme="minorHAnsi"/>
                <w:sz w:val="24"/>
                <w:szCs w:val="24"/>
              </w:rPr>
              <w:t>information from scientists</w:t>
            </w:r>
            <w:r>
              <w:rPr>
                <w:rFonts w:asciiTheme="minorHAnsi" w:hAnsiTheme="minorHAnsi"/>
                <w:sz w:val="24"/>
                <w:szCs w:val="24"/>
              </w:rPr>
              <w:t>. Not advertisers.</w:t>
            </w:r>
          </w:p>
        </w:tc>
      </w:tr>
    </w:tbl>
    <w:p w:rsidR="00993A87" w:rsidRDefault="00993A87" w:rsidP="00993A87">
      <w:pPr>
        <w:rPr>
          <w:sz w:val="24"/>
          <w:szCs w:val="24"/>
        </w:rPr>
      </w:pPr>
    </w:p>
    <w:p w:rsidR="00EF77F6" w:rsidRDefault="00EF77F6" w:rsidP="00993A87">
      <w:pPr>
        <w:rPr>
          <w:sz w:val="24"/>
          <w:szCs w:val="24"/>
        </w:rPr>
      </w:pPr>
      <w:r w:rsidRPr="008F6FF0">
        <w:rPr>
          <w:sz w:val="24"/>
          <w:szCs w:val="24"/>
        </w:rPr>
        <w:t>Concepts and their executions will be tested in 90 minute focus groups located in both urban (Chicago) and rural (Memphis area) locations. Memphis was chosen as the location of the rural segment of focus groups because of the specific recruitment facility. Th</w:t>
      </w:r>
      <w:r>
        <w:rPr>
          <w:sz w:val="24"/>
          <w:szCs w:val="24"/>
        </w:rPr>
        <w:t xml:space="preserve">e </w:t>
      </w:r>
      <w:r w:rsidRPr="008F6FF0">
        <w:rPr>
          <w:sz w:val="24"/>
          <w:szCs w:val="24"/>
        </w:rPr>
        <w:t xml:space="preserve">facility has access to a database of participants </w:t>
      </w:r>
      <w:r w:rsidRPr="008F6FF0">
        <w:rPr>
          <w:sz w:val="24"/>
          <w:szCs w:val="24"/>
        </w:rPr>
        <w:lastRenderedPageBreak/>
        <w:t xml:space="preserve">who live in </w:t>
      </w:r>
      <w:r>
        <w:rPr>
          <w:sz w:val="24"/>
          <w:szCs w:val="24"/>
        </w:rPr>
        <w:t>l</w:t>
      </w:r>
      <w:r w:rsidRPr="008F6FF0">
        <w:rPr>
          <w:sz w:val="24"/>
          <w:szCs w:val="24"/>
        </w:rPr>
        <w:t>ocation</w:t>
      </w:r>
      <w:r>
        <w:rPr>
          <w:sz w:val="24"/>
          <w:szCs w:val="24"/>
        </w:rPr>
        <w:t>s</w:t>
      </w:r>
      <w:r w:rsidRPr="008F6FF0">
        <w:rPr>
          <w:sz w:val="24"/>
          <w:szCs w:val="24"/>
        </w:rPr>
        <w:t xml:space="preserve"> that meet the U.S. Census Bureau definition of a rural area</w:t>
      </w:r>
      <w:r>
        <w:rPr>
          <w:sz w:val="24"/>
          <w:szCs w:val="24"/>
        </w:rPr>
        <w:t xml:space="preserve"> (i.e. “</w:t>
      </w:r>
      <w:r w:rsidRPr="008F6FF0">
        <w:rPr>
          <w:sz w:val="24"/>
          <w:szCs w:val="24"/>
        </w:rPr>
        <w:t>rural areas comprise open country and settlements with fewer than 2,500 residents</w:t>
      </w:r>
      <w:r>
        <w:rPr>
          <w:rStyle w:val="FootnoteReference"/>
          <w:sz w:val="24"/>
          <w:szCs w:val="24"/>
        </w:rPr>
        <w:footnoteReference w:id="1"/>
      </w:r>
      <w:r>
        <w:rPr>
          <w:sz w:val="24"/>
          <w:szCs w:val="24"/>
        </w:rPr>
        <w:t xml:space="preserve">”). </w:t>
      </w:r>
      <w:r w:rsidRPr="008F6FF0">
        <w:rPr>
          <w:rStyle w:val="FootnoteReference"/>
          <w:sz w:val="24"/>
          <w:szCs w:val="24"/>
        </w:rPr>
        <w:t xml:space="preserve"> </w:t>
      </w:r>
    </w:p>
    <w:p w:rsidR="00561A9A" w:rsidRDefault="00561A9A" w:rsidP="00561A9A">
      <w:pPr>
        <w:pStyle w:val="bodytext"/>
        <w:spacing w:line="240" w:lineRule="auto"/>
        <w:rPr>
          <w:rFonts w:asciiTheme="minorHAnsi" w:hAnsiTheme="minorHAnsi" w:cs="Arial"/>
        </w:rPr>
      </w:pPr>
      <w:r>
        <w:rPr>
          <w:rFonts w:asciiTheme="minorHAnsi" w:hAnsiTheme="minorHAnsi" w:cs="Arial"/>
        </w:rPr>
        <w:t xml:space="preserve">This submission covers data collection as a result of </w:t>
      </w:r>
      <w:r w:rsidR="00846A63">
        <w:rPr>
          <w:rFonts w:asciiTheme="minorHAnsi" w:hAnsiTheme="minorHAnsi" w:cs="Arial"/>
        </w:rPr>
        <w:t xml:space="preserve">conducting the focus groups and </w:t>
      </w:r>
      <w:r>
        <w:rPr>
          <w:rFonts w:asciiTheme="minorHAnsi" w:hAnsiTheme="minorHAnsi" w:cs="Arial"/>
        </w:rPr>
        <w:t>screening participants for inclusion in the focus groups (see Attachment A</w:t>
      </w:r>
      <w:r w:rsidR="00846A63">
        <w:rPr>
          <w:rFonts w:asciiTheme="minorHAnsi" w:hAnsiTheme="minorHAnsi" w:cs="Arial"/>
        </w:rPr>
        <w:t xml:space="preserve"> – Screening Questionnaire and Attachment B – Focus Group Moderator Guide</w:t>
      </w:r>
      <w:r>
        <w:rPr>
          <w:rFonts w:asciiTheme="minorHAnsi" w:hAnsiTheme="minorHAnsi" w:cs="Arial"/>
        </w:rPr>
        <w:t>).  The screening instrument will be completed by as many as 320 persons to reach the desired focus group sample size.  In order to participate, potential participants must be willing to answer questions and meet certain criteria such as:</w:t>
      </w:r>
    </w:p>
    <w:p w:rsidR="00561A9A" w:rsidRDefault="00561A9A" w:rsidP="00561A9A">
      <w:pPr>
        <w:pStyle w:val="bodytext"/>
        <w:numPr>
          <w:ilvl w:val="0"/>
          <w:numId w:val="5"/>
        </w:numPr>
        <w:spacing w:line="240" w:lineRule="auto"/>
        <w:rPr>
          <w:rFonts w:asciiTheme="minorHAnsi" w:hAnsiTheme="minorHAnsi" w:cs="Arial"/>
        </w:rPr>
      </w:pPr>
      <w:r>
        <w:rPr>
          <w:rFonts w:asciiTheme="minorHAnsi" w:hAnsiTheme="minorHAnsi" w:cs="Arial"/>
        </w:rPr>
        <w:t>Existence of a chronic health condition or care for someone with a chronic health condition</w:t>
      </w:r>
    </w:p>
    <w:p w:rsidR="00561A9A" w:rsidRDefault="00561A9A" w:rsidP="00561A9A">
      <w:pPr>
        <w:pStyle w:val="bodytext"/>
        <w:numPr>
          <w:ilvl w:val="0"/>
          <w:numId w:val="5"/>
        </w:numPr>
        <w:spacing w:line="240" w:lineRule="auto"/>
        <w:rPr>
          <w:rFonts w:asciiTheme="minorHAnsi" w:hAnsiTheme="minorHAnsi" w:cs="Arial"/>
        </w:rPr>
      </w:pPr>
      <w:r>
        <w:rPr>
          <w:rFonts w:asciiTheme="minorHAnsi" w:hAnsiTheme="minorHAnsi" w:cs="Arial"/>
        </w:rPr>
        <w:t>More than 3 trips to their doctor due to a chronic health condition in the past 12 months</w:t>
      </w:r>
    </w:p>
    <w:p w:rsidR="00561A9A"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Ways in which they seek information about health conditions</w:t>
      </w:r>
    </w:p>
    <w:p w:rsidR="00561A9A" w:rsidRDefault="00561A9A" w:rsidP="00561A9A">
      <w:pPr>
        <w:pStyle w:val="bodytext"/>
        <w:spacing w:line="240" w:lineRule="auto"/>
        <w:rPr>
          <w:rFonts w:asciiTheme="minorHAnsi" w:hAnsiTheme="minorHAnsi" w:cs="Arial"/>
        </w:rPr>
      </w:pPr>
      <w:r>
        <w:rPr>
          <w:rFonts w:asciiTheme="minorHAnsi" w:hAnsiTheme="minorHAnsi" w:cs="Arial"/>
        </w:rPr>
        <w:t>Prospective participants will then be asked a series of demographic questions such as:</w:t>
      </w:r>
    </w:p>
    <w:p w:rsidR="00561A9A"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Age</w:t>
      </w:r>
    </w:p>
    <w:p w:rsidR="00561A9A"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Race/Ethnicity</w:t>
      </w:r>
    </w:p>
    <w:p w:rsidR="00561A9A"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Level of education</w:t>
      </w:r>
    </w:p>
    <w:p w:rsidR="00561A9A"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Relationship status</w:t>
      </w:r>
    </w:p>
    <w:p w:rsidR="00561A9A"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Household income</w:t>
      </w:r>
    </w:p>
    <w:p w:rsidR="00561A9A" w:rsidRPr="00455F62" w:rsidRDefault="00561A9A" w:rsidP="00561A9A">
      <w:pPr>
        <w:pStyle w:val="bodytext"/>
        <w:numPr>
          <w:ilvl w:val="0"/>
          <w:numId w:val="6"/>
        </w:numPr>
        <w:spacing w:line="240" w:lineRule="auto"/>
        <w:rPr>
          <w:rFonts w:asciiTheme="minorHAnsi" w:hAnsiTheme="minorHAnsi" w:cs="Arial"/>
        </w:rPr>
      </w:pPr>
      <w:r>
        <w:rPr>
          <w:rFonts w:asciiTheme="minorHAnsi" w:hAnsiTheme="minorHAnsi" w:cs="Arial"/>
        </w:rPr>
        <w:t>How they pay for health care</w:t>
      </w:r>
    </w:p>
    <w:p w:rsidR="00561A9A" w:rsidRDefault="00561A9A" w:rsidP="006957BA">
      <w:pPr>
        <w:rPr>
          <w:sz w:val="24"/>
          <w:szCs w:val="24"/>
        </w:rPr>
      </w:pPr>
    </w:p>
    <w:p w:rsidR="006957BA" w:rsidRPr="007B6631" w:rsidRDefault="006957BA" w:rsidP="006957BA">
      <w:pPr>
        <w:rPr>
          <w:sz w:val="24"/>
          <w:szCs w:val="24"/>
        </w:rPr>
      </w:pPr>
      <w:r>
        <w:rPr>
          <w:sz w:val="24"/>
          <w:szCs w:val="24"/>
        </w:rPr>
        <w:t>A trained focus group moderator will use a semi-structured moderator guide (</w:t>
      </w:r>
      <w:r w:rsidR="00054105">
        <w:rPr>
          <w:sz w:val="24"/>
          <w:szCs w:val="24"/>
        </w:rPr>
        <w:t>Attachment B</w:t>
      </w:r>
      <w:r>
        <w:rPr>
          <w:sz w:val="24"/>
          <w:szCs w:val="24"/>
        </w:rPr>
        <w:t>) to guide discussion. Before entering the focus group room, respondents will read and sign a consent form (</w:t>
      </w:r>
      <w:r w:rsidR="00054105">
        <w:rPr>
          <w:sz w:val="24"/>
          <w:szCs w:val="24"/>
        </w:rPr>
        <w:t>Attachment C</w:t>
      </w:r>
      <w:r>
        <w:rPr>
          <w:sz w:val="24"/>
          <w:szCs w:val="24"/>
        </w:rPr>
        <w:t>) and have an opportunity to ask questions.</w:t>
      </w:r>
      <w:r w:rsidR="00561A9A">
        <w:rPr>
          <w:sz w:val="24"/>
          <w:szCs w:val="24"/>
        </w:rPr>
        <w:t xml:space="preserve"> </w:t>
      </w:r>
    </w:p>
    <w:p w:rsidR="00A43825" w:rsidRDefault="00A43825" w:rsidP="00B05ACA">
      <w:pPr>
        <w:pStyle w:val="Header"/>
        <w:tabs>
          <w:tab w:val="clear" w:pos="4320"/>
          <w:tab w:val="clear" w:pos="8640"/>
        </w:tabs>
        <w:rPr>
          <w:b/>
          <w:bCs/>
        </w:rPr>
      </w:pPr>
    </w:p>
    <w:p w:rsidR="00A43825" w:rsidRDefault="00A43825" w:rsidP="00B05ACA">
      <w:pPr>
        <w:pStyle w:val="Header"/>
        <w:tabs>
          <w:tab w:val="clear" w:pos="4320"/>
          <w:tab w:val="clear" w:pos="8640"/>
        </w:tabs>
        <w:rPr>
          <w:b/>
          <w:bCs/>
        </w:rPr>
      </w:pPr>
    </w:p>
    <w:p w:rsidR="00A43825" w:rsidRDefault="00A43825" w:rsidP="00B05ACA">
      <w:pPr>
        <w:pStyle w:val="Header"/>
        <w:tabs>
          <w:tab w:val="clear" w:pos="4320"/>
          <w:tab w:val="clear" w:pos="8640"/>
        </w:tabs>
      </w:pPr>
      <w:r w:rsidRPr="00434E33">
        <w:rPr>
          <w:b/>
          <w:bCs/>
        </w:rPr>
        <w:t>DESCRIPTION OF RESPONDENTS</w:t>
      </w:r>
      <w:r>
        <w:t xml:space="preserve">: </w:t>
      </w:r>
    </w:p>
    <w:p w:rsidR="00A43825" w:rsidRDefault="00A43825" w:rsidP="00B05ACA">
      <w:pPr>
        <w:pStyle w:val="Header"/>
        <w:tabs>
          <w:tab w:val="clear" w:pos="4320"/>
          <w:tab w:val="clear" w:pos="8640"/>
        </w:tabs>
      </w:pPr>
    </w:p>
    <w:p w:rsidR="00A43825" w:rsidRPr="006957BA" w:rsidRDefault="00A43825" w:rsidP="00B05ACA">
      <w:pPr>
        <w:pStyle w:val="Header"/>
        <w:tabs>
          <w:tab w:val="clear" w:pos="4320"/>
          <w:tab w:val="clear" w:pos="8640"/>
        </w:tabs>
        <w:rPr>
          <w:rFonts w:ascii="Calibri" w:hAnsi="Calibri" w:cs="Calibri"/>
        </w:rPr>
      </w:pPr>
      <w:r w:rsidRPr="006957BA">
        <w:rPr>
          <w:rFonts w:ascii="Calibri" w:hAnsi="Calibri" w:cs="Calibri"/>
        </w:rPr>
        <w:t>Respondents will be adults of mixed ages who are</w:t>
      </w:r>
      <w:r w:rsidR="006957BA">
        <w:rPr>
          <w:rFonts w:ascii="Calibri" w:hAnsi="Calibri" w:cs="Calibri"/>
        </w:rPr>
        <w:t xml:space="preserve"> either</w:t>
      </w:r>
      <w:r w:rsidRPr="006957BA">
        <w:rPr>
          <w:rFonts w:ascii="Calibri" w:hAnsi="Calibri" w:cs="Calibri"/>
        </w:rPr>
        <w:t xml:space="preserve"> caregivers of those with a chronic condition or patients with a chronic condition. </w:t>
      </w:r>
    </w:p>
    <w:p w:rsidR="00A43825" w:rsidRPr="006957BA" w:rsidRDefault="00A43825" w:rsidP="00B05ACA">
      <w:pPr>
        <w:pStyle w:val="Header"/>
        <w:tabs>
          <w:tab w:val="clear" w:pos="4320"/>
          <w:tab w:val="clear" w:pos="8640"/>
        </w:tabs>
        <w:rPr>
          <w:rFonts w:ascii="Calibri" w:hAnsi="Calibri" w:cs="Calibri"/>
        </w:rPr>
      </w:pPr>
    </w:p>
    <w:p w:rsidR="006A04AD" w:rsidRDefault="006A04AD" w:rsidP="006957BA">
      <w:pPr>
        <w:pStyle w:val="Header"/>
        <w:tabs>
          <w:tab w:val="clear" w:pos="4320"/>
          <w:tab w:val="clear" w:pos="8640"/>
        </w:tabs>
        <w:rPr>
          <w:rFonts w:ascii="Calibri" w:hAnsi="Calibri" w:cs="Calibri"/>
          <w:u w:val="single"/>
        </w:rPr>
      </w:pPr>
    </w:p>
    <w:p w:rsidR="00A43825" w:rsidRDefault="00A43825" w:rsidP="006957BA">
      <w:pPr>
        <w:pStyle w:val="Header"/>
        <w:tabs>
          <w:tab w:val="clear" w:pos="4320"/>
          <w:tab w:val="clear" w:pos="8640"/>
        </w:tabs>
        <w:rPr>
          <w:rFonts w:ascii="Calibri" w:hAnsi="Calibri" w:cs="Calibri"/>
        </w:rPr>
      </w:pPr>
      <w:r w:rsidRPr="006957BA">
        <w:rPr>
          <w:rFonts w:ascii="Calibri" w:hAnsi="Calibri" w:cs="Calibri"/>
          <w:u w:val="single"/>
        </w:rPr>
        <w:lastRenderedPageBreak/>
        <w:t>Chronic conditions</w:t>
      </w:r>
      <w:r w:rsidRPr="006957BA">
        <w:rPr>
          <w:rFonts w:ascii="Calibri" w:hAnsi="Calibri" w:cs="Calibri"/>
        </w:rPr>
        <w:t xml:space="preserve"> included in this study </w:t>
      </w:r>
      <w:r w:rsidR="006957BA">
        <w:rPr>
          <w:rFonts w:ascii="Calibri" w:hAnsi="Calibri" w:cs="Calibri"/>
        </w:rPr>
        <w:t xml:space="preserve">recruitment </w:t>
      </w:r>
      <w:r w:rsidRPr="006957BA">
        <w:rPr>
          <w:rFonts w:ascii="Calibri" w:hAnsi="Calibri" w:cs="Calibri"/>
        </w:rPr>
        <w:t>are: high blood pressure, heart disease, diabetes, cancer</w:t>
      </w:r>
      <w:r w:rsidR="006957BA">
        <w:rPr>
          <w:rFonts w:ascii="Calibri" w:hAnsi="Calibri" w:cs="Calibri"/>
        </w:rPr>
        <w:t>,</w:t>
      </w:r>
      <w:r w:rsidRPr="006957BA">
        <w:rPr>
          <w:rFonts w:ascii="Calibri" w:hAnsi="Calibri" w:cs="Calibri"/>
        </w:rPr>
        <w:t xml:space="preserve"> asthma, epilepsy, and sickle cell disease. </w:t>
      </w:r>
    </w:p>
    <w:p w:rsidR="006957BA" w:rsidRPr="006957BA" w:rsidRDefault="006957BA" w:rsidP="006957BA">
      <w:pPr>
        <w:pStyle w:val="Header"/>
        <w:tabs>
          <w:tab w:val="clear" w:pos="4320"/>
          <w:tab w:val="clear" w:pos="8640"/>
        </w:tabs>
        <w:rPr>
          <w:rFonts w:ascii="Calibri" w:hAnsi="Calibri" w:cs="Calibri"/>
          <w:i/>
          <w:iCs/>
        </w:rPr>
      </w:pPr>
    </w:p>
    <w:p w:rsidR="00A43825" w:rsidRPr="006957BA" w:rsidRDefault="00A43825" w:rsidP="00B05ACA">
      <w:pPr>
        <w:rPr>
          <w:sz w:val="24"/>
          <w:szCs w:val="24"/>
        </w:rPr>
      </w:pPr>
      <w:r w:rsidRPr="006957BA">
        <w:rPr>
          <w:sz w:val="24"/>
          <w:szCs w:val="24"/>
          <w:u w:val="single"/>
        </w:rPr>
        <w:t>Caregiver</w:t>
      </w:r>
      <w:r w:rsidRPr="006957BA">
        <w:rPr>
          <w:sz w:val="24"/>
          <w:szCs w:val="24"/>
        </w:rPr>
        <w:t xml:space="preserve"> is defined as “anyone (friend/family/etc.) who provides unpaid assistance to someone with a chronic condition (spouse/partner/child). This assistance includes a broad range of activities from providing assistance at home with housekeeping to taking patients to medical appointments to helping them maintain treatment compliance.”</w:t>
      </w:r>
    </w:p>
    <w:p w:rsidR="00A43825" w:rsidRPr="006957BA" w:rsidRDefault="00A43825" w:rsidP="00B05ACA">
      <w:pPr>
        <w:rPr>
          <w:sz w:val="24"/>
          <w:szCs w:val="24"/>
        </w:rPr>
      </w:pPr>
      <w:r w:rsidRPr="006957BA">
        <w:rPr>
          <w:sz w:val="24"/>
          <w:szCs w:val="24"/>
        </w:rPr>
        <w:t>Patient focus groups will be further segmented by level of engagement and type of information seeking as seen in Table 1, below.</w:t>
      </w:r>
    </w:p>
    <w:p w:rsidR="00A43825" w:rsidRPr="006957BA" w:rsidRDefault="00A43825" w:rsidP="00B05ACA">
      <w:pPr>
        <w:rPr>
          <w:b/>
          <w:bCs/>
          <w:sz w:val="24"/>
          <w:szCs w:val="24"/>
        </w:rPr>
      </w:pPr>
      <w:r w:rsidRPr="006957BA">
        <w:rPr>
          <w:b/>
          <w:bCs/>
          <w:sz w:val="24"/>
          <w:szCs w:val="24"/>
        </w:rPr>
        <w:t>Table 1: Focus Group Audience Segmentation (n=8</w:t>
      </w:r>
      <w:r w:rsidR="00D72CC6">
        <w:rPr>
          <w:b/>
          <w:bCs/>
          <w:sz w:val="24"/>
          <w:szCs w:val="24"/>
        </w:rPr>
        <w:t xml:space="preserve"> groups</w:t>
      </w:r>
      <w:r w:rsidRPr="006957BA">
        <w:rPr>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800"/>
        <w:gridCol w:w="1980"/>
      </w:tblGrid>
      <w:tr w:rsidR="00A43825" w:rsidRPr="006957BA" w:rsidTr="00C444B2">
        <w:tc>
          <w:tcPr>
            <w:tcW w:w="2988" w:type="dxa"/>
            <w:shd w:val="clear" w:color="auto" w:fill="D9D9D9"/>
          </w:tcPr>
          <w:p w:rsidR="00A43825" w:rsidRPr="003377C6" w:rsidRDefault="00A43825" w:rsidP="003377C6">
            <w:pPr>
              <w:jc w:val="center"/>
              <w:rPr>
                <w:rFonts w:cs="Times New Roman"/>
                <w:b/>
                <w:bCs/>
                <w:sz w:val="24"/>
                <w:szCs w:val="24"/>
              </w:rPr>
            </w:pPr>
            <w:r w:rsidRPr="003377C6">
              <w:rPr>
                <w:rFonts w:cs="Times New Roman"/>
                <w:b/>
                <w:bCs/>
                <w:sz w:val="24"/>
                <w:szCs w:val="24"/>
              </w:rPr>
              <w:t>Segment</w:t>
            </w:r>
          </w:p>
        </w:tc>
        <w:tc>
          <w:tcPr>
            <w:tcW w:w="1800" w:type="dxa"/>
            <w:shd w:val="clear" w:color="auto" w:fill="D9D9D9"/>
          </w:tcPr>
          <w:p w:rsidR="00A43825" w:rsidRPr="003377C6" w:rsidRDefault="00A43825" w:rsidP="003377C6">
            <w:pPr>
              <w:jc w:val="center"/>
              <w:rPr>
                <w:rFonts w:cs="Times New Roman"/>
                <w:b/>
                <w:bCs/>
                <w:sz w:val="24"/>
                <w:szCs w:val="24"/>
              </w:rPr>
            </w:pPr>
            <w:smartTag w:uri="urn:schemas-microsoft-com:office:smarttags" w:element="stockticker">
              <w:r w:rsidRPr="003377C6">
                <w:rPr>
                  <w:rFonts w:cs="Times New Roman"/>
                  <w:b/>
                  <w:bCs/>
                  <w:sz w:val="24"/>
                  <w:szCs w:val="24"/>
                </w:rPr>
                <w:t>Chicago</w:t>
              </w:r>
            </w:smartTag>
            <w:r w:rsidRPr="003377C6">
              <w:rPr>
                <w:rFonts w:cs="Times New Roman"/>
                <w:b/>
                <w:bCs/>
                <w:sz w:val="24"/>
                <w:szCs w:val="24"/>
              </w:rPr>
              <w:t xml:space="preserve"> (urban)</w:t>
            </w:r>
          </w:p>
        </w:tc>
        <w:tc>
          <w:tcPr>
            <w:tcW w:w="1980" w:type="dxa"/>
            <w:shd w:val="clear" w:color="auto" w:fill="D9D9D9"/>
          </w:tcPr>
          <w:p w:rsidR="00A43825" w:rsidRPr="003377C6" w:rsidRDefault="00A43825" w:rsidP="003377C6">
            <w:pPr>
              <w:jc w:val="center"/>
              <w:rPr>
                <w:rFonts w:cs="Times New Roman"/>
                <w:b/>
                <w:bCs/>
                <w:sz w:val="24"/>
                <w:szCs w:val="24"/>
              </w:rPr>
            </w:pPr>
            <w:smartTag w:uri="urn:schemas-microsoft-com:office:smarttags" w:element="stockticker">
              <w:r w:rsidRPr="003377C6">
                <w:rPr>
                  <w:rFonts w:cs="Times New Roman"/>
                  <w:b/>
                  <w:bCs/>
                  <w:sz w:val="24"/>
                  <w:szCs w:val="24"/>
                </w:rPr>
                <w:t>Memphis</w:t>
              </w:r>
            </w:smartTag>
            <w:r w:rsidRPr="003377C6">
              <w:rPr>
                <w:rFonts w:cs="Times New Roman"/>
                <w:b/>
                <w:bCs/>
                <w:sz w:val="24"/>
                <w:szCs w:val="24"/>
              </w:rPr>
              <w:t xml:space="preserve"> (rural)</w:t>
            </w:r>
          </w:p>
        </w:tc>
      </w:tr>
      <w:tr w:rsidR="00A43825" w:rsidRPr="006957BA" w:rsidTr="00C444B2">
        <w:tc>
          <w:tcPr>
            <w:tcW w:w="2988" w:type="dxa"/>
          </w:tcPr>
          <w:p w:rsidR="00A43825" w:rsidRPr="003377C6" w:rsidRDefault="00A43825" w:rsidP="00B05ACA">
            <w:pPr>
              <w:rPr>
                <w:rFonts w:cs="Times New Roman"/>
                <w:b/>
                <w:bCs/>
                <w:sz w:val="24"/>
                <w:szCs w:val="24"/>
              </w:rPr>
            </w:pPr>
            <w:r w:rsidRPr="003377C6">
              <w:rPr>
                <w:rFonts w:cs="Times New Roman"/>
                <w:b/>
                <w:bCs/>
                <w:sz w:val="24"/>
                <w:szCs w:val="24"/>
              </w:rPr>
              <w:t>Caregivers</w:t>
            </w:r>
          </w:p>
        </w:tc>
        <w:tc>
          <w:tcPr>
            <w:tcW w:w="1800" w:type="dxa"/>
            <w:vAlign w:val="center"/>
          </w:tcPr>
          <w:p w:rsidR="00A43825" w:rsidRPr="003377C6" w:rsidRDefault="00A43825" w:rsidP="00C444B2">
            <w:pPr>
              <w:jc w:val="center"/>
              <w:rPr>
                <w:rFonts w:cs="Times New Roman"/>
                <w:sz w:val="24"/>
                <w:szCs w:val="24"/>
              </w:rPr>
            </w:pPr>
            <w:r w:rsidRPr="003377C6">
              <w:rPr>
                <w:rFonts w:cs="Times New Roman"/>
                <w:sz w:val="24"/>
                <w:szCs w:val="24"/>
              </w:rPr>
              <w:t>1</w:t>
            </w:r>
          </w:p>
        </w:tc>
        <w:tc>
          <w:tcPr>
            <w:tcW w:w="1980" w:type="dxa"/>
            <w:vAlign w:val="center"/>
          </w:tcPr>
          <w:p w:rsidR="00A43825" w:rsidRPr="003377C6" w:rsidRDefault="00A43825" w:rsidP="00C444B2">
            <w:pPr>
              <w:jc w:val="center"/>
              <w:rPr>
                <w:rFonts w:cs="Times New Roman"/>
                <w:sz w:val="24"/>
                <w:szCs w:val="24"/>
              </w:rPr>
            </w:pPr>
            <w:r w:rsidRPr="003377C6">
              <w:rPr>
                <w:rFonts w:cs="Times New Roman"/>
                <w:sz w:val="24"/>
                <w:szCs w:val="24"/>
              </w:rPr>
              <w:t>1</w:t>
            </w:r>
          </w:p>
        </w:tc>
      </w:tr>
      <w:tr w:rsidR="00A43825" w:rsidRPr="006957BA" w:rsidTr="00C444B2">
        <w:trPr>
          <w:trHeight w:val="773"/>
        </w:trPr>
        <w:tc>
          <w:tcPr>
            <w:tcW w:w="2988" w:type="dxa"/>
          </w:tcPr>
          <w:p w:rsidR="00A43825" w:rsidRPr="003377C6" w:rsidRDefault="00A43825" w:rsidP="00B05ACA">
            <w:pPr>
              <w:rPr>
                <w:rFonts w:cs="Times New Roman"/>
                <w:b/>
                <w:bCs/>
                <w:sz w:val="24"/>
                <w:szCs w:val="24"/>
              </w:rPr>
            </w:pPr>
            <w:r w:rsidRPr="003377C6">
              <w:rPr>
                <w:rFonts w:cs="Times New Roman"/>
                <w:b/>
                <w:bCs/>
                <w:sz w:val="24"/>
                <w:szCs w:val="24"/>
              </w:rPr>
              <w:t xml:space="preserve">Engaged patients – Active </w:t>
            </w:r>
            <w:r w:rsidR="00CB10DA">
              <w:rPr>
                <w:rFonts w:cs="Times New Roman"/>
                <w:b/>
                <w:bCs/>
                <w:sz w:val="24"/>
                <w:szCs w:val="24"/>
              </w:rPr>
              <w:t xml:space="preserve">health </w:t>
            </w:r>
            <w:r w:rsidRPr="003377C6">
              <w:rPr>
                <w:rFonts w:cs="Times New Roman"/>
                <w:b/>
                <w:bCs/>
                <w:sz w:val="24"/>
                <w:szCs w:val="24"/>
              </w:rPr>
              <w:t>information seekers</w:t>
            </w:r>
          </w:p>
        </w:tc>
        <w:tc>
          <w:tcPr>
            <w:tcW w:w="1800" w:type="dxa"/>
            <w:vAlign w:val="center"/>
          </w:tcPr>
          <w:p w:rsidR="00A43825" w:rsidRPr="003377C6" w:rsidRDefault="00A43825" w:rsidP="00C444B2">
            <w:pPr>
              <w:jc w:val="center"/>
              <w:rPr>
                <w:rFonts w:cs="Times New Roman"/>
                <w:sz w:val="24"/>
                <w:szCs w:val="24"/>
              </w:rPr>
            </w:pPr>
            <w:r w:rsidRPr="003377C6">
              <w:rPr>
                <w:rFonts w:cs="Times New Roman"/>
                <w:sz w:val="24"/>
                <w:szCs w:val="24"/>
              </w:rPr>
              <w:t>2</w:t>
            </w:r>
          </w:p>
        </w:tc>
        <w:tc>
          <w:tcPr>
            <w:tcW w:w="1980" w:type="dxa"/>
            <w:vAlign w:val="center"/>
          </w:tcPr>
          <w:p w:rsidR="00A43825" w:rsidRPr="003377C6" w:rsidRDefault="00A43825" w:rsidP="00C444B2">
            <w:pPr>
              <w:jc w:val="center"/>
              <w:rPr>
                <w:rFonts w:cs="Times New Roman"/>
                <w:sz w:val="24"/>
                <w:szCs w:val="24"/>
              </w:rPr>
            </w:pPr>
            <w:r w:rsidRPr="003377C6">
              <w:rPr>
                <w:rFonts w:cs="Times New Roman"/>
                <w:sz w:val="24"/>
                <w:szCs w:val="24"/>
              </w:rPr>
              <w:t>1</w:t>
            </w:r>
          </w:p>
        </w:tc>
      </w:tr>
      <w:tr w:rsidR="00A43825" w:rsidRPr="006957BA" w:rsidTr="00C444B2">
        <w:tc>
          <w:tcPr>
            <w:tcW w:w="2988" w:type="dxa"/>
          </w:tcPr>
          <w:p w:rsidR="00A43825" w:rsidRPr="003377C6" w:rsidRDefault="00A43825" w:rsidP="00B05ACA">
            <w:pPr>
              <w:rPr>
                <w:rFonts w:cs="Times New Roman"/>
                <w:b/>
                <w:bCs/>
                <w:sz w:val="24"/>
                <w:szCs w:val="24"/>
              </w:rPr>
            </w:pPr>
            <w:r w:rsidRPr="003377C6">
              <w:rPr>
                <w:rFonts w:cs="Times New Roman"/>
                <w:b/>
                <w:bCs/>
                <w:sz w:val="24"/>
                <w:szCs w:val="24"/>
              </w:rPr>
              <w:t xml:space="preserve">Engaged patients – Passive </w:t>
            </w:r>
            <w:r w:rsidR="00CB10DA">
              <w:rPr>
                <w:rFonts w:cs="Times New Roman"/>
                <w:b/>
                <w:bCs/>
                <w:sz w:val="24"/>
                <w:szCs w:val="24"/>
              </w:rPr>
              <w:t xml:space="preserve">health </w:t>
            </w:r>
            <w:r w:rsidRPr="003377C6">
              <w:rPr>
                <w:rFonts w:cs="Times New Roman"/>
                <w:b/>
                <w:bCs/>
                <w:sz w:val="24"/>
                <w:szCs w:val="24"/>
              </w:rPr>
              <w:t>information seekers</w:t>
            </w:r>
          </w:p>
        </w:tc>
        <w:tc>
          <w:tcPr>
            <w:tcW w:w="1800" w:type="dxa"/>
            <w:vAlign w:val="center"/>
          </w:tcPr>
          <w:p w:rsidR="00A43825" w:rsidRPr="003377C6" w:rsidRDefault="00A43825" w:rsidP="00C444B2">
            <w:pPr>
              <w:jc w:val="center"/>
              <w:rPr>
                <w:rFonts w:cs="Times New Roman"/>
                <w:sz w:val="24"/>
                <w:szCs w:val="24"/>
              </w:rPr>
            </w:pPr>
            <w:r w:rsidRPr="003377C6">
              <w:rPr>
                <w:rFonts w:cs="Times New Roman"/>
                <w:sz w:val="24"/>
                <w:szCs w:val="24"/>
              </w:rPr>
              <w:t>2</w:t>
            </w:r>
          </w:p>
        </w:tc>
        <w:tc>
          <w:tcPr>
            <w:tcW w:w="1980" w:type="dxa"/>
            <w:vAlign w:val="center"/>
          </w:tcPr>
          <w:p w:rsidR="00A43825" w:rsidRPr="003377C6" w:rsidRDefault="00A43825" w:rsidP="00C444B2">
            <w:pPr>
              <w:jc w:val="center"/>
              <w:rPr>
                <w:rFonts w:cs="Times New Roman"/>
                <w:sz w:val="24"/>
                <w:szCs w:val="24"/>
              </w:rPr>
            </w:pPr>
            <w:r w:rsidRPr="003377C6">
              <w:rPr>
                <w:rFonts w:cs="Times New Roman"/>
                <w:sz w:val="24"/>
                <w:szCs w:val="24"/>
              </w:rPr>
              <w:t>1</w:t>
            </w:r>
          </w:p>
        </w:tc>
      </w:tr>
    </w:tbl>
    <w:p w:rsidR="00A43825" w:rsidRPr="006957BA" w:rsidRDefault="00A43825" w:rsidP="00B05ACA">
      <w:pPr>
        <w:rPr>
          <w:sz w:val="24"/>
          <w:szCs w:val="24"/>
        </w:rPr>
      </w:pPr>
    </w:p>
    <w:p w:rsidR="00A43825" w:rsidRPr="006957BA" w:rsidRDefault="00A43825" w:rsidP="00F375C2">
      <w:pPr>
        <w:rPr>
          <w:sz w:val="24"/>
          <w:szCs w:val="24"/>
        </w:rPr>
      </w:pPr>
      <w:r w:rsidRPr="006957BA">
        <w:rPr>
          <w:sz w:val="24"/>
          <w:szCs w:val="24"/>
          <w:u w:val="single"/>
        </w:rPr>
        <w:t>Engaged patients</w:t>
      </w:r>
      <w:r w:rsidRPr="006957BA">
        <w:rPr>
          <w:sz w:val="24"/>
          <w:szCs w:val="24"/>
        </w:rPr>
        <w:t xml:space="preserve"> are those with a chronic condition who have seen their doctor at least </w:t>
      </w:r>
      <w:r w:rsidR="00F375C2">
        <w:rPr>
          <w:sz w:val="24"/>
          <w:szCs w:val="24"/>
        </w:rPr>
        <w:t xml:space="preserve">3-4 </w:t>
      </w:r>
      <w:r w:rsidRPr="006957BA">
        <w:rPr>
          <w:sz w:val="24"/>
          <w:szCs w:val="24"/>
        </w:rPr>
        <w:t>times in the last 12 months.</w:t>
      </w:r>
    </w:p>
    <w:p w:rsidR="00A43825" w:rsidRPr="006957BA" w:rsidRDefault="00A43825" w:rsidP="00B05ACA">
      <w:pPr>
        <w:rPr>
          <w:sz w:val="24"/>
          <w:szCs w:val="24"/>
        </w:rPr>
      </w:pPr>
      <w:r w:rsidRPr="006957BA">
        <w:rPr>
          <w:sz w:val="24"/>
          <w:szCs w:val="24"/>
          <w:u w:val="single"/>
        </w:rPr>
        <w:t xml:space="preserve">Active </w:t>
      </w:r>
      <w:r w:rsidR="00CB10DA">
        <w:rPr>
          <w:sz w:val="24"/>
          <w:szCs w:val="24"/>
          <w:u w:val="single"/>
        </w:rPr>
        <w:t xml:space="preserve">health </w:t>
      </w:r>
      <w:r w:rsidRPr="006957BA">
        <w:rPr>
          <w:sz w:val="24"/>
          <w:szCs w:val="24"/>
          <w:u w:val="single"/>
        </w:rPr>
        <w:t>information seekers</w:t>
      </w:r>
      <w:r w:rsidRPr="006957BA">
        <w:rPr>
          <w:sz w:val="24"/>
          <w:szCs w:val="24"/>
        </w:rPr>
        <w:t xml:space="preserve"> are defined as those patients who have had a recent (within 6 months) health-related question that they researched online/in books or by asking friends/loved ones </w:t>
      </w:r>
      <w:smartTag w:uri="urn:schemas-microsoft-com:office:smarttags" w:element="stockticker">
        <w:r w:rsidRPr="006957BA">
          <w:rPr>
            <w:sz w:val="24"/>
            <w:szCs w:val="24"/>
          </w:rPr>
          <w:t>AND</w:t>
        </w:r>
      </w:smartTag>
      <w:r w:rsidRPr="006957BA">
        <w:rPr>
          <w:sz w:val="24"/>
          <w:szCs w:val="24"/>
        </w:rPr>
        <w:t xml:space="preserve"> visited their </w:t>
      </w:r>
      <w:r w:rsidR="005650CB">
        <w:rPr>
          <w:sz w:val="24"/>
          <w:szCs w:val="24"/>
        </w:rPr>
        <w:t>health care</w:t>
      </w:r>
      <w:r w:rsidRPr="006957BA">
        <w:rPr>
          <w:sz w:val="24"/>
          <w:szCs w:val="24"/>
        </w:rPr>
        <w:t xml:space="preserve"> provider for a consultation.</w:t>
      </w:r>
    </w:p>
    <w:p w:rsidR="00A43825" w:rsidRPr="006A44F7" w:rsidRDefault="00A43825" w:rsidP="006A44F7">
      <w:pPr>
        <w:rPr>
          <w:sz w:val="24"/>
          <w:szCs w:val="24"/>
        </w:rPr>
      </w:pPr>
      <w:r w:rsidRPr="006957BA">
        <w:rPr>
          <w:sz w:val="24"/>
          <w:szCs w:val="24"/>
          <w:u w:val="single"/>
        </w:rPr>
        <w:t>Passive</w:t>
      </w:r>
      <w:r w:rsidR="00CB10DA">
        <w:rPr>
          <w:sz w:val="24"/>
          <w:szCs w:val="24"/>
          <w:u w:val="single"/>
        </w:rPr>
        <w:t xml:space="preserve"> health</w:t>
      </w:r>
      <w:r w:rsidRPr="006957BA">
        <w:rPr>
          <w:sz w:val="24"/>
          <w:szCs w:val="24"/>
          <w:u w:val="single"/>
        </w:rPr>
        <w:t xml:space="preserve"> information seekers</w:t>
      </w:r>
      <w:r w:rsidRPr="006957BA">
        <w:rPr>
          <w:sz w:val="24"/>
          <w:szCs w:val="24"/>
        </w:rPr>
        <w:t xml:space="preserve"> are defined as those patients who have had a recent (within 6 months) health-related question that they ONLY visited their </w:t>
      </w:r>
      <w:r w:rsidR="005650CB">
        <w:rPr>
          <w:sz w:val="24"/>
          <w:szCs w:val="24"/>
        </w:rPr>
        <w:t>health care</w:t>
      </w:r>
      <w:r w:rsidRPr="006957BA">
        <w:rPr>
          <w:sz w:val="24"/>
          <w:szCs w:val="24"/>
        </w:rPr>
        <w:t xml:space="preserve"> provider about (didn’t do their own research or talk to friends/family about </w:t>
      </w:r>
      <w:r w:rsidR="00F375C2">
        <w:rPr>
          <w:sz w:val="24"/>
          <w:szCs w:val="24"/>
        </w:rPr>
        <w:t>what options they may have for treating their condition.</w:t>
      </w:r>
    </w:p>
    <w:p w:rsidR="00A43825" w:rsidRPr="00F06866" w:rsidRDefault="00A43825" w:rsidP="00B05ACA">
      <w:pPr>
        <w:rPr>
          <w:b/>
          <w:bCs/>
        </w:rPr>
      </w:pPr>
      <w:r>
        <w:rPr>
          <w:b/>
          <w:bCs/>
        </w:rPr>
        <w:t>TYPE OF COLLECTION:</w:t>
      </w:r>
      <w:r w:rsidRPr="00F06866">
        <w:t xml:space="preserve"> (Check one)</w:t>
      </w:r>
    </w:p>
    <w:p w:rsidR="00A43825" w:rsidRPr="00434E33" w:rsidRDefault="00A43825" w:rsidP="00B05ACA">
      <w:pPr>
        <w:pStyle w:val="BodyText2"/>
        <w:tabs>
          <w:tab w:val="left" w:pos="360"/>
        </w:tabs>
        <w:ind w:left="0"/>
        <w:rPr>
          <w:sz w:val="16"/>
          <w:szCs w:val="16"/>
        </w:rPr>
      </w:pPr>
    </w:p>
    <w:p w:rsidR="00A43825" w:rsidRPr="00F06866" w:rsidRDefault="00A43825" w:rsidP="00B05ACA">
      <w:pPr>
        <w:pStyle w:val="BodyText2"/>
        <w:tabs>
          <w:tab w:val="left" w:pos="360"/>
        </w:tabs>
        <w:ind w:left="0"/>
        <w:rPr>
          <w:sz w:val="24"/>
          <w:szCs w:val="24"/>
        </w:rPr>
      </w:pPr>
      <w:r w:rsidRPr="00F06866">
        <w:rPr>
          <w:sz w:val="24"/>
          <w:szCs w:val="24"/>
        </w:rPr>
        <w:t xml:space="preserve">[ ] Customer Comment Card/Complaint Form </w:t>
      </w:r>
      <w:r w:rsidRPr="00F06866">
        <w:rPr>
          <w:sz w:val="24"/>
          <w:szCs w:val="24"/>
        </w:rPr>
        <w:tab/>
        <w:t xml:space="preserve">[ ] Customer Satisfaction Survey    </w:t>
      </w:r>
    </w:p>
    <w:p w:rsidR="00A43825" w:rsidRDefault="00A43825" w:rsidP="00B05ACA">
      <w:pPr>
        <w:pStyle w:val="BodyText2"/>
        <w:tabs>
          <w:tab w:val="left" w:pos="360"/>
        </w:tabs>
        <w:ind w:left="0"/>
        <w:rPr>
          <w:sz w:val="24"/>
          <w:szCs w:val="24"/>
        </w:rPr>
      </w:pPr>
      <w:r w:rsidRPr="00F06866">
        <w:rPr>
          <w:sz w:val="24"/>
          <w:szCs w:val="24"/>
        </w:rPr>
        <w:t>[ ] Usability</w:t>
      </w:r>
      <w:r>
        <w:rPr>
          <w:sz w:val="24"/>
          <w:szCs w:val="24"/>
        </w:rPr>
        <w:t xml:space="preserve"> Testing (e.g., Website or Software</w:t>
      </w:r>
      <w:r>
        <w:rPr>
          <w:sz w:val="24"/>
          <w:szCs w:val="24"/>
        </w:rPr>
        <w:tab/>
        <w:t>[ ] Small Discussion Group</w:t>
      </w:r>
    </w:p>
    <w:p w:rsidR="00A43825" w:rsidRPr="00D72CC6" w:rsidRDefault="00A43825" w:rsidP="00D72CC6">
      <w:pPr>
        <w:pStyle w:val="BodyText2"/>
        <w:tabs>
          <w:tab w:val="left" w:pos="360"/>
        </w:tabs>
        <w:ind w:left="0"/>
        <w:rPr>
          <w:sz w:val="24"/>
          <w:szCs w:val="24"/>
          <w:u w:val="single"/>
        </w:rPr>
      </w:pPr>
      <w:r>
        <w:rPr>
          <w:sz w:val="24"/>
          <w:szCs w:val="24"/>
        </w:rPr>
        <w:t>[X</w:t>
      </w:r>
      <w:r w:rsidR="006E0C0B">
        <w:rPr>
          <w:sz w:val="24"/>
          <w:szCs w:val="24"/>
        </w:rPr>
        <w:t>] Focus</w:t>
      </w:r>
      <w:r>
        <w:rPr>
          <w:sz w:val="24"/>
          <w:szCs w:val="24"/>
        </w:rPr>
        <w:t xml:space="preserve"> Group  </w:t>
      </w:r>
      <w:r>
        <w:rPr>
          <w:sz w:val="24"/>
          <w:szCs w:val="24"/>
        </w:rPr>
        <w:tab/>
      </w:r>
      <w:r>
        <w:rPr>
          <w:sz w:val="24"/>
          <w:szCs w:val="24"/>
        </w:rPr>
        <w:tab/>
      </w:r>
      <w:r>
        <w:rPr>
          <w:sz w:val="24"/>
          <w:szCs w:val="24"/>
        </w:rPr>
        <w:tab/>
      </w:r>
      <w:r>
        <w:rPr>
          <w:sz w:val="24"/>
          <w:szCs w:val="24"/>
        </w:rPr>
        <w:tab/>
      </w:r>
      <w:r>
        <w:rPr>
          <w:sz w:val="24"/>
          <w:szCs w:val="24"/>
        </w:rPr>
        <w:tab/>
      </w:r>
      <w:r w:rsidRPr="00F06866">
        <w:rPr>
          <w:sz w:val="24"/>
          <w:szCs w:val="24"/>
        </w:rPr>
        <w:t>[</w:t>
      </w:r>
      <w:r w:rsidR="00561A9A">
        <w:rPr>
          <w:sz w:val="24"/>
          <w:szCs w:val="24"/>
        </w:rPr>
        <w:t>X</w:t>
      </w:r>
      <w:r w:rsidRPr="00F06866">
        <w:rPr>
          <w:sz w:val="24"/>
          <w:szCs w:val="24"/>
        </w:rPr>
        <w:t>]</w:t>
      </w:r>
      <w:r>
        <w:rPr>
          <w:sz w:val="24"/>
          <w:szCs w:val="24"/>
        </w:rPr>
        <w:t xml:space="preserve"> Other:</w:t>
      </w:r>
      <w:r w:rsidR="00561A9A">
        <w:rPr>
          <w:sz w:val="24"/>
          <w:szCs w:val="24"/>
          <w:u w:val="single"/>
        </w:rPr>
        <w:t xml:space="preserve"> Screening </w:t>
      </w:r>
      <w:r w:rsidR="00D72CC6">
        <w:rPr>
          <w:sz w:val="24"/>
          <w:szCs w:val="24"/>
          <w:u w:val="single"/>
        </w:rPr>
        <w:t>Q</w:t>
      </w:r>
      <w:r w:rsidR="00561A9A">
        <w:rPr>
          <w:sz w:val="24"/>
          <w:szCs w:val="24"/>
          <w:u w:val="single"/>
        </w:rPr>
        <w:t>uestionnaire</w:t>
      </w:r>
    </w:p>
    <w:p w:rsidR="00A43825" w:rsidRDefault="00A43825" w:rsidP="00B05ACA">
      <w:pPr>
        <w:pStyle w:val="Header"/>
        <w:tabs>
          <w:tab w:val="clear" w:pos="4320"/>
          <w:tab w:val="clear" w:pos="8640"/>
        </w:tabs>
      </w:pPr>
    </w:p>
    <w:p w:rsidR="00A43825" w:rsidRDefault="00A43825" w:rsidP="00B05ACA">
      <w:pPr>
        <w:rPr>
          <w:b/>
          <w:bCs/>
        </w:rPr>
      </w:pPr>
      <w:r>
        <w:rPr>
          <w:b/>
          <w:bCs/>
        </w:rPr>
        <w:t>CERTIFICATION:</w:t>
      </w:r>
    </w:p>
    <w:p w:rsidR="00A43825" w:rsidRPr="009C13B9" w:rsidRDefault="00A43825" w:rsidP="00B05ACA">
      <w:r>
        <w:t xml:space="preserve">I certify the following to be true: </w:t>
      </w:r>
    </w:p>
    <w:p w:rsidR="00A43825" w:rsidRDefault="00A43825" w:rsidP="00B05ACA">
      <w:pPr>
        <w:pStyle w:val="ListParagraph"/>
        <w:numPr>
          <w:ilvl w:val="0"/>
          <w:numId w:val="1"/>
        </w:numPr>
        <w:spacing w:after="0" w:line="240" w:lineRule="auto"/>
      </w:pPr>
      <w:r>
        <w:t>The collection is voluntary.</w:t>
      </w:r>
      <w:r w:rsidRPr="00C14CC4">
        <w:t xml:space="preserve"> </w:t>
      </w:r>
    </w:p>
    <w:p w:rsidR="00A43825" w:rsidRDefault="00A43825" w:rsidP="00B05ACA">
      <w:pPr>
        <w:pStyle w:val="ListParagraph"/>
        <w:numPr>
          <w:ilvl w:val="0"/>
          <w:numId w:val="1"/>
        </w:numPr>
        <w:spacing w:after="0" w:line="240" w:lineRule="auto"/>
      </w:pPr>
      <w:r>
        <w:t>The</w:t>
      </w:r>
      <w:r w:rsidRPr="00C14CC4">
        <w:t xml:space="preserve"> collection </w:t>
      </w:r>
      <w:r>
        <w:t xml:space="preserve">is </w:t>
      </w:r>
      <w:r w:rsidRPr="00C14CC4">
        <w:t>low-burden for respondents and low-cost for the Federal Government</w:t>
      </w:r>
      <w:r>
        <w:t>.</w:t>
      </w:r>
    </w:p>
    <w:p w:rsidR="00A43825" w:rsidRDefault="00A43825" w:rsidP="00B05ACA">
      <w:pPr>
        <w:pStyle w:val="ListParagraph"/>
        <w:numPr>
          <w:ilvl w:val="0"/>
          <w:numId w:val="1"/>
        </w:numPr>
        <w:spacing w:after="0" w:line="240" w:lineRule="auto"/>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A43825" w:rsidRDefault="00A43825" w:rsidP="00B05ACA">
      <w:pPr>
        <w:pStyle w:val="ListParagraph"/>
        <w:numPr>
          <w:ilvl w:val="0"/>
          <w:numId w:val="1"/>
        </w:numPr>
        <w:spacing w:after="0" w:line="240" w:lineRule="auto"/>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A43825" w:rsidRDefault="00A43825" w:rsidP="00B05ACA">
      <w:pPr>
        <w:pStyle w:val="ListParagraph"/>
        <w:numPr>
          <w:ilvl w:val="0"/>
          <w:numId w:val="1"/>
        </w:numPr>
        <w:spacing w:after="0" w:line="240" w:lineRule="auto"/>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A43825" w:rsidRDefault="00A43825" w:rsidP="00B05ACA">
      <w:pPr>
        <w:pStyle w:val="ListParagraph"/>
        <w:numPr>
          <w:ilvl w:val="0"/>
          <w:numId w:val="1"/>
        </w:numPr>
        <w:spacing w:after="0" w:line="240" w:lineRule="auto"/>
      </w:pPr>
      <w:r>
        <w:t>The collection is targeted to the solicitation of opinions from respondents who have experience with the program or may have experience with the program in the future.</w:t>
      </w:r>
    </w:p>
    <w:p w:rsidR="00A43825" w:rsidRDefault="00A43825" w:rsidP="00B05ACA"/>
    <w:p w:rsidR="00A43825" w:rsidRDefault="00A43825" w:rsidP="00B05ACA">
      <w:proofErr w:type="spellStart"/>
      <w:r>
        <w:t>Name</w:t>
      </w:r>
      <w:proofErr w:type="gramStart"/>
      <w:r>
        <w:t>:_</w:t>
      </w:r>
      <w:proofErr w:type="gramEnd"/>
      <w:r w:rsidR="003F1612" w:rsidRPr="003F1612">
        <w:rPr>
          <w:u w:val="single"/>
        </w:rPr>
        <w:t>Doris</w:t>
      </w:r>
      <w:proofErr w:type="spellEnd"/>
      <w:r w:rsidR="003F1612" w:rsidRPr="003F1612">
        <w:rPr>
          <w:u w:val="single"/>
        </w:rPr>
        <w:t xml:space="preserve"> Lefkowitz</w:t>
      </w:r>
      <w:r>
        <w:t>_______________________________________________</w:t>
      </w:r>
    </w:p>
    <w:p w:rsidR="00A43825" w:rsidRDefault="00A43825" w:rsidP="00B05ACA">
      <w:pPr>
        <w:pStyle w:val="ListParagraph"/>
        <w:ind w:left="360"/>
      </w:pPr>
    </w:p>
    <w:p w:rsidR="00A43825" w:rsidRDefault="00A43825" w:rsidP="00B05ACA">
      <w:r>
        <w:t>To assist review, please provide answers to the following question:</w:t>
      </w:r>
    </w:p>
    <w:p w:rsidR="00A43825" w:rsidRPr="00C86E91" w:rsidRDefault="00A43825" w:rsidP="00B05ACA">
      <w:pPr>
        <w:rPr>
          <w:b/>
          <w:bCs/>
        </w:rPr>
      </w:pPr>
      <w:r w:rsidRPr="00C86E91">
        <w:rPr>
          <w:b/>
          <w:bCs/>
        </w:rPr>
        <w:t>Personally Identifiable Information:</w:t>
      </w:r>
    </w:p>
    <w:p w:rsidR="00A43825" w:rsidRDefault="00A43825" w:rsidP="00B05ACA">
      <w:pPr>
        <w:pStyle w:val="ListParagraph"/>
        <w:numPr>
          <w:ilvl w:val="0"/>
          <w:numId w:val="4"/>
        </w:numPr>
        <w:spacing w:after="0" w:line="240" w:lineRule="auto"/>
      </w:pPr>
      <w:r>
        <w:t>Is personally identifiable information (</w:t>
      </w:r>
      <w:smartTag w:uri="urn:schemas-microsoft-com:office:smarttags" w:element="stockticker">
        <w:r>
          <w:t>PII</w:t>
        </w:r>
      </w:smartTag>
      <w:r>
        <w:t xml:space="preserve">) collected?  [ X ] Yes  []  No </w:t>
      </w:r>
    </w:p>
    <w:p w:rsidR="00A43825" w:rsidRDefault="00A43825" w:rsidP="00B05ACA">
      <w:pPr>
        <w:pStyle w:val="ListParagraph"/>
        <w:numPr>
          <w:ilvl w:val="0"/>
          <w:numId w:val="4"/>
        </w:numPr>
        <w:spacing w:after="0" w:line="240" w:lineRule="auto"/>
      </w:pPr>
      <w:r>
        <w:t xml:space="preserve">If </w:t>
      </w:r>
      <w:proofErr w:type="gramStart"/>
      <w:r>
        <w:t>Yes</w:t>
      </w:r>
      <w:proofErr w:type="gramEnd"/>
      <w:r>
        <w:t xml:space="preserve">, is the information that will be collected included in records that are subject to the Privacy Act of 1974?   [  ] Yes [ X ] No   </w:t>
      </w:r>
    </w:p>
    <w:p w:rsidR="00A43825" w:rsidRDefault="00A43825" w:rsidP="00B05ACA">
      <w:pPr>
        <w:pStyle w:val="ListParagraph"/>
        <w:numPr>
          <w:ilvl w:val="0"/>
          <w:numId w:val="4"/>
        </w:numPr>
        <w:spacing w:after="0" w:line="240" w:lineRule="auto"/>
      </w:pPr>
      <w:r>
        <w:t>If Applicable, has a System or Records Notice been published?  [  ] Yes  [  ] No</w:t>
      </w:r>
    </w:p>
    <w:p w:rsidR="00A43825" w:rsidRDefault="00A43825" w:rsidP="00B05ACA">
      <w:pPr>
        <w:pStyle w:val="ListParagraph"/>
        <w:ind w:left="0"/>
        <w:rPr>
          <w:b/>
          <w:bCs/>
        </w:rPr>
      </w:pPr>
    </w:p>
    <w:p w:rsidR="00A43825" w:rsidRPr="00C86E91" w:rsidRDefault="00A43825" w:rsidP="00B05ACA">
      <w:pPr>
        <w:pStyle w:val="ListParagraph"/>
        <w:ind w:left="0"/>
        <w:rPr>
          <w:b/>
          <w:bCs/>
        </w:rPr>
      </w:pPr>
      <w:r>
        <w:rPr>
          <w:b/>
          <w:bCs/>
        </w:rPr>
        <w:t>Gifts or Payments:</w:t>
      </w:r>
    </w:p>
    <w:p w:rsidR="00A43825" w:rsidRDefault="00A43825" w:rsidP="00F375C2">
      <w:r>
        <w:t xml:space="preserve">Is an incentive (e.g., money or reimbursement of expenses, token of appreciation) provided to participants?  </w:t>
      </w:r>
      <w:proofErr w:type="gramStart"/>
      <w:r>
        <w:t xml:space="preserve">[ </w:t>
      </w:r>
      <w:r w:rsidR="00F375C2">
        <w:t>X</w:t>
      </w:r>
      <w:proofErr w:type="gramEnd"/>
      <w:r>
        <w:t xml:space="preserve"> ] Yes [] No  </w:t>
      </w:r>
    </w:p>
    <w:p w:rsidR="00A43825" w:rsidRPr="006957BA" w:rsidRDefault="00A43825" w:rsidP="00B05ACA">
      <w:pPr>
        <w:rPr>
          <w:sz w:val="24"/>
          <w:szCs w:val="24"/>
        </w:rPr>
      </w:pPr>
      <w:r w:rsidRPr="006957BA">
        <w:rPr>
          <w:sz w:val="24"/>
          <w:szCs w:val="24"/>
        </w:rPr>
        <w:t xml:space="preserve">AHRQ will offer eligible persons $75 as an incentive to participate in the focus groups.  This is currently the standard payment for participation in focus groups lasting up to 90 minutes.  In order to take part in these activities, participants will have to find transportation to a centrally-located facility.  Although it may be possible to conduct this study while providing a smaller incentive amount to participants, experience suggests that doing so would increase the resources needed for recruiting participants with the desired background, thus increasing the overall project cost to the government. </w:t>
      </w:r>
    </w:p>
    <w:p w:rsidR="00D3229A" w:rsidRDefault="00D3229A">
      <w:pPr>
        <w:spacing w:after="0" w:line="240" w:lineRule="auto"/>
        <w:rPr>
          <w:b/>
          <w:bCs/>
        </w:rPr>
      </w:pPr>
      <w:r>
        <w:rPr>
          <w:b/>
          <w:bCs/>
        </w:rPr>
        <w:br w:type="page"/>
      </w:r>
    </w:p>
    <w:p w:rsidR="00A43825" w:rsidRDefault="00A43825" w:rsidP="00B05ACA">
      <w:r>
        <w:rPr>
          <w:b/>
          <w:bCs/>
        </w:rPr>
        <w:lastRenderedPageBreak/>
        <w:t>BURDEN HOURS</w:t>
      </w:r>
      <w:r>
        <w:t xml:space="preserve"> </w:t>
      </w:r>
    </w:p>
    <w:p w:rsidR="008C4B73" w:rsidRDefault="008C4B73" w:rsidP="001B3A62">
      <w:pPr>
        <w:spacing w:line="240" w:lineRule="auto"/>
      </w:pPr>
      <w:r>
        <w:t>Screening Instrument</w:t>
      </w:r>
    </w:p>
    <w:tbl>
      <w:tblPr>
        <w:tblStyle w:val="TableGrid"/>
        <w:tblW w:w="9661" w:type="dxa"/>
        <w:tblLayout w:type="fixed"/>
        <w:tblLook w:val="01E0"/>
      </w:tblPr>
      <w:tblGrid>
        <w:gridCol w:w="5418"/>
        <w:gridCol w:w="1530"/>
        <w:gridCol w:w="1710"/>
        <w:gridCol w:w="1003"/>
      </w:tblGrid>
      <w:tr w:rsidR="008C4B73" w:rsidRPr="00A51DF8" w:rsidTr="007C7F23">
        <w:trPr>
          <w:trHeight w:val="274"/>
        </w:trPr>
        <w:tc>
          <w:tcPr>
            <w:tcW w:w="5418" w:type="dxa"/>
          </w:tcPr>
          <w:p w:rsidR="008C4B73" w:rsidRPr="00A51DF8" w:rsidRDefault="008C4B73" w:rsidP="001B3A62">
            <w:pPr>
              <w:spacing w:line="240" w:lineRule="auto"/>
              <w:rPr>
                <w:rFonts w:asciiTheme="majorBidi" w:hAnsiTheme="majorBidi" w:cstheme="majorBidi"/>
                <w:b/>
              </w:rPr>
            </w:pPr>
            <w:r w:rsidRPr="00A51DF8">
              <w:rPr>
                <w:rFonts w:asciiTheme="majorBidi" w:hAnsiTheme="majorBidi" w:cstheme="majorBidi"/>
                <w:b/>
              </w:rPr>
              <w:t xml:space="preserve">Category of Respondent </w:t>
            </w:r>
          </w:p>
        </w:tc>
        <w:tc>
          <w:tcPr>
            <w:tcW w:w="1530" w:type="dxa"/>
          </w:tcPr>
          <w:p w:rsidR="008C4B73" w:rsidRPr="00A51DF8" w:rsidRDefault="008C4B73" w:rsidP="001B3A62">
            <w:pPr>
              <w:spacing w:line="240" w:lineRule="auto"/>
              <w:rPr>
                <w:rFonts w:asciiTheme="majorBidi" w:hAnsiTheme="majorBidi" w:cstheme="majorBidi"/>
                <w:b/>
              </w:rPr>
            </w:pPr>
            <w:r w:rsidRPr="00A51DF8">
              <w:rPr>
                <w:rFonts w:asciiTheme="majorBidi" w:hAnsiTheme="majorBidi" w:cstheme="majorBidi"/>
                <w:b/>
              </w:rPr>
              <w:t>No. of Respondents</w:t>
            </w:r>
          </w:p>
        </w:tc>
        <w:tc>
          <w:tcPr>
            <w:tcW w:w="1710" w:type="dxa"/>
          </w:tcPr>
          <w:p w:rsidR="008C4B73" w:rsidRPr="00A51DF8" w:rsidRDefault="008C4B73" w:rsidP="001B3A62">
            <w:pPr>
              <w:spacing w:line="240" w:lineRule="auto"/>
              <w:rPr>
                <w:rFonts w:asciiTheme="majorBidi" w:hAnsiTheme="majorBidi" w:cstheme="majorBidi"/>
                <w:b/>
              </w:rPr>
            </w:pPr>
            <w:r w:rsidRPr="00A51DF8">
              <w:rPr>
                <w:rFonts w:asciiTheme="majorBidi" w:hAnsiTheme="majorBidi" w:cstheme="majorBidi"/>
                <w:b/>
              </w:rPr>
              <w:t>Participation Time</w:t>
            </w:r>
          </w:p>
        </w:tc>
        <w:tc>
          <w:tcPr>
            <w:tcW w:w="1003" w:type="dxa"/>
          </w:tcPr>
          <w:p w:rsidR="008C4B73" w:rsidRPr="00A51DF8" w:rsidRDefault="008C4B73" w:rsidP="001B3A62">
            <w:pPr>
              <w:spacing w:line="240" w:lineRule="auto"/>
              <w:rPr>
                <w:rFonts w:asciiTheme="majorBidi" w:hAnsiTheme="majorBidi" w:cstheme="majorBidi"/>
                <w:b/>
              </w:rPr>
            </w:pPr>
            <w:r w:rsidRPr="00A51DF8">
              <w:rPr>
                <w:rFonts w:asciiTheme="majorBidi" w:hAnsiTheme="majorBidi" w:cstheme="majorBidi"/>
                <w:b/>
              </w:rPr>
              <w:t>Burden</w:t>
            </w:r>
            <w:r>
              <w:rPr>
                <w:rFonts w:asciiTheme="majorBidi" w:hAnsiTheme="majorBidi" w:cstheme="majorBidi"/>
                <w:b/>
              </w:rPr>
              <w:t xml:space="preserve">        Hours</w:t>
            </w:r>
          </w:p>
        </w:tc>
      </w:tr>
      <w:tr w:rsidR="008C4B73" w:rsidRPr="00A51DF8" w:rsidTr="007C7F23">
        <w:trPr>
          <w:trHeight w:val="274"/>
        </w:trPr>
        <w:tc>
          <w:tcPr>
            <w:tcW w:w="5418" w:type="dxa"/>
          </w:tcPr>
          <w:p w:rsidR="008C4B73" w:rsidRPr="00A51DF8" w:rsidRDefault="00173D78" w:rsidP="001B3A62">
            <w:pPr>
              <w:spacing w:line="240" w:lineRule="auto"/>
              <w:rPr>
                <w:rFonts w:asciiTheme="majorBidi" w:hAnsiTheme="majorBidi" w:cstheme="majorBidi"/>
              </w:rPr>
            </w:pPr>
            <w:r>
              <w:t>Individuals</w:t>
            </w:r>
          </w:p>
        </w:tc>
        <w:tc>
          <w:tcPr>
            <w:tcW w:w="1530" w:type="dxa"/>
          </w:tcPr>
          <w:p w:rsidR="008C4B73" w:rsidRPr="00A51DF8" w:rsidRDefault="008C4B73" w:rsidP="001B3A62">
            <w:pPr>
              <w:spacing w:line="240" w:lineRule="auto"/>
              <w:rPr>
                <w:rFonts w:asciiTheme="majorBidi" w:hAnsiTheme="majorBidi" w:cstheme="majorBidi"/>
              </w:rPr>
            </w:pPr>
            <w:r>
              <w:rPr>
                <w:rFonts w:asciiTheme="majorBidi" w:hAnsiTheme="majorBidi" w:cstheme="majorBidi"/>
              </w:rPr>
              <w:t>320</w:t>
            </w:r>
          </w:p>
        </w:tc>
        <w:tc>
          <w:tcPr>
            <w:tcW w:w="1710" w:type="dxa"/>
          </w:tcPr>
          <w:p w:rsidR="008C4B73" w:rsidRPr="00A51DF8" w:rsidRDefault="008C4B73" w:rsidP="001B3A62">
            <w:pPr>
              <w:spacing w:line="240" w:lineRule="auto"/>
              <w:rPr>
                <w:rFonts w:asciiTheme="majorBidi" w:hAnsiTheme="majorBidi" w:cstheme="majorBidi"/>
              </w:rPr>
            </w:pPr>
            <w:r>
              <w:rPr>
                <w:rFonts w:asciiTheme="majorBidi" w:hAnsiTheme="majorBidi" w:cstheme="majorBidi"/>
              </w:rPr>
              <w:t>5</w:t>
            </w:r>
            <w:r w:rsidRPr="00A51DF8">
              <w:rPr>
                <w:rFonts w:asciiTheme="majorBidi" w:hAnsiTheme="majorBidi" w:cstheme="majorBidi"/>
              </w:rPr>
              <w:t xml:space="preserve"> minutes</w:t>
            </w:r>
          </w:p>
        </w:tc>
        <w:tc>
          <w:tcPr>
            <w:tcW w:w="1003" w:type="dxa"/>
          </w:tcPr>
          <w:p w:rsidR="008C4B73" w:rsidRPr="00A51DF8" w:rsidRDefault="008C4B73" w:rsidP="001B3A62">
            <w:pPr>
              <w:spacing w:line="240" w:lineRule="auto"/>
              <w:rPr>
                <w:rFonts w:asciiTheme="majorBidi" w:hAnsiTheme="majorBidi" w:cstheme="majorBidi"/>
              </w:rPr>
            </w:pPr>
            <w:r>
              <w:rPr>
                <w:rFonts w:asciiTheme="majorBidi" w:hAnsiTheme="majorBidi" w:cstheme="majorBidi"/>
              </w:rPr>
              <w:t>2</w:t>
            </w:r>
            <w:r w:rsidR="00897155">
              <w:rPr>
                <w:rFonts w:asciiTheme="majorBidi" w:hAnsiTheme="majorBidi" w:cstheme="majorBidi"/>
              </w:rPr>
              <w:t>7</w:t>
            </w:r>
          </w:p>
        </w:tc>
      </w:tr>
      <w:tr w:rsidR="008C4B73" w:rsidRPr="00A51DF8" w:rsidTr="001B3A62">
        <w:trPr>
          <w:trHeight w:val="287"/>
        </w:trPr>
        <w:tc>
          <w:tcPr>
            <w:tcW w:w="5418" w:type="dxa"/>
          </w:tcPr>
          <w:p w:rsidR="008C4B73" w:rsidRPr="00A51DF8" w:rsidRDefault="008C4B73" w:rsidP="001B3A62">
            <w:pPr>
              <w:spacing w:line="240" w:lineRule="auto"/>
              <w:rPr>
                <w:rFonts w:asciiTheme="majorBidi" w:hAnsiTheme="majorBidi" w:cstheme="majorBidi"/>
                <w:b/>
              </w:rPr>
            </w:pPr>
            <w:r w:rsidRPr="00A51DF8">
              <w:rPr>
                <w:rFonts w:asciiTheme="majorBidi" w:hAnsiTheme="majorBidi" w:cstheme="majorBidi"/>
                <w:b/>
              </w:rPr>
              <w:t>Totals</w:t>
            </w:r>
          </w:p>
        </w:tc>
        <w:tc>
          <w:tcPr>
            <w:tcW w:w="1530" w:type="dxa"/>
          </w:tcPr>
          <w:p w:rsidR="008C4B73" w:rsidRPr="00A51DF8" w:rsidRDefault="008C4B73" w:rsidP="001B3A62">
            <w:pPr>
              <w:spacing w:line="240" w:lineRule="auto"/>
              <w:rPr>
                <w:rFonts w:asciiTheme="majorBidi" w:hAnsiTheme="majorBidi" w:cstheme="majorBidi"/>
                <w:b/>
              </w:rPr>
            </w:pPr>
            <w:r>
              <w:rPr>
                <w:rFonts w:asciiTheme="majorBidi" w:hAnsiTheme="majorBidi" w:cstheme="majorBidi"/>
                <w:b/>
              </w:rPr>
              <w:t>320</w:t>
            </w:r>
          </w:p>
        </w:tc>
        <w:tc>
          <w:tcPr>
            <w:tcW w:w="1710" w:type="dxa"/>
          </w:tcPr>
          <w:p w:rsidR="008C4B73" w:rsidRPr="00A51DF8" w:rsidRDefault="008C4B73" w:rsidP="001B3A62">
            <w:pPr>
              <w:spacing w:line="240" w:lineRule="auto"/>
              <w:rPr>
                <w:rFonts w:asciiTheme="majorBidi" w:hAnsiTheme="majorBidi" w:cstheme="majorBidi"/>
                <w:b/>
                <w:bCs/>
              </w:rPr>
            </w:pPr>
            <w:r>
              <w:rPr>
                <w:rFonts w:asciiTheme="majorBidi" w:hAnsiTheme="majorBidi" w:cstheme="majorBidi"/>
                <w:b/>
                <w:bCs/>
              </w:rPr>
              <w:t>5</w:t>
            </w:r>
            <w:r w:rsidRPr="00A51DF8">
              <w:rPr>
                <w:rFonts w:asciiTheme="majorBidi" w:hAnsiTheme="majorBidi" w:cstheme="majorBidi"/>
                <w:b/>
                <w:bCs/>
              </w:rPr>
              <w:t xml:space="preserve"> minutes</w:t>
            </w:r>
          </w:p>
        </w:tc>
        <w:tc>
          <w:tcPr>
            <w:tcW w:w="1003" w:type="dxa"/>
          </w:tcPr>
          <w:p w:rsidR="008C4B73" w:rsidRPr="00A51DF8" w:rsidRDefault="008C4B73" w:rsidP="001B3A62">
            <w:pPr>
              <w:spacing w:line="240" w:lineRule="auto"/>
              <w:rPr>
                <w:rFonts w:asciiTheme="majorBidi" w:hAnsiTheme="majorBidi" w:cstheme="majorBidi"/>
                <w:b/>
              </w:rPr>
            </w:pPr>
            <w:r>
              <w:rPr>
                <w:rFonts w:asciiTheme="majorBidi" w:hAnsiTheme="majorBidi" w:cstheme="majorBidi"/>
                <w:b/>
              </w:rPr>
              <w:t>2</w:t>
            </w:r>
            <w:r w:rsidR="00897155">
              <w:rPr>
                <w:rFonts w:asciiTheme="majorBidi" w:hAnsiTheme="majorBidi" w:cstheme="majorBidi"/>
                <w:b/>
              </w:rPr>
              <w:t>7</w:t>
            </w:r>
          </w:p>
        </w:tc>
      </w:tr>
    </w:tbl>
    <w:p w:rsidR="008C4B73" w:rsidRDefault="008C4B73" w:rsidP="001B3A62">
      <w:pPr>
        <w:spacing w:line="240" w:lineRule="auto"/>
      </w:pPr>
    </w:p>
    <w:p w:rsidR="008C4B73" w:rsidRPr="008C4B73" w:rsidRDefault="008C4B73" w:rsidP="001B3A62">
      <w:pPr>
        <w:spacing w:line="240" w:lineRule="auto"/>
      </w:pPr>
      <w:r w:rsidRPr="008C4B73">
        <w:t>Focus Groups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A43825" w:rsidRPr="00954E9F">
        <w:trPr>
          <w:trHeight w:val="274"/>
        </w:trPr>
        <w:tc>
          <w:tcPr>
            <w:tcW w:w="5418" w:type="dxa"/>
          </w:tcPr>
          <w:p w:rsidR="00A43825" w:rsidRPr="001B3A62" w:rsidRDefault="00A43825" w:rsidP="001B3A62">
            <w:pPr>
              <w:spacing w:after="0" w:line="240" w:lineRule="auto"/>
              <w:rPr>
                <w:rFonts w:ascii="Times New Roman" w:hAnsi="Times New Roman" w:cs="Times New Roman"/>
                <w:b/>
                <w:bCs/>
              </w:rPr>
            </w:pPr>
            <w:r w:rsidRPr="001B3A62">
              <w:rPr>
                <w:rFonts w:ascii="Times New Roman" w:hAnsi="Times New Roman" w:cs="Times New Roman"/>
                <w:b/>
                <w:bCs/>
              </w:rPr>
              <w:t xml:space="preserve">Category of Respondent </w:t>
            </w:r>
          </w:p>
        </w:tc>
        <w:tc>
          <w:tcPr>
            <w:tcW w:w="1530" w:type="dxa"/>
          </w:tcPr>
          <w:p w:rsidR="00A43825" w:rsidRPr="001B3A62" w:rsidRDefault="00A43825" w:rsidP="001B3A62">
            <w:pPr>
              <w:spacing w:after="0" w:line="240" w:lineRule="auto"/>
              <w:rPr>
                <w:rFonts w:ascii="Times New Roman" w:hAnsi="Times New Roman" w:cs="Times New Roman"/>
                <w:b/>
                <w:bCs/>
              </w:rPr>
            </w:pPr>
            <w:r w:rsidRPr="001B3A62">
              <w:rPr>
                <w:rFonts w:ascii="Times New Roman" w:hAnsi="Times New Roman" w:cs="Times New Roman"/>
                <w:b/>
                <w:bCs/>
              </w:rPr>
              <w:t>No. of Respondents</w:t>
            </w:r>
          </w:p>
        </w:tc>
        <w:tc>
          <w:tcPr>
            <w:tcW w:w="1710" w:type="dxa"/>
          </w:tcPr>
          <w:p w:rsidR="00A43825" w:rsidRPr="001B3A62" w:rsidRDefault="00A43825" w:rsidP="001B3A62">
            <w:pPr>
              <w:spacing w:after="0" w:line="240" w:lineRule="auto"/>
              <w:rPr>
                <w:rFonts w:ascii="Times New Roman" w:hAnsi="Times New Roman" w:cs="Times New Roman"/>
                <w:b/>
                <w:bCs/>
              </w:rPr>
            </w:pPr>
            <w:r w:rsidRPr="001B3A62">
              <w:rPr>
                <w:rFonts w:ascii="Times New Roman" w:hAnsi="Times New Roman" w:cs="Times New Roman"/>
                <w:b/>
                <w:bCs/>
              </w:rPr>
              <w:t>Participation Time</w:t>
            </w:r>
          </w:p>
        </w:tc>
        <w:tc>
          <w:tcPr>
            <w:tcW w:w="1003" w:type="dxa"/>
          </w:tcPr>
          <w:p w:rsidR="00A43825" w:rsidRPr="001B3A62" w:rsidRDefault="00A43825" w:rsidP="001B3A62">
            <w:pPr>
              <w:spacing w:after="0" w:line="240" w:lineRule="auto"/>
              <w:rPr>
                <w:rFonts w:ascii="Times New Roman" w:hAnsi="Times New Roman" w:cs="Times New Roman"/>
                <w:b/>
                <w:bCs/>
              </w:rPr>
            </w:pPr>
            <w:r w:rsidRPr="001B3A62">
              <w:rPr>
                <w:rFonts w:ascii="Times New Roman" w:hAnsi="Times New Roman" w:cs="Times New Roman"/>
                <w:b/>
                <w:bCs/>
              </w:rPr>
              <w:t>Burden</w:t>
            </w:r>
            <w:r w:rsidR="006A18BF" w:rsidRPr="001B3A62">
              <w:rPr>
                <w:rFonts w:ascii="Times New Roman" w:hAnsi="Times New Roman" w:cs="Times New Roman"/>
                <w:b/>
                <w:bCs/>
              </w:rPr>
              <w:t xml:space="preserve"> Hours</w:t>
            </w:r>
          </w:p>
        </w:tc>
      </w:tr>
      <w:tr w:rsidR="00A43825" w:rsidRPr="00954E9F">
        <w:trPr>
          <w:trHeight w:val="274"/>
        </w:trPr>
        <w:tc>
          <w:tcPr>
            <w:tcW w:w="5418" w:type="dxa"/>
          </w:tcPr>
          <w:p w:rsidR="00A43825" w:rsidRPr="001B3A62" w:rsidRDefault="00A43825" w:rsidP="001B3A62">
            <w:pPr>
              <w:spacing w:after="0" w:line="240" w:lineRule="auto"/>
              <w:rPr>
                <w:rFonts w:ascii="Times New Roman" w:hAnsi="Times New Roman" w:cs="Times New Roman"/>
              </w:rPr>
            </w:pPr>
            <w:r w:rsidRPr="001B3A62">
              <w:rPr>
                <w:rFonts w:ascii="Times New Roman" w:hAnsi="Times New Roman" w:cs="Times New Roman"/>
              </w:rPr>
              <w:t>Individuals</w:t>
            </w:r>
          </w:p>
        </w:tc>
        <w:tc>
          <w:tcPr>
            <w:tcW w:w="1530" w:type="dxa"/>
          </w:tcPr>
          <w:p w:rsidR="00A43825" w:rsidRPr="001B3A62" w:rsidRDefault="006A18BF" w:rsidP="001B3A62">
            <w:pPr>
              <w:spacing w:after="0" w:line="240" w:lineRule="auto"/>
              <w:rPr>
                <w:rFonts w:ascii="Times New Roman" w:hAnsi="Times New Roman" w:cs="Times New Roman"/>
              </w:rPr>
            </w:pPr>
            <w:r w:rsidRPr="001B3A62">
              <w:rPr>
                <w:rFonts w:ascii="Times New Roman" w:hAnsi="Times New Roman" w:cs="Times New Roman"/>
              </w:rPr>
              <w:t>72</w:t>
            </w:r>
          </w:p>
        </w:tc>
        <w:tc>
          <w:tcPr>
            <w:tcW w:w="1710" w:type="dxa"/>
          </w:tcPr>
          <w:p w:rsidR="00A43825" w:rsidRPr="001B3A62" w:rsidRDefault="00A43825" w:rsidP="001B3A62">
            <w:pPr>
              <w:spacing w:after="0" w:line="240" w:lineRule="auto"/>
              <w:rPr>
                <w:rFonts w:ascii="Times New Roman" w:hAnsi="Times New Roman" w:cs="Times New Roman"/>
              </w:rPr>
            </w:pPr>
            <w:r w:rsidRPr="001B3A62">
              <w:rPr>
                <w:rFonts w:ascii="Times New Roman" w:hAnsi="Times New Roman" w:cs="Times New Roman"/>
              </w:rPr>
              <w:t>90 minutes</w:t>
            </w:r>
          </w:p>
        </w:tc>
        <w:tc>
          <w:tcPr>
            <w:tcW w:w="1003" w:type="dxa"/>
          </w:tcPr>
          <w:p w:rsidR="00A43825" w:rsidRPr="001B3A62" w:rsidRDefault="006A18BF" w:rsidP="001B3A62">
            <w:pPr>
              <w:spacing w:after="0" w:line="240" w:lineRule="auto"/>
              <w:rPr>
                <w:rFonts w:ascii="Times New Roman" w:hAnsi="Times New Roman" w:cs="Times New Roman"/>
              </w:rPr>
            </w:pPr>
            <w:r w:rsidRPr="001B3A62">
              <w:rPr>
                <w:rFonts w:ascii="Times New Roman" w:hAnsi="Times New Roman" w:cs="Times New Roman"/>
              </w:rPr>
              <w:t xml:space="preserve">108  </w:t>
            </w:r>
          </w:p>
        </w:tc>
      </w:tr>
      <w:tr w:rsidR="00A43825" w:rsidRPr="00954E9F">
        <w:trPr>
          <w:trHeight w:val="289"/>
        </w:trPr>
        <w:tc>
          <w:tcPr>
            <w:tcW w:w="5418" w:type="dxa"/>
          </w:tcPr>
          <w:p w:rsidR="00A43825" w:rsidRPr="001B3A62" w:rsidRDefault="00A43825" w:rsidP="001B3A62">
            <w:pPr>
              <w:spacing w:after="0" w:line="240" w:lineRule="auto"/>
              <w:rPr>
                <w:rFonts w:ascii="Times New Roman" w:hAnsi="Times New Roman" w:cs="Times New Roman"/>
                <w:b/>
                <w:bCs/>
              </w:rPr>
            </w:pPr>
            <w:r w:rsidRPr="001B3A62">
              <w:rPr>
                <w:rFonts w:ascii="Times New Roman" w:hAnsi="Times New Roman" w:cs="Times New Roman"/>
                <w:b/>
                <w:bCs/>
              </w:rPr>
              <w:t>Totals</w:t>
            </w:r>
          </w:p>
        </w:tc>
        <w:tc>
          <w:tcPr>
            <w:tcW w:w="1530" w:type="dxa"/>
          </w:tcPr>
          <w:p w:rsidR="00A43825" w:rsidRPr="001B3A62" w:rsidRDefault="006A18BF" w:rsidP="001B3A62">
            <w:pPr>
              <w:spacing w:after="0" w:line="240" w:lineRule="auto"/>
              <w:rPr>
                <w:rFonts w:ascii="Times New Roman" w:hAnsi="Times New Roman" w:cs="Times New Roman"/>
                <w:b/>
                <w:bCs/>
              </w:rPr>
            </w:pPr>
            <w:r w:rsidRPr="001B3A62">
              <w:rPr>
                <w:rFonts w:ascii="Times New Roman" w:hAnsi="Times New Roman" w:cs="Times New Roman"/>
                <w:b/>
                <w:bCs/>
              </w:rPr>
              <w:t>72</w:t>
            </w:r>
          </w:p>
        </w:tc>
        <w:tc>
          <w:tcPr>
            <w:tcW w:w="1710" w:type="dxa"/>
          </w:tcPr>
          <w:p w:rsidR="00A43825" w:rsidRPr="001B3A62" w:rsidRDefault="00A43825" w:rsidP="001B3A62">
            <w:pPr>
              <w:spacing w:after="0" w:line="240" w:lineRule="auto"/>
              <w:rPr>
                <w:rFonts w:ascii="Times New Roman" w:hAnsi="Times New Roman" w:cs="Times New Roman"/>
                <w:b/>
                <w:bCs/>
              </w:rPr>
            </w:pPr>
            <w:r w:rsidRPr="001B3A62">
              <w:rPr>
                <w:rFonts w:ascii="Times New Roman" w:hAnsi="Times New Roman" w:cs="Times New Roman"/>
                <w:b/>
                <w:bCs/>
              </w:rPr>
              <w:t>90 minutes</w:t>
            </w:r>
          </w:p>
        </w:tc>
        <w:tc>
          <w:tcPr>
            <w:tcW w:w="1003" w:type="dxa"/>
          </w:tcPr>
          <w:p w:rsidR="00A43825" w:rsidRPr="001B3A62" w:rsidRDefault="006A18BF" w:rsidP="001B3A62">
            <w:pPr>
              <w:spacing w:after="0" w:line="240" w:lineRule="auto"/>
              <w:rPr>
                <w:rFonts w:ascii="Times New Roman" w:hAnsi="Times New Roman" w:cs="Times New Roman"/>
                <w:b/>
                <w:bCs/>
              </w:rPr>
            </w:pPr>
            <w:r w:rsidRPr="001B3A62">
              <w:rPr>
                <w:rFonts w:ascii="Times New Roman" w:hAnsi="Times New Roman" w:cs="Times New Roman"/>
                <w:b/>
                <w:bCs/>
              </w:rPr>
              <w:t xml:space="preserve">108  </w:t>
            </w:r>
          </w:p>
        </w:tc>
      </w:tr>
    </w:tbl>
    <w:p w:rsidR="00A43825" w:rsidRDefault="00A43825" w:rsidP="00B05ACA"/>
    <w:p w:rsidR="00A43825" w:rsidRDefault="00A43825" w:rsidP="008C4B73">
      <w:pPr>
        <w:rPr>
          <w:b/>
          <w:bCs/>
        </w:rPr>
      </w:pPr>
      <w:r>
        <w:rPr>
          <w:b/>
          <w:bCs/>
        </w:rPr>
        <w:t xml:space="preserve">FEDERAL </w:t>
      </w:r>
      <w:smartTag w:uri="urn:schemas-microsoft-com:office:smarttags" w:element="stockticker">
        <w:r>
          <w:rPr>
            <w:b/>
            <w:bCs/>
          </w:rPr>
          <w:t>COST</w:t>
        </w:r>
      </w:smartTag>
      <w:r>
        <w:rPr>
          <w:b/>
          <w:bCs/>
        </w:rPr>
        <w:t xml:space="preserve">:  </w:t>
      </w:r>
      <w:r>
        <w:t xml:space="preserve">The estimated annual cost to the Federal government </w:t>
      </w:r>
      <w:proofErr w:type="gramStart"/>
      <w:r>
        <w:t xml:space="preserve">is  </w:t>
      </w:r>
      <w:r w:rsidRPr="0059124C">
        <w:rPr>
          <w:u w:val="single"/>
        </w:rPr>
        <w:t>_</w:t>
      </w:r>
      <w:proofErr w:type="gramEnd"/>
      <w:r w:rsidRPr="0059124C">
        <w:rPr>
          <w:u w:val="single"/>
        </w:rPr>
        <w:t>$</w:t>
      </w:r>
      <w:r w:rsidR="008C4B73">
        <w:rPr>
          <w:u w:val="single"/>
        </w:rPr>
        <w:t>10</w:t>
      </w:r>
      <w:r>
        <w:rPr>
          <w:u w:val="single"/>
        </w:rPr>
        <w:t>6</w:t>
      </w:r>
      <w:r w:rsidRPr="0059124C">
        <w:rPr>
          <w:u w:val="single"/>
        </w:rPr>
        <w:t>,000.00</w:t>
      </w:r>
      <w:r>
        <w:t>_</w:t>
      </w:r>
    </w:p>
    <w:p w:rsidR="00A43825" w:rsidRDefault="00A43825" w:rsidP="00B05ACA">
      <w:pPr>
        <w:rPr>
          <w:b/>
          <w:bCs/>
          <w:u w:val="single"/>
        </w:rPr>
      </w:pPr>
    </w:p>
    <w:p w:rsidR="00A43825" w:rsidRDefault="00A43825" w:rsidP="00B05ACA">
      <w:pPr>
        <w:rPr>
          <w:b/>
          <w:bCs/>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A43825" w:rsidRDefault="00A43825" w:rsidP="00B05ACA">
      <w:pPr>
        <w:rPr>
          <w:b/>
          <w:bCs/>
        </w:rPr>
      </w:pPr>
      <w:r>
        <w:rPr>
          <w:b/>
          <w:bCs/>
        </w:rPr>
        <w:t>The selection of your targeted respondents</w:t>
      </w:r>
    </w:p>
    <w:p w:rsidR="00A43825" w:rsidRDefault="00A43825" w:rsidP="00B05ACA">
      <w:pPr>
        <w:pStyle w:val="ListParagraph"/>
        <w:numPr>
          <w:ilvl w:val="0"/>
          <w:numId w:val="2"/>
        </w:numPr>
        <w:spacing w:after="0" w:line="240" w:lineRule="auto"/>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A43825" w:rsidRDefault="00A43825" w:rsidP="00B05ACA">
      <w:pPr>
        <w:pStyle w:val="ListParagraph"/>
      </w:pPr>
    </w:p>
    <w:p w:rsidR="00A43825" w:rsidRDefault="00A43825" w:rsidP="00B05AC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A43825" w:rsidRPr="006957BA" w:rsidRDefault="00A43825" w:rsidP="006E0C0B">
      <w:pPr>
        <w:pStyle w:val="ListParagraph"/>
        <w:ind w:left="0"/>
        <w:rPr>
          <w:sz w:val="24"/>
          <w:szCs w:val="24"/>
        </w:rPr>
      </w:pPr>
      <w:r w:rsidRPr="006957BA">
        <w:rPr>
          <w:sz w:val="24"/>
          <w:szCs w:val="24"/>
        </w:rPr>
        <w:t>For recruitment of respondents, we will us</w:t>
      </w:r>
      <w:r w:rsidR="00174C76">
        <w:rPr>
          <w:sz w:val="24"/>
          <w:szCs w:val="24"/>
        </w:rPr>
        <w:t>e</w:t>
      </w:r>
      <w:r w:rsidRPr="006957BA">
        <w:rPr>
          <w:sz w:val="24"/>
          <w:szCs w:val="24"/>
        </w:rPr>
        <w:t xml:space="preserve"> a professional focus group recruitment firm in each city (</w:t>
      </w:r>
      <w:smartTag w:uri="urn:schemas-microsoft-com:office:smarttags" w:element="stockticker">
        <w:r w:rsidRPr="006957BA">
          <w:rPr>
            <w:sz w:val="24"/>
            <w:szCs w:val="24"/>
          </w:rPr>
          <w:t>Chicago</w:t>
        </w:r>
      </w:smartTag>
      <w:r w:rsidRPr="006957BA">
        <w:rPr>
          <w:sz w:val="24"/>
          <w:szCs w:val="24"/>
        </w:rPr>
        <w:t xml:space="preserve"> and </w:t>
      </w:r>
      <w:smartTag w:uri="urn:schemas-microsoft-com:office:smarttags" w:element="stockticker">
        <w:r w:rsidRPr="006957BA">
          <w:rPr>
            <w:sz w:val="24"/>
            <w:szCs w:val="24"/>
          </w:rPr>
          <w:t>Memphis</w:t>
        </w:r>
      </w:smartTag>
      <w:r w:rsidRPr="006957BA">
        <w:rPr>
          <w:sz w:val="24"/>
          <w:szCs w:val="24"/>
        </w:rPr>
        <w:t xml:space="preserve">). Respondents will come from the facility database of persons who have previously indicated their willingness to participate in a focus group. </w:t>
      </w:r>
      <w:r w:rsidR="008C4B73">
        <w:rPr>
          <w:sz w:val="24"/>
          <w:szCs w:val="24"/>
        </w:rPr>
        <w:t>They will be contacted initially by phone</w:t>
      </w:r>
      <w:r w:rsidR="0014512D">
        <w:rPr>
          <w:sz w:val="24"/>
          <w:szCs w:val="24"/>
        </w:rPr>
        <w:t xml:space="preserve"> (see Attachment </w:t>
      </w:r>
      <w:r w:rsidR="0016048F">
        <w:rPr>
          <w:sz w:val="24"/>
          <w:szCs w:val="24"/>
        </w:rPr>
        <w:t>A for the introductory telephone script)</w:t>
      </w:r>
      <w:r w:rsidR="006E0C0B">
        <w:rPr>
          <w:sz w:val="24"/>
          <w:szCs w:val="24"/>
        </w:rPr>
        <w:t>.</w:t>
      </w:r>
      <w:r w:rsidR="008C4B73">
        <w:rPr>
          <w:sz w:val="24"/>
          <w:szCs w:val="24"/>
        </w:rPr>
        <w:t xml:space="preserve"> </w:t>
      </w:r>
    </w:p>
    <w:p w:rsidR="00A43825" w:rsidRPr="006957BA" w:rsidRDefault="00A43825" w:rsidP="0059124C">
      <w:pPr>
        <w:pStyle w:val="ListParagraph"/>
        <w:ind w:left="0"/>
        <w:rPr>
          <w:sz w:val="24"/>
          <w:szCs w:val="24"/>
        </w:rPr>
      </w:pPr>
    </w:p>
    <w:p w:rsidR="00A43825" w:rsidRPr="006957BA" w:rsidRDefault="00A43825" w:rsidP="008C4B73">
      <w:pPr>
        <w:pStyle w:val="ListParagraph"/>
        <w:ind w:left="0"/>
        <w:rPr>
          <w:sz w:val="24"/>
          <w:szCs w:val="24"/>
        </w:rPr>
      </w:pPr>
      <w:r w:rsidRPr="006957BA">
        <w:rPr>
          <w:sz w:val="24"/>
          <w:szCs w:val="24"/>
        </w:rPr>
        <w:t xml:space="preserve">The recruiters will use </w:t>
      </w:r>
      <w:r w:rsidR="008C4B73">
        <w:rPr>
          <w:sz w:val="24"/>
          <w:szCs w:val="24"/>
        </w:rPr>
        <w:t>the</w:t>
      </w:r>
      <w:r w:rsidRPr="006957BA">
        <w:rPr>
          <w:sz w:val="24"/>
          <w:szCs w:val="24"/>
        </w:rPr>
        <w:t xml:space="preserve"> screening instrument to further select the appropriate respondents</w:t>
      </w:r>
      <w:r w:rsidR="0016048F">
        <w:rPr>
          <w:sz w:val="24"/>
          <w:szCs w:val="24"/>
        </w:rPr>
        <w:t xml:space="preserve"> (see Attachment A)</w:t>
      </w:r>
      <w:r w:rsidRPr="006957BA">
        <w:rPr>
          <w:sz w:val="24"/>
          <w:szCs w:val="24"/>
        </w:rPr>
        <w:t>. This screening instrument will ensure that selected respondents meet study criteria and have not recently participated in a similar focus group.</w:t>
      </w:r>
    </w:p>
    <w:p w:rsidR="00A43825" w:rsidRDefault="00A43825" w:rsidP="00B05ACA">
      <w:pPr>
        <w:rPr>
          <w:b/>
          <w:bCs/>
        </w:rPr>
      </w:pPr>
    </w:p>
    <w:p w:rsidR="00A43825" w:rsidRDefault="00A43825" w:rsidP="00B05ACA">
      <w:pPr>
        <w:rPr>
          <w:b/>
          <w:bCs/>
        </w:rPr>
      </w:pPr>
      <w:r>
        <w:rPr>
          <w:b/>
          <w:bCs/>
        </w:rPr>
        <w:t>Administration of the Instrument</w:t>
      </w:r>
    </w:p>
    <w:p w:rsidR="00A43825" w:rsidRDefault="00A43825" w:rsidP="00B05ACA">
      <w:pPr>
        <w:pStyle w:val="ListParagraph"/>
        <w:numPr>
          <w:ilvl w:val="0"/>
          <w:numId w:val="3"/>
        </w:numPr>
        <w:spacing w:after="0" w:line="240" w:lineRule="auto"/>
      </w:pPr>
      <w:r>
        <w:t>How will you collect the information? (Check all that apply)</w:t>
      </w:r>
    </w:p>
    <w:p w:rsidR="00A43825" w:rsidRDefault="008C4B73" w:rsidP="006E0C0B">
      <w:pPr>
        <w:ind w:left="720"/>
      </w:pPr>
      <w:r>
        <w:t>[</w:t>
      </w:r>
      <w:r w:rsidR="00A43825">
        <w:t xml:space="preserve"> ] Web-based or other forms of Social Media </w:t>
      </w:r>
    </w:p>
    <w:p w:rsidR="00A43825" w:rsidRDefault="00A43825" w:rsidP="00B05ACA">
      <w:pPr>
        <w:ind w:left="720"/>
      </w:pPr>
      <w:r>
        <w:t>[</w:t>
      </w:r>
      <w:proofErr w:type="gramStart"/>
      <w:r w:rsidR="008C4B73">
        <w:t xml:space="preserve">X </w:t>
      </w:r>
      <w:r>
        <w:t>]</w:t>
      </w:r>
      <w:proofErr w:type="gramEnd"/>
      <w:r>
        <w:t xml:space="preserve"> Telephone</w:t>
      </w:r>
      <w:r>
        <w:tab/>
      </w:r>
    </w:p>
    <w:p w:rsidR="00A43825" w:rsidRDefault="00A43825" w:rsidP="00B05ACA">
      <w:pPr>
        <w:ind w:left="720"/>
      </w:pPr>
      <w:proofErr w:type="gramStart"/>
      <w:r>
        <w:t>[ X</w:t>
      </w:r>
      <w:proofErr w:type="gramEnd"/>
      <w:r>
        <w:t xml:space="preserve"> ] In-person</w:t>
      </w:r>
      <w:r>
        <w:tab/>
      </w:r>
    </w:p>
    <w:p w:rsidR="00A43825" w:rsidRDefault="00A43825" w:rsidP="00B05ACA">
      <w:pPr>
        <w:ind w:left="720"/>
      </w:pPr>
      <w:r>
        <w:t xml:space="preserve">[  ] Mail </w:t>
      </w:r>
    </w:p>
    <w:p w:rsidR="00A43825" w:rsidRDefault="00A43825" w:rsidP="00B05ACA">
      <w:pPr>
        <w:ind w:left="720"/>
      </w:pPr>
      <w:r>
        <w:t>[  ] Other, Explain</w:t>
      </w:r>
    </w:p>
    <w:p w:rsidR="00A43825" w:rsidRDefault="00A43825" w:rsidP="00B05ACA">
      <w:pPr>
        <w:pStyle w:val="ListParagraph"/>
        <w:numPr>
          <w:ilvl w:val="0"/>
          <w:numId w:val="3"/>
        </w:numPr>
        <w:spacing w:after="0" w:line="240" w:lineRule="auto"/>
      </w:pPr>
      <w:r>
        <w:t>Will interviewers or facilitators be used?  [ X ] Yes [  ] No</w:t>
      </w:r>
    </w:p>
    <w:p w:rsidR="00A43825" w:rsidRDefault="00A43825" w:rsidP="00B05ACA">
      <w:pPr>
        <w:pStyle w:val="ListParagraph"/>
        <w:ind w:left="360"/>
      </w:pPr>
      <w:r>
        <w:t xml:space="preserve"> </w:t>
      </w:r>
    </w:p>
    <w:p w:rsidR="00A43825" w:rsidRDefault="00A43825" w:rsidP="006E0C0B">
      <w:pPr>
        <w:rPr>
          <w:b/>
          <w:bCs/>
        </w:rPr>
      </w:pPr>
      <w:r w:rsidRPr="00F24CFC">
        <w:rPr>
          <w:b/>
          <w:bCs/>
        </w:rPr>
        <w:t>Please make sure that all instruments, instructions, and scripts are submitted with the request.</w:t>
      </w:r>
    </w:p>
    <w:p w:rsidR="006E0C0B" w:rsidRDefault="003F1612" w:rsidP="003F1612">
      <w:pPr>
        <w:rPr>
          <w:u w:val="single"/>
        </w:rPr>
      </w:pPr>
      <w:r w:rsidRPr="003F1612">
        <w:rPr>
          <w:u w:val="single"/>
        </w:rPr>
        <w:t>List of Attachments:</w:t>
      </w:r>
    </w:p>
    <w:p w:rsidR="003F1612" w:rsidRDefault="003F1612" w:rsidP="003F1612">
      <w:r>
        <w:t>Attachment A – Screening Questionnaire</w:t>
      </w:r>
    </w:p>
    <w:p w:rsidR="003F1612" w:rsidRDefault="003F1612" w:rsidP="003F1612">
      <w:r>
        <w:t>Attachment B – Focus Group Moderator Guide</w:t>
      </w:r>
    </w:p>
    <w:p w:rsidR="003F1612" w:rsidRDefault="003F1612" w:rsidP="003F1612">
      <w:r>
        <w:t>Attachment C – Focus Group Consent Form</w:t>
      </w:r>
    </w:p>
    <w:p w:rsidR="00A43825" w:rsidRDefault="006E0C0B" w:rsidP="006E0C0B">
      <w:r>
        <w:t>Attachment D – Draft Advertisement</w:t>
      </w:r>
      <w:r w:rsidR="006C0E0E">
        <w:t>s</w:t>
      </w:r>
    </w:p>
    <w:sectPr w:rsidR="00A43825" w:rsidSect="00B05ACA">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B19" w:rsidRDefault="002B4B19" w:rsidP="00EF77F6">
      <w:pPr>
        <w:spacing w:after="0" w:line="240" w:lineRule="auto"/>
      </w:pPr>
      <w:r>
        <w:separator/>
      </w:r>
    </w:p>
  </w:endnote>
  <w:endnote w:type="continuationSeparator" w:id="0">
    <w:p w:rsidR="002B4B19" w:rsidRDefault="002B4B19" w:rsidP="00EF7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B19" w:rsidRDefault="002B4B19" w:rsidP="00EF77F6">
      <w:pPr>
        <w:spacing w:after="0" w:line="240" w:lineRule="auto"/>
      </w:pPr>
      <w:r>
        <w:separator/>
      </w:r>
    </w:p>
  </w:footnote>
  <w:footnote w:type="continuationSeparator" w:id="0">
    <w:p w:rsidR="002B4B19" w:rsidRDefault="002B4B19" w:rsidP="00EF77F6">
      <w:pPr>
        <w:spacing w:after="0" w:line="240" w:lineRule="auto"/>
      </w:pPr>
      <w:r>
        <w:continuationSeparator/>
      </w:r>
    </w:p>
  </w:footnote>
  <w:footnote w:id="1">
    <w:p w:rsidR="00D64CFC" w:rsidRDefault="00D64CFC" w:rsidP="00EF77F6">
      <w:pPr>
        <w:pStyle w:val="FootnoteText"/>
      </w:pPr>
      <w:r>
        <w:rPr>
          <w:rStyle w:val="FootnoteReference"/>
        </w:rPr>
        <w:footnoteRef/>
      </w:r>
      <w:r>
        <w:t xml:space="preserve"> </w:t>
      </w:r>
      <w:hyperlink r:id="rId1" w:history="1">
        <w:r w:rsidRPr="00156848">
          <w:rPr>
            <w:rStyle w:val="Hyperlink"/>
          </w:rPr>
          <w:t>http://www.ers.usda.gov/briefing/rurality/whatisrural/</w:t>
        </w:r>
      </w:hyperlink>
    </w:p>
    <w:p w:rsidR="00D64CFC" w:rsidRDefault="00D64CFC" w:rsidP="00EF77F6">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06A66"/>
    <w:multiLevelType w:val="hybridMultilevel"/>
    <w:tmpl w:val="0D8C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EF0244"/>
    <w:multiLevelType w:val="hybridMultilevel"/>
    <w:tmpl w:val="0C06A3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373ADB"/>
    <w:multiLevelType w:val="hybridMultilevel"/>
    <w:tmpl w:val="B3265E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12192B"/>
    <w:multiLevelType w:val="hybridMultilevel"/>
    <w:tmpl w:val="56A2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4B6F31"/>
    <w:multiLevelType w:val="hybridMultilevel"/>
    <w:tmpl w:val="E258E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61335BF"/>
    <w:multiLevelType w:val="hybridMultilevel"/>
    <w:tmpl w:val="471A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2"/>
  </w:num>
  <w:num w:numId="5">
    <w:abstractNumId w:val="5"/>
  </w:num>
  <w:num w:numId="6">
    <w:abstractNumId w:val="0"/>
  </w:num>
  <w:num w:numId="7">
    <w:abstractNumId w:val="8"/>
  </w:num>
  <w:num w:numId="8">
    <w:abstractNumId w:val="3"/>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trackRevision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05ACA"/>
    <w:rsid w:val="000067A1"/>
    <w:rsid w:val="00054105"/>
    <w:rsid w:val="000B753B"/>
    <w:rsid w:val="000C26C6"/>
    <w:rsid w:val="0014512D"/>
    <w:rsid w:val="0016048F"/>
    <w:rsid w:val="00173D78"/>
    <w:rsid w:val="00174C76"/>
    <w:rsid w:val="00185EE5"/>
    <w:rsid w:val="001B3A62"/>
    <w:rsid w:val="001D25A0"/>
    <w:rsid w:val="001D335F"/>
    <w:rsid w:val="00214BFB"/>
    <w:rsid w:val="0022088D"/>
    <w:rsid w:val="00220BF0"/>
    <w:rsid w:val="002565A1"/>
    <w:rsid w:val="0026324E"/>
    <w:rsid w:val="0028205D"/>
    <w:rsid w:val="002B4B19"/>
    <w:rsid w:val="002D6674"/>
    <w:rsid w:val="002E0064"/>
    <w:rsid w:val="003377C6"/>
    <w:rsid w:val="003A386A"/>
    <w:rsid w:val="003F1612"/>
    <w:rsid w:val="003F1C5B"/>
    <w:rsid w:val="00434E33"/>
    <w:rsid w:val="004569DA"/>
    <w:rsid w:val="00483DC1"/>
    <w:rsid w:val="004E7A18"/>
    <w:rsid w:val="004F67E6"/>
    <w:rsid w:val="00561A9A"/>
    <w:rsid w:val="005650CB"/>
    <w:rsid w:val="00587750"/>
    <w:rsid w:val="0059124C"/>
    <w:rsid w:val="005C1BAF"/>
    <w:rsid w:val="005D3AAA"/>
    <w:rsid w:val="00636621"/>
    <w:rsid w:val="00636EC0"/>
    <w:rsid w:val="00645335"/>
    <w:rsid w:val="006800EF"/>
    <w:rsid w:val="006832D9"/>
    <w:rsid w:val="006957BA"/>
    <w:rsid w:val="006A04AD"/>
    <w:rsid w:val="006A18BF"/>
    <w:rsid w:val="006A44F7"/>
    <w:rsid w:val="006C0E0E"/>
    <w:rsid w:val="006D60C3"/>
    <w:rsid w:val="006E0C0B"/>
    <w:rsid w:val="00734C84"/>
    <w:rsid w:val="00771C32"/>
    <w:rsid w:val="007B6631"/>
    <w:rsid w:val="007C600D"/>
    <w:rsid w:val="007C7F23"/>
    <w:rsid w:val="007F07D4"/>
    <w:rsid w:val="00802091"/>
    <w:rsid w:val="00846A63"/>
    <w:rsid w:val="008613D7"/>
    <w:rsid w:val="0089298D"/>
    <w:rsid w:val="00895229"/>
    <w:rsid w:val="00897155"/>
    <w:rsid w:val="008C4B73"/>
    <w:rsid w:val="008F50D4"/>
    <w:rsid w:val="008F6A08"/>
    <w:rsid w:val="00916E99"/>
    <w:rsid w:val="009239AA"/>
    <w:rsid w:val="00926218"/>
    <w:rsid w:val="00954E9F"/>
    <w:rsid w:val="00993A87"/>
    <w:rsid w:val="009949C8"/>
    <w:rsid w:val="009B5058"/>
    <w:rsid w:val="009C13B9"/>
    <w:rsid w:val="009D2F1A"/>
    <w:rsid w:val="009E6DC7"/>
    <w:rsid w:val="009F4258"/>
    <w:rsid w:val="00A04D35"/>
    <w:rsid w:val="00A43825"/>
    <w:rsid w:val="00AC71BE"/>
    <w:rsid w:val="00AD2032"/>
    <w:rsid w:val="00B05ACA"/>
    <w:rsid w:val="00B60FB2"/>
    <w:rsid w:val="00C14CC4"/>
    <w:rsid w:val="00C444B2"/>
    <w:rsid w:val="00C65293"/>
    <w:rsid w:val="00C86E91"/>
    <w:rsid w:val="00CB10DA"/>
    <w:rsid w:val="00D1207E"/>
    <w:rsid w:val="00D3229A"/>
    <w:rsid w:val="00D64CFC"/>
    <w:rsid w:val="00D72CC6"/>
    <w:rsid w:val="00D87A35"/>
    <w:rsid w:val="00DD03D0"/>
    <w:rsid w:val="00DE5CBF"/>
    <w:rsid w:val="00DF5793"/>
    <w:rsid w:val="00E24DC8"/>
    <w:rsid w:val="00E54B03"/>
    <w:rsid w:val="00E84F9B"/>
    <w:rsid w:val="00E854FE"/>
    <w:rsid w:val="00EF77F6"/>
    <w:rsid w:val="00F06866"/>
    <w:rsid w:val="00F23400"/>
    <w:rsid w:val="00F24CFC"/>
    <w:rsid w:val="00F375C2"/>
    <w:rsid w:val="00F50231"/>
    <w:rsid w:val="00F954FB"/>
    <w:rsid w:val="00FE41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ACA"/>
    <w:pPr>
      <w:spacing w:after="200" w:line="276" w:lineRule="auto"/>
    </w:pPr>
    <w:rPr>
      <w:rFonts w:cs="Calibri"/>
      <w:sz w:val="22"/>
      <w:szCs w:val="22"/>
    </w:rPr>
  </w:style>
  <w:style w:type="paragraph" w:styleId="Heading2">
    <w:name w:val="heading 2"/>
    <w:basedOn w:val="Normal"/>
    <w:next w:val="Normal"/>
    <w:link w:val="Heading2Char"/>
    <w:uiPriority w:val="99"/>
    <w:qFormat/>
    <w:rsid w:val="00B05ACA"/>
    <w:pPr>
      <w:keepNext/>
      <w:spacing w:after="0" w:line="240" w:lineRule="auto"/>
      <w:jc w:val="center"/>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B05ACA"/>
    <w:rPr>
      <w:rFonts w:ascii="Times New Roman" w:hAnsi="Times New Roman" w:cs="Times New Roman"/>
      <w:b/>
      <w:bCs/>
      <w:sz w:val="24"/>
      <w:szCs w:val="24"/>
    </w:rPr>
  </w:style>
  <w:style w:type="paragraph" w:styleId="ListParagraph">
    <w:name w:val="List Paragraph"/>
    <w:basedOn w:val="Normal"/>
    <w:uiPriority w:val="99"/>
    <w:qFormat/>
    <w:rsid w:val="00B05ACA"/>
    <w:pPr>
      <w:ind w:left="720"/>
      <w:contextualSpacing/>
    </w:pPr>
  </w:style>
  <w:style w:type="paragraph" w:styleId="BodyText2">
    <w:name w:val="Body Text 2"/>
    <w:basedOn w:val="Normal"/>
    <w:link w:val="BodyText2Char1"/>
    <w:uiPriority w:val="99"/>
    <w:semiHidden/>
    <w:rsid w:val="00B05ACA"/>
    <w:pPr>
      <w:spacing w:after="120"/>
      <w:ind w:left="360"/>
    </w:pPr>
    <w:rPr>
      <w:rFonts w:cs="Times New Roman"/>
      <w:sz w:val="20"/>
      <w:szCs w:val="20"/>
    </w:rPr>
  </w:style>
  <w:style w:type="character" w:customStyle="1" w:styleId="BodyText2Char">
    <w:name w:val="Body Text 2 Char"/>
    <w:uiPriority w:val="99"/>
    <w:semiHidden/>
    <w:rsid w:val="009F7020"/>
    <w:rPr>
      <w:rFonts w:cs="Calibri"/>
    </w:rPr>
  </w:style>
  <w:style w:type="character" w:customStyle="1" w:styleId="BodyText2Char1">
    <w:name w:val="Body Text 2 Char1"/>
    <w:basedOn w:val="DefaultParagraphFont"/>
    <w:link w:val="BodyText2"/>
    <w:uiPriority w:val="99"/>
    <w:semiHidden/>
    <w:rsid w:val="00B05ACA"/>
  </w:style>
  <w:style w:type="paragraph" w:styleId="Header">
    <w:name w:val="header"/>
    <w:basedOn w:val="Normal"/>
    <w:link w:val="HeaderChar"/>
    <w:uiPriority w:val="99"/>
    <w:rsid w:val="00B05ACA"/>
    <w:pPr>
      <w:widowControl w:val="0"/>
      <w:tabs>
        <w:tab w:val="center" w:pos="4320"/>
        <w:tab w:val="right" w:pos="8640"/>
      </w:tabs>
      <w:spacing w:after="0" w:line="240" w:lineRule="auto"/>
    </w:pPr>
    <w:rPr>
      <w:rFonts w:ascii="Times New Roman" w:hAnsi="Times New Roman" w:cs="Times New Roman"/>
      <w:snapToGrid w:val="0"/>
      <w:sz w:val="24"/>
      <w:szCs w:val="24"/>
    </w:rPr>
  </w:style>
  <w:style w:type="character" w:customStyle="1" w:styleId="HeaderChar">
    <w:name w:val="Header Char"/>
    <w:link w:val="Header"/>
    <w:uiPriority w:val="99"/>
    <w:rsid w:val="00B05ACA"/>
    <w:rPr>
      <w:rFonts w:ascii="Times New Roman" w:hAnsi="Times New Roman" w:cs="Times New Roman"/>
      <w:snapToGrid w:val="0"/>
      <w:sz w:val="24"/>
      <w:szCs w:val="24"/>
    </w:rPr>
  </w:style>
  <w:style w:type="table" w:styleId="TableGrid">
    <w:name w:val="Table Grid"/>
    <w:basedOn w:val="TableNormal"/>
    <w:rsid w:val="00B05AC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3377C6"/>
    <w:rPr>
      <w:sz w:val="16"/>
      <w:szCs w:val="16"/>
    </w:rPr>
  </w:style>
  <w:style w:type="paragraph" w:styleId="CommentText">
    <w:name w:val="annotation text"/>
    <w:basedOn w:val="Normal"/>
    <w:link w:val="CommentTextChar"/>
    <w:uiPriority w:val="99"/>
    <w:semiHidden/>
    <w:unhideWhenUsed/>
    <w:rsid w:val="003377C6"/>
    <w:pPr>
      <w:spacing w:line="240" w:lineRule="auto"/>
    </w:pPr>
    <w:rPr>
      <w:rFonts w:cs="Times New Roman"/>
      <w:sz w:val="20"/>
      <w:szCs w:val="20"/>
    </w:rPr>
  </w:style>
  <w:style w:type="character" w:customStyle="1" w:styleId="CommentTextChar">
    <w:name w:val="Comment Text Char"/>
    <w:link w:val="CommentText"/>
    <w:uiPriority w:val="99"/>
    <w:semiHidden/>
    <w:rsid w:val="003377C6"/>
    <w:rPr>
      <w:rFonts w:cs="Calibri"/>
      <w:sz w:val="20"/>
      <w:szCs w:val="20"/>
    </w:rPr>
  </w:style>
  <w:style w:type="paragraph" w:styleId="CommentSubject">
    <w:name w:val="annotation subject"/>
    <w:basedOn w:val="CommentText"/>
    <w:next w:val="CommentText"/>
    <w:link w:val="CommentSubjectChar"/>
    <w:uiPriority w:val="99"/>
    <w:semiHidden/>
    <w:unhideWhenUsed/>
    <w:rsid w:val="003377C6"/>
    <w:rPr>
      <w:b/>
      <w:bCs/>
    </w:rPr>
  </w:style>
  <w:style w:type="character" w:customStyle="1" w:styleId="CommentSubjectChar">
    <w:name w:val="Comment Subject Char"/>
    <w:link w:val="CommentSubject"/>
    <w:uiPriority w:val="99"/>
    <w:semiHidden/>
    <w:rsid w:val="003377C6"/>
    <w:rPr>
      <w:rFonts w:cs="Calibri"/>
      <w:b/>
      <w:bCs/>
      <w:sz w:val="20"/>
      <w:szCs w:val="20"/>
    </w:rPr>
  </w:style>
  <w:style w:type="paragraph" w:styleId="BalloonText">
    <w:name w:val="Balloon Text"/>
    <w:basedOn w:val="Normal"/>
    <w:link w:val="BalloonTextChar"/>
    <w:uiPriority w:val="99"/>
    <w:semiHidden/>
    <w:unhideWhenUsed/>
    <w:rsid w:val="003377C6"/>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3377C6"/>
    <w:rPr>
      <w:rFonts w:ascii="Tahoma" w:hAnsi="Tahoma" w:cs="Tahoma"/>
      <w:sz w:val="16"/>
      <w:szCs w:val="16"/>
    </w:rPr>
  </w:style>
  <w:style w:type="paragraph" w:styleId="FootnoteText">
    <w:name w:val="footnote text"/>
    <w:basedOn w:val="Normal"/>
    <w:link w:val="FootnoteTextChar"/>
    <w:uiPriority w:val="99"/>
    <w:semiHidden/>
    <w:unhideWhenUsed/>
    <w:rsid w:val="00EF77F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F77F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F77F6"/>
    <w:rPr>
      <w:vertAlign w:val="superscript"/>
    </w:rPr>
  </w:style>
  <w:style w:type="character" w:styleId="Hyperlink">
    <w:name w:val="Hyperlink"/>
    <w:basedOn w:val="DefaultParagraphFont"/>
    <w:uiPriority w:val="99"/>
    <w:unhideWhenUsed/>
    <w:rsid w:val="00EF77F6"/>
    <w:rPr>
      <w:color w:val="0000FF" w:themeColor="hyperlink"/>
      <w:u w:val="single"/>
    </w:rPr>
  </w:style>
  <w:style w:type="paragraph" w:customStyle="1" w:styleId="bodytext">
    <w:name w:val="body text"/>
    <w:basedOn w:val="Normal"/>
    <w:rsid w:val="00561A9A"/>
    <w:pPr>
      <w:spacing w:after="240" w:line="300" w:lineRule="exact"/>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rs.usda.gov/briefing/rurality/whatisru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5813A-AADD-4721-A265-785FCAE0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1471</Words>
  <Characters>8070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(OMB Control Number: 0935-0</vt:lpstr>
    </vt:vector>
  </TitlesOfParts>
  <Company>DHHS</Company>
  <LinksUpToDate>false</LinksUpToDate>
  <CharactersWithSpaces>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0935-0</dc:title>
  <dc:subject/>
  <dc:creator>DHHS</dc:creator>
  <cp:keywords/>
  <cp:lastModifiedBy>DHHS</cp:lastModifiedBy>
  <cp:revision>2</cp:revision>
  <dcterms:created xsi:type="dcterms:W3CDTF">2011-09-28T15:06:00Z</dcterms:created>
  <dcterms:modified xsi:type="dcterms:W3CDTF">2011-09-28T15:06:00Z</dcterms:modified>
</cp:coreProperties>
</file>