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F" w:rsidRDefault="007B77EF" w:rsidP="007B77EF">
      <w:pPr>
        <w:pStyle w:val="EndnoteText"/>
        <w:tabs>
          <w:tab w:val="left" w:pos="360"/>
          <w:tab w:val="left" w:pos="720"/>
          <w:tab w:val="left" w:pos="1080"/>
          <w:tab w:val="left" w:pos="4680"/>
          <w:tab w:val="left" w:pos="5940"/>
        </w:tabs>
        <w:rPr>
          <w:sz w:val="24"/>
          <w:szCs w:val="24"/>
        </w:rPr>
      </w:pPr>
      <w:bookmarkStart w:id="0" w:name="_GoBack"/>
      <w:bookmarkEnd w:id="0"/>
    </w:p>
    <w:p w:rsidR="007B77EF" w:rsidRDefault="007B77EF" w:rsidP="007B77EF">
      <w:pPr>
        <w:pStyle w:val="EndnoteText"/>
        <w:tabs>
          <w:tab w:val="left" w:pos="360"/>
          <w:tab w:val="left" w:pos="720"/>
          <w:tab w:val="left" w:pos="1080"/>
          <w:tab w:val="left" w:pos="4680"/>
          <w:tab w:val="left" w:pos="5940"/>
        </w:tabs>
        <w:rPr>
          <w:sz w:val="24"/>
          <w:szCs w:val="24"/>
        </w:rPr>
      </w:pPr>
    </w:p>
    <w:p w:rsidR="007B77EF" w:rsidRPr="0043596B" w:rsidRDefault="007B77EF" w:rsidP="007B77EF">
      <w:pPr>
        <w:jc w:val="center"/>
        <w:rPr>
          <w:i/>
          <w:sz w:val="28"/>
          <w:szCs w:val="28"/>
        </w:rPr>
      </w:pPr>
    </w:p>
    <w:p w:rsidR="007B77EF" w:rsidRPr="00FC633E" w:rsidRDefault="007B77EF" w:rsidP="007B77EF">
      <w:pPr>
        <w:jc w:val="center"/>
        <w:rPr>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r w:rsidRPr="00456179">
        <w:rPr>
          <w:b/>
          <w:sz w:val="28"/>
          <w:szCs w:val="28"/>
        </w:rPr>
        <w:t>SUPPORTING STATEMENT</w:t>
      </w:r>
    </w:p>
    <w:p w:rsidR="007B77EF" w:rsidRDefault="007B77EF" w:rsidP="007B77EF">
      <w:pPr>
        <w:jc w:val="center"/>
        <w:rPr>
          <w:b/>
          <w:sz w:val="28"/>
          <w:szCs w:val="28"/>
        </w:rPr>
      </w:pPr>
    </w:p>
    <w:p w:rsidR="007B77EF" w:rsidRDefault="007B77EF" w:rsidP="007B77EF">
      <w:pPr>
        <w:jc w:val="center"/>
        <w:rPr>
          <w:sz w:val="28"/>
          <w:szCs w:val="28"/>
        </w:rPr>
      </w:pPr>
      <w:r>
        <w:rPr>
          <w:b/>
          <w:sz w:val="28"/>
          <w:szCs w:val="28"/>
        </w:rPr>
        <w:t>Part B</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C8776C" w:rsidRDefault="00C8776C" w:rsidP="00C8776C">
      <w:pPr>
        <w:jc w:val="center"/>
        <w:rPr>
          <w:sz w:val="28"/>
          <w:szCs w:val="28"/>
        </w:rPr>
      </w:pPr>
      <w:r>
        <w:rPr>
          <w:sz w:val="28"/>
          <w:szCs w:val="28"/>
        </w:rPr>
        <w:t>Understanding Development Methods from Other Industries to Improve the Design of Consumer Health IT</w:t>
      </w:r>
    </w:p>
    <w:p w:rsidR="00C8776C" w:rsidRPr="00E41110" w:rsidRDefault="00C8776C" w:rsidP="00C8776C">
      <w:pPr>
        <w:jc w:val="center"/>
        <w:rPr>
          <w:sz w:val="28"/>
          <w:szCs w:val="28"/>
        </w:rPr>
      </w:pPr>
    </w:p>
    <w:p w:rsidR="00C8776C" w:rsidRDefault="00C8776C" w:rsidP="00C8776C">
      <w:pPr>
        <w:jc w:val="center"/>
        <w:rPr>
          <w:sz w:val="28"/>
          <w:szCs w:val="28"/>
        </w:rPr>
      </w:pPr>
    </w:p>
    <w:p w:rsidR="00C8776C" w:rsidRDefault="00C8776C" w:rsidP="00C8776C">
      <w:pPr>
        <w:jc w:val="center"/>
        <w:rPr>
          <w:sz w:val="28"/>
          <w:szCs w:val="28"/>
        </w:rPr>
      </w:pPr>
    </w:p>
    <w:p w:rsidR="00C8776C" w:rsidRPr="00C4006D" w:rsidRDefault="00C8776C" w:rsidP="00C8776C">
      <w:pPr>
        <w:jc w:val="center"/>
        <w:rPr>
          <w:i/>
          <w:sz w:val="28"/>
          <w:szCs w:val="28"/>
        </w:rPr>
      </w:pPr>
      <w:r w:rsidRPr="00E41110">
        <w:rPr>
          <w:sz w:val="28"/>
          <w:szCs w:val="28"/>
        </w:rPr>
        <w:t>Version:</w:t>
      </w:r>
      <w:r w:rsidRPr="00D31151">
        <w:rPr>
          <w:sz w:val="28"/>
          <w:szCs w:val="28"/>
        </w:rPr>
        <w:t xml:space="preserve"> </w:t>
      </w:r>
      <w:r w:rsidR="00491580">
        <w:rPr>
          <w:sz w:val="28"/>
          <w:szCs w:val="28"/>
        </w:rPr>
        <w:t>July 28, 2011</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r w:rsidRPr="00677A0B">
        <w:rPr>
          <w:sz w:val="28"/>
          <w:szCs w:val="28"/>
        </w:rPr>
        <w:t xml:space="preserve">Agency </w:t>
      </w:r>
      <w:r w:rsidR="00921626">
        <w:rPr>
          <w:sz w:val="28"/>
          <w:szCs w:val="28"/>
        </w:rPr>
        <w:t>for</w:t>
      </w:r>
      <w:r w:rsidRPr="00677A0B">
        <w:rPr>
          <w:sz w:val="28"/>
          <w:szCs w:val="28"/>
        </w:rPr>
        <w:t xml:space="preserve"> Healthcare Research and Quality (AHRQ)</w:t>
      </w:r>
    </w:p>
    <w:p w:rsidR="007B77EF" w:rsidRDefault="007B77EF" w:rsidP="007B77EF">
      <w:pPr>
        <w:rPr>
          <w:sz w:val="28"/>
          <w:szCs w:val="28"/>
        </w:rPr>
      </w:pPr>
    </w:p>
    <w:p w:rsidR="007B77EF" w:rsidRDefault="007B77EF" w:rsidP="007B77EF">
      <w:pPr>
        <w:rPr>
          <w:sz w:val="28"/>
          <w:szCs w:val="28"/>
        </w:rPr>
      </w:pPr>
    </w:p>
    <w:p w:rsidR="007B77EF" w:rsidRDefault="007B77EF" w:rsidP="007B77EF">
      <w:pPr>
        <w:jc w:val="center"/>
      </w:pPr>
      <w:r>
        <w:br w:type="page"/>
      </w:r>
      <w:bookmarkStart w:id="1" w:name="_Toc151782198"/>
      <w:bookmarkStart w:id="2" w:name="_Toc158526234"/>
    </w:p>
    <w:p w:rsidR="007B77EF" w:rsidRDefault="007B77EF" w:rsidP="007B77EF">
      <w:pPr>
        <w:pStyle w:val="TOCHeading"/>
        <w:jc w:val="center"/>
        <w:rPr>
          <w:rFonts w:ascii="Times New Roman" w:hAnsi="Times New Roman"/>
          <w:color w:val="auto"/>
          <w:sz w:val="24"/>
          <w:szCs w:val="24"/>
        </w:rPr>
      </w:pPr>
      <w:r w:rsidRPr="00227821">
        <w:rPr>
          <w:rFonts w:ascii="Times New Roman" w:hAnsi="Times New Roman"/>
          <w:color w:val="auto"/>
          <w:sz w:val="24"/>
          <w:szCs w:val="24"/>
        </w:rPr>
        <w:lastRenderedPageBreak/>
        <w:t>Table of Contents</w:t>
      </w:r>
    </w:p>
    <w:p w:rsidR="007B77EF" w:rsidRPr="00227821" w:rsidRDefault="007B77EF" w:rsidP="007B77EF"/>
    <w:p w:rsidR="004C5CBB" w:rsidRDefault="001D6444">
      <w:pPr>
        <w:pStyle w:val="TOC1"/>
        <w:tabs>
          <w:tab w:val="right" w:leader="dot" w:pos="8630"/>
        </w:tabs>
        <w:rPr>
          <w:rFonts w:asciiTheme="minorHAnsi" w:eastAsiaTheme="minorEastAsia" w:hAnsiTheme="minorHAnsi" w:cstheme="minorBidi"/>
          <w:noProof/>
          <w:sz w:val="22"/>
          <w:szCs w:val="22"/>
        </w:rPr>
      </w:pPr>
      <w:r w:rsidRPr="002B60D8">
        <w:fldChar w:fldCharType="begin"/>
      </w:r>
      <w:r w:rsidR="007B77EF" w:rsidRPr="002B60D8">
        <w:instrText xml:space="preserve"> TOC \o "1-3" \h \z \u </w:instrText>
      </w:r>
      <w:r w:rsidRPr="002B60D8">
        <w:fldChar w:fldCharType="separate"/>
      </w:r>
      <w:hyperlink w:anchor="_Toc289687709" w:history="1">
        <w:r w:rsidR="004C5CBB" w:rsidRPr="00E3624E">
          <w:rPr>
            <w:rStyle w:val="Hyperlink"/>
            <w:noProof/>
          </w:rPr>
          <w:t>B. Collections of Information Employing Statistical Methods</w:t>
        </w:r>
        <w:r w:rsidR="004C5CBB">
          <w:rPr>
            <w:noProof/>
            <w:webHidden/>
          </w:rPr>
          <w:tab/>
        </w:r>
        <w:r>
          <w:rPr>
            <w:noProof/>
            <w:webHidden/>
          </w:rPr>
          <w:fldChar w:fldCharType="begin"/>
        </w:r>
        <w:r w:rsidR="004C5CBB">
          <w:rPr>
            <w:noProof/>
            <w:webHidden/>
          </w:rPr>
          <w:instrText xml:space="preserve"> PAGEREF _Toc289687709 \h </w:instrText>
        </w:r>
        <w:r>
          <w:rPr>
            <w:noProof/>
            <w:webHidden/>
          </w:rPr>
        </w:r>
        <w:r>
          <w:rPr>
            <w:noProof/>
            <w:webHidden/>
          </w:rPr>
          <w:fldChar w:fldCharType="separate"/>
        </w:r>
        <w:r w:rsidR="004C5CBB">
          <w:rPr>
            <w:noProof/>
            <w:webHidden/>
          </w:rPr>
          <w:t>3</w:t>
        </w:r>
        <w:r>
          <w:rPr>
            <w:noProof/>
            <w:webHidden/>
          </w:rPr>
          <w:fldChar w:fldCharType="end"/>
        </w:r>
      </w:hyperlink>
    </w:p>
    <w:p w:rsidR="004C5CBB" w:rsidRDefault="001D6444">
      <w:pPr>
        <w:pStyle w:val="TOC1"/>
        <w:tabs>
          <w:tab w:val="right" w:leader="dot" w:pos="8630"/>
        </w:tabs>
        <w:rPr>
          <w:rFonts w:asciiTheme="minorHAnsi" w:eastAsiaTheme="minorEastAsia" w:hAnsiTheme="minorHAnsi" w:cstheme="minorBidi"/>
          <w:noProof/>
          <w:sz w:val="22"/>
          <w:szCs w:val="22"/>
        </w:rPr>
      </w:pPr>
      <w:hyperlink w:anchor="_Toc289687710" w:history="1">
        <w:r w:rsidRPr="001D6444">
          <w:rPr>
            <w:rStyle w:val="Hyperlink"/>
            <w:noProof/>
          </w:rPr>
          <w:t>1. Respondent Universe and Sampling Methods</w:t>
        </w:r>
        <w:r w:rsidR="004C5CBB">
          <w:rPr>
            <w:noProof/>
            <w:webHidden/>
          </w:rPr>
          <w:tab/>
        </w:r>
        <w:r>
          <w:rPr>
            <w:noProof/>
            <w:webHidden/>
          </w:rPr>
          <w:fldChar w:fldCharType="begin"/>
        </w:r>
        <w:r w:rsidR="004C5CBB">
          <w:rPr>
            <w:noProof/>
            <w:webHidden/>
          </w:rPr>
          <w:instrText xml:space="preserve"> PAGEREF _Toc289687710 \h </w:instrText>
        </w:r>
        <w:r>
          <w:rPr>
            <w:noProof/>
            <w:webHidden/>
          </w:rPr>
        </w:r>
        <w:r>
          <w:rPr>
            <w:noProof/>
            <w:webHidden/>
          </w:rPr>
          <w:fldChar w:fldCharType="separate"/>
        </w:r>
        <w:r w:rsidR="004C5CBB">
          <w:rPr>
            <w:noProof/>
            <w:webHidden/>
          </w:rPr>
          <w:t>3</w:t>
        </w:r>
        <w:r>
          <w:rPr>
            <w:noProof/>
            <w:webHidden/>
          </w:rPr>
          <w:fldChar w:fldCharType="end"/>
        </w:r>
      </w:hyperlink>
    </w:p>
    <w:p w:rsidR="004C5CBB" w:rsidRDefault="001D6444">
      <w:pPr>
        <w:pStyle w:val="TOC1"/>
        <w:tabs>
          <w:tab w:val="right" w:leader="dot" w:pos="8630"/>
        </w:tabs>
        <w:rPr>
          <w:rFonts w:asciiTheme="minorHAnsi" w:eastAsiaTheme="minorEastAsia" w:hAnsiTheme="minorHAnsi" w:cstheme="minorBidi"/>
          <w:noProof/>
          <w:sz w:val="22"/>
          <w:szCs w:val="22"/>
        </w:rPr>
      </w:pPr>
      <w:hyperlink w:anchor="_Toc289687711" w:history="1">
        <w:r w:rsidR="004C5CBB" w:rsidRPr="00E3624E">
          <w:rPr>
            <w:rStyle w:val="Hyperlink"/>
            <w:noProof/>
          </w:rPr>
          <w:t>2. Information Collection Procedures</w:t>
        </w:r>
        <w:r w:rsidR="004C5CBB">
          <w:rPr>
            <w:noProof/>
            <w:webHidden/>
          </w:rPr>
          <w:tab/>
        </w:r>
        <w:r>
          <w:rPr>
            <w:noProof/>
            <w:webHidden/>
          </w:rPr>
          <w:fldChar w:fldCharType="begin"/>
        </w:r>
        <w:r w:rsidR="004C5CBB">
          <w:rPr>
            <w:noProof/>
            <w:webHidden/>
          </w:rPr>
          <w:instrText xml:space="preserve"> PAGEREF _Toc289687711 \h </w:instrText>
        </w:r>
        <w:r>
          <w:rPr>
            <w:noProof/>
            <w:webHidden/>
          </w:rPr>
        </w:r>
        <w:r>
          <w:rPr>
            <w:noProof/>
            <w:webHidden/>
          </w:rPr>
          <w:fldChar w:fldCharType="separate"/>
        </w:r>
        <w:r w:rsidR="004C5CBB">
          <w:rPr>
            <w:noProof/>
            <w:webHidden/>
          </w:rPr>
          <w:t>4</w:t>
        </w:r>
        <w:r>
          <w:rPr>
            <w:noProof/>
            <w:webHidden/>
          </w:rPr>
          <w:fldChar w:fldCharType="end"/>
        </w:r>
      </w:hyperlink>
    </w:p>
    <w:p w:rsidR="004C5CBB" w:rsidRDefault="001D6444">
      <w:pPr>
        <w:pStyle w:val="TOC1"/>
        <w:tabs>
          <w:tab w:val="right" w:leader="dot" w:pos="8630"/>
        </w:tabs>
        <w:rPr>
          <w:rFonts w:asciiTheme="minorHAnsi" w:eastAsiaTheme="minorEastAsia" w:hAnsiTheme="minorHAnsi" w:cstheme="minorBidi"/>
          <w:noProof/>
          <w:sz w:val="22"/>
          <w:szCs w:val="22"/>
        </w:rPr>
      </w:pPr>
      <w:hyperlink w:anchor="_Toc289687712" w:history="1">
        <w:r w:rsidR="004C5CBB" w:rsidRPr="00E3624E">
          <w:rPr>
            <w:rStyle w:val="Hyperlink"/>
            <w:noProof/>
          </w:rPr>
          <w:t>3. Methods to Maximize Response Rates</w:t>
        </w:r>
        <w:r w:rsidR="004C5CBB">
          <w:rPr>
            <w:noProof/>
            <w:webHidden/>
          </w:rPr>
          <w:tab/>
        </w:r>
        <w:r>
          <w:rPr>
            <w:noProof/>
            <w:webHidden/>
          </w:rPr>
          <w:fldChar w:fldCharType="begin"/>
        </w:r>
        <w:r w:rsidR="004C5CBB">
          <w:rPr>
            <w:noProof/>
            <w:webHidden/>
          </w:rPr>
          <w:instrText xml:space="preserve"> PAGEREF _Toc289687712 \h </w:instrText>
        </w:r>
        <w:r>
          <w:rPr>
            <w:noProof/>
            <w:webHidden/>
          </w:rPr>
        </w:r>
        <w:r>
          <w:rPr>
            <w:noProof/>
            <w:webHidden/>
          </w:rPr>
          <w:fldChar w:fldCharType="separate"/>
        </w:r>
        <w:r w:rsidR="004C5CBB">
          <w:rPr>
            <w:noProof/>
            <w:webHidden/>
          </w:rPr>
          <w:t>4</w:t>
        </w:r>
        <w:r>
          <w:rPr>
            <w:noProof/>
            <w:webHidden/>
          </w:rPr>
          <w:fldChar w:fldCharType="end"/>
        </w:r>
      </w:hyperlink>
    </w:p>
    <w:p w:rsidR="004C5CBB" w:rsidRDefault="001D6444">
      <w:pPr>
        <w:pStyle w:val="TOC1"/>
        <w:tabs>
          <w:tab w:val="right" w:leader="dot" w:pos="8630"/>
        </w:tabs>
        <w:rPr>
          <w:rFonts w:asciiTheme="minorHAnsi" w:eastAsiaTheme="minorEastAsia" w:hAnsiTheme="minorHAnsi" w:cstheme="minorBidi"/>
          <w:noProof/>
          <w:sz w:val="22"/>
          <w:szCs w:val="22"/>
        </w:rPr>
      </w:pPr>
      <w:hyperlink w:anchor="_Toc289687713" w:history="1">
        <w:r w:rsidR="004C5CBB" w:rsidRPr="00E3624E">
          <w:rPr>
            <w:rStyle w:val="Hyperlink"/>
            <w:noProof/>
          </w:rPr>
          <w:t>4. Tests of Procedures</w:t>
        </w:r>
        <w:r w:rsidR="004C5CBB">
          <w:rPr>
            <w:noProof/>
            <w:webHidden/>
          </w:rPr>
          <w:tab/>
        </w:r>
        <w:r>
          <w:rPr>
            <w:noProof/>
            <w:webHidden/>
          </w:rPr>
          <w:fldChar w:fldCharType="begin"/>
        </w:r>
        <w:r w:rsidR="004C5CBB">
          <w:rPr>
            <w:noProof/>
            <w:webHidden/>
          </w:rPr>
          <w:instrText xml:space="preserve"> PAGEREF _Toc289687713 \h </w:instrText>
        </w:r>
        <w:r>
          <w:rPr>
            <w:noProof/>
            <w:webHidden/>
          </w:rPr>
        </w:r>
        <w:r>
          <w:rPr>
            <w:noProof/>
            <w:webHidden/>
          </w:rPr>
          <w:fldChar w:fldCharType="separate"/>
        </w:r>
        <w:r w:rsidR="004C5CBB">
          <w:rPr>
            <w:noProof/>
            <w:webHidden/>
          </w:rPr>
          <w:t>4</w:t>
        </w:r>
        <w:r>
          <w:rPr>
            <w:noProof/>
            <w:webHidden/>
          </w:rPr>
          <w:fldChar w:fldCharType="end"/>
        </w:r>
      </w:hyperlink>
    </w:p>
    <w:p w:rsidR="004C5CBB" w:rsidRDefault="001D6444">
      <w:pPr>
        <w:pStyle w:val="TOC1"/>
        <w:tabs>
          <w:tab w:val="right" w:leader="dot" w:pos="8630"/>
        </w:tabs>
        <w:rPr>
          <w:rFonts w:asciiTheme="minorHAnsi" w:eastAsiaTheme="minorEastAsia" w:hAnsiTheme="minorHAnsi" w:cstheme="minorBidi"/>
          <w:noProof/>
          <w:sz w:val="22"/>
          <w:szCs w:val="22"/>
        </w:rPr>
      </w:pPr>
      <w:hyperlink w:anchor="_Toc289687714" w:history="1">
        <w:r w:rsidR="004C5CBB" w:rsidRPr="00E3624E">
          <w:rPr>
            <w:rStyle w:val="Hyperlink"/>
            <w:noProof/>
          </w:rPr>
          <w:t>5. Statistical Consultants</w:t>
        </w:r>
        <w:r w:rsidR="004C5CBB">
          <w:rPr>
            <w:noProof/>
            <w:webHidden/>
          </w:rPr>
          <w:tab/>
        </w:r>
        <w:r>
          <w:rPr>
            <w:noProof/>
            <w:webHidden/>
          </w:rPr>
          <w:fldChar w:fldCharType="begin"/>
        </w:r>
        <w:r w:rsidR="004C5CBB">
          <w:rPr>
            <w:noProof/>
            <w:webHidden/>
          </w:rPr>
          <w:instrText xml:space="preserve"> PAGEREF _Toc289687714 \h </w:instrText>
        </w:r>
        <w:r>
          <w:rPr>
            <w:noProof/>
            <w:webHidden/>
          </w:rPr>
        </w:r>
        <w:r>
          <w:rPr>
            <w:noProof/>
            <w:webHidden/>
          </w:rPr>
          <w:fldChar w:fldCharType="separate"/>
        </w:r>
        <w:r w:rsidR="004C5CBB">
          <w:rPr>
            <w:noProof/>
            <w:webHidden/>
          </w:rPr>
          <w:t>6</w:t>
        </w:r>
        <w:r>
          <w:rPr>
            <w:noProof/>
            <w:webHidden/>
          </w:rPr>
          <w:fldChar w:fldCharType="end"/>
        </w:r>
      </w:hyperlink>
    </w:p>
    <w:p w:rsidR="007B77EF" w:rsidRPr="002B60D8" w:rsidRDefault="001D6444">
      <w:r w:rsidRPr="002B60D8">
        <w:fldChar w:fldCharType="end"/>
      </w:r>
    </w:p>
    <w:p w:rsidR="007B77EF" w:rsidRDefault="007B77EF" w:rsidP="007B77EF">
      <w:pPr>
        <w:jc w:val="center"/>
      </w:pPr>
    </w:p>
    <w:p w:rsidR="007B77EF" w:rsidRDefault="007B77EF" w:rsidP="007B77EF"/>
    <w:p w:rsidR="007B77EF" w:rsidRDefault="007B77EF" w:rsidP="007B77EF"/>
    <w:p w:rsidR="007B77EF" w:rsidRDefault="007B77EF" w:rsidP="007B77EF"/>
    <w:p w:rsidR="007B77EF" w:rsidRDefault="007B77EF" w:rsidP="007B77EF"/>
    <w:p w:rsidR="007B77EF" w:rsidRDefault="007B77EF" w:rsidP="007B77EF">
      <w:r>
        <w:br w:type="page"/>
      </w:r>
    </w:p>
    <w:p w:rsidR="002E7FDF" w:rsidRDefault="007B77EF" w:rsidP="002E7FDF">
      <w:pPr>
        <w:pStyle w:val="HeadingOMB1"/>
        <w:spacing w:after="0"/>
      </w:pPr>
      <w:bookmarkStart w:id="3" w:name="_Toc289687709"/>
      <w:r w:rsidRPr="007E69DA">
        <w:lastRenderedPageBreak/>
        <w:t>B. Collections of Information Employing Statistical Methods</w:t>
      </w:r>
      <w:bookmarkStart w:id="4" w:name="_Toc151782199"/>
      <w:bookmarkStart w:id="5" w:name="_Toc158526235"/>
      <w:bookmarkEnd w:id="1"/>
      <w:bookmarkEnd w:id="2"/>
      <w:bookmarkEnd w:id="3"/>
    </w:p>
    <w:p w:rsidR="007B77EF" w:rsidRPr="002E7FDF" w:rsidRDefault="007B77EF" w:rsidP="002E7FDF">
      <w:pPr>
        <w:pStyle w:val="HeadingOMB1"/>
        <w:spacing w:after="0"/>
        <w:rPr>
          <w:i/>
        </w:rPr>
      </w:pPr>
      <w:bookmarkStart w:id="6" w:name="_Toc289687710"/>
      <w:r w:rsidRPr="002E7FDF">
        <w:rPr>
          <w:i/>
        </w:rPr>
        <w:t xml:space="preserve">1. Respondent </w:t>
      </w:r>
      <w:r w:rsidR="003A0433" w:rsidRPr="002E7FDF">
        <w:rPr>
          <w:i/>
        </w:rPr>
        <w:t>U</w:t>
      </w:r>
      <w:r w:rsidRPr="002E7FDF">
        <w:rPr>
          <w:i/>
        </w:rPr>
        <w:t xml:space="preserve">niverse and </w:t>
      </w:r>
      <w:r w:rsidR="003A0433" w:rsidRPr="002E7FDF">
        <w:rPr>
          <w:i/>
        </w:rPr>
        <w:t>S</w:t>
      </w:r>
      <w:r w:rsidRPr="002E7FDF">
        <w:rPr>
          <w:i/>
        </w:rPr>
        <w:t xml:space="preserve">ampling </w:t>
      </w:r>
      <w:r w:rsidR="003A0433" w:rsidRPr="002E7FDF">
        <w:rPr>
          <w:i/>
        </w:rPr>
        <w:t>M</w:t>
      </w:r>
      <w:r w:rsidRPr="002E7FDF">
        <w:rPr>
          <w:i/>
        </w:rPr>
        <w:t>ethods</w:t>
      </w:r>
      <w:bookmarkEnd w:id="4"/>
      <w:bookmarkEnd w:id="5"/>
      <w:bookmarkEnd w:id="6"/>
    </w:p>
    <w:p w:rsidR="00C55E2A" w:rsidRDefault="00C55E2A" w:rsidP="007B77EF"/>
    <w:p w:rsidR="000666F9" w:rsidRDefault="006C7D70" w:rsidP="007B77EF">
      <w:r>
        <w:t xml:space="preserve">The proposed </w:t>
      </w:r>
      <w:r w:rsidR="00E4363E">
        <w:t xml:space="preserve">qualitative </w:t>
      </w:r>
      <w:r>
        <w:t xml:space="preserve">project will </w:t>
      </w:r>
      <w:r w:rsidRPr="00AE2194">
        <w:t>use a purposive sample, therefore study findings cannot be statistically generalized to the respondent universe</w:t>
      </w:r>
      <w:r>
        <w:t xml:space="preserve">.  However, </w:t>
      </w:r>
      <w:r w:rsidR="000416D2">
        <w:t>f</w:t>
      </w:r>
      <w:r>
        <w:t>indings will be relevant to</w:t>
      </w:r>
      <w:r w:rsidR="000416D2">
        <w:t xml:space="preserve"> inform AHRQ of how the product development process is conceptualized and implemented in other industries, thus informing potential strategies for the development of products</w:t>
      </w:r>
      <w:r w:rsidR="006B094F">
        <w:t xml:space="preserve"> related to consumer health </w:t>
      </w:r>
      <w:r w:rsidR="00BB239B">
        <w:t>information technology (</w:t>
      </w:r>
      <w:r w:rsidR="006B094F">
        <w:t>IT</w:t>
      </w:r>
      <w:r w:rsidR="00BB239B">
        <w:t>)</w:t>
      </w:r>
      <w:r w:rsidR="006B094F">
        <w:t>.</w:t>
      </w:r>
    </w:p>
    <w:p w:rsidR="000666F9" w:rsidRDefault="000666F9" w:rsidP="007B77EF"/>
    <w:p w:rsidR="0027665D" w:rsidRPr="0027665D" w:rsidRDefault="0027665D" w:rsidP="0027665D">
      <w:r w:rsidRPr="0027665D">
        <w:t xml:space="preserve">The project team </w:t>
      </w:r>
      <w:r w:rsidR="00491580" w:rsidRPr="0027665D">
        <w:t>conduct</w:t>
      </w:r>
      <w:r w:rsidR="00491580">
        <w:t>ed</w:t>
      </w:r>
      <w:r w:rsidR="00491580" w:rsidRPr="0027665D">
        <w:t xml:space="preserve"> </w:t>
      </w:r>
      <w:r w:rsidRPr="0027665D">
        <w:t>a</w:t>
      </w:r>
      <w:r w:rsidR="00E4363E" w:rsidRPr="0027665D">
        <w:t xml:space="preserve">n initial activity– an environmental scan and grey literature review – </w:t>
      </w:r>
      <w:r w:rsidRPr="0027665D">
        <w:t>in order</w:t>
      </w:r>
      <w:r w:rsidR="00E4363E" w:rsidRPr="0027665D">
        <w:t xml:space="preserve"> to identify consumer products that are relevant to the development of consumer health IT products. </w:t>
      </w:r>
      <w:r w:rsidRPr="0027665D">
        <w:t>The project team</w:t>
      </w:r>
      <w:r w:rsidR="00525B1E">
        <w:t xml:space="preserve"> </w:t>
      </w:r>
      <w:r w:rsidRPr="0027665D">
        <w:t xml:space="preserve">identified products that fit one or more specific criteria, including but not limited to: </w:t>
      </w:r>
    </w:p>
    <w:p w:rsidR="0027665D" w:rsidRDefault="0027665D" w:rsidP="0027665D"/>
    <w:p w:rsidR="0027665D" w:rsidRDefault="0027665D" w:rsidP="0027665D">
      <w:pPr>
        <w:ind w:left="720"/>
      </w:pPr>
      <w:r>
        <w:t xml:space="preserve">(1) Type of role that the product plays in users’ lives; </w:t>
      </w:r>
    </w:p>
    <w:p w:rsidR="0027665D" w:rsidRDefault="0027665D" w:rsidP="0027665D">
      <w:pPr>
        <w:ind w:left="1080" w:hanging="360"/>
      </w:pPr>
      <w:r>
        <w:t xml:space="preserve">(2) The product’s capability to accommodate a wide range of individual differences in use patterns and information needs; </w:t>
      </w:r>
    </w:p>
    <w:p w:rsidR="0027665D" w:rsidRDefault="0027665D" w:rsidP="0027665D">
      <w:pPr>
        <w:ind w:left="720"/>
      </w:pPr>
      <w:r>
        <w:t xml:space="preserve">(3) The product’s capability for long-term monitoring of information; </w:t>
      </w:r>
    </w:p>
    <w:p w:rsidR="0027665D" w:rsidRDefault="0027665D" w:rsidP="0027665D">
      <w:pPr>
        <w:ind w:left="1080" w:hanging="360"/>
      </w:pPr>
      <w:r>
        <w:t xml:space="preserve">(4) The capability of the product to centralize and store information from multiple sources; and </w:t>
      </w:r>
    </w:p>
    <w:p w:rsidR="0027665D" w:rsidRDefault="0027665D" w:rsidP="0027665D">
      <w:pPr>
        <w:ind w:left="1080" w:hanging="360"/>
      </w:pPr>
      <w:r>
        <w:t>(5) The capability of the product to accommodate data of multiple types and varying levels of complexity.</w:t>
      </w:r>
    </w:p>
    <w:p w:rsidR="0027665D" w:rsidRDefault="0027665D" w:rsidP="00E4363E"/>
    <w:p w:rsidR="0027665D" w:rsidRPr="0027665D" w:rsidRDefault="00E4363E" w:rsidP="00E4363E">
      <w:r w:rsidRPr="0027665D">
        <w:t>Th</w:t>
      </w:r>
      <w:r w:rsidR="00525B1E">
        <w:t>e preliminary results of thi</w:t>
      </w:r>
      <w:r w:rsidRPr="0027665D">
        <w:t xml:space="preserve">s activity </w:t>
      </w:r>
      <w:r w:rsidR="0027665D" w:rsidRPr="0027665D">
        <w:t xml:space="preserve">yielded the following </w:t>
      </w:r>
      <w:r w:rsidR="00C207A1">
        <w:t>seven</w:t>
      </w:r>
      <w:r w:rsidRPr="0027665D">
        <w:t xml:space="preserve"> main categories of consumer products that will receive in-depth investigation:</w:t>
      </w:r>
    </w:p>
    <w:p w:rsidR="001D003C" w:rsidRDefault="00C207A1">
      <w:pPr>
        <w:pStyle w:val="N1-1stBullet"/>
        <w:numPr>
          <w:ilvl w:val="0"/>
          <w:numId w:val="32"/>
        </w:numPr>
        <w:tabs>
          <w:tab w:val="clear" w:pos="1152"/>
          <w:tab w:val="left" w:pos="720"/>
        </w:tabs>
        <w:spacing w:after="0" w:line="240" w:lineRule="auto"/>
      </w:pPr>
      <w:r w:rsidRPr="00C20D1F">
        <w:t>Communication (including social networking)</w:t>
      </w:r>
      <w:r>
        <w:t>;</w:t>
      </w:r>
    </w:p>
    <w:p w:rsidR="00576CED" w:rsidRDefault="00C207A1">
      <w:pPr>
        <w:pStyle w:val="N1-1stBullet"/>
        <w:numPr>
          <w:ilvl w:val="0"/>
          <w:numId w:val="32"/>
        </w:numPr>
        <w:tabs>
          <w:tab w:val="clear" w:pos="1152"/>
          <w:tab w:val="left" w:pos="720"/>
        </w:tabs>
        <w:spacing w:after="0" w:line="240" w:lineRule="auto"/>
      </w:pPr>
      <w:proofErr w:type="spellStart"/>
      <w:r w:rsidRPr="00C20D1F">
        <w:t>eCommerce</w:t>
      </w:r>
      <w:proofErr w:type="spellEnd"/>
      <w:r w:rsidR="0027665D" w:rsidRPr="0027665D">
        <w:t>;</w:t>
      </w:r>
    </w:p>
    <w:p w:rsidR="00576CED" w:rsidRDefault="00E4363E">
      <w:pPr>
        <w:pStyle w:val="N1-1stBullet"/>
        <w:numPr>
          <w:ilvl w:val="0"/>
          <w:numId w:val="32"/>
        </w:numPr>
        <w:tabs>
          <w:tab w:val="clear" w:pos="1152"/>
          <w:tab w:val="left" w:pos="720"/>
        </w:tabs>
        <w:spacing w:after="0" w:line="240" w:lineRule="auto"/>
      </w:pPr>
      <w:r w:rsidRPr="0027665D">
        <w:t>Information storage, archiving, and retrieval</w:t>
      </w:r>
      <w:r w:rsidR="0027665D" w:rsidRPr="0027665D">
        <w:t>;</w:t>
      </w:r>
    </w:p>
    <w:p w:rsidR="00576CED" w:rsidRDefault="00E4363E">
      <w:pPr>
        <w:pStyle w:val="N1-1stBullet"/>
        <w:numPr>
          <w:ilvl w:val="0"/>
          <w:numId w:val="32"/>
        </w:numPr>
        <w:tabs>
          <w:tab w:val="clear" w:pos="1152"/>
          <w:tab w:val="left" w:pos="720"/>
        </w:tabs>
        <w:spacing w:after="0" w:line="240" w:lineRule="auto"/>
      </w:pPr>
      <w:r w:rsidRPr="0027665D">
        <w:t>Personalized entertainment</w:t>
      </w:r>
      <w:r w:rsidR="0027665D" w:rsidRPr="0027665D">
        <w:t>;</w:t>
      </w:r>
    </w:p>
    <w:p w:rsidR="001D003C" w:rsidRDefault="00C207A1">
      <w:pPr>
        <w:pStyle w:val="N1-1stBullet"/>
        <w:numPr>
          <w:ilvl w:val="0"/>
          <w:numId w:val="32"/>
        </w:numPr>
        <w:tabs>
          <w:tab w:val="clear" w:pos="1152"/>
          <w:tab w:val="left" w:pos="720"/>
        </w:tabs>
        <w:spacing w:after="0" w:line="240" w:lineRule="auto"/>
      </w:pPr>
      <w:r w:rsidRPr="00C20D1F">
        <w:t>Gaming</w:t>
      </w:r>
      <w:r>
        <w:t>;</w:t>
      </w:r>
    </w:p>
    <w:p w:rsidR="00576CED" w:rsidRDefault="00C207A1">
      <w:pPr>
        <w:pStyle w:val="N1-1stBullet"/>
        <w:numPr>
          <w:ilvl w:val="0"/>
          <w:numId w:val="32"/>
        </w:numPr>
        <w:tabs>
          <w:tab w:val="clear" w:pos="1152"/>
          <w:tab w:val="left" w:pos="720"/>
        </w:tabs>
        <w:spacing w:after="0" w:line="240" w:lineRule="auto"/>
      </w:pPr>
      <w:r w:rsidRPr="00C20D1F">
        <w:t>Learning applications</w:t>
      </w:r>
      <w:r w:rsidR="0027665D" w:rsidRPr="0027665D">
        <w:t>;</w:t>
      </w:r>
      <w:r w:rsidR="00E4363E" w:rsidRPr="0027665D">
        <w:t xml:space="preserve"> and</w:t>
      </w:r>
    </w:p>
    <w:p w:rsidR="001D003C" w:rsidRDefault="00C207A1">
      <w:pPr>
        <w:pStyle w:val="N1-1stBullet"/>
        <w:numPr>
          <w:ilvl w:val="0"/>
          <w:numId w:val="32"/>
        </w:numPr>
        <w:tabs>
          <w:tab w:val="clear" w:pos="1152"/>
          <w:tab w:val="left" w:pos="720"/>
        </w:tabs>
        <w:spacing w:after="0" w:line="240" w:lineRule="auto"/>
      </w:pPr>
      <w:r w:rsidRPr="00C20D1F">
        <w:t>Smart phon</w:t>
      </w:r>
      <w:r>
        <w:t>e</w:t>
      </w:r>
      <w:r w:rsidR="00675D05">
        <w:t>s</w:t>
      </w:r>
      <w:r>
        <w:rPr>
          <w:rStyle w:val="FootnoteReference"/>
        </w:rPr>
        <w:footnoteReference w:id="1"/>
      </w:r>
      <w:r>
        <w:t>.</w:t>
      </w:r>
    </w:p>
    <w:p w:rsidR="0027665D" w:rsidRPr="0027665D" w:rsidRDefault="0027665D" w:rsidP="00106F31"/>
    <w:p w:rsidR="00491580" w:rsidRDefault="00E4363E" w:rsidP="000666F9">
      <w:r w:rsidRPr="0027665D">
        <w:t xml:space="preserve">Within each </w:t>
      </w:r>
      <w:r w:rsidR="0027665D" w:rsidRPr="0027665D">
        <w:t xml:space="preserve">of the </w:t>
      </w:r>
      <w:r w:rsidR="00C207A1">
        <w:t>seven</w:t>
      </w:r>
      <w:r w:rsidR="0027665D" w:rsidRPr="0027665D">
        <w:t xml:space="preserve"> </w:t>
      </w:r>
      <w:r w:rsidRPr="0027665D">
        <w:t>categor</w:t>
      </w:r>
      <w:r w:rsidR="0027665D" w:rsidRPr="0027665D">
        <w:t>ies,</w:t>
      </w:r>
      <w:r w:rsidRPr="0027665D">
        <w:t xml:space="preserve"> the project team identified numerous specific </w:t>
      </w:r>
      <w:r w:rsidR="00491580">
        <w:t xml:space="preserve">successful </w:t>
      </w:r>
      <w:r w:rsidRPr="0027665D">
        <w:t xml:space="preserve">products </w:t>
      </w:r>
      <w:r w:rsidR="0027665D" w:rsidRPr="0027665D">
        <w:t xml:space="preserve">across industry types </w:t>
      </w:r>
      <w:r w:rsidRPr="0027665D">
        <w:t>that have been marketed to</w:t>
      </w:r>
      <w:r w:rsidR="0027665D" w:rsidRPr="0027665D">
        <w:t>,</w:t>
      </w:r>
      <w:r w:rsidRPr="0027665D">
        <w:t xml:space="preserve"> and adopted by</w:t>
      </w:r>
      <w:r w:rsidR="0027665D" w:rsidRPr="0027665D">
        <w:t>,</w:t>
      </w:r>
      <w:r w:rsidRPr="0027665D">
        <w:t xml:space="preserve"> consumers.  </w:t>
      </w:r>
      <w:r w:rsidR="00491580">
        <w:t>The criteria for defining a “successful” consumer product have been defined within this project as: m</w:t>
      </w:r>
      <w:r w:rsidR="00491580" w:rsidRPr="00B70F61">
        <w:t>arket penetration (based on number of users)</w:t>
      </w:r>
      <w:r w:rsidR="00491580">
        <w:t>, s</w:t>
      </w:r>
      <w:r w:rsidR="00491580" w:rsidRPr="00B70F61">
        <w:t>ales revenue</w:t>
      </w:r>
      <w:r w:rsidR="00491580">
        <w:t>, ac</w:t>
      </w:r>
      <w:r w:rsidR="00491580" w:rsidRPr="00B70F61">
        <w:t>colades in design press</w:t>
      </w:r>
      <w:r w:rsidR="00491580">
        <w:t>, and u</w:t>
      </w:r>
      <w:r w:rsidR="00491580" w:rsidRPr="00B70F61">
        <w:t>ser adoption and enjoyment (based on positive product reviews).</w:t>
      </w:r>
    </w:p>
    <w:p w:rsidR="00491580" w:rsidRPr="00B855F5" w:rsidRDefault="00491580" w:rsidP="00491580">
      <w:pPr>
        <w:pStyle w:val="P1-StandPara"/>
        <w:spacing w:line="240" w:lineRule="auto"/>
        <w:ind w:firstLine="0"/>
      </w:pPr>
      <w:r w:rsidRPr="00B855F5">
        <w:t xml:space="preserve">The original list of successful consumer products was supplemented with selections from periodicals such as Consumer Reports, PC Magazine’s best and most successful products </w:t>
      </w:r>
      <w:r w:rsidRPr="00B855F5">
        <w:lastRenderedPageBreak/>
        <w:t xml:space="preserve">of the year and product design organizations that grant awards for consumer products such as the Industrial Designers Society of America. </w:t>
      </w:r>
    </w:p>
    <w:p w:rsidR="00491580" w:rsidRPr="00B855F5" w:rsidRDefault="00491580" w:rsidP="00491580">
      <w:pPr>
        <w:pStyle w:val="P1-StandPara"/>
        <w:spacing w:line="240" w:lineRule="auto"/>
        <w:ind w:firstLine="0"/>
      </w:pPr>
    </w:p>
    <w:p w:rsidR="00491580" w:rsidRPr="00B855F5" w:rsidRDefault="00491580" w:rsidP="00491580">
      <w:pPr>
        <w:pStyle w:val="P1-StandPara"/>
        <w:spacing w:line="240" w:lineRule="auto"/>
        <w:ind w:firstLine="0"/>
      </w:pPr>
      <w:r w:rsidRPr="00B855F5">
        <w:t>The selected products have a profile of features or functions that will be relevant for consumer health IT, or use patterns similar to, or desirable for, consumer health IT products.   The team identified products that support the following types of activities:</w:t>
      </w:r>
    </w:p>
    <w:p w:rsidR="00491580" w:rsidRPr="00B855F5" w:rsidRDefault="00491580" w:rsidP="00491580">
      <w:pPr>
        <w:pStyle w:val="P1-StandPara"/>
        <w:spacing w:line="240" w:lineRule="auto"/>
        <w:ind w:firstLine="0"/>
      </w:pPr>
    </w:p>
    <w:p w:rsidR="00491580" w:rsidRPr="00B855F5" w:rsidRDefault="00491580" w:rsidP="00491580">
      <w:pPr>
        <w:pStyle w:val="P1-StandPara"/>
        <w:numPr>
          <w:ilvl w:val="0"/>
          <w:numId w:val="38"/>
        </w:numPr>
        <w:spacing w:line="240" w:lineRule="auto"/>
      </w:pPr>
      <w:r w:rsidRPr="00B855F5">
        <w:t>Storing, archiving, and retrieving information;</w:t>
      </w:r>
    </w:p>
    <w:p w:rsidR="00491580" w:rsidRPr="00B855F5" w:rsidRDefault="00491580" w:rsidP="00491580">
      <w:pPr>
        <w:pStyle w:val="P1-StandPara"/>
        <w:numPr>
          <w:ilvl w:val="0"/>
          <w:numId w:val="38"/>
        </w:numPr>
        <w:spacing w:line="240" w:lineRule="auto"/>
      </w:pPr>
      <w:r w:rsidRPr="00B855F5">
        <w:t>Monitoring health-related information;</w:t>
      </w:r>
    </w:p>
    <w:p w:rsidR="00491580" w:rsidRPr="00B855F5" w:rsidRDefault="00491580" w:rsidP="00491580">
      <w:pPr>
        <w:pStyle w:val="P1-StandPara"/>
        <w:numPr>
          <w:ilvl w:val="0"/>
          <w:numId w:val="38"/>
        </w:numPr>
        <w:spacing w:line="240" w:lineRule="auto"/>
      </w:pPr>
      <w:r w:rsidRPr="00B855F5">
        <w:t>Searching for information; and</w:t>
      </w:r>
    </w:p>
    <w:p w:rsidR="00491580" w:rsidRPr="00B855F5" w:rsidRDefault="00491580" w:rsidP="00491580">
      <w:pPr>
        <w:pStyle w:val="P1-StandPara"/>
        <w:numPr>
          <w:ilvl w:val="0"/>
          <w:numId w:val="38"/>
        </w:numPr>
        <w:spacing w:line="240" w:lineRule="auto"/>
      </w:pPr>
      <w:r w:rsidRPr="00B855F5">
        <w:t>Tools that support and ease completion of tasks such as logging/recording activities, making comparisons, and making decisions.</w:t>
      </w:r>
    </w:p>
    <w:p w:rsidR="00491580" w:rsidRPr="00B855F5" w:rsidRDefault="00491580" w:rsidP="00491580">
      <w:pPr>
        <w:pStyle w:val="P1-StandPara"/>
        <w:spacing w:line="240" w:lineRule="auto"/>
        <w:ind w:left="1440" w:firstLine="0"/>
      </w:pPr>
    </w:p>
    <w:p w:rsidR="00491580" w:rsidRDefault="00491580" w:rsidP="00491580">
      <w:r w:rsidRPr="00B855F5">
        <w:t>Additional types of successful product groups were included in areas such as communication, personalized entertainment, and gaming as these were considered product areas that received a great deal of growth and success in the last few years. From a list of around 250, products that were most successful or relevant to consumer health IT were selected for further exploration.  After finalizing criteria for selecting 15 products of most interest, the team developed a list of 15 potential key informants associated with these identified products.  A list of alternate informants has also been developed in case the primary informants are not available for interviews.</w:t>
      </w:r>
    </w:p>
    <w:p w:rsidR="00491580" w:rsidRDefault="00491580" w:rsidP="00491580"/>
    <w:p w:rsidR="00E50939" w:rsidRDefault="00E4363E" w:rsidP="000666F9">
      <w:r w:rsidRPr="0027665D">
        <w:t>Study participants will be identified to represent these industries</w:t>
      </w:r>
      <w:r w:rsidR="0027665D" w:rsidRPr="0027665D">
        <w:t xml:space="preserve"> and products</w:t>
      </w:r>
      <w:r w:rsidRPr="0027665D">
        <w:t>.</w:t>
      </w:r>
      <w:r w:rsidR="0027665D" w:rsidRPr="0027665D">
        <w:t xml:space="preserve">  </w:t>
      </w:r>
      <w:r w:rsidRPr="0027665D">
        <w:t xml:space="preserve"> </w:t>
      </w:r>
      <w:r w:rsidR="0027665D" w:rsidRPr="0027665D">
        <w:t xml:space="preserve">The total of 15 in-depth qualitative interviews planned for the interview phase was based on representation of </w:t>
      </w:r>
      <w:r w:rsidR="00AF2AC5">
        <w:t xml:space="preserve">approximately two </w:t>
      </w:r>
      <w:r w:rsidR="0027665D" w:rsidRPr="0027665D">
        <w:t xml:space="preserve">consumer products within each category, to allow for variation across industries. </w:t>
      </w:r>
    </w:p>
    <w:p w:rsidR="00E50939" w:rsidRDefault="00E50939" w:rsidP="000666F9"/>
    <w:p w:rsidR="00A609D7" w:rsidRPr="0027665D" w:rsidRDefault="00E50939" w:rsidP="000666F9">
      <w:r w:rsidRPr="00E50939">
        <w:t>There are no strict criteria for sample size</w:t>
      </w:r>
      <w:r>
        <w:t xml:space="preserve">.  However, </w:t>
      </w:r>
      <w:r w:rsidRPr="0027665D">
        <w:t>qualitative studies of this nature typically include 10-20 participants</w:t>
      </w:r>
      <w:r w:rsidRPr="00E50939">
        <w:t xml:space="preserve"> </w:t>
      </w:r>
      <w:r>
        <w:t>because i</w:t>
      </w:r>
      <w:r w:rsidRPr="0027665D">
        <w:t xml:space="preserve">ncluding fewer participants limits researchers in their ability to make sound recommendations (Patton, 2001; Creswell, 2007).  </w:t>
      </w:r>
      <w:r w:rsidRPr="00E50939">
        <w:t>Qualitative studies typically employ multiple forms of evidence</w:t>
      </w:r>
      <w:r w:rsidR="00BB239B">
        <w:t xml:space="preserve"> and</w:t>
      </w:r>
      <w:r>
        <w:t xml:space="preserve"> there is no statistical test to determine </w:t>
      </w:r>
      <w:r w:rsidRPr="00E50939">
        <w:t xml:space="preserve">significance </w:t>
      </w:r>
      <w:r>
        <w:t xml:space="preserve">of </w:t>
      </w:r>
      <w:r w:rsidRPr="00E50939">
        <w:t>results</w:t>
      </w:r>
      <w:r w:rsidR="00BB239B">
        <w:t xml:space="preserve"> when conducting qualitative research</w:t>
      </w:r>
      <w:r>
        <w:t>.  The researcher determines usefulness and credibility of results through the process of inductive analysis of data.</w:t>
      </w:r>
      <w:r w:rsidR="0027665D" w:rsidRPr="0027665D">
        <w:t xml:space="preserve"> </w:t>
      </w:r>
      <w:r>
        <w:t xml:space="preserve">  </w:t>
      </w:r>
    </w:p>
    <w:p w:rsidR="000416D2" w:rsidRDefault="000416D2" w:rsidP="000666F9"/>
    <w:p w:rsidR="007D3B46" w:rsidRDefault="00525B1E" w:rsidP="000666F9">
      <w:r>
        <w:t xml:space="preserve">The project team will develop and </w:t>
      </w:r>
      <w:r w:rsidR="000666F9">
        <w:t>finaliz</w:t>
      </w:r>
      <w:r>
        <w:t xml:space="preserve">e </w:t>
      </w:r>
      <w:r w:rsidR="000666F9">
        <w:t xml:space="preserve">criteria for selecting </w:t>
      </w:r>
      <w:r>
        <w:t xml:space="preserve">three </w:t>
      </w:r>
      <w:r w:rsidR="000666F9">
        <w:t xml:space="preserve">products of </w:t>
      </w:r>
      <w:r>
        <w:t xml:space="preserve">primary </w:t>
      </w:r>
      <w:r w:rsidR="000666F9">
        <w:t>interest</w:t>
      </w:r>
      <w:r>
        <w:t xml:space="preserve"> from each consumer product category.  Then th</w:t>
      </w:r>
      <w:r w:rsidR="000666F9">
        <w:t xml:space="preserve">e </w:t>
      </w:r>
      <w:r w:rsidR="007D3B46">
        <w:t xml:space="preserve">project </w:t>
      </w:r>
      <w:r w:rsidR="000666F9">
        <w:t xml:space="preserve">team will </w:t>
      </w:r>
      <w:r>
        <w:t xml:space="preserve">identify the list </w:t>
      </w:r>
      <w:r w:rsidR="000666F9">
        <w:t xml:space="preserve">of potential informants </w:t>
      </w:r>
      <w:r w:rsidR="000416D2">
        <w:t xml:space="preserve">(henceforth called study participants) </w:t>
      </w:r>
      <w:r w:rsidR="000666F9">
        <w:t>associated with the</w:t>
      </w:r>
      <w:r>
        <w:t>se</w:t>
      </w:r>
      <w:r w:rsidR="000666F9">
        <w:t xml:space="preserve"> identified products.   </w:t>
      </w:r>
    </w:p>
    <w:p w:rsidR="007D3B46" w:rsidRPr="00F461D8" w:rsidRDefault="00F461D8" w:rsidP="000666F9">
      <w:r w:rsidRPr="00F461D8">
        <w:rPr>
          <w:color w:val="000000"/>
        </w:rPr>
        <w:t xml:space="preserve"> </w:t>
      </w:r>
    </w:p>
    <w:p w:rsidR="007B77EF" w:rsidRPr="007E69DA" w:rsidRDefault="007B77EF" w:rsidP="007B77EF">
      <w:pPr>
        <w:pStyle w:val="HeadingOMB2"/>
      </w:pPr>
      <w:bookmarkStart w:id="7" w:name="_Toc151782200"/>
      <w:bookmarkStart w:id="8" w:name="_Toc158526236"/>
      <w:bookmarkStart w:id="9" w:name="_Toc289687711"/>
      <w:r w:rsidRPr="007E69DA">
        <w:t>2. Information Collection Procedures</w:t>
      </w:r>
      <w:bookmarkEnd w:id="7"/>
      <w:bookmarkEnd w:id="8"/>
      <w:bookmarkEnd w:id="9"/>
    </w:p>
    <w:p w:rsidR="00C55E2A" w:rsidRDefault="00C55E2A" w:rsidP="007B77EF">
      <w:pPr>
        <w:rPr>
          <w:b/>
        </w:rPr>
      </w:pPr>
    </w:p>
    <w:p w:rsidR="00D46496" w:rsidRDefault="00D46496" w:rsidP="007B77EF">
      <w:proofErr w:type="gramStart"/>
      <w:r>
        <w:rPr>
          <w:b/>
        </w:rPr>
        <w:t xml:space="preserve">Key </w:t>
      </w:r>
      <w:r w:rsidR="00532FFB">
        <w:rPr>
          <w:b/>
        </w:rPr>
        <w:t xml:space="preserve">Informant </w:t>
      </w:r>
      <w:r w:rsidR="007B77EF" w:rsidRPr="00CE3EBB">
        <w:rPr>
          <w:b/>
        </w:rPr>
        <w:t>Recruitment.</w:t>
      </w:r>
      <w:proofErr w:type="gramEnd"/>
      <w:r w:rsidR="007B77EF">
        <w:t xml:space="preserve"> </w:t>
      </w:r>
      <w:r w:rsidR="0012603A" w:rsidRPr="0012603A">
        <w:t xml:space="preserve">The </w:t>
      </w:r>
      <w:r w:rsidR="0012603A">
        <w:t xml:space="preserve">project </w:t>
      </w:r>
      <w:r w:rsidR="0012603A" w:rsidRPr="0012603A">
        <w:t xml:space="preserve">team will contact the </w:t>
      </w:r>
      <w:r w:rsidR="00FB3AD4">
        <w:t xml:space="preserve">potential study participants </w:t>
      </w:r>
      <w:r w:rsidR="0012603A" w:rsidRPr="0012603A">
        <w:t xml:space="preserve">directly or approach the </w:t>
      </w:r>
      <w:r w:rsidR="006C7D70" w:rsidRPr="0012603A">
        <w:t xml:space="preserve">public relations </w:t>
      </w:r>
      <w:r w:rsidR="0012603A" w:rsidRPr="0012603A">
        <w:t xml:space="preserve">(PR) office associated with each product (e.g., through contact information provided on </w:t>
      </w:r>
      <w:r w:rsidR="006D475B">
        <w:t>organizations’</w:t>
      </w:r>
      <w:r w:rsidR="006D475B" w:rsidRPr="0012603A">
        <w:t xml:space="preserve"> </w:t>
      </w:r>
      <w:r w:rsidR="006D475B">
        <w:t>W</w:t>
      </w:r>
      <w:r w:rsidR="006D475B" w:rsidRPr="0012603A">
        <w:t xml:space="preserve">eb </w:t>
      </w:r>
      <w:r w:rsidR="0012603A" w:rsidRPr="0012603A">
        <w:t>sites).</w:t>
      </w:r>
      <w:r>
        <w:t xml:space="preserve"> </w:t>
      </w:r>
    </w:p>
    <w:p w:rsidR="00D46496" w:rsidRDefault="00D46496" w:rsidP="007B77EF"/>
    <w:p w:rsidR="007B77EF" w:rsidRDefault="003E3F56" w:rsidP="007B77EF">
      <w:r>
        <w:lastRenderedPageBreak/>
        <w:t>Attachment</w:t>
      </w:r>
      <w:r w:rsidR="007B77EF" w:rsidRPr="00CF2E24">
        <w:t xml:space="preserve"> </w:t>
      </w:r>
      <w:r w:rsidR="00C55E2A">
        <w:t>C</w:t>
      </w:r>
      <w:r>
        <w:t xml:space="preserve"> provides a </w:t>
      </w:r>
      <w:r w:rsidR="007B77EF" w:rsidRPr="00CF2E24">
        <w:t xml:space="preserve">sample </w:t>
      </w:r>
      <w:r>
        <w:t>invitation letter</w:t>
      </w:r>
      <w:r w:rsidR="007B77EF" w:rsidRPr="00CF2E24">
        <w:t xml:space="preserve">. The purpose of the communication is to explain the </w:t>
      </w:r>
      <w:r w:rsidR="00E77E2B">
        <w:t xml:space="preserve">intent, </w:t>
      </w:r>
      <w:r w:rsidR="007B77EF">
        <w:t xml:space="preserve">gain </w:t>
      </w:r>
      <w:r w:rsidR="00E77E2B">
        <w:t>the organization’s buy-in, determine an appropriate informant, and describe the commitment</w:t>
      </w:r>
      <w:r w:rsidR="007B77EF">
        <w:t xml:space="preserve">. Each </w:t>
      </w:r>
      <w:r w:rsidR="00E77E2B">
        <w:t xml:space="preserve">organizational informant </w:t>
      </w:r>
      <w:r w:rsidR="007B77EF">
        <w:t>who agrees to participate in the study will receive a written confirmation of the interview date and time by e</w:t>
      </w:r>
      <w:r w:rsidR="0025503A">
        <w:t>-</w:t>
      </w:r>
      <w:r w:rsidR="007B77EF">
        <w:t xml:space="preserve">mail or fax (see </w:t>
      </w:r>
      <w:r w:rsidR="007B77EF" w:rsidRPr="00971546">
        <w:t xml:space="preserve">Attachment </w:t>
      </w:r>
      <w:r w:rsidR="00C55E2A">
        <w:t>D</w:t>
      </w:r>
      <w:r w:rsidR="007B77EF">
        <w:t>).</w:t>
      </w:r>
    </w:p>
    <w:p w:rsidR="007B77EF" w:rsidRDefault="007B77EF" w:rsidP="007B77EF">
      <w:pPr>
        <w:tabs>
          <w:tab w:val="left" w:pos="360"/>
        </w:tabs>
      </w:pPr>
    </w:p>
    <w:p w:rsidR="007B77EF" w:rsidRPr="007E69DA" w:rsidRDefault="007B77EF" w:rsidP="007B77EF">
      <w:pPr>
        <w:pStyle w:val="HeadingOMB2"/>
      </w:pPr>
      <w:bookmarkStart w:id="10" w:name="_Toc151782201"/>
      <w:bookmarkStart w:id="11" w:name="_Toc158526237"/>
      <w:bookmarkStart w:id="12" w:name="_Toc289687712"/>
      <w:r w:rsidRPr="007E69DA">
        <w:t>3. Methods to Maximize Response Rates</w:t>
      </w:r>
      <w:bookmarkEnd w:id="10"/>
      <w:bookmarkEnd w:id="11"/>
      <w:bookmarkEnd w:id="12"/>
    </w:p>
    <w:p w:rsidR="00C55E2A" w:rsidRDefault="00C55E2A" w:rsidP="007B77EF">
      <w:pPr>
        <w:pStyle w:val="LefttoRight"/>
        <w:jc w:val="left"/>
      </w:pPr>
    </w:p>
    <w:p w:rsidR="007B77EF" w:rsidRDefault="00806E4B" w:rsidP="007B77EF">
      <w:pPr>
        <w:pStyle w:val="LefttoRight"/>
        <w:jc w:val="left"/>
      </w:pPr>
      <w:r>
        <w:t xml:space="preserve">Technical experts </w:t>
      </w:r>
      <w:r w:rsidR="007B77EF">
        <w:t xml:space="preserve">are not being selected via probability-based sampling methods. A “response rate” has no clear meaning in the context of </w:t>
      </w:r>
      <w:r>
        <w:t xml:space="preserve">this </w:t>
      </w:r>
      <w:r w:rsidR="005A7CF4">
        <w:t xml:space="preserve">study. </w:t>
      </w:r>
      <w:r w:rsidR="007B77EF">
        <w:t xml:space="preserve"> </w:t>
      </w:r>
      <w:r w:rsidR="00FB3AD4">
        <w:t>A list of “alternate” study participants will be created in case any targeted study participants decline to participate.</w:t>
      </w:r>
    </w:p>
    <w:p w:rsidR="007B77EF" w:rsidRDefault="007B77EF" w:rsidP="007B77EF">
      <w:pPr>
        <w:pStyle w:val="LefttoRight"/>
        <w:jc w:val="left"/>
      </w:pPr>
    </w:p>
    <w:p w:rsidR="007B77EF" w:rsidRPr="007E69DA" w:rsidRDefault="007B77EF" w:rsidP="007B77EF">
      <w:pPr>
        <w:pStyle w:val="HeadingOMB2"/>
      </w:pPr>
      <w:bookmarkStart w:id="13" w:name="_Toc151782202"/>
      <w:bookmarkStart w:id="14" w:name="_Toc158526238"/>
      <w:bookmarkStart w:id="15" w:name="_Toc289687713"/>
      <w:r w:rsidRPr="007E69DA">
        <w:t>4. Tests of Procedures</w:t>
      </w:r>
      <w:bookmarkStart w:id="16" w:name="_Toc151782203"/>
      <w:bookmarkStart w:id="17" w:name="_Toc158526239"/>
      <w:bookmarkEnd w:id="13"/>
      <w:bookmarkEnd w:id="14"/>
      <w:bookmarkEnd w:id="15"/>
    </w:p>
    <w:p w:rsidR="007B77EF" w:rsidRPr="00C870CF" w:rsidRDefault="007B77EF" w:rsidP="007B77EF">
      <w:pPr>
        <w:rPr>
          <w:highlight w:val="yellow"/>
        </w:rPr>
      </w:pPr>
    </w:p>
    <w:p w:rsidR="000D36C9" w:rsidRPr="00A50DEE" w:rsidRDefault="00FE4C95" w:rsidP="007B77EF">
      <w:r w:rsidRPr="00A50DEE">
        <w:t>The interview protocol</w:t>
      </w:r>
      <w:r w:rsidR="00EA06DE">
        <w:t xml:space="preserve"> </w:t>
      </w:r>
      <w:r w:rsidRPr="00A50DEE">
        <w:t xml:space="preserve">was developed by </w:t>
      </w:r>
      <w:r w:rsidR="000D36C9" w:rsidRPr="00A50DEE">
        <w:t>drafting questions based on</w:t>
      </w:r>
      <w:r w:rsidR="00A50DEE">
        <w:t xml:space="preserve"> </w:t>
      </w:r>
      <w:r w:rsidR="00FF2322">
        <w:t xml:space="preserve">commonly accepted </w:t>
      </w:r>
      <w:r w:rsidR="000D36C9" w:rsidRPr="00A50DEE">
        <w:t>product development phases</w:t>
      </w:r>
      <w:r w:rsidR="00FF2322">
        <w:t xml:space="preserve"> of</w:t>
      </w:r>
      <w:r w:rsidR="006D475B">
        <w:t>:</w:t>
      </w:r>
      <w:r w:rsidR="00A50DEE">
        <w:t xml:space="preserve"> (</w:t>
      </w:r>
      <w:r w:rsidR="006D475B">
        <w:t xml:space="preserve">1) </w:t>
      </w:r>
      <w:r w:rsidR="00A50DEE">
        <w:t>idea generation</w:t>
      </w:r>
      <w:r w:rsidR="00950027">
        <w:t xml:space="preserve">, </w:t>
      </w:r>
      <w:r w:rsidR="006D475B">
        <w:t xml:space="preserve">(2) </w:t>
      </w:r>
      <w:r w:rsidR="00950027">
        <w:t>concept</w:t>
      </w:r>
      <w:r w:rsidR="00A50DEE">
        <w:t xml:space="preserve"> development, </w:t>
      </w:r>
      <w:r w:rsidR="006D475B">
        <w:t xml:space="preserve">(3) </w:t>
      </w:r>
      <w:r w:rsidR="00A50DEE">
        <w:t xml:space="preserve">iterative testing, </w:t>
      </w:r>
      <w:r w:rsidR="006D475B">
        <w:t xml:space="preserve">(4) </w:t>
      </w:r>
      <w:r w:rsidR="00950027">
        <w:t>implementation,</w:t>
      </w:r>
      <w:r w:rsidR="00A50DEE">
        <w:t xml:space="preserve"> </w:t>
      </w:r>
      <w:r w:rsidR="00950027">
        <w:t xml:space="preserve">and </w:t>
      </w:r>
      <w:r w:rsidR="006D475B">
        <w:t xml:space="preserve">(5) </w:t>
      </w:r>
      <w:r w:rsidR="00A50DEE">
        <w:t>commercialization</w:t>
      </w:r>
      <w:r w:rsidR="005A7CF4">
        <w:t xml:space="preserve">.  </w:t>
      </w:r>
      <w:r w:rsidR="00950027">
        <w:t xml:space="preserve">Specific probes </w:t>
      </w:r>
      <w:r w:rsidR="007B77EF" w:rsidRPr="00A50DEE">
        <w:t xml:space="preserve">reflect this study’s focus on particular </w:t>
      </w:r>
      <w:r w:rsidR="000D36C9" w:rsidRPr="00A50DEE">
        <w:t xml:space="preserve">products and </w:t>
      </w:r>
      <w:r w:rsidR="00950027" w:rsidRPr="00A50DEE">
        <w:t>their features</w:t>
      </w:r>
      <w:r w:rsidR="000D36C9" w:rsidRPr="00A50DEE">
        <w:t xml:space="preserve"> that are relevant for consumer health IT</w:t>
      </w:r>
      <w:r w:rsidR="007B77EF" w:rsidRPr="00A50DEE">
        <w:t>.</w:t>
      </w:r>
    </w:p>
    <w:p w:rsidR="000D36C9" w:rsidRDefault="000D36C9" w:rsidP="007B77EF">
      <w:pPr>
        <w:rPr>
          <w:highlight w:val="yellow"/>
        </w:rPr>
      </w:pPr>
    </w:p>
    <w:p w:rsidR="000D36C9" w:rsidRPr="000160CF" w:rsidRDefault="000D36C9" w:rsidP="007B77EF">
      <w:r w:rsidRPr="000160CF">
        <w:t xml:space="preserve">The interview protocol was reviewed by the </w:t>
      </w:r>
      <w:r w:rsidR="00A50DEE" w:rsidRPr="000160CF">
        <w:t>Project Director Enid Montague, Ph.D.,</w:t>
      </w:r>
      <w:r w:rsidR="000160CF" w:rsidRPr="000160CF">
        <w:t xml:space="preserve"> Assistant Professor and Anna Julia Cooper Fellow, a</w:t>
      </w:r>
      <w:r w:rsidR="000160CF">
        <w:t xml:space="preserve">s well as </w:t>
      </w:r>
      <w:r w:rsidRPr="000160CF">
        <w:t xml:space="preserve">Pascale Carayon, Ph.D., Professor, </w:t>
      </w:r>
      <w:r w:rsidR="000160CF" w:rsidRPr="000160CF">
        <w:t>both of the D</w:t>
      </w:r>
      <w:r w:rsidRPr="000160CF">
        <w:t>epartment of Industrial and Systems Engineering, University of Wisconsin-Madison.  Dr</w:t>
      </w:r>
      <w:r w:rsidR="00A50DEE" w:rsidRPr="000160CF">
        <w:t>s</w:t>
      </w:r>
      <w:r w:rsidRPr="000160CF">
        <w:t xml:space="preserve">. </w:t>
      </w:r>
      <w:r w:rsidR="00A50DEE" w:rsidRPr="000160CF">
        <w:t xml:space="preserve">Montague and </w:t>
      </w:r>
      <w:r w:rsidRPr="000160CF">
        <w:t>Carayon ha</w:t>
      </w:r>
      <w:r w:rsidR="00A50DEE" w:rsidRPr="000160CF">
        <w:t>ve</w:t>
      </w:r>
      <w:r w:rsidRPr="000160CF">
        <w:t xml:space="preserve"> substantial experience in developing and fielding interview protocols and surveys for product development professionals in a variety of industries.</w:t>
      </w:r>
    </w:p>
    <w:p w:rsidR="000D36C9" w:rsidRDefault="000D36C9" w:rsidP="007B77EF">
      <w:pPr>
        <w:rPr>
          <w:highlight w:val="yellow"/>
        </w:rPr>
      </w:pPr>
    </w:p>
    <w:p w:rsidR="002F1699" w:rsidRDefault="007B77EF">
      <w:r w:rsidRPr="000160CF">
        <w:t xml:space="preserve">AHRQ has not identified any </w:t>
      </w:r>
      <w:r w:rsidR="00FE4C95" w:rsidRPr="000160CF">
        <w:t xml:space="preserve">prior </w:t>
      </w:r>
      <w:r w:rsidRPr="000160CF">
        <w:t xml:space="preserve">qualitative studies </w:t>
      </w:r>
      <w:r w:rsidR="00FE4C95" w:rsidRPr="000160CF">
        <w:t>investiga</w:t>
      </w:r>
      <w:r w:rsidR="000160CF">
        <w:t>ting industry design processes.  Therefore, t</w:t>
      </w:r>
      <w:r w:rsidR="000160CF" w:rsidRPr="000160CF">
        <w:t>he</w:t>
      </w:r>
      <w:r w:rsidRPr="000160CF">
        <w:t xml:space="preserve"> </w:t>
      </w:r>
      <w:r w:rsidR="000160CF">
        <w:t xml:space="preserve">interview guide </w:t>
      </w:r>
      <w:r w:rsidR="000160CF" w:rsidRPr="000160CF">
        <w:t>receive</w:t>
      </w:r>
      <w:r w:rsidR="00493440">
        <w:t>d</w:t>
      </w:r>
      <w:r w:rsidR="000160CF" w:rsidRPr="000160CF">
        <w:t xml:space="preserve"> additional review and testing</w:t>
      </w:r>
      <w:r w:rsidR="00EA06DE">
        <w:t xml:space="preserve">.  </w:t>
      </w:r>
    </w:p>
    <w:p w:rsidR="002F1699" w:rsidRDefault="002F1699"/>
    <w:p w:rsidR="00060E93" w:rsidRDefault="00675D05">
      <w:r>
        <w:t>First, f</w:t>
      </w:r>
      <w:r w:rsidR="00C207A1">
        <w:t xml:space="preserve">our individuals </w:t>
      </w:r>
      <w:r w:rsidR="00C207A1" w:rsidRPr="00F73055">
        <w:t>were</w:t>
      </w:r>
      <w:r w:rsidR="00C207A1">
        <w:t xml:space="preserve"> asked to review the </w:t>
      </w:r>
      <w:r>
        <w:t>interview guide</w:t>
      </w:r>
      <w:r w:rsidR="001D003C">
        <w:t>.  The review process was based on accepted methods for reviewing a</w:t>
      </w:r>
      <w:r w:rsidR="008A40EC">
        <w:t>n</w:t>
      </w:r>
      <w:r w:rsidR="001D003C">
        <w:t xml:space="preserve"> </w:t>
      </w:r>
      <w:r w:rsidR="008A40EC">
        <w:t>interview guide</w:t>
      </w:r>
      <w:r w:rsidR="001D003C">
        <w:t xml:space="preserve"> for comprehensiveness, clarity of wording</w:t>
      </w:r>
      <w:r w:rsidR="001D003C" w:rsidRPr="00106F31">
        <w:rPr>
          <w:color w:val="000000" w:themeColor="text1"/>
        </w:rPr>
        <w:t>, and any issues related to bias and communication</w:t>
      </w:r>
      <w:r w:rsidR="00340EF3">
        <w:rPr>
          <w:color w:val="000000" w:themeColor="text1"/>
        </w:rPr>
        <w:t xml:space="preserve"> (Wolfe &amp; Smith, 2007)</w:t>
      </w:r>
      <w:r w:rsidR="00C207A1" w:rsidRPr="00106F31">
        <w:rPr>
          <w:color w:val="000000" w:themeColor="text1"/>
        </w:rPr>
        <w:t>.</w:t>
      </w:r>
      <w:r w:rsidR="00C207A1">
        <w:t xml:space="preserve"> </w:t>
      </w:r>
      <w:r w:rsidR="000A1F7B">
        <w:t xml:space="preserve"> </w:t>
      </w:r>
      <w:r w:rsidR="001D003C">
        <w:t xml:space="preserve">One layperson was selected to review the questions with a focus on clarity of wording.  Three of the individuals were selected based on their expertise in one of the following </w:t>
      </w:r>
      <w:r w:rsidR="00B860D0">
        <w:t>industries</w:t>
      </w:r>
      <w:r w:rsidR="001D003C">
        <w:t>: communications, health</w:t>
      </w:r>
      <w:r w:rsidR="000A1F7B">
        <w:t xml:space="preserve"> </w:t>
      </w:r>
      <w:r w:rsidR="001D003C">
        <w:t>care, and design technology</w:t>
      </w:r>
      <w:r w:rsidR="00B860D0">
        <w:t>.</w:t>
      </w:r>
    </w:p>
    <w:p w:rsidR="00060E93" w:rsidRDefault="00060E93"/>
    <w:p w:rsidR="00576CED" w:rsidRDefault="007F39D4">
      <w:r>
        <w:t>Based on the feedback received from the review of the interview guide, it was revised as described below:</w:t>
      </w:r>
    </w:p>
    <w:p w:rsidR="007F39D4" w:rsidRDefault="006F6EE4" w:rsidP="00AC7405">
      <w:pPr>
        <w:pStyle w:val="ListParagraph"/>
        <w:numPr>
          <w:ilvl w:val="0"/>
          <w:numId w:val="36"/>
        </w:numPr>
      </w:pPr>
      <w:r>
        <w:t xml:space="preserve">Question </w:t>
      </w:r>
      <w:r w:rsidRPr="006F6EE4">
        <w:t>Q.C.01.d.</w:t>
      </w:r>
      <w:r>
        <w:t>in section Q.C “Concept Development” of the interview guide was revised from “</w:t>
      </w:r>
      <w:r w:rsidRPr="006F6EE4">
        <w:t>Does your firm use any contemporary approaches to product development?</w:t>
      </w:r>
      <w:r>
        <w:t>” to “Does your firm use any contemporary or modern approaches to product development?”</w:t>
      </w:r>
      <w:r w:rsidRPr="006F6EE4">
        <w:t xml:space="preserve"> </w:t>
      </w:r>
      <w:r w:rsidR="007F39D4">
        <w:t xml:space="preserve">to ensure </w:t>
      </w:r>
      <w:r w:rsidR="00CC6D36">
        <w:t xml:space="preserve">that </w:t>
      </w:r>
      <w:r w:rsidR="007F39D4">
        <w:t>the meaning of the term</w:t>
      </w:r>
      <w:r>
        <w:t xml:space="preserve"> “contemporary approaches”</w:t>
      </w:r>
      <w:r w:rsidR="007F39D4">
        <w:t xml:space="preserve"> </w:t>
      </w:r>
      <w:r>
        <w:t>is easily</w:t>
      </w:r>
      <w:r w:rsidR="007F39D4">
        <w:t xml:space="preserve"> </w:t>
      </w:r>
      <w:r>
        <w:t>understood by informants</w:t>
      </w:r>
      <w:r w:rsidR="007F39D4">
        <w:t>.</w:t>
      </w:r>
    </w:p>
    <w:p w:rsidR="001D003C" w:rsidRDefault="001D003C"/>
    <w:p w:rsidR="00060E93" w:rsidRDefault="00060E93">
      <w:r>
        <w:t xml:space="preserve">Second, a pilot interview was conducted with a product developer.  This participant was selected to closely represent the target population for the key informant interviews.  </w:t>
      </w:r>
    </w:p>
    <w:p w:rsidR="00060E93" w:rsidRDefault="00060E93"/>
    <w:p w:rsidR="001D003C" w:rsidRDefault="006F6EE4">
      <w:r>
        <w:t>Based on the pilot interview results the following revisions were made to the interview guide:</w:t>
      </w:r>
    </w:p>
    <w:p w:rsidR="00C207A1" w:rsidRDefault="006F6EE4" w:rsidP="00AC7405">
      <w:pPr>
        <w:pStyle w:val="ListParagraph"/>
        <w:numPr>
          <w:ilvl w:val="0"/>
          <w:numId w:val="36"/>
        </w:numPr>
      </w:pPr>
      <w:r>
        <w:t xml:space="preserve">A new section called </w:t>
      </w:r>
      <w:r w:rsidR="00AC7405">
        <w:t>“</w:t>
      </w:r>
      <w:r>
        <w:t>G</w:t>
      </w:r>
      <w:r w:rsidR="00C207A1">
        <w:t xml:space="preserve">eneral </w:t>
      </w:r>
      <w:r>
        <w:t>C</w:t>
      </w:r>
      <w:r w:rsidR="00C207A1">
        <w:t xml:space="preserve">ompany </w:t>
      </w:r>
      <w:r>
        <w:t>I</w:t>
      </w:r>
      <w:r w:rsidR="00C207A1">
        <w:t>nformation</w:t>
      </w:r>
      <w:r w:rsidR="00AC7405">
        <w:t>”</w:t>
      </w:r>
      <w:r w:rsidR="00791591">
        <w:t xml:space="preserve"> (now section Q.A of the interview guide)</w:t>
      </w:r>
      <w:r w:rsidR="00C207A1">
        <w:t xml:space="preserve"> was added to the beginning of the interview</w:t>
      </w:r>
      <w:r w:rsidR="00675D05">
        <w:t xml:space="preserve"> guide to account for informants who may not be involved in all stages of product development</w:t>
      </w:r>
      <w:r w:rsidR="00C207A1">
        <w:t xml:space="preserve">. </w:t>
      </w:r>
      <w:r w:rsidR="00D70F84">
        <w:t xml:space="preserve"> </w:t>
      </w:r>
      <w:r w:rsidR="00C207A1">
        <w:t>This</w:t>
      </w:r>
      <w:r w:rsidR="00675D05">
        <w:t xml:space="preserve"> new</w:t>
      </w:r>
      <w:r w:rsidR="00C207A1">
        <w:t xml:space="preserve"> section </w:t>
      </w:r>
      <w:r w:rsidR="007F39D4">
        <w:t>includes general background questions</w:t>
      </w:r>
      <w:r w:rsidR="00C207A1">
        <w:t xml:space="preserve"> about the </w:t>
      </w:r>
      <w:r w:rsidR="007F39D4">
        <w:t>size of the company</w:t>
      </w:r>
      <w:r w:rsidR="00C207A1">
        <w:t xml:space="preserve">, product focus, </w:t>
      </w:r>
      <w:r w:rsidR="000444AF">
        <w:t>product development</w:t>
      </w:r>
      <w:r w:rsidR="00C207A1">
        <w:t xml:space="preserve"> phases</w:t>
      </w:r>
      <w:r w:rsidR="007F39D4">
        <w:t>,</w:t>
      </w:r>
      <w:r w:rsidR="00C207A1">
        <w:t xml:space="preserve"> and individual team member involvement.</w:t>
      </w:r>
    </w:p>
    <w:p w:rsidR="00C207A1" w:rsidRDefault="00C207A1" w:rsidP="00C207A1"/>
    <w:p w:rsidR="00791591" w:rsidRDefault="00791591"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questions listed below were added to section Q.</w:t>
      </w:r>
      <w:r w:rsidR="00AC7405">
        <w:t>D</w:t>
      </w:r>
      <w:r>
        <w:t xml:space="preserve"> “</w:t>
      </w:r>
      <w:r w:rsidR="00AC7405" w:rsidRPr="00AC7405">
        <w:t>Testing</w:t>
      </w:r>
      <w:r>
        <w:t>” of the interview guide to better understand how each firm distinguishes between usefulness and ease of use</w:t>
      </w:r>
      <w:r w:rsidR="00D70F84">
        <w:t xml:space="preserve"> of a product</w:t>
      </w:r>
      <w:r w:rsidR="008812A3">
        <w:t>.  T</w:t>
      </w:r>
      <w:r>
        <w:t>hese concepts are critical to design</w:t>
      </w:r>
      <w:r w:rsidR="00AC7405">
        <w:t>,</w:t>
      </w:r>
      <w:r w:rsidR="008812A3">
        <w:t xml:space="preserve"> </w:t>
      </w:r>
      <w:r>
        <w:t>but often combined even though they are distinct concepts:</w:t>
      </w:r>
      <w:r>
        <w:br/>
      </w:r>
    </w:p>
    <w:p w:rsidR="000444AF" w:rsidRPr="000444AF" w:rsidRDefault="000444AF"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pPr>
      <w:r w:rsidRPr="000444AF">
        <w:t xml:space="preserve">Q.D.02. </w:t>
      </w:r>
      <w:proofErr w:type="gramStart"/>
      <w:r w:rsidRPr="000444AF">
        <w:t>How</w:t>
      </w:r>
      <w:proofErr w:type="gramEnd"/>
      <w:r w:rsidRPr="000444AF">
        <w:t xml:space="preserve"> does your firm define usefulness versus ease of use of a product?</w:t>
      </w:r>
    </w:p>
    <w:p w:rsidR="000444AF" w:rsidRPr="000444AF" w:rsidRDefault="000444AF"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pPr>
      <w:r w:rsidRPr="000444AF">
        <w:tab/>
        <w:t xml:space="preserve">Q.D.02.a </w:t>
      </w:r>
      <w:proofErr w:type="gramStart"/>
      <w:r w:rsidRPr="000444AF">
        <w:t>How</w:t>
      </w:r>
      <w:proofErr w:type="gramEnd"/>
      <w:r w:rsidRPr="000444AF">
        <w:t xml:space="preserve"> does your firm gauge the perceived usefulness of a product? </w:t>
      </w:r>
    </w:p>
    <w:p w:rsidR="000444AF" w:rsidRPr="000444AF" w:rsidRDefault="000444AF"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pPr>
      <w:r w:rsidRPr="000444AF">
        <w:tab/>
      </w:r>
      <w:r w:rsidRPr="000444AF">
        <w:tab/>
        <w:t>Q.D.02.a.1 When does this typically occur?</w:t>
      </w:r>
    </w:p>
    <w:p w:rsidR="000444AF" w:rsidRPr="000444AF" w:rsidRDefault="000444AF"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pPr>
      <w:r w:rsidRPr="000444AF">
        <w:tab/>
        <w:t xml:space="preserve">Q.D.02.b </w:t>
      </w:r>
      <w:proofErr w:type="gramStart"/>
      <w:r w:rsidRPr="000444AF">
        <w:t>How</w:t>
      </w:r>
      <w:proofErr w:type="gramEnd"/>
      <w:r w:rsidRPr="000444AF">
        <w:t xml:space="preserve"> does your firm gauge the perceived ease of use of a product? </w:t>
      </w:r>
    </w:p>
    <w:p w:rsidR="000444AF" w:rsidRPr="000444AF" w:rsidRDefault="000444AF" w:rsidP="00044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pPr>
      <w:r w:rsidRPr="000444AF">
        <w:tab/>
      </w:r>
      <w:r w:rsidRPr="000444AF">
        <w:tab/>
        <w:t>Q.D.02.b.1 When does this typically occur?</w:t>
      </w:r>
    </w:p>
    <w:p w:rsidR="000444AF" w:rsidRDefault="000444AF" w:rsidP="00C207A1"/>
    <w:p w:rsidR="002647CA" w:rsidRDefault="007F39D4">
      <w:r>
        <w:t xml:space="preserve">Finally, </w:t>
      </w:r>
      <w:r w:rsidR="002647CA">
        <w:t xml:space="preserve">based on feedback from </w:t>
      </w:r>
      <w:r>
        <w:t>both interview guide reviewers and the pilot interview participant</w:t>
      </w:r>
      <w:r w:rsidR="002647CA">
        <w:t xml:space="preserve"> the following changes were made</w:t>
      </w:r>
      <w:r w:rsidR="00EA06DE">
        <w:t>:</w:t>
      </w:r>
    </w:p>
    <w:p w:rsidR="001D003C" w:rsidRDefault="002647CA" w:rsidP="00AC7405">
      <w:pPr>
        <w:pStyle w:val="ListParagraph"/>
        <w:numPr>
          <w:ilvl w:val="0"/>
          <w:numId w:val="37"/>
        </w:numPr>
      </w:pPr>
      <w:r>
        <w:t>T</w:t>
      </w:r>
      <w:r w:rsidR="00CF178E">
        <w:t>he</w:t>
      </w:r>
      <w:r w:rsidR="00791591">
        <w:t xml:space="preserve"> </w:t>
      </w:r>
      <w:r w:rsidR="00791591" w:rsidRPr="00E8799F">
        <w:t>question “</w:t>
      </w:r>
      <w:r w:rsidR="007B38E2" w:rsidRPr="007B38E2">
        <w:t xml:space="preserve">When does </w:t>
      </w:r>
      <w:r w:rsidR="000444AF">
        <w:t>[</w:t>
      </w:r>
      <w:r w:rsidR="000444AF" w:rsidRPr="00714477">
        <w:rPr>
          <w:highlight w:val="lightGray"/>
        </w:rPr>
        <w:t>the</w:t>
      </w:r>
      <w:r w:rsidR="000444AF" w:rsidRPr="000444AF">
        <w:rPr>
          <w:highlight w:val="lightGray"/>
        </w:rPr>
        <w:t xml:space="preserve"> product development phased being discussed</w:t>
      </w:r>
      <w:r w:rsidR="000444AF">
        <w:t>]</w:t>
      </w:r>
      <w:r w:rsidR="007B38E2" w:rsidRPr="007B38E2">
        <w:t xml:space="preserve"> </w:t>
      </w:r>
      <w:r w:rsidR="000444AF">
        <w:t xml:space="preserve">typically </w:t>
      </w:r>
      <w:r w:rsidR="007B38E2" w:rsidRPr="007B38E2">
        <w:t>occur?</w:t>
      </w:r>
      <w:r w:rsidR="00791591" w:rsidRPr="00E8799F">
        <w:t>” has been added to identify</w:t>
      </w:r>
      <w:r w:rsidR="00C207A1" w:rsidRPr="00E8799F">
        <w:t xml:space="preserve"> when </w:t>
      </w:r>
      <w:r w:rsidR="00791591" w:rsidRPr="00E8799F">
        <w:t>each of the development</w:t>
      </w:r>
      <w:r w:rsidR="00791591">
        <w:t xml:space="preserve"> phases discussed in the interview guide </w:t>
      </w:r>
      <w:r w:rsidR="00714477">
        <w:t xml:space="preserve">takes place. </w:t>
      </w:r>
      <w:r>
        <w:t xml:space="preserve"> </w:t>
      </w:r>
      <w:r w:rsidR="00714477">
        <w:t>This question was added because t</w:t>
      </w:r>
      <w:r w:rsidR="00AC7405">
        <w:t xml:space="preserve">he </w:t>
      </w:r>
      <w:r>
        <w:t xml:space="preserve">reviewers and the pilot interview participant noted that product development phases may </w:t>
      </w:r>
      <w:r w:rsidR="00714477">
        <w:t>ensue</w:t>
      </w:r>
      <w:r>
        <w:t xml:space="preserve"> at </w:t>
      </w:r>
      <w:r w:rsidR="00714477">
        <w:t>various</w:t>
      </w:r>
      <w:r>
        <w:t xml:space="preserve"> times for different companies.</w:t>
      </w:r>
      <w:r w:rsidR="00791591">
        <w:t xml:space="preserve">  These phases </w:t>
      </w:r>
      <w:r w:rsidR="00E8799F">
        <w:t xml:space="preserve">and new question numbers </w:t>
      </w:r>
      <w:r w:rsidR="00791591">
        <w:t>are listed below:</w:t>
      </w:r>
    </w:p>
    <w:p w:rsidR="000D05B8" w:rsidRPr="000D05B8" w:rsidRDefault="000D05B8" w:rsidP="00E8799F">
      <w:pPr>
        <w:numPr>
          <w:ilvl w:val="1"/>
          <w:numId w:val="33"/>
        </w:numPr>
        <w:tabs>
          <w:tab w:val="clear" w:pos="360"/>
          <w:tab w:val="num" w:pos="1080"/>
        </w:tabs>
        <w:ind w:left="1080" w:hanging="360"/>
      </w:pPr>
      <w:r w:rsidRPr="000D05B8">
        <w:t>Section Q.B: Idea Generation</w:t>
      </w:r>
    </w:p>
    <w:p w:rsidR="001D003C" w:rsidRDefault="000D05B8">
      <w:pPr>
        <w:numPr>
          <w:ilvl w:val="2"/>
          <w:numId w:val="33"/>
        </w:numPr>
        <w:tabs>
          <w:tab w:val="clear" w:pos="360"/>
          <w:tab w:val="num" w:pos="1440"/>
        </w:tabs>
        <w:ind w:left="1440" w:hanging="360"/>
      </w:pPr>
      <w:r w:rsidRPr="000D05B8">
        <w:t>Initiation of p</w:t>
      </w:r>
      <w:r w:rsidR="00C207A1" w:rsidRPr="000D05B8">
        <w:t xml:space="preserve">roduct development processes </w:t>
      </w:r>
      <w:r w:rsidRPr="000D05B8">
        <w:t>(Q.B.01.a)</w:t>
      </w:r>
    </w:p>
    <w:p w:rsidR="00D70F84" w:rsidRDefault="00D70F84">
      <w:pPr>
        <w:numPr>
          <w:ilvl w:val="2"/>
          <w:numId w:val="33"/>
        </w:numPr>
        <w:tabs>
          <w:tab w:val="clear" w:pos="360"/>
          <w:tab w:val="num" w:pos="1440"/>
        </w:tabs>
        <w:ind w:left="1440" w:hanging="360"/>
      </w:pPr>
      <w:r>
        <w:t>Identification of end users (Q.B.01.</w:t>
      </w:r>
      <w:r w:rsidR="00714477">
        <w:t>c</w:t>
      </w:r>
      <w:r>
        <w:t>)</w:t>
      </w:r>
    </w:p>
    <w:p w:rsidR="000D05B8" w:rsidRPr="000D05B8" w:rsidRDefault="000D05B8" w:rsidP="008812A3">
      <w:pPr>
        <w:numPr>
          <w:ilvl w:val="1"/>
          <w:numId w:val="33"/>
        </w:numPr>
        <w:tabs>
          <w:tab w:val="clear" w:pos="360"/>
          <w:tab w:val="num" w:pos="1080"/>
        </w:tabs>
        <w:ind w:left="1080" w:hanging="360"/>
      </w:pPr>
      <w:r w:rsidRPr="000D05B8">
        <w:t>Section Q.C: Concept Development</w:t>
      </w:r>
    </w:p>
    <w:p w:rsidR="001D003C" w:rsidRDefault="00C207A1">
      <w:pPr>
        <w:numPr>
          <w:ilvl w:val="2"/>
          <w:numId w:val="33"/>
        </w:numPr>
        <w:tabs>
          <w:tab w:val="clear" w:pos="360"/>
          <w:tab w:val="num" w:pos="1440"/>
        </w:tabs>
        <w:ind w:left="1440" w:hanging="360"/>
      </w:pPr>
      <w:r w:rsidRPr="000D05B8">
        <w:t>Prototyping</w:t>
      </w:r>
      <w:r w:rsidR="000D05B8" w:rsidRPr="000D05B8">
        <w:t xml:space="preserve"> (</w:t>
      </w:r>
      <w:r w:rsidR="007B38E2" w:rsidRPr="007B38E2">
        <w:t>Q.C.01.c)</w:t>
      </w:r>
    </w:p>
    <w:p w:rsidR="00C207A1" w:rsidRPr="000D05B8" w:rsidRDefault="000D05B8" w:rsidP="00E8799F">
      <w:pPr>
        <w:numPr>
          <w:ilvl w:val="1"/>
          <w:numId w:val="33"/>
        </w:numPr>
        <w:tabs>
          <w:tab w:val="clear" w:pos="360"/>
          <w:tab w:val="num" w:pos="1080"/>
        </w:tabs>
        <w:ind w:left="1080" w:hanging="360"/>
      </w:pPr>
      <w:r w:rsidRPr="000D05B8">
        <w:t xml:space="preserve">Section Q.D: </w:t>
      </w:r>
      <w:r w:rsidR="00C207A1" w:rsidRPr="000D05B8">
        <w:t>Testing</w:t>
      </w:r>
      <w:r w:rsidRPr="000D05B8">
        <w:t xml:space="preserve"> (</w:t>
      </w:r>
      <w:r w:rsidR="007B38E2" w:rsidRPr="007B38E2">
        <w:t>Q.D.01.a)</w:t>
      </w:r>
    </w:p>
    <w:p w:rsidR="000444AF" w:rsidRDefault="000444AF" w:rsidP="000444AF">
      <w:pPr>
        <w:numPr>
          <w:ilvl w:val="2"/>
          <w:numId w:val="33"/>
        </w:numPr>
        <w:tabs>
          <w:tab w:val="clear" w:pos="360"/>
          <w:tab w:val="num" w:pos="1440"/>
        </w:tabs>
        <w:ind w:left="1440" w:hanging="360"/>
      </w:pPr>
      <w:r w:rsidRPr="000D05B8">
        <w:t>Usefulness of a product (</w:t>
      </w:r>
      <w:r w:rsidR="00714477">
        <w:t>Q.D.02</w:t>
      </w:r>
      <w:r w:rsidRPr="007B38E2">
        <w:t>.a.1</w:t>
      </w:r>
      <w:r w:rsidRPr="000D05B8">
        <w:t>)</w:t>
      </w:r>
    </w:p>
    <w:p w:rsidR="000444AF" w:rsidRDefault="000444AF" w:rsidP="000444AF">
      <w:pPr>
        <w:numPr>
          <w:ilvl w:val="2"/>
          <w:numId w:val="33"/>
        </w:numPr>
        <w:tabs>
          <w:tab w:val="clear" w:pos="360"/>
          <w:tab w:val="num" w:pos="1440"/>
        </w:tabs>
        <w:ind w:left="1440" w:hanging="360"/>
      </w:pPr>
      <w:r w:rsidRPr="000D05B8">
        <w:t>Ease of use of a product (</w:t>
      </w:r>
      <w:r w:rsidR="00714477">
        <w:t>Q.D.02</w:t>
      </w:r>
      <w:r w:rsidRPr="007B38E2">
        <w:t>.b.1</w:t>
      </w:r>
      <w:r w:rsidRPr="000D05B8">
        <w:t>)</w:t>
      </w:r>
    </w:p>
    <w:p w:rsidR="00C207A1" w:rsidRDefault="00C207A1" w:rsidP="002647CA"/>
    <w:p w:rsidR="00C207A1" w:rsidRDefault="000D05B8" w:rsidP="00AC7405">
      <w:pPr>
        <w:pStyle w:val="ListParagraph"/>
        <w:numPr>
          <w:ilvl w:val="0"/>
          <w:numId w:val="37"/>
        </w:numPr>
      </w:pPr>
      <w:r>
        <w:t>T</w:t>
      </w:r>
      <w:r w:rsidR="00C207A1">
        <w:t>he following two questions</w:t>
      </w:r>
      <w:r>
        <w:t xml:space="preserve"> were moved from section Q.D “Testing”</w:t>
      </w:r>
      <w:r w:rsidR="00C207A1">
        <w:t xml:space="preserve"> to </w:t>
      </w:r>
      <w:r>
        <w:t>section Q.C</w:t>
      </w:r>
      <w:r w:rsidR="00C207A1">
        <w:t xml:space="preserve"> </w:t>
      </w:r>
      <w:r>
        <w:t>“</w:t>
      </w:r>
      <w:r w:rsidR="00C207A1">
        <w:t>Concept Development</w:t>
      </w:r>
      <w:r>
        <w:t>”</w:t>
      </w:r>
      <w:r w:rsidR="00C207A1">
        <w:t xml:space="preserve"> </w:t>
      </w:r>
      <w:r>
        <w:t>based on feedback from</w:t>
      </w:r>
      <w:r w:rsidR="008812A3">
        <w:t xml:space="preserve"> the reviewers and pilot interview participant </w:t>
      </w:r>
      <w:r>
        <w:t>that</w:t>
      </w:r>
      <w:r w:rsidR="008812A3">
        <w:t xml:space="preserve"> segments of the consumer market are identified earlier in the product development cycle – when the product characteristics are defined</w:t>
      </w:r>
      <w:r w:rsidR="00C207A1">
        <w:t>:</w:t>
      </w:r>
    </w:p>
    <w:p w:rsidR="00AC7405" w:rsidRDefault="00AC7405">
      <w:pPr>
        <w:ind w:firstLine="720"/>
      </w:pPr>
    </w:p>
    <w:p w:rsidR="001D003C" w:rsidRDefault="007B38E2">
      <w:pPr>
        <w:ind w:firstLine="720"/>
      </w:pPr>
      <w:r w:rsidRPr="007B38E2">
        <w:t>Q.C.02. In what ways does your firm segment the consumer market?</w:t>
      </w:r>
    </w:p>
    <w:p w:rsidR="001D003C" w:rsidRDefault="007B38E2">
      <w:pPr>
        <w:ind w:left="2430" w:hanging="990"/>
      </w:pPr>
      <w:r w:rsidRPr="007B38E2">
        <w:lastRenderedPageBreak/>
        <w:t xml:space="preserve">Q.C.02.a. </w:t>
      </w:r>
      <w:proofErr w:type="gramStart"/>
      <w:r w:rsidRPr="007B38E2">
        <w:t>What</w:t>
      </w:r>
      <w:proofErr w:type="gramEnd"/>
      <w:r w:rsidRPr="007B38E2">
        <w:t xml:space="preserve"> role do these segments play in tailoring the testing of a product?</w:t>
      </w:r>
    </w:p>
    <w:p w:rsidR="00AC7405" w:rsidRDefault="00AC7405" w:rsidP="007B77EF"/>
    <w:p w:rsidR="00576CED" w:rsidRDefault="001D3FB5">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pPr>
      <w:r>
        <w:t xml:space="preserve">Following the review and testing process, a new section: </w:t>
      </w:r>
      <w:r w:rsidR="002562D6" w:rsidRPr="002647CA">
        <w:t>“</w:t>
      </w:r>
      <w:r w:rsidR="00791591" w:rsidRPr="002647CA">
        <w:t xml:space="preserve">Q.G. </w:t>
      </w:r>
      <w:r w:rsidR="005C2E92" w:rsidRPr="002647CA">
        <w:t>Individual’s</w:t>
      </w:r>
      <w:r w:rsidR="005C2E92" w:rsidRPr="005C2E92">
        <w:t xml:space="preserve"> Experience With and Perspective on Design Methods Applicable to Consumer Health IT”</w:t>
      </w:r>
      <w:r w:rsidR="00D70F84">
        <w:t xml:space="preserve"> was added.</w:t>
      </w:r>
      <w:r>
        <w:t xml:space="preserve">  </w:t>
      </w:r>
      <w:r w:rsidR="005C2E92" w:rsidRPr="005C2E92">
        <w:t xml:space="preserve">Based pilot interview </w:t>
      </w:r>
      <w:r w:rsidR="00714477">
        <w:t>results</w:t>
      </w:r>
      <w:r w:rsidR="005C2E92" w:rsidRPr="005C2E92">
        <w:t>, we observed that the participant’s company</w:t>
      </w:r>
      <w:r w:rsidR="00F94F4F">
        <w:t xml:space="preserve"> worked </w:t>
      </w:r>
      <w:r w:rsidR="005C2E92" w:rsidRPr="005C2E92">
        <w:t xml:space="preserve"> with health and wellness IT products and was interested in transferring methods in their core domains to the </w:t>
      </w:r>
      <w:r>
        <w:t xml:space="preserve">field of </w:t>
      </w:r>
      <w:r w:rsidR="005C2E92" w:rsidRPr="005C2E92">
        <w:t xml:space="preserve">consumer health IT. </w:t>
      </w:r>
      <w:r w:rsidR="00D70F84">
        <w:t xml:space="preserve"> </w:t>
      </w:r>
      <w:r w:rsidR="005C2E92" w:rsidRPr="005C2E92">
        <w:t>T</w:t>
      </w:r>
      <w:r w:rsidR="00D70F84">
        <w:t>herefore, section Q.G was added t</w:t>
      </w:r>
      <w:r w:rsidR="005C2E92" w:rsidRPr="005C2E92">
        <w:t xml:space="preserve">o better understand the </w:t>
      </w:r>
      <w:r>
        <w:t xml:space="preserve">positive and negative </w:t>
      </w:r>
      <w:r w:rsidR="005C2E92" w:rsidRPr="005C2E92">
        <w:t xml:space="preserve">experiences </w:t>
      </w:r>
      <w:r>
        <w:t xml:space="preserve">that </w:t>
      </w:r>
      <w:r w:rsidR="005C2E92" w:rsidRPr="005C2E92">
        <w:t>companies have</w:t>
      </w:r>
      <w:r>
        <w:t xml:space="preserve"> </w:t>
      </w:r>
      <w:r w:rsidR="005C2E92" w:rsidRPr="005C2E92">
        <w:t>with using existing design methods in the consumer health IT domain.</w:t>
      </w:r>
    </w:p>
    <w:p w:rsidR="001D3FB5" w:rsidRDefault="001D3FB5">
      <w:pPr>
        <w:widowControl w:val="0"/>
        <w:tabs>
          <w:tab w:val="left" w:pos="0"/>
          <w:tab w:val="left" w:pos="63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p>
    <w:p w:rsidR="007B77EF" w:rsidRPr="007E69DA" w:rsidRDefault="007B77EF" w:rsidP="007B77EF">
      <w:pPr>
        <w:pStyle w:val="HeadingOMB2"/>
      </w:pPr>
      <w:bookmarkStart w:id="18" w:name="_Toc289687714"/>
      <w:r w:rsidRPr="007E69DA">
        <w:t>5. Statistical Consultants</w:t>
      </w:r>
      <w:bookmarkEnd w:id="16"/>
      <w:bookmarkEnd w:id="17"/>
      <w:bookmarkEnd w:id="18"/>
    </w:p>
    <w:p w:rsidR="00C55E2A" w:rsidRDefault="00C55E2A" w:rsidP="007B77EF"/>
    <w:p w:rsidR="007B77EF" w:rsidRDefault="007B77EF" w:rsidP="007B77EF">
      <w:r>
        <w:t xml:space="preserve">Because this </w:t>
      </w:r>
      <w:r w:rsidR="00C870CF">
        <w:t xml:space="preserve">effort is focused on obtaining technical consultation from industry experts, </w:t>
      </w:r>
      <w:r>
        <w:t>no statistical consultants were contacted.</w:t>
      </w:r>
    </w:p>
    <w:p w:rsidR="007B77EF" w:rsidRDefault="007B77EF" w:rsidP="007B77EF"/>
    <w:p w:rsidR="007B77EF" w:rsidRPr="00F34C93" w:rsidRDefault="001D003C" w:rsidP="007B77EF">
      <w:r>
        <w:t xml:space="preserve">The </w:t>
      </w:r>
      <w:r w:rsidR="00D70F84">
        <w:t>p</w:t>
      </w:r>
      <w:r>
        <w:t xml:space="preserve">roject </w:t>
      </w:r>
      <w:r w:rsidR="00D70F84">
        <w:t>d</w:t>
      </w:r>
      <w:r>
        <w:t xml:space="preserve">irector, Dr. Enid Montague, is a consultant to </w:t>
      </w:r>
      <w:proofErr w:type="spellStart"/>
      <w:r>
        <w:t>Westat</w:t>
      </w:r>
      <w:proofErr w:type="spellEnd"/>
      <w:r>
        <w:t xml:space="preserve">, the prime contractor.  She will be responsible for overseeing the activities related to this work, including identifying participants, training the interviewer who will conduct all of the interviews, planning the qualitative analysis steps and reporting the findings. </w:t>
      </w:r>
      <w:r w:rsidR="00D70F84">
        <w:t xml:space="preserve"> </w:t>
      </w:r>
      <w:r>
        <w:t>Dr. Montague can be reached by phone at (608) 890-3546 or by email at emontague@wisc.edu.</w:t>
      </w:r>
      <w:r w:rsidR="00C870CF">
        <w:t xml:space="preserve">The project </w:t>
      </w:r>
      <w:r w:rsidR="00BF3B9B">
        <w:t xml:space="preserve">manager </w:t>
      </w:r>
      <w:r w:rsidR="000D36C9">
        <w:t xml:space="preserve">from the contractor organization, </w:t>
      </w:r>
      <w:proofErr w:type="spellStart"/>
      <w:r w:rsidR="000D36C9">
        <w:t>Westat</w:t>
      </w:r>
      <w:proofErr w:type="spellEnd"/>
      <w:r w:rsidR="000D36C9">
        <w:t xml:space="preserve">, </w:t>
      </w:r>
      <w:r w:rsidR="00C870CF">
        <w:t>is Jennifer Crafts</w:t>
      </w:r>
      <w:r w:rsidR="00FE4C95">
        <w:t>, Ph.D.</w:t>
      </w:r>
      <w:r w:rsidR="00C870CF">
        <w:t xml:space="preserve"> She can be reached by phone at </w:t>
      </w:r>
      <w:r w:rsidR="004E2E63">
        <w:t>(301) 610-4881</w:t>
      </w:r>
      <w:r w:rsidR="00C870CF">
        <w:t xml:space="preserve"> or by email at JenniferCrafts@westat.com.</w:t>
      </w:r>
    </w:p>
    <w:p w:rsidR="004F157C" w:rsidRDefault="004F157C">
      <w:pPr>
        <w:rPr>
          <w:rFonts w:ascii="Arial" w:hAnsi="Arial"/>
          <w:b/>
          <w:bCs/>
          <w:i/>
          <w:kern w:val="32"/>
        </w:rPr>
      </w:pPr>
      <w:bookmarkStart w:id="19" w:name="_Toc230760773"/>
    </w:p>
    <w:bookmarkEnd w:id="19"/>
    <w:p w:rsidR="007C0905" w:rsidRDefault="007C0905">
      <w:pPr>
        <w:rPr>
          <w:rFonts w:ascii="Arial" w:hAnsi="Arial" w:cs="Arial"/>
          <w:b/>
          <w:i/>
        </w:rPr>
      </w:pPr>
      <w:r>
        <w:rPr>
          <w:rFonts w:ascii="Arial" w:hAnsi="Arial" w:cs="Arial"/>
          <w:b/>
          <w:i/>
        </w:rPr>
        <w:br w:type="page"/>
      </w:r>
    </w:p>
    <w:p w:rsidR="00F461D8" w:rsidRPr="00F461D8" w:rsidRDefault="00F461D8" w:rsidP="00F461D8">
      <w:pPr>
        <w:ind w:left="1530" w:hanging="1530"/>
        <w:rPr>
          <w:rFonts w:ascii="Arial" w:hAnsi="Arial" w:cs="Arial"/>
          <w:b/>
          <w:i/>
        </w:rPr>
      </w:pPr>
      <w:r w:rsidRPr="00F461D8">
        <w:rPr>
          <w:rFonts w:ascii="Arial" w:hAnsi="Arial" w:cs="Arial"/>
          <w:b/>
          <w:i/>
        </w:rPr>
        <w:lastRenderedPageBreak/>
        <w:t>References</w:t>
      </w:r>
    </w:p>
    <w:p w:rsidR="00F461D8" w:rsidRDefault="00F461D8" w:rsidP="00F461D8">
      <w:pPr>
        <w:ind w:left="1530" w:hanging="1530"/>
      </w:pPr>
    </w:p>
    <w:p w:rsidR="00F461D8" w:rsidRPr="00D543F5" w:rsidRDefault="00F461D8" w:rsidP="00F461D8">
      <w:pPr>
        <w:rPr>
          <w:color w:val="000000"/>
        </w:rPr>
      </w:pPr>
      <w:r w:rsidRPr="00D543F5">
        <w:rPr>
          <w:color w:val="000000"/>
        </w:rPr>
        <w:t xml:space="preserve">Patton, M. Q. (2001). </w:t>
      </w:r>
      <w:r w:rsidRPr="00D543F5">
        <w:rPr>
          <w:i/>
          <w:iCs/>
          <w:color w:val="000000"/>
        </w:rPr>
        <w:t>Qualitative research and evaluation methods</w:t>
      </w:r>
      <w:r w:rsidRPr="00D543F5">
        <w:rPr>
          <w:color w:val="000000"/>
        </w:rPr>
        <w:t xml:space="preserve"> (3rd </w:t>
      </w:r>
      <w:proofErr w:type="gramStart"/>
      <w:r w:rsidRPr="00D543F5">
        <w:rPr>
          <w:color w:val="000000"/>
        </w:rPr>
        <w:t>ed</w:t>
      </w:r>
      <w:proofErr w:type="gramEnd"/>
      <w:r w:rsidRPr="00D543F5">
        <w:rPr>
          <w:color w:val="000000"/>
        </w:rPr>
        <w:t>.)</w:t>
      </w:r>
      <w:r w:rsidR="001E593F">
        <w:rPr>
          <w:color w:val="000000"/>
        </w:rPr>
        <w:t>. Thousand Oaks, CA</w:t>
      </w:r>
      <w:r w:rsidR="00AF2AC5">
        <w:rPr>
          <w:color w:val="000000"/>
        </w:rPr>
        <w:t>:</w:t>
      </w:r>
      <w:r w:rsidRPr="00D543F5">
        <w:rPr>
          <w:color w:val="000000"/>
        </w:rPr>
        <w:t xml:space="preserve"> SAGE.</w:t>
      </w:r>
    </w:p>
    <w:p w:rsidR="00F461D8" w:rsidRPr="00D543F5" w:rsidRDefault="00F461D8" w:rsidP="00F461D8">
      <w:pPr>
        <w:ind w:hanging="540"/>
        <w:rPr>
          <w:color w:val="000000"/>
        </w:rPr>
      </w:pPr>
    </w:p>
    <w:p w:rsidR="00F461D8" w:rsidRPr="00D543F5" w:rsidRDefault="00F461D8" w:rsidP="00F461D8">
      <w:pPr>
        <w:rPr>
          <w:color w:val="000000"/>
        </w:rPr>
      </w:pPr>
      <w:r w:rsidRPr="00D543F5">
        <w:rPr>
          <w:color w:val="000000"/>
        </w:rPr>
        <w:t xml:space="preserve">Creswell, J. W. (2007). </w:t>
      </w:r>
      <w:r w:rsidRPr="00D543F5">
        <w:rPr>
          <w:i/>
          <w:iCs/>
          <w:color w:val="000000"/>
        </w:rPr>
        <w:t>Qualitative inquiry and research design</w:t>
      </w:r>
      <w:r w:rsidRPr="00D543F5">
        <w:rPr>
          <w:color w:val="000000"/>
        </w:rPr>
        <w:t xml:space="preserve"> (2nd </w:t>
      </w:r>
      <w:proofErr w:type="gramStart"/>
      <w:r w:rsidRPr="00D543F5">
        <w:rPr>
          <w:color w:val="000000"/>
        </w:rPr>
        <w:t>ed</w:t>
      </w:r>
      <w:proofErr w:type="gramEnd"/>
      <w:r w:rsidRPr="00D543F5">
        <w:rPr>
          <w:color w:val="000000"/>
        </w:rPr>
        <w:t>.). Thousand Oaks,</w:t>
      </w:r>
      <w:r w:rsidR="00AF2AC5">
        <w:rPr>
          <w:color w:val="000000"/>
        </w:rPr>
        <w:t xml:space="preserve"> CA</w:t>
      </w:r>
      <w:r w:rsidRPr="00D543F5">
        <w:rPr>
          <w:color w:val="000000"/>
        </w:rPr>
        <w:t>: SAGE.</w:t>
      </w:r>
    </w:p>
    <w:p w:rsidR="00F461D8" w:rsidRDefault="00F461D8" w:rsidP="007B77EF"/>
    <w:p w:rsidR="00340EF3" w:rsidRPr="00F461D8" w:rsidRDefault="00340EF3" w:rsidP="007B77EF">
      <w:proofErr w:type="gramStart"/>
      <w:r w:rsidRPr="00340EF3">
        <w:t>Wolfe, E.W. &amp; Smith, E.V.</w:t>
      </w:r>
      <w:r w:rsidR="00AF2AC5">
        <w:t xml:space="preserve"> (</w:t>
      </w:r>
      <w:r w:rsidRPr="00340EF3">
        <w:t>2007</w:t>
      </w:r>
      <w:r w:rsidR="00AF2AC5">
        <w:t>)</w:t>
      </w:r>
      <w:r w:rsidRPr="00340EF3">
        <w:t>.</w:t>
      </w:r>
      <w:proofErr w:type="gramEnd"/>
      <w:r w:rsidRPr="00340EF3">
        <w:t xml:space="preserve"> </w:t>
      </w:r>
      <w:r w:rsidR="00AF2AC5">
        <w:t>“</w:t>
      </w:r>
      <w:r w:rsidRPr="00340EF3">
        <w:t xml:space="preserve">Instrument development tools and activities for measure validation using </w:t>
      </w:r>
      <w:proofErr w:type="spellStart"/>
      <w:r w:rsidRPr="00340EF3">
        <w:t>rasch</w:t>
      </w:r>
      <w:proofErr w:type="spellEnd"/>
      <w:r w:rsidRPr="00340EF3">
        <w:t xml:space="preserve"> models: Part I development activities.</w:t>
      </w:r>
      <w:r w:rsidR="00AF2AC5">
        <w:t xml:space="preserve">” </w:t>
      </w:r>
      <w:r w:rsidRPr="00340EF3">
        <w:t xml:space="preserve"> In Smith, E.V. &amp; Smith, R.M. eds. </w:t>
      </w:r>
      <w:proofErr w:type="spellStart"/>
      <w:r w:rsidR="005700C2" w:rsidRPr="005700C2">
        <w:rPr>
          <w:i/>
        </w:rPr>
        <w:t>Rasch</w:t>
      </w:r>
      <w:proofErr w:type="spellEnd"/>
      <w:r w:rsidR="005700C2" w:rsidRPr="005700C2">
        <w:rPr>
          <w:i/>
        </w:rPr>
        <w:t xml:space="preserve"> measurement: Advanced and specialized applications</w:t>
      </w:r>
      <w:r w:rsidRPr="00340EF3">
        <w:t>. Maple Grove, MN</w:t>
      </w:r>
      <w:r w:rsidR="00AF2AC5">
        <w:t>:</w:t>
      </w:r>
      <w:r w:rsidRPr="00340EF3">
        <w:t xml:space="preserve"> JAM Press.</w:t>
      </w:r>
    </w:p>
    <w:sectPr w:rsidR="00340EF3" w:rsidRPr="00F461D8" w:rsidSect="00DF2649">
      <w:headerReference w:type="default" r:id="rId9"/>
      <w:footerReference w:type="even" r:id="rId10"/>
      <w:footerReference w:type="default" r:id="rId11"/>
      <w:endnotePr>
        <w:numFmt w:val="decimal"/>
      </w:endnotePr>
      <w:pgSz w:w="12240" w:h="15840"/>
      <w:pgMar w:top="1440" w:right="1800" w:bottom="126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C41" w:rsidRDefault="00907C41">
      <w:r>
        <w:separator/>
      </w:r>
    </w:p>
  </w:endnote>
  <w:endnote w:type="continuationSeparator" w:id="0">
    <w:p w:rsidR="00907C41" w:rsidRDefault="00907C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41" w:rsidRDefault="001D6444" w:rsidP="007B77EF">
    <w:pPr>
      <w:pStyle w:val="Footer"/>
      <w:framePr w:wrap="around" w:vAnchor="text" w:hAnchor="margin" w:xAlign="center" w:y="1"/>
      <w:rPr>
        <w:rStyle w:val="PageNumber"/>
      </w:rPr>
    </w:pPr>
    <w:r>
      <w:rPr>
        <w:rStyle w:val="PageNumber"/>
      </w:rPr>
      <w:fldChar w:fldCharType="begin"/>
    </w:r>
    <w:r w:rsidR="00907C41">
      <w:rPr>
        <w:rStyle w:val="PageNumber"/>
      </w:rPr>
      <w:instrText xml:space="preserve">PAGE  </w:instrText>
    </w:r>
    <w:r>
      <w:rPr>
        <w:rStyle w:val="PageNumber"/>
      </w:rPr>
      <w:fldChar w:fldCharType="end"/>
    </w:r>
  </w:p>
  <w:p w:rsidR="00907C41" w:rsidRDefault="00907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4272"/>
      <w:docPartObj>
        <w:docPartGallery w:val="Page Numbers (Bottom of Page)"/>
        <w:docPartUnique/>
      </w:docPartObj>
    </w:sdtPr>
    <w:sdtContent>
      <w:p w:rsidR="00907C41" w:rsidRDefault="001D6444">
        <w:pPr>
          <w:pStyle w:val="Footer"/>
          <w:jc w:val="center"/>
        </w:pPr>
        <w:fldSimple w:instr=" PAGE   \* MERGEFORMAT ">
          <w:r w:rsidR="002E3475">
            <w:rPr>
              <w:noProof/>
            </w:rPr>
            <w:t>3</w:t>
          </w:r>
        </w:fldSimple>
      </w:p>
    </w:sdtContent>
  </w:sdt>
  <w:p w:rsidR="00907C41" w:rsidRDefault="00907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C41" w:rsidRDefault="00907C41">
      <w:r>
        <w:separator/>
      </w:r>
    </w:p>
  </w:footnote>
  <w:footnote w:type="continuationSeparator" w:id="0">
    <w:p w:rsidR="00907C41" w:rsidRDefault="00907C41">
      <w:r>
        <w:continuationSeparator/>
      </w:r>
    </w:p>
  </w:footnote>
  <w:footnote w:id="1">
    <w:p w:rsidR="00907C41" w:rsidRDefault="00907C41" w:rsidP="00C207A1">
      <w:pPr>
        <w:pStyle w:val="FootnoteText"/>
      </w:pPr>
      <w:r>
        <w:rPr>
          <w:rStyle w:val="FootnoteReference"/>
        </w:rPr>
        <w:footnoteRef/>
      </w:r>
      <w:r>
        <w:t xml:space="preserve"> </w:t>
      </w:r>
      <w:r w:rsidRPr="005E0EE7">
        <w:rPr>
          <w:sz w:val="18"/>
          <w:szCs w:val="18"/>
        </w:rPr>
        <w:t>A smart phone is a </w:t>
      </w:r>
      <w:hyperlink r:id="rId1" w:history="1">
        <w:r w:rsidRPr="005E0EE7">
          <w:rPr>
            <w:sz w:val="18"/>
            <w:szCs w:val="18"/>
          </w:rPr>
          <w:t>mobile phone</w:t>
        </w:r>
      </w:hyperlink>
      <w:r w:rsidRPr="005E0EE7">
        <w:rPr>
          <w:sz w:val="18"/>
          <w:szCs w:val="18"/>
        </w:rPr>
        <w:t xml:space="preserve"> that offers more advanced computing ability and connectivity than a typical mobile phone and may include, in addition to digital </w:t>
      </w:r>
      <w:r w:rsidRPr="005E0EE7">
        <w:rPr>
          <w:rStyle w:val="apple-style-span"/>
          <w:color w:val="000000"/>
          <w:sz w:val="18"/>
          <w:szCs w:val="18"/>
        </w:rPr>
        <w:t>voice, text messaging, e-mail, Web browsing, still and video cameras, music player</w:t>
      </w:r>
      <w:r>
        <w:rPr>
          <w:rStyle w:val="apple-style-span"/>
          <w:color w:val="000000"/>
          <w:sz w:val="18"/>
          <w:szCs w:val="18"/>
        </w:rPr>
        <w:t>,</w:t>
      </w:r>
      <w:r w:rsidRPr="005E0EE7">
        <w:rPr>
          <w:rStyle w:val="apple-style-span"/>
          <w:color w:val="000000"/>
          <w:sz w:val="18"/>
          <w:szCs w:val="18"/>
        </w:rPr>
        <w:t xml:space="preserve"> and video viewing. Smart phones can run multiple applications, turning </w:t>
      </w:r>
      <w:r>
        <w:rPr>
          <w:rStyle w:val="apple-style-span"/>
          <w:color w:val="000000"/>
          <w:sz w:val="18"/>
          <w:szCs w:val="18"/>
        </w:rPr>
        <w:t>a</w:t>
      </w:r>
      <w:r w:rsidRPr="005E0EE7">
        <w:rPr>
          <w:rStyle w:val="apple-style-span"/>
          <w:color w:val="000000"/>
          <w:sz w:val="18"/>
          <w:szCs w:val="18"/>
        </w:rPr>
        <w:t xml:space="preserve"> cell</w:t>
      </w:r>
      <w:r>
        <w:rPr>
          <w:rStyle w:val="apple-style-span"/>
          <w:color w:val="000000"/>
          <w:sz w:val="18"/>
          <w:szCs w:val="18"/>
        </w:rPr>
        <w:t>ular</w:t>
      </w:r>
      <w:r w:rsidRPr="005E0EE7">
        <w:rPr>
          <w:rStyle w:val="apple-style-span"/>
          <w:color w:val="000000"/>
          <w:sz w:val="18"/>
          <w:szCs w:val="18"/>
        </w:rPr>
        <w:t xml:space="preserve"> phone into a mobile computer.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41" w:rsidRDefault="00907C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894EE87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B264F"/>
    <w:multiLevelType w:val="hybridMultilevel"/>
    <w:tmpl w:val="BA889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0F1EF8"/>
    <w:multiLevelType w:val="hybridMultilevel"/>
    <w:tmpl w:val="DA4AF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820CE9"/>
    <w:multiLevelType w:val="hybridMultilevel"/>
    <w:tmpl w:val="DE7A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D64077"/>
    <w:multiLevelType w:val="hybridMultilevel"/>
    <w:tmpl w:val="FC8637E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350AB2"/>
    <w:multiLevelType w:val="hybridMultilevel"/>
    <w:tmpl w:val="C74E9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02B85"/>
    <w:multiLevelType w:val="hybridMultilevel"/>
    <w:tmpl w:val="D1DC5FDC"/>
    <w:lvl w:ilvl="0" w:tplc="59B60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9">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DB558B"/>
    <w:multiLevelType w:val="multilevel"/>
    <w:tmpl w:val="894EE87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2">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B986AEE"/>
    <w:multiLevelType w:val="hybridMultilevel"/>
    <w:tmpl w:val="9E129EF0"/>
    <w:lvl w:ilvl="0" w:tplc="B90A60F2">
      <w:start w:val="1"/>
      <w:numFmt w:val="bullet"/>
      <w:pStyle w:val="N1-1stBullet"/>
      <w:lvlText w:val=""/>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7">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18"/>
  </w:num>
  <w:num w:numId="4">
    <w:abstractNumId w:val="25"/>
  </w:num>
  <w:num w:numId="5">
    <w:abstractNumId w:val="20"/>
  </w:num>
  <w:num w:numId="6">
    <w:abstractNumId w:val="30"/>
  </w:num>
  <w:num w:numId="7">
    <w:abstractNumId w:val="13"/>
  </w:num>
  <w:num w:numId="8">
    <w:abstractNumId w:val="4"/>
  </w:num>
  <w:num w:numId="9">
    <w:abstractNumId w:val="24"/>
  </w:num>
  <w:num w:numId="10">
    <w:abstractNumId w:val="5"/>
  </w:num>
  <w:num w:numId="11">
    <w:abstractNumId w:val="7"/>
  </w:num>
  <w:num w:numId="12">
    <w:abstractNumId w:val="22"/>
  </w:num>
  <w:num w:numId="13">
    <w:abstractNumId w:val="34"/>
  </w:num>
  <w:num w:numId="14">
    <w:abstractNumId w:val="2"/>
  </w:num>
  <w:num w:numId="15">
    <w:abstractNumId w:val="35"/>
  </w:num>
  <w:num w:numId="16">
    <w:abstractNumId w:val="15"/>
  </w:num>
  <w:num w:numId="17">
    <w:abstractNumId w:val="11"/>
  </w:num>
  <w:num w:numId="18">
    <w:abstractNumId w:val="3"/>
  </w:num>
  <w:num w:numId="19">
    <w:abstractNumId w:val="8"/>
  </w:num>
  <w:num w:numId="20">
    <w:abstractNumId w:val="14"/>
  </w:num>
  <w:num w:numId="21">
    <w:abstractNumId w:val="29"/>
  </w:num>
  <w:num w:numId="22">
    <w:abstractNumId w:val="23"/>
  </w:num>
  <w:num w:numId="23">
    <w:abstractNumId w:val="16"/>
  </w:num>
  <w:num w:numId="24">
    <w:abstractNumId w:val="32"/>
  </w:num>
  <w:num w:numId="25">
    <w:abstractNumId w:val="6"/>
  </w:num>
  <w:num w:numId="26">
    <w:abstractNumId w:val="0"/>
  </w:num>
  <w:num w:numId="27">
    <w:abstractNumId w:val="26"/>
  </w:num>
  <w:num w:numId="28">
    <w:abstractNumId w:val="12"/>
  </w:num>
  <w:num w:numId="29">
    <w:abstractNumId w:val="37"/>
  </w:num>
  <w:num w:numId="30">
    <w:abstractNumId w:val="19"/>
  </w:num>
  <w:num w:numId="31">
    <w:abstractNumId w:val="17"/>
  </w:num>
  <w:num w:numId="32">
    <w:abstractNumId w:val="27"/>
  </w:num>
  <w:num w:numId="33">
    <w:abstractNumId w:val="1"/>
  </w:num>
  <w:num w:numId="34">
    <w:abstractNumId w:val="33"/>
  </w:num>
  <w:num w:numId="35">
    <w:abstractNumId w:val="31"/>
  </w:num>
  <w:num w:numId="36">
    <w:abstractNumId w:val="21"/>
  </w:num>
  <w:num w:numId="37">
    <w:abstractNumId w:val="10"/>
  </w:num>
  <w:num w:numId="38">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A56"/>
    <w:rsid w:val="00003E88"/>
    <w:rsid w:val="0001130B"/>
    <w:rsid w:val="000160CF"/>
    <w:rsid w:val="00023A48"/>
    <w:rsid w:val="000416D2"/>
    <w:rsid w:val="00044497"/>
    <w:rsid w:val="000444AF"/>
    <w:rsid w:val="00052C7D"/>
    <w:rsid w:val="00060E93"/>
    <w:rsid w:val="00065AB3"/>
    <w:rsid w:val="000666F9"/>
    <w:rsid w:val="00080A02"/>
    <w:rsid w:val="00086A24"/>
    <w:rsid w:val="00090269"/>
    <w:rsid w:val="000A1F7B"/>
    <w:rsid w:val="000A3871"/>
    <w:rsid w:val="000A4C18"/>
    <w:rsid w:val="000C0FC4"/>
    <w:rsid w:val="000C2174"/>
    <w:rsid w:val="000C799C"/>
    <w:rsid w:val="000D05B8"/>
    <w:rsid w:val="000D36C9"/>
    <w:rsid w:val="000E27B8"/>
    <w:rsid w:val="000E3CB8"/>
    <w:rsid w:val="000E6CF8"/>
    <w:rsid w:val="000F1243"/>
    <w:rsid w:val="000F1CAF"/>
    <w:rsid w:val="00106F31"/>
    <w:rsid w:val="001111D6"/>
    <w:rsid w:val="0012603A"/>
    <w:rsid w:val="00137DFF"/>
    <w:rsid w:val="00151972"/>
    <w:rsid w:val="00171A00"/>
    <w:rsid w:val="00175708"/>
    <w:rsid w:val="001A6A15"/>
    <w:rsid w:val="001C4AB2"/>
    <w:rsid w:val="001C6DD6"/>
    <w:rsid w:val="001D003C"/>
    <w:rsid w:val="001D3FB5"/>
    <w:rsid w:val="001D6444"/>
    <w:rsid w:val="001E4669"/>
    <w:rsid w:val="001E593F"/>
    <w:rsid w:val="001F28E8"/>
    <w:rsid w:val="00217DA0"/>
    <w:rsid w:val="002227CE"/>
    <w:rsid w:val="00232604"/>
    <w:rsid w:val="002355D8"/>
    <w:rsid w:val="0025503A"/>
    <w:rsid w:val="002562D6"/>
    <w:rsid w:val="00262C82"/>
    <w:rsid w:val="002647CA"/>
    <w:rsid w:val="00265D8E"/>
    <w:rsid w:val="00271AAA"/>
    <w:rsid w:val="0027665D"/>
    <w:rsid w:val="00285A2F"/>
    <w:rsid w:val="002A2905"/>
    <w:rsid w:val="002B60D8"/>
    <w:rsid w:val="002C4405"/>
    <w:rsid w:val="002E0F3A"/>
    <w:rsid w:val="002E3475"/>
    <w:rsid w:val="002E42F4"/>
    <w:rsid w:val="002E5880"/>
    <w:rsid w:val="002E7FDF"/>
    <w:rsid w:val="002F1699"/>
    <w:rsid w:val="003004CD"/>
    <w:rsid w:val="00340EF3"/>
    <w:rsid w:val="00362426"/>
    <w:rsid w:val="00367AFE"/>
    <w:rsid w:val="00372A82"/>
    <w:rsid w:val="0037460D"/>
    <w:rsid w:val="003A0433"/>
    <w:rsid w:val="003B18B6"/>
    <w:rsid w:val="003B3B40"/>
    <w:rsid w:val="003B52A9"/>
    <w:rsid w:val="003E1A83"/>
    <w:rsid w:val="003E3F56"/>
    <w:rsid w:val="003E58D7"/>
    <w:rsid w:val="00401E64"/>
    <w:rsid w:val="00410BD3"/>
    <w:rsid w:val="0043529C"/>
    <w:rsid w:val="00435BE4"/>
    <w:rsid w:val="00441039"/>
    <w:rsid w:val="00474706"/>
    <w:rsid w:val="00491580"/>
    <w:rsid w:val="00492E2B"/>
    <w:rsid w:val="00493440"/>
    <w:rsid w:val="004B7477"/>
    <w:rsid w:val="004C2FB7"/>
    <w:rsid w:val="004C3D7A"/>
    <w:rsid w:val="004C4531"/>
    <w:rsid w:val="004C5914"/>
    <w:rsid w:val="004C5CBB"/>
    <w:rsid w:val="004D77B6"/>
    <w:rsid w:val="004E2E63"/>
    <w:rsid w:val="004F157C"/>
    <w:rsid w:val="0051673C"/>
    <w:rsid w:val="00525B1E"/>
    <w:rsid w:val="00531218"/>
    <w:rsid w:val="00532FFB"/>
    <w:rsid w:val="00543FA7"/>
    <w:rsid w:val="00546A17"/>
    <w:rsid w:val="00554F2C"/>
    <w:rsid w:val="005700C2"/>
    <w:rsid w:val="00572E3F"/>
    <w:rsid w:val="00576CED"/>
    <w:rsid w:val="0058491E"/>
    <w:rsid w:val="00594EE4"/>
    <w:rsid w:val="00597DB4"/>
    <w:rsid w:val="005A59ED"/>
    <w:rsid w:val="005A7CF4"/>
    <w:rsid w:val="005B28E5"/>
    <w:rsid w:val="005C2E92"/>
    <w:rsid w:val="005C4954"/>
    <w:rsid w:val="005D2535"/>
    <w:rsid w:val="005D3BEA"/>
    <w:rsid w:val="005F7DBC"/>
    <w:rsid w:val="006016BF"/>
    <w:rsid w:val="00610D57"/>
    <w:rsid w:val="00622B8E"/>
    <w:rsid w:val="0062565F"/>
    <w:rsid w:val="006466CD"/>
    <w:rsid w:val="00664DA3"/>
    <w:rsid w:val="00666AF9"/>
    <w:rsid w:val="00671F98"/>
    <w:rsid w:val="00672C78"/>
    <w:rsid w:val="00675D05"/>
    <w:rsid w:val="00693192"/>
    <w:rsid w:val="006A72C6"/>
    <w:rsid w:val="006B094F"/>
    <w:rsid w:val="006C7D70"/>
    <w:rsid w:val="006D475B"/>
    <w:rsid w:val="006D6111"/>
    <w:rsid w:val="006F0591"/>
    <w:rsid w:val="006F6EE4"/>
    <w:rsid w:val="00702A3C"/>
    <w:rsid w:val="007073E3"/>
    <w:rsid w:val="00714477"/>
    <w:rsid w:val="00716AA1"/>
    <w:rsid w:val="00734DB7"/>
    <w:rsid w:val="00782DEA"/>
    <w:rsid w:val="0078313F"/>
    <w:rsid w:val="00784CCD"/>
    <w:rsid w:val="00791591"/>
    <w:rsid w:val="007B38E2"/>
    <w:rsid w:val="007B5EF2"/>
    <w:rsid w:val="007B77EF"/>
    <w:rsid w:val="007C0905"/>
    <w:rsid w:val="007C7B21"/>
    <w:rsid w:val="007D3B46"/>
    <w:rsid w:val="007D4116"/>
    <w:rsid w:val="007D7D50"/>
    <w:rsid w:val="007F39D4"/>
    <w:rsid w:val="00806E4B"/>
    <w:rsid w:val="00835F92"/>
    <w:rsid w:val="0086609F"/>
    <w:rsid w:val="00873F74"/>
    <w:rsid w:val="0088021F"/>
    <w:rsid w:val="008812A3"/>
    <w:rsid w:val="0088146A"/>
    <w:rsid w:val="00890396"/>
    <w:rsid w:val="008A40EC"/>
    <w:rsid w:val="008B5DE0"/>
    <w:rsid w:val="009078D0"/>
    <w:rsid w:val="00907C41"/>
    <w:rsid w:val="00913E49"/>
    <w:rsid w:val="00921626"/>
    <w:rsid w:val="00944E4E"/>
    <w:rsid w:val="00950027"/>
    <w:rsid w:val="00953D23"/>
    <w:rsid w:val="00971546"/>
    <w:rsid w:val="0099203F"/>
    <w:rsid w:val="00996188"/>
    <w:rsid w:val="009A25BA"/>
    <w:rsid w:val="009C04E8"/>
    <w:rsid w:val="009C35E2"/>
    <w:rsid w:val="009D07B9"/>
    <w:rsid w:val="00A04531"/>
    <w:rsid w:val="00A07FB3"/>
    <w:rsid w:val="00A22B6F"/>
    <w:rsid w:val="00A32FAB"/>
    <w:rsid w:val="00A50DEE"/>
    <w:rsid w:val="00A51D2B"/>
    <w:rsid w:val="00A609D7"/>
    <w:rsid w:val="00A66D74"/>
    <w:rsid w:val="00A744C8"/>
    <w:rsid w:val="00A8188D"/>
    <w:rsid w:val="00A85775"/>
    <w:rsid w:val="00A915C9"/>
    <w:rsid w:val="00A9736B"/>
    <w:rsid w:val="00A97E46"/>
    <w:rsid w:val="00AA04BC"/>
    <w:rsid w:val="00AA3D97"/>
    <w:rsid w:val="00AC2FD5"/>
    <w:rsid w:val="00AC7405"/>
    <w:rsid w:val="00AE2194"/>
    <w:rsid w:val="00AF2AC5"/>
    <w:rsid w:val="00B33C39"/>
    <w:rsid w:val="00B41D31"/>
    <w:rsid w:val="00B46A21"/>
    <w:rsid w:val="00B50747"/>
    <w:rsid w:val="00B56744"/>
    <w:rsid w:val="00B60F8F"/>
    <w:rsid w:val="00B7203B"/>
    <w:rsid w:val="00B72D13"/>
    <w:rsid w:val="00B860D0"/>
    <w:rsid w:val="00BB239B"/>
    <w:rsid w:val="00BC4682"/>
    <w:rsid w:val="00BD04A5"/>
    <w:rsid w:val="00BD53B3"/>
    <w:rsid w:val="00BF25C9"/>
    <w:rsid w:val="00BF3B9B"/>
    <w:rsid w:val="00BF7D85"/>
    <w:rsid w:val="00C079A6"/>
    <w:rsid w:val="00C1155C"/>
    <w:rsid w:val="00C15B30"/>
    <w:rsid w:val="00C2003D"/>
    <w:rsid w:val="00C207A1"/>
    <w:rsid w:val="00C20CEA"/>
    <w:rsid w:val="00C2136D"/>
    <w:rsid w:val="00C42F89"/>
    <w:rsid w:val="00C543DB"/>
    <w:rsid w:val="00C55E2A"/>
    <w:rsid w:val="00C62D61"/>
    <w:rsid w:val="00C85486"/>
    <w:rsid w:val="00C870CF"/>
    <w:rsid w:val="00C8776C"/>
    <w:rsid w:val="00CA654A"/>
    <w:rsid w:val="00CB0AF8"/>
    <w:rsid w:val="00CC01E6"/>
    <w:rsid w:val="00CC6D36"/>
    <w:rsid w:val="00CD6602"/>
    <w:rsid w:val="00CE03B6"/>
    <w:rsid w:val="00CE0D4B"/>
    <w:rsid w:val="00CF030E"/>
    <w:rsid w:val="00CF178E"/>
    <w:rsid w:val="00CF2E24"/>
    <w:rsid w:val="00D12C3C"/>
    <w:rsid w:val="00D14BC4"/>
    <w:rsid w:val="00D2466D"/>
    <w:rsid w:val="00D3723C"/>
    <w:rsid w:val="00D46496"/>
    <w:rsid w:val="00D5132E"/>
    <w:rsid w:val="00D55358"/>
    <w:rsid w:val="00D57666"/>
    <w:rsid w:val="00D6110D"/>
    <w:rsid w:val="00D70F84"/>
    <w:rsid w:val="00D93F32"/>
    <w:rsid w:val="00DA2F7E"/>
    <w:rsid w:val="00DC191B"/>
    <w:rsid w:val="00DD7C72"/>
    <w:rsid w:val="00DE6A12"/>
    <w:rsid w:val="00DF2649"/>
    <w:rsid w:val="00E0329D"/>
    <w:rsid w:val="00E4363E"/>
    <w:rsid w:val="00E50939"/>
    <w:rsid w:val="00E534DA"/>
    <w:rsid w:val="00E53EA8"/>
    <w:rsid w:val="00E627A8"/>
    <w:rsid w:val="00E77E2B"/>
    <w:rsid w:val="00E8799F"/>
    <w:rsid w:val="00EA06DE"/>
    <w:rsid w:val="00EA0F56"/>
    <w:rsid w:val="00EC4088"/>
    <w:rsid w:val="00EC7A8F"/>
    <w:rsid w:val="00ED462B"/>
    <w:rsid w:val="00EE7641"/>
    <w:rsid w:val="00F06967"/>
    <w:rsid w:val="00F149ED"/>
    <w:rsid w:val="00F200D1"/>
    <w:rsid w:val="00F37D62"/>
    <w:rsid w:val="00F461D8"/>
    <w:rsid w:val="00F5059E"/>
    <w:rsid w:val="00F734D3"/>
    <w:rsid w:val="00F83D6C"/>
    <w:rsid w:val="00F94F4F"/>
    <w:rsid w:val="00F9535F"/>
    <w:rsid w:val="00FB3AD4"/>
    <w:rsid w:val="00FC723F"/>
    <w:rsid w:val="00FD1DC1"/>
    <w:rsid w:val="00FE4C95"/>
    <w:rsid w:val="00FE6ABA"/>
    <w:rsid w:val="00FF2322"/>
    <w:rsid w:val="00FF3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rsid w:val="00873F74"/>
    <w:pPr>
      <w:bidi/>
      <w:jc w:val="right"/>
    </w:pPr>
    <w:rPr>
      <w:sz w:val="20"/>
      <w:szCs w:val="20"/>
      <w:lang w:bidi="ar-QA"/>
    </w:rPr>
  </w:style>
  <w:style w:type="character" w:styleId="FootnoteReference">
    <w:name w:val="footnote reference"/>
    <w:basedOn w:val="DefaultParagraphFont"/>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uiPriority w:val="99"/>
    <w:rsid w:val="00375DD1"/>
    <w:rPr>
      <w:sz w:val="24"/>
      <w:szCs w:val="24"/>
    </w:rPr>
  </w:style>
  <w:style w:type="character" w:customStyle="1" w:styleId="FootnoteTextChar">
    <w:name w:val="Footnote Text Char"/>
    <w:aliases w:val="F1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 w:type="paragraph" w:customStyle="1" w:styleId="FreeForm">
    <w:name w:val="Free Form"/>
    <w:rsid w:val="00693192"/>
    <w:rPr>
      <w:rFonts w:eastAsia="ヒラギノ角ゴ Pro W3"/>
      <w:color w:val="000000"/>
    </w:rPr>
  </w:style>
  <w:style w:type="paragraph" w:customStyle="1" w:styleId="FootnoteText1">
    <w:name w:val="Footnote Text1"/>
    <w:rsid w:val="00693192"/>
    <w:rPr>
      <w:rFonts w:ascii="Helvetica" w:eastAsia="ヒラギノ角ゴ Pro W3" w:hAnsi="Helvetica"/>
      <w:color w:val="000000"/>
    </w:rPr>
  </w:style>
  <w:style w:type="paragraph" w:customStyle="1" w:styleId="N1-1stBullet">
    <w:name w:val="N1-1st Bullet"/>
    <w:basedOn w:val="Normal"/>
    <w:rsid w:val="00693192"/>
    <w:pPr>
      <w:numPr>
        <w:numId w:val="34"/>
      </w:numPr>
      <w:tabs>
        <w:tab w:val="left" w:pos="1152"/>
      </w:tabs>
      <w:spacing w:after="240" w:line="240" w:lineRule="atLeast"/>
    </w:pPr>
    <w:rPr>
      <w:szCs w:val="20"/>
    </w:rPr>
  </w:style>
  <w:style w:type="character" w:customStyle="1" w:styleId="apple-style-span">
    <w:name w:val="apple-style-span"/>
    <w:basedOn w:val="DefaultParagraphFont"/>
    <w:rsid w:val="00693192"/>
  </w:style>
  <w:style w:type="paragraph" w:styleId="Revision">
    <w:name w:val="Revision"/>
    <w:hidden/>
    <w:uiPriority w:val="99"/>
    <w:semiHidden/>
    <w:rsid w:val="00693192"/>
    <w:rPr>
      <w:sz w:val="24"/>
      <w:szCs w:val="24"/>
    </w:rPr>
  </w:style>
  <w:style w:type="paragraph" w:customStyle="1" w:styleId="P1-StandPara">
    <w:name w:val="P1-Stand Para"/>
    <w:link w:val="P1-StandParaChar"/>
    <w:rsid w:val="00491580"/>
    <w:pPr>
      <w:spacing w:line="480" w:lineRule="auto"/>
      <w:ind w:firstLine="1152"/>
      <w:jc w:val="both"/>
    </w:pPr>
    <w:rPr>
      <w:rFonts w:eastAsia="MS ??"/>
      <w:sz w:val="24"/>
      <w:szCs w:val="24"/>
    </w:rPr>
  </w:style>
  <w:style w:type="character" w:customStyle="1" w:styleId="P1-StandParaChar">
    <w:name w:val="P1-Stand Para Char"/>
    <w:link w:val="P1-StandPara"/>
    <w:locked/>
    <w:rsid w:val="00491580"/>
    <w:rPr>
      <w:rFonts w:eastAsia="MS ??"/>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uiPriority w:val="99"/>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385496046">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10047766">
      <w:bodyDiv w:val="1"/>
      <w:marLeft w:val="0"/>
      <w:marRight w:val="0"/>
      <w:marTop w:val="0"/>
      <w:marBottom w:val="0"/>
      <w:divBdr>
        <w:top w:val="none" w:sz="0" w:space="0" w:color="auto"/>
        <w:left w:val="none" w:sz="0" w:space="0" w:color="auto"/>
        <w:bottom w:val="none" w:sz="0" w:space="0" w:color="auto"/>
        <w:right w:val="none" w:sz="0" w:space="0" w:color="auto"/>
      </w:divBdr>
      <w:divsChild>
        <w:div w:id="1692343162">
          <w:marLeft w:val="0"/>
          <w:marRight w:val="0"/>
          <w:marTop w:val="0"/>
          <w:marBottom w:val="0"/>
          <w:divBdr>
            <w:top w:val="none" w:sz="0" w:space="0" w:color="auto"/>
            <w:left w:val="none" w:sz="0" w:space="0" w:color="auto"/>
            <w:bottom w:val="none" w:sz="0" w:space="0" w:color="auto"/>
            <w:right w:val="none" w:sz="0" w:space="0" w:color="auto"/>
          </w:divBdr>
          <w:divsChild>
            <w:div w:id="13510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Mobile_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2351-BA44-4490-8FD3-75E30F8858E1}">
  <ds:schemaRefs>
    <ds:schemaRef ds:uri="http://schemas.openxmlformats.org/officeDocument/2006/bibliography"/>
  </ds:schemaRefs>
</ds:datastoreItem>
</file>

<file path=customXml/itemProps2.xml><?xml version="1.0" encoding="utf-8"?>
<ds:datastoreItem xmlns:ds="http://schemas.openxmlformats.org/officeDocument/2006/customXml" ds:itemID="{BAD2BC93-40EC-486F-8B13-43F8C998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1833</Words>
  <Characters>11144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12952</CharactersWithSpaces>
  <SharedDoc>false</SharedDoc>
  <HLinks>
    <vt:vector size="54" baseType="variant">
      <vt:variant>
        <vt:i4>5963887</vt:i4>
      </vt:variant>
      <vt:variant>
        <vt:i4>51</vt:i4>
      </vt:variant>
      <vt:variant>
        <vt:i4>0</vt:i4>
      </vt:variant>
      <vt:variant>
        <vt:i4>5</vt:i4>
      </vt:variant>
      <vt:variant>
        <vt:lpwstr>mailto:jgrossman@hschange.org</vt:lpwstr>
      </vt:variant>
      <vt:variant>
        <vt:lpwstr/>
      </vt:variant>
      <vt:variant>
        <vt:i4>1310771</vt:i4>
      </vt:variant>
      <vt:variant>
        <vt:i4>44</vt:i4>
      </vt:variant>
      <vt:variant>
        <vt:i4>0</vt:i4>
      </vt:variant>
      <vt:variant>
        <vt:i4>5</vt:i4>
      </vt:variant>
      <vt:variant>
        <vt:lpwstr/>
      </vt:variant>
      <vt:variant>
        <vt:lpwstr>_Toc230760774</vt:lpwstr>
      </vt:variant>
      <vt:variant>
        <vt:i4>1310771</vt:i4>
      </vt:variant>
      <vt:variant>
        <vt:i4>38</vt:i4>
      </vt:variant>
      <vt:variant>
        <vt:i4>0</vt:i4>
      </vt:variant>
      <vt:variant>
        <vt:i4>5</vt:i4>
      </vt:variant>
      <vt:variant>
        <vt:lpwstr/>
      </vt:variant>
      <vt:variant>
        <vt:lpwstr>_Toc230760773</vt:lpwstr>
      </vt:variant>
      <vt:variant>
        <vt:i4>1310771</vt:i4>
      </vt:variant>
      <vt:variant>
        <vt:i4>32</vt:i4>
      </vt:variant>
      <vt:variant>
        <vt:i4>0</vt:i4>
      </vt:variant>
      <vt:variant>
        <vt:i4>5</vt:i4>
      </vt:variant>
      <vt:variant>
        <vt:lpwstr/>
      </vt:variant>
      <vt:variant>
        <vt:lpwstr>_Toc230760772</vt:lpwstr>
      </vt:variant>
      <vt:variant>
        <vt:i4>1310771</vt:i4>
      </vt:variant>
      <vt:variant>
        <vt:i4>26</vt:i4>
      </vt:variant>
      <vt:variant>
        <vt:i4>0</vt:i4>
      </vt:variant>
      <vt:variant>
        <vt:i4>5</vt:i4>
      </vt:variant>
      <vt:variant>
        <vt:lpwstr/>
      </vt:variant>
      <vt:variant>
        <vt:lpwstr>_Toc230760771</vt:lpwstr>
      </vt:variant>
      <vt:variant>
        <vt:i4>1310771</vt:i4>
      </vt:variant>
      <vt:variant>
        <vt:i4>20</vt:i4>
      </vt:variant>
      <vt:variant>
        <vt:i4>0</vt:i4>
      </vt:variant>
      <vt:variant>
        <vt:i4>5</vt:i4>
      </vt:variant>
      <vt:variant>
        <vt:lpwstr/>
      </vt:variant>
      <vt:variant>
        <vt:lpwstr>_Toc230760770</vt:lpwstr>
      </vt:variant>
      <vt:variant>
        <vt:i4>1376307</vt:i4>
      </vt:variant>
      <vt:variant>
        <vt:i4>14</vt:i4>
      </vt:variant>
      <vt:variant>
        <vt:i4>0</vt:i4>
      </vt:variant>
      <vt:variant>
        <vt:i4>5</vt:i4>
      </vt:variant>
      <vt:variant>
        <vt:lpwstr/>
      </vt:variant>
      <vt:variant>
        <vt:lpwstr>_Toc230760769</vt:lpwstr>
      </vt:variant>
      <vt:variant>
        <vt:i4>1376307</vt:i4>
      </vt:variant>
      <vt:variant>
        <vt:i4>8</vt:i4>
      </vt:variant>
      <vt:variant>
        <vt:i4>0</vt:i4>
      </vt:variant>
      <vt:variant>
        <vt:i4>5</vt:i4>
      </vt:variant>
      <vt:variant>
        <vt:lpwstr/>
      </vt:variant>
      <vt:variant>
        <vt:lpwstr>_Toc230760768</vt:lpwstr>
      </vt:variant>
      <vt:variant>
        <vt:i4>1376307</vt:i4>
      </vt:variant>
      <vt:variant>
        <vt:i4>2</vt:i4>
      </vt:variant>
      <vt:variant>
        <vt:i4>0</vt:i4>
      </vt:variant>
      <vt:variant>
        <vt:i4>5</vt:i4>
      </vt:variant>
      <vt:variant>
        <vt:lpwstr/>
      </vt:variant>
      <vt:variant>
        <vt:lpwstr>_Toc230760767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2011-07-29T14:06:00Z</dcterms:created>
  <dcterms:modified xsi:type="dcterms:W3CDTF">2011-07-29T14:06:00Z</dcterms:modified>
</cp:coreProperties>
</file>