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3FD" w:rsidRPr="006A4C1B" w:rsidRDefault="00321BD9" w:rsidP="00B65660">
      <w:pPr>
        <w:pStyle w:val="BodyText"/>
        <w:spacing w:line="240" w:lineRule="auto"/>
        <w:rPr>
          <w:sz w:val="28"/>
          <w:szCs w:val="28"/>
        </w:rPr>
      </w:pPr>
      <w:r w:rsidRPr="006A4C1B">
        <w:rPr>
          <w:sz w:val="28"/>
          <w:szCs w:val="28"/>
        </w:rPr>
        <w:t xml:space="preserve">Ryan White HIV/AIDS </w:t>
      </w:r>
      <w:r w:rsidR="00376B85">
        <w:rPr>
          <w:sz w:val="28"/>
          <w:szCs w:val="28"/>
        </w:rPr>
        <w:t xml:space="preserve">Program </w:t>
      </w:r>
      <w:r w:rsidRPr="006A4C1B">
        <w:rPr>
          <w:sz w:val="28"/>
          <w:szCs w:val="28"/>
        </w:rPr>
        <w:t>De</w:t>
      </w:r>
      <w:r w:rsidR="006D7A24">
        <w:rPr>
          <w:sz w:val="28"/>
          <w:szCs w:val="28"/>
        </w:rPr>
        <w:t xml:space="preserve">ntal Services Report </w:t>
      </w:r>
    </w:p>
    <w:p w:rsidR="002F53FD" w:rsidRDefault="006A4C1B" w:rsidP="009338B1">
      <w:pPr>
        <w:pStyle w:val="Title"/>
        <w:rPr>
          <w:rStyle w:val="BodyTextFi"/>
          <w:rFonts w:ascii="Helvetica" w:hAnsi="Helvetica"/>
          <w:b w:val="0"/>
          <w:caps w:val="0"/>
        </w:rPr>
      </w:pPr>
      <w:r>
        <w:rPr>
          <w:rStyle w:val="BodyTextFi"/>
          <w:rFonts w:ascii="Helvetica" w:hAnsi="Helvetica"/>
          <w:b w:val="0"/>
          <w:caps w:val="0"/>
        </w:rPr>
        <w:t xml:space="preserve">Supporting Statement </w:t>
      </w:r>
    </w:p>
    <w:p w:rsidR="002F53FD" w:rsidRDefault="002F53FD" w:rsidP="009338B1">
      <w:pPr>
        <w:pStyle w:val="Title"/>
        <w:spacing w:before="0" w:after="0"/>
        <w:rPr>
          <w:rStyle w:val="BodyTextFi"/>
          <w:rFonts w:ascii="Helvetica" w:hAnsi="Helvetica"/>
          <w:b w:val="0"/>
          <w:caps w:val="0"/>
        </w:rPr>
      </w:pPr>
    </w:p>
    <w:p w:rsidR="002F53FD" w:rsidRPr="00E54AD4" w:rsidRDefault="002F53FD" w:rsidP="009338B1">
      <w:pPr>
        <w:pStyle w:val="Heading1"/>
        <w:spacing w:line="240" w:lineRule="auto"/>
        <w:rPr>
          <w:sz w:val="24"/>
          <w:szCs w:val="24"/>
        </w:rPr>
      </w:pPr>
      <w:bookmarkStart w:id="0" w:name="_Toc46022708"/>
      <w:r w:rsidRPr="00E54AD4">
        <w:rPr>
          <w:sz w:val="24"/>
          <w:szCs w:val="24"/>
        </w:rPr>
        <w:t>A.</w:t>
      </w:r>
      <w:r w:rsidRPr="00E54AD4">
        <w:rPr>
          <w:sz w:val="24"/>
          <w:szCs w:val="24"/>
        </w:rPr>
        <w:tab/>
        <w:t>Justification</w:t>
      </w:r>
      <w:bookmarkEnd w:id="0"/>
    </w:p>
    <w:p w:rsidR="002F53FD" w:rsidRDefault="002F53FD" w:rsidP="009338B1">
      <w:pPr>
        <w:pStyle w:val="Heading2"/>
        <w:spacing w:line="240" w:lineRule="auto"/>
      </w:pPr>
      <w:bookmarkStart w:id="1" w:name="_Toc46022709"/>
      <w:r>
        <w:t>1.</w:t>
      </w:r>
      <w:r>
        <w:tab/>
        <w:t>Circumstances of Information Collection</w:t>
      </w:r>
      <w:bookmarkEnd w:id="1"/>
    </w:p>
    <w:p w:rsidR="002F53FD" w:rsidRDefault="002F53FD" w:rsidP="009338B1">
      <w:pPr>
        <w:spacing w:line="240" w:lineRule="auto"/>
        <w:rPr>
          <w:rStyle w:val="BodyTextFi"/>
        </w:rPr>
      </w:pPr>
      <w:r>
        <w:rPr>
          <w:rStyle w:val="BodyTextFi"/>
        </w:rPr>
        <w:t xml:space="preserve">This is a </w:t>
      </w:r>
      <w:r w:rsidR="006D7A24">
        <w:rPr>
          <w:rStyle w:val="BodyTextFi"/>
        </w:rPr>
        <w:t xml:space="preserve">request for OMB approval for an </w:t>
      </w:r>
      <w:r w:rsidR="006D7A24" w:rsidRPr="002A71E5">
        <w:rPr>
          <w:rStyle w:val="BodyTextFi"/>
          <w:b/>
        </w:rPr>
        <w:t>extension</w:t>
      </w:r>
      <w:r w:rsidR="00717BD1" w:rsidRPr="002A71E5">
        <w:rPr>
          <w:rStyle w:val="BodyTextFi"/>
          <w:b/>
        </w:rPr>
        <w:t xml:space="preserve"> </w:t>
      </w:r>
      <w:r w:rsidR="009306EC" w:rsidRPr="002A71E5">
        <w:rPr>
          <w:rStyle w:val="BodyTextFi"/>
          <w:b/>
        </w:rPr>
        <w:t>without change</w:t>
      </w:r>
      <w:r w:rsidR="009306EC">
        <w:rPr>
          <w:rStyle w:val="BodyTextFi"/>
        </w:rPr>
        <w:t xml:space="preserve"> </w:t>
      </w:r>
      <w:r w:rsidR="00717BD1">
        <w:rPr>
          <w:rStyle w:val="BodyTextFi"/>
        </w:rPr>
        <w:t>to</w:t>
      </w:r>
      <w:r w:rsidR="006D7A24">
        <w:rPr>
          <w:rStyle w:val="BodyTextFi"/>
        </w:rPr>
        <w:t xml:space="preserve"> the Health Resources and Services Administration’s (HRSA’s)</w:t>
      </w:r>
      <w:r>
        <w:rPr>
          <w:rStyle w:val="BodyTextFi"/>
        </w:rPr>
        <w:t xml:space="preserve"> Dental Services Form (OMB No. 0915-0151)</w:t>
      </w:r>
      <w:r w:rsidR="004C0767">
        <w:rPr>
          <w:rStyle w:val="BodyTextFi"/>
        </w:rPr>
        <w:t xml:space="preserve"> which expir</w:t>
      </w:r>
      <w:r w:rsidR="006D7A24">
        <w:rPr>
          <w:rStyle w:val="BodyTextFi"/>
        </w:rPr>
        <w:t>es J</w:t>
      </w:r>
      <w:r w:rsidR="00CE5C06">
        <w:rPr>
          <w:rStyle w:val="BodyTextFi"/>
        </w:rPr>
        <w:t>uly</w:t>
      </w:r>
      <w:r w:rsidR="006D7A24">
        <w:rPr>
          <w:rStyle w:val="BodyTextFi"/>
        </w:rPr>
        <w:t xml:space="preserve"> 3</w:t>
      </w:r>
      <w:r w:rsidR="00CE5C06">
        <w:rPr>
          <w:rStyle w:val="BodyTextFi"/>
        </w:rPr>
        <w:t>1</w:t>
      </w:r>
      <w:r w:rsidR="006D7A24">
        <w:rPr>
          <w:rStyle w:val="BodyTextFi"/>
        </w:rPr>
        <w:t>, 20</w:t>
      </w:r>
      <w:r w:rsidR="00437BE1">
        <w:rPr>
          <w:rStyle w:val="BodyTextFi"/>
        </w:rPr>
        <w:t>11</w:t>
      </w:r>
      <w:r>
        <w:rPr>
          <w:rStyle w:val="BodyTextFi"/>
        </w:rPr>
        <w:t>.  This form and a</w:t>
      </w:r>
      <w:r w:rsidR="006D7A24">
        <w:rPr>
          <w:rStyle w:val="BodyTextFi"/>
        </w:rPr>
        <w:t>ccompanying instructions is</w:t>
      </w:r>
      <w:r>
        <w:rPr>
          <w:rStyle w:val="BodyTextFi"/>
        </w:rPr>
        <w:t xml:space="preserve"> used by accredited schools of dentistry, pre- and post-doctoral dental training programs, and dental hygiene education programs to meet the requirements of two oral health services programs under </w:t>
      </w:r>
      <w:r w:rsidR="001257D0">
        <w:rPr>
          <w:rStyle w:val="BodyTextFi"/>
        </w:rPr>
        <w:t xml:space="preserve">the </w:t>
      </w:r>
      <w:r w:rsidR="00A1045D" w:rsidRPr="00A1045D">
        <w:t>Ryan White HIV/AIDS Treatment Extension Act of 2009 (Public Law 111-87, October 30, 2009</w:t>
      </w:r>
      <w:r w:rsidR="00437BE1">
        <w:t>.</w:t>
      </w:r>
      <w:r>
        <w:rPr>
          <w:rStyle w:val="BodyTextFi"/>
        </w:rPr>
        <w:t xml:space="preserve"> </w:t>
      </w:r>
    </w:p>
    <w:p w:rsidR="007C3577" w:rsidRPr="00F760F6" w:rsidRDefault="00A1045D" w:rsidP="009338B1">
      <w:pPr>
        <w:spacing w:line="240" w:lineRule="auto"/>
        <w:rPr>
          <w:rStyle w:val="BodyTextFi"/>
        </w:rPr>
      </w:pPr>
      <w:r w:rsidRPr="00A1045D">
        <w:t>The Ryan White legislation was first enacted in 1990 as the Ryan White CARE (Comprehensive AIDS Resources Emergency) Act. It has been amended and reauthorized four times: in 1996, 2000, 2006, and 2009. The Ryan White legislation has been adjusted with each reauthorization to accommodate new and emerging needs, such as an increased emphasis on funding of core medical services and changes in funding formulas.</w:t>
      </w:r>
      <w:r w:rsidR="00437BE1">
        <w:t xml:space="preserve"> </w:t>
      </w:r>
      <w:r w:rsidR="000B67ED">
        <w:rPr>
          <w:rStyle w:val="BodyTextFi"/>
        </w:rPr>
        <w:t>This Federal legislation</w:t>
      </w:r>
      <w:r w:rsidR="000B2DC1" w:rsidRPr="00F760F6">
        <w:rPr>
          <w:rStyle w:val="BodyTextFi"/>
        </w:rPr>
        <w:t xml:space="preserve"> funds primary health care and support services to address the unmet health needs of pe</w:t>
      </w:r>
      <w:r w:rsidR="006D7A24">
        <w:rPr>
          <w:rStyle w:val="BodyTextFi"/>
        </w:rPr>
        <w:t>rsons living with HIV/AIDS</w:t>
      </w:r>
      <w:r w:rsidR="000B2DC1" w:rsidRPr="00F760F6">
        <w:rPr>
          <w:rStyle w:val="BodyTextFi"/>
        </w:rPr>
        <w:t>.</w:t>
      </w:r>
      <w:r w:rsidR="000B67ED">
        <w:rPr>
          <w:rStyle w:val="BodyTextFi"/>
        </w:rPr>
        <w:t xml:space="preserve">   </w:t>
      </w:r>
      <w:r w:rsidR="00DD5297">
        <w:rPr>
          <w:rStyle w:val="BodyTextFi"/>
        </w:rPr>
        <w:t>Part F of t</w:t>
      </w:r>
      <w:r w:rsidR="007C3577">
        <w:rPr>
          <w:rStyle w:val="BodyTextFi"/>
        </w:rPr>
        <w:t xml:space="preserve">he </w:t>
      </w:r>
      <w:r w:rsidR="00437BE1">
        <w:rPr>
          <w:rStyle w:val="BodyTextFi"/>
        </w:rPr>
        <w:t xml:space="preserve">Ryan White Program </w:t>
      </w:r>
      <w:r w:rsidR="000B67ED">
        <w:rPr>
          <w:rStyle w:val="BodyTextFi"/>
        </w:rPr>
        <w:t>includes</w:t>
      </w:r>
      <w:r w:rsidR="007C3577">
        <w:rPr>
          <w:rStyle w:val="BodyTextFi"/>
        </w:rPr>
        <w:t xml:space="preserve"> </w:t>
      </w:r>
      <w:r w:rsidR="004B78B7">
        <w:rPr>
          <w:rStyle w:val="BodyTextFi"/>
        </w:rPr>
        <w:t xml:space="preserve">two </w:t>
      </w:r>
      <w:r w:rsidR="007C3577">
        <w:rPr>
          <w:rStyle w:val="BodyTextFi"/>
        </w:rPr>
        <w:t xml:space="preserve">oral </w:t>
      </w:r>
      <w:r w:rsidR="000B67ED">
        <w:rPr>
          <w:rStyle w:val="BodyTextFi"/>
        </w:rPr>
        <w:t>health care programs</w:t>
      </w:r>
      <w:r w:rsidR="004B78B7">
        <w:rPr>
          <w:rStyle w:val="BodyTextFi"/>
        </w:rPr>
        <w:t>.</w:t>
      </w:r>
      <w:r w:rsidR="007C3577">
        <w:rPr>
          <w:rStyle w:val="BodyTextFi"/>
        </w:rPr>
        <w:t xml:space="preserve"> </w:t>
      </w:r>
      <w:r w:rsidR="00437BE1">
        <w:rPr>
          <w:rStyle w:val="BodyTextFi"/>
        </w:rPr>
        <w:t xml:space="preserve"> </w:t>
      </w:r>
      <w:r w:rsidR="007C3577" w:rsidRPr="00F760F6">
        <w:rPr>
          <w:rStyle w:val="BodyTextFi"/>
        </w:rPr>
        <w:t xml:space="preserve">Both the </w:t>
      </w:r>
      <w:r w:rsidR="002F53FD">
        <w:rPr>
          <w:rStyle w:val="BodyTextFi"/>
        </w:rPr>
        <w:t xml:space="preserve">Dental Reimbursement Program (DRP) and the Community-Based Dental Partnership Program (CBDPP) </w:t>
      </w:r>
      <w:r w:rsidR="009306EC">
        <w:rPr>
          <w:rStyle w:val="BodyTextFi"/>
        </w:rPr>
        <w:t>are authorized under the</w:t>
      </w:r>
      <w:r w:rsidR="007C3577" w:rsidRPr="00F760F6">
        <w:rPr>
          <w:rStyle w:val="BodyTextFi"/>
        </w:rPr>
        <w:t xml:space="preserve"> </w:t>
      </w:r>
      <w:r w:rsidR="00437BE1">
        <w:rPr>
          <w:rStyle w:val="BodyTextFi"/>
        </w:rPr>
        <w:t xml:space="preserve">Ryan White Program </w:t>
      </w:r>
      <w:r w:rsidR="007C3577" w:rsidRPr="00F760F6">
        <w:rPr>
          <w:rStyle w:val="BodyTextFi"/>
        </w:rPr>
        <w:t>to expand the availability of oral health care services to patients with HIV/AIDS through the training of dental professionals.</w:t>
      </w:r>
    </w:p>
    <w:p w:rsidR="002F53FD" w:rsidRPr="00F760F6" w:rsidRDefault="002F53FD" w:rsidP="009338B1">
      <w:pPr>
        <w:spacing w:line="240" w:lineRule="auto"/>
        <w:rPr>
          <w:rStyle w:val="BodyTextFi"/>
        </w:rPr>
      </w:pPr>
      <w:r>
        <w:rPr>
          <w:rStyle w:val="BodyTextFi"/>
        </w:rPr>
        <w:t xml:space="preserve">The Dental Reimbursement Program reimburses dental education programs for uncompensated funds to provide oral health services to patients with HIV.  The Dental Services Form serves as an application for funding from DRP. </w:t>
      </w:r>
      <w:r w:rsidRPr="00F760F6">
        <w:rPr>
          <w:rStyle w:val="BodyTextFi"/>
        </w:rPr>
        <w:t>The Community-Based Dental Partnership program funds eligible entities in their efforts to increase access to oral health care for unserved and underserved rural and urban HIV positive populations. The form is used by grantees to report on services rendered, patients served, and partnerships.</w:t>
      </w:r>
    </w:p>
    <w:p w:rsidR="002F53FD" w:rsidRDefault="002F53FD" w:rsidP="009338B1">
      <w:pPr>
        <w:spacing w:line="240" w:lineRule="auto"/>
        <w:rPr>
          <w:rStyle w:val="BodyTextFi"/>
        </w:rPr>
      </w:pPr>
      <w:r>
        <w:rPr>
          <w:rStyle w:val="BodyTextFi"/>
        </w:rPr>
        <w:t xml:space="preserve">The </w:t>
      </w:r>
      <w:r w:rsidR="006D7A24">
        <w:rPr>
          <w:rStyle w:val="BodyTextFi"/>
        </w:rPr>
        <w:t>HIV/AIDS Bureau (HAB) within</w:t>
      </w:r>
      <w:r>
        <w:rPr>
          <w:rStyle w:val="BodyTextFi"/>
        </w:rPr>
        <w:t xml:space="preserve"> HRS</w:t>
      </w:r>
      <w:r w:rsidR="009306EC">
        <w:rPr>
          <w:rStyle w:val="BodyTextFi"/>
        </w:rPr>
        <w:t xml:space="preserve">A administers funds </w:t>
      </w:r>
      <w:proofErr w:type="spellStart"/>
      <w:r w:rsidR="009306EC">
        <w:rPr>
          <w:rStyle w:val="BodyTextFi"/>
        </w:rPr>
        <w:t>for</w:t>
      </w:r>
      <w:r>
        <w:rPr>
          <w:rStyle w:val="BodyTextFi"/>
        </w:rPr>
        <w:t>the</w:t>
      </w:r>
      <w:proofErr w:type="spellEnd"/>
      <w:r>
        <w:rPr>
          <w:rStyle w:val="BodyTextFi"/>
        </w:rPr>
        <w:t xml:space="preserve"> DRP and the CBDPP.  Participation in both DRP and CBDPP is limited to accredited predoctoral and postdoctoral dental, and dental hygiene education programs.  DRP reimburses applicants for a portion of their uncompensated services provided to patients with HIV.  The CBDPP awards grants to dental programs to develop partnerships with community-based oral health programs to expand the reach of trained dental professionals</w:t>
      </w:r>
      <w:r w:rsidR="00D553B1">
        <w:rPr>
          <w:rStyle w:val="BodyTextFi"/>
        </w:rPr>
        <w:t xml:space="preserve"> to serve patients with HIV</w:t>
      </w:r>
      <w:r>
        <w:rPr>
          <w:rStyle w:val="BodyTextFi"/>
        </w:rPr>
        <w:t>.  While the same institutions/programs are eligible to receive funds under both programs, the programs must be administered separately</w:t>
      </w:r>
      <w:r w:rsidR="007C3577">
        <w:rPr>
          <w:rStyle w:val="BodyTextFi"/>
        </w:rPr>
        <w:t>.</w:t>
      </w:r>
    </w:p>
    <w:p w:rsidR="007C3577" w:rsidRPr="00F760F6" w:rsidRDefault="007C3577" w:rsidP="009338B1">
      <w:pPr>
        <w:spacing w:line="240" w:lineRule="auto"/>
        <w:rPr>
          <w:rStyle w:val="BodyTextFi"/>
        </w:rPr>
      </w:pPr>
      <w:r w:rsidRPr="00F760F6">
        <w:rPr>
          <w:rStyle w:val="BodyTextFi"/>
        </w:rPr>
        <w:t>The current</w:t>
      </w:r>
      <w:r w:rsidR="00717BD1">
        <w:rPr>
          <w:rStyle w:val="BodyTextFi"/>
        </w:rPr>
        <w:t>ly approved</w:t>
      </w:r>
      <w:r w:rsidRPr="00F760F6">
        <w:rPr>
          <w:rStyle w:val="BodyTextFi"/>
        </w:rPr>
        <w:t xml:space="preserve"> Dental </w:t>
      </w:r>
      <w:r w:rsidR="004B78B7">
        <w:rPr>
          <w:rStyle w:val="BodyTextFi"/>
        </w:rPr>
        <w:t xml:space="preserve">Services </w:t>
      </w:r>
      <w:r w:rsidR="006D7A24">
        <w:rPr>
          <w:rStyle w:val="BodyTextFi"/>
        </w:rPr>
        <w:t>Form is</w:t>
      </w:r>
      <w:r w:rsidRPr="00F760F6">
        <w:rPr>
          <w:rStyle w:val="BodyTextFi"/>
        </w:rPr>
        <w:t xml:space="preserve"> used for accredited dental schools and dental education programs to apply for </w:t>
      </w:r>
      <w:r w:rsidR="004B78B7">
        <w:rPr>
          <w:rStyle w:val="BodyTextFi"/>
        </w:rPr>
        <w:t xml:space="preserve">DRP funding of </w:t>
      </w:r>
      <w:r w:rsidRPr="00F760F6">
        <w:rPr>
          <w:rStyle w:val="BodyTextFi"/>
        </w:rPr>
        <w:t xml:space="preserve">reimbursement of uncompensated oral health care expenditures to patients with HIV/AIDS.  These educational programs provide clinical training to pre- and post-doctoral dental students, dental hygienists, and dental professionals.  </w:t>
      </w:r>
    </w:p>
    <w:p w:rsidR="007C3577" w:rsidRPr="00F760F6" w:rsidRDefault="006D7A24" w:rsidP="009338B1">
      <w:pPr>
        <w:spacing w:line="240" w:lineRule="auto"/>
        <w:rPr>
          <w:rStyle w:val="BodyTextFi"/>
        </w:rPr>
      </w:pPr>
      <w:r>
        <w:rPr>
          <w:rStyle w:val="BodyTextFi"/>
        </w:rPr>
        <w:lastRenderedPageBreak/>
        <w:t>T</w:t>
      </w:r>
      <w:r w:rsidR="007C3577" w:rsidRPr="00F760F6">
        <w:rPr>
          <w:rStyle w:val="BodyTextFi"/>
        </w:rPr>
        <w:t>h</w:t>
      </w:r>
      <w:r>
        <w:rPr>
          <w:rStyle w:val="BodyTextFi"/>
        </w:rPr>
        <w:t>e form is</w:t>
      </w:r>
      <w:r w:rsidR="007C3577" w:rsidRPr="00F760F6">
        <w:rPr>
          <w:rStyle w:val="BodyTextFi"/>
        </w:rPr>
        <w:t xml:space="preserve"> also </w:t>
      </w:r>
      <w:r>
        <w:rPr>
          <w:rStyle w:val="BodyTextFi"/>
        </w:rPr>
        <w:t>us</w:t>
      </w:r>
      <w:r w:rsidR="007C3577" w:rsidRPr="00F760F6">
        <w:rPr>
          <w:rStyle w:val="BodyTextFi"/>
        </w:rPr>
        <w:t xml:space="preserve">ed as an annual data report by grantees under CBDPP.  CBDPP funds selected eligible entities in their efforts to increase access to oral health care for unserved and underserved rural and urban HIV positive populations. Funding supports oral health service delivery and provider training in community settings.  </w:t>
      </w:r>
    </w:p>
    <w:p w:rsidR="007C3577" w:rsidRDefault="007C3577" w:rsidP="009338B1">
      <w:pPr>
        <w:spacing w:line="240" w:lineRule="auto"/>
        <w:rPr>
          <w:rStyle w:val="BodyTextFi"/>
        </w:rPr>
      </w:pPr>
      <w:r w:rsidRPr="00F760F6">
        <w:rPr>
          <w:rStyle w:val="BodyTextFi"/>
        </w:rPr>
        <w:t>The Dental Services Form collects information about the program, patient demographics, oral health services, and</w:t>
      </w:r>
      <w:r w:rsidR="006D7A24">
        <w:rPr>
          <w:rStyle w:val="BodyTextFi"/>
        </w:rPr>
        <w:t xml:space="preserve"> funding. </w:t>
      </w:r>
      <w:r w:rsidR="00437BE1">
        <w:rPr>
          <w:rStyle w:val="BodyTextFi"/>
        </w:rPr>
        <w:t xml:space="preserve"> </w:t>
      </w:r>
      <w:r w:rsidR="006D7A24">
        <w:rPr>
          <w:rStyle w:val="BodyTextFi"/>
        </w:rPr>
        <w:t>A section that is</w:t>
      </w:r>
      <w:r w:rsidRPr="00F760F6">
        <w:rPr>
          <w:rStyle w:val="BodyTextFi"/>
        </w:rPr>
        <w:t xml:space="preserve"> completed only by DRP applicants includes information on unreimbursed expenses and descriptions of selected program components (e.g., settings of training, outreach activities). </w:t>
      </w:r>
      <w:r w:rsidR="00F760F6" w:rsidRPr="00F760F6">
        <w:rPr>
          <w:rStyle w:val="BodyTextFi"/>
        </w:rPr>
        <w:t xml:space="preserve">This information is needed to calculate an award amount. </w:t>
      </w:r>
      <w:r w:rsidRPr="00F760F6">
        <w:rPr>
          <w:rStyle w:val="BodyTextFi"/>
        </w:rPr>
        <w:t>A section that only CBDPP grantees complete collects information on the community partner</w:t>
      </w:r>
      <w:r w:rsidR="00D553B1">
        <w:rPr>
          <w:rStyle w:val="BodyTextFi"/>
        </w:rPr>
        <w:t>ships and populations</w:t>
      </w:r>
      <w:r w:rsidRPr="00F760F6">
        <w:rPr>
          <w:rStyle w:val="BodyTextFi"/>
        </w:rPr>
        <w:t xml:space="preserve"> serve</w:t>
      </w:r>
      <w:r w:rsidR="00D553B1">
        <w:rPr>
          <w:rStyle w:val="BodyTextFi"/>
        </w:rPr>
        <w:t>d</w:t>
      </w:r>
      <w:r w:rsidRPr="00F760F6">
        <w:rPr>
          <w:rStyle w:val="BodyTextFi"/>
        </w:rPr>
        <w:t xml:space="preserve"> through these partnerships.  </w:t>
      </w:r>
      <w:r w:rsidR="00F760F6" w:rsidRPr="00F760F6">
        <w:rPr>
          <w:rStyle w:val="BodyTextFi"/>
        </w:rPr>
        <w:t>The information provided by CBDPP grantees enables HRSA to monitor their progress.</w:t>
      </w:r>
    </w:p>
    <w:p w:rsidR="002F53FD" w:rsidRDefault="002F53FD" w:rsidP="009338B1">
      <w:pPr>
        <w:pStyle w:val="Heading2"/>
        <w:spacing w:line="240" w:lineRule="auto"/>
      </w:pPr>
      <w:bookmarkStart w:id="2" w:name="_Toc46022710"/>
      <w:r>
        <w:t>2.</w:t>
      </w:r>
      <w:r>
        <w:tab/>
        <w:t>Purpose and Use of Information</w:t>
      </w:r>
      <w:bookmarkEnd w:id="2"/>
    </w:p>
    <w:p w:rsidR="002F53FD" w:rsidRDefault="002F53FD" w:rsidP="009338B1">
      <w:pPr>
        <w:spacing w:line="240" w:lineRule="auto"/>
      </w:pPr>
      <w:r>
        <w:t xml:space="preserve">There are two </w:t>
      </w:r>
      <w:r w:rsidR="00663BEC">
        <w:t>major purposes for</w:t>
      </w:r>
      <w:r>
        <w:t xml:space="preserve"> this data collection. The first purpose is to allow accredited dental education programs (predoctoral, postdoctoral, and dental hygiene) apply for reimbursement of uncompensated expenditures for provision of oral health care services to people living with HIV under DRP. </w:t>
      </w:r>
      <w:r w:rsidR="00437BE1">
        <w:t xml:space="preserve"> </w:t>
      </w:r>
      <w:r>
        <w:t xml:space="preserve">The second purpose is an annual data report for CBDPP grantees so that HRSA can </w:t>
      </w:r>
      <w:r w:rsidR="00D553B1">
        <w:t xml:space="preserve">review </w:t>
      </w:r>
      <w:r w:rsidR="00F760F6">
        <w:t xml:space="preserve">progress and </w:t>
      </w:r>
      <w:r>
        <w:t>understand what services are being provided with grant funds.</w:t>
      </w:r>
    </w:p>
    <w:p w:rsidR="002F53FD" w:rsidRDefault="006D7A24" w:rsidP="00B65660">
      <w:pPr>
        <w:spacing w:line="240" w:lineRule="auto"/>
      </w:pPr>
      <w:r>
        <w:t xml:space="preserve">The information collected </w:t>
      </w:r>
      <w:r w:rsidR="002F53FD">
        <w:t>enable</w:t>
      </w:r>
      <w:r>
        <w:t>s</w:t>
      </w:r>
      <w:r w:rsidR="002F53FD">
        <w:t xml:space="preserve"> HRSA to:</w:t>
      </w:r>
    </w:p>
    <w:p w:rsidR="00467A37" w:rsidRDefault="002F53FD" w:rsidP="009338B1">
      <w:pPr>
        <w:numPr>
          <w:ilvl w:val="0"/>
          <w:numId w:val="8"/>
        </w:numPr>
        <w:spacing w:line="240" w:lineRule="auto"/>
      </w:pPr>
      <w:r>
        <w:t>Determine the unreimbursed costs of</w:t>
      </w:r>
      <w:r w:rsidR="00D553B1">
        <w:t xml:space="preserve"> DRP applicants and calculate a</w:t>
      </w:r>
      <w:r>
        <w:t xml:space="preserve"> reimbursement award amount;</w:t>
      </w:r>
      <w:r w:rsidR="00F760F6" w:rsidRPr="00F760F6">
        <w:t xml:space="preserve"> </w:t>
      </w:r>
    </w:p>
    <w:p w:rsidR="00D553B1" w:rsidRDefault="002F53FD" w:rsidP="009338B1">
      <w:pPr>
        <w:numPr>
          <w:ilvl w:val="0"/>
          <w:numId w:val="8"/>
        </w:numPr>
        <w:spacing w:line="240" w:lineRule="auto"/>
      </w:pPr>
      <w:r>
        <w:t>Understand the extent of dental education programs’—and their partners’—involvement in the treatment of patients with HIV;</w:t>
      </w:r>
    </w:p>
    <w:p w:rsidR="00D553B1" w:rsidRDefault="002F53FD" w:rsidP="009338B1">
      <w:pPr>
        <w:numPr>
          <w:ilvl w:val="0"/>
          <w:numId w:val="8"/>
        </w:numPr>
        <w:spacing w:line="240" w:lineRule="auto"/>
      </w:pPr>
      <w:r>
        <w:t>Determine the characteristics of patient with HIV receiving oral health services;</w:t>
      </w:r>
    </w:p>
    <w:p w:rsidR="00D553B1" w:rsidRDefault="002F53FD" w:rsidP="009338B1">
      <w:pPr>
        <w:numPr>
          <w:ilvl w:val="0"/>
          <w:numId w:val="8"/>
        </w:numPr>
        <w:spacing w:line="240" w:lineRule="auto"/>
      </w:pPr>
      <w:r>
        <w:t>Determine the scope and extent of oral health services provided to pat</w:t>
      </w:r>
      <w:r w:rsidR="009306EC">
        <w:t xml:space="preserve">ients with HIV through the </w:t>
      </w:r>
      <w:r>
        <w:t>Act funding, including types of services and number of visit by service;</w:t>
      </w:r>
    </w:p>
    <w:p w:rsidR="00D553B1" w:rsidRDefault="002F53FD" w:rsidP="009338B1">
      <w:pPr>
        <w:numPr>
          <w:ilvl w:val="0"/>
          <w:numId w:val="8"/>
        </w:numPr>
        <w:spacing w:line="240" w:lineRule="auto"/>
      </w:pPr>
      <w:r>
        <w:t>Calculate the costs of services and types of reimbursement funds received;</w:t>
      </w:r>
      <w:r w:rsidR="00D553B1">
        <w:t xml:space="preserve"> and</w:t>
      </w:r>
    </w:p>
    <w:p w:rsidR="002F53FD" w:rsidRDefault="009306EC" w:rsidP="009338B1">
      <w:pPr>
        <w:numPr>
          <w:ilvl w:val="0"/>
          <w:numId w:val="8"/>
        </w:numPr>
        <w:spacing w:line="240" w:lineRule="auto"/>
      </w:pPr>
      <w:r>
        <w:t>Understand how the</w:t>
      </w:r>
      <w:r w:rsidR="002F53FD">
        <w:t xml:space="preserve"> </w:t>
      </w:r>
      <w:r w:rsidR="00437BE1">
        <w:t xml:space="preserve">Ryan White Program </w:t>
      </w:r>
      <w:r w:rsidR="002F53FD">
        <w:t>funds for oral health services are used.</w:t>
      </w:r>
    </w:p>
    <w:p w:rsidR="002F53FD" w:rsidRDefault="002F53FD" w:rsidP="009338B1">
      <w:pPr>
        <w:pStyle w:val="TOC1"/>
        <w:tabs>
          <w:tab w:val="clear" w:pos="360"/>
          <w:tab w:val="clear" w:pos="720"/>
          <w:tab w:val="clear" w:pos="9360"/>
        </w:tabs>
        <w:spacing w:after="240"/>
        <w:rPr>
          <w:rFonts w:ascii="Times" w:hAnsi="Times"/>
        </w:rPr>
      </w:pPr>
      <w:r>
        <w:rPr>
          <w:rFonts w:ascii="Times" w:hAnsi="Times"/>
        </w:rPr>
        <w:t>Respondents complete the form annually</w:t>
      </w:r>
      <w:r w:rsidR="00342BC2">
        <w:rPr>
          <w:rFonts w:ascii="Times" w:hAnsi="Times"/>
        </w:rPr>
        <w:t xml:space="preserve"> to</w:t>
      </w:r>
      <w:r>
        <w:rPr>
          <w:rFonts w:ascii="Times" w:hAnsi="Times"/>
        </w:rPr>
        <w:t xml:space="preserve"> report on services provided and patient</w:t>
      </w:r>
      <w:r w:rsidR="00342BC2">
        <w:rPr>
          <w:rFonts w:ascii="Times" w:hAnsi="Times"/>
        </w:rPr>
        <w:t>s</w:t>
      </w:r>
      <w:r>
        <w:rPr>
          <w:rFonts w:ascii="Times" w:hAnsi="Times"/>
        </w:rPr>
        <w:t xml:space="preserve"> served for the most recently completed period that starts July 1 and end</w:t>
      </w:r>
      <w:r w:rsidR="00342BC2">
        <w:rPr>
          <w:rFonts w:ascii="Times" w:hAnsi="Times"/>
        </w:rPr>
        <w:t>s</w:t>
      </w:r>
      <w:r>
        <w:rPr>
          <w:rFonts w:ascii="Times" w:hAnsi="Times"/>
        </w:rPr>
        <w:t xml:space="preserve"> June 30.  </w:t>
      </w:r>
      <w:r w:rsidR="00342BC2">
        <w:rPr>
          <w:rFonts w:ascii="Times" w:hAnsi="Times"/>
        </w:rPr>
        <w:t>F</w:t>
      </w:r>
      <w:r>
        <w:rPr>
          <w:rFonts w:ascii="Times" w:hAnsi="Times"/>
        </w:rPr>
        <w:t>or exam</w:t>
      </w:r>
      <w:r w:rsidR="00D8189E">
        <w:rPr>
          <w:rFonts w:ascii="Times" w:hAnsi="Times"/>
        </w:rPr>
        <w:t>ple, the report due in June 20</w:t>
      </w:r>
      <w:r w:rsidR="00437BE1">
        <w:rPr>
          <w:rFonts w:ascii="Times" w:hAnsi="Times"/>
        </w:rPr>
        <w:t>11</w:t>
      </w:r>
      <w:r>
        <w:rPr>
          <w:rFonts w:ascii="Times" w:hAnsi="Times"/>
        </w:rPr>
        <w:t xml:space="preserve"> would report on th</w:t>
      </w:r>
      <w:r w:rsidR="00D8189E">
        <w:rPr>
          <w:rFonts w:ascii="Times" w:hAnsi="Times"/>
        </w:rPr>
        <w:t>e service period of July 1, 200</w:t>
      </w:r>
      <w:r w:rsidR="00437BE1">
        <w:rPr>
          <w:rFonts w:ascii="Times" w:hAnsi="Times"/>
        </w:rPr>
        <w:t>9</w:t>
      </w:r>
      <w:r w:rsidR="00D8189E">
        <w:rPr>
          <w:rFonts w:ascii="Times" w:hAnsi="Times"/>
        </w:rPr>
        <w:t xml:space="preserve"> to June 30, 20</w:t>
      </w:r>
      <w:r w:rsidR="00437BE1">
        <w:rPr>
          <w:rFonts w:ascii="Times" w:hAnsi="Times"/>
        </w:rPr>
        <w:t>10</w:t>
      </w:r>
      <w:r>
        <w:rPr>
          <w:rFonts w:ascii="Times" w:hAnsi="Times"/>
        </w:rPr>
        <w:t xml:space="preserve">.  </w:t>
      </w:r>
    </w:p>
    <w:p w:rsidR="002F53FD" w:rsidRDefault="002F53FD" w:rsidP="009338B1">
      <w:pPr>
        <w:spacing w:line="240" w:lineRule="auto"/>
      </w:pPr>
      <w:r>
        <w:t xml:space="preserve">HRSA </w:t>
      </w:r>
      <w:r w:rsidR="00F760F6">
        <w:t>will be able present data that are collected in various settings</w:t>
      </w:r>
      <w:r w:rsidR="00467A37">
        <w:t xml:space="preserve">, using </w:t>
      </w:r>
      <w:r w:rsidR="00F760F6">
        <w:t>slides and ad hoc reports</w:t>
      </w:r>
      <w:r w:rsidR="00467A37">
        <w:t xml:space="preserve">. Data can be used to reports </w:t>
      </w:r>
      <w:r>
        <w:t>to Congress and the public on oral health services prov</w:t>
      </w:r>
      <w:r w:rsidR="00467A37">
        <w:t xml:space="preserve">ided to people living with HIV, as well as </w:t>
      </w:r>
      <w:r>
        <w:t>trends over time</w:t>
      </w:r>
      <w:r w:rsidR="00467A37">
        <w:t>.</w:t>
      </w:r>
    </w:p>
    <w:p w:rsidR="002F53FD" w:rsidRDefault="002F53FD" w:rsidP="009338B1">
      <w:pPr>
        <w:pStyle w:val="Heading2"/>
        <w:spacing w:line="240" w:lineRule="auto"/>
      </w:pPr>
      <w:bookmarkStart w:id="3" w:name="_Toc46022711"/>
      <w:r>
        <w:lastRenderedPageBreak/>
        <w:t>3.</w:t>
      </w:r>
      <w:r>
        <w:tab/>
        <w:t>Use of Improved Information Technology</w:t>
      </w:r>
      <w:bookmarkEnd w:id="3"/>
    </w:p>
    <w:p w:rsidR="002F53FD" w:rsidRDefault="00717BD1" w:rsidP="009338B1">
      <w:pPr>
        <w:pStyle w:val="TOC1"/>
        <w:tabs>
          <w:tab w:val="clear" w:pos="360"/>
          <w:tab w:val="clear" w:pos="720"/>
          <w:tab w:val="clear" w:pos="9360"/>
        </w:tabs>
        <w:spacing w:after="240"/>
      </w:pPr>
      <w:r>
        <w:t xml:space="preserve">The Dental Services Form </w:t>
      </w:r>
      <w:r w:rsidR="00663BEC">
        <w:t xml:space="preserve">and instructions </w:t>
      </w:r>
      <w:r w:rsidR="006D7A24">
        <w:t>are</w:t>
      </w:r>
      <w:r>
        <w:t xml:space="preserve"> available on the Bureau’s web site</w:t>
      </w:r>
      <w:r w:rsidR="00462864">
        <w:t xml:space="preserve"> and can be submitted electronically</w:t>
      </w:r>
      <w:r>
        <w:t xml:space="preserve">.  </w:t>
      </w:r>
      <w:r w:rsidR="00D553B1">
        <w:t xml:space="preserve">Respondents </w:t>
      </w:r>
      <w:r>
        <w:t xml:space="preserve">can access </w:t>
      </w:r>
      <w:r w:rsidR="00462864">
        <w:t xml:space="preserve">information from the web </w:t>
      </w:r>
      <w:r>
        <w:t xml:space="preserve">and download the form for completion.  </w:t>
      </w:r>
    </w:p>
    <w:p w:rsidR="002F53FD" w:rsidRDefault="002F53FD" w:rsidP="009338B1">
      <w:pPr>
        <w:pStyle w:val="Heading2"/>
        <w:spacing w:line="240" w:lineRule="auto"/>
      </w:pPr>
      <w:bookmarkStart w:id="4" w:name="_Toc46022712"/>
      <w:r>
        <w:t>4.</w:t>
      </w:r>
      <w:r>
        <w:tab/>
        <w:t>Efforts to Identify Duplication</w:t>
      </w:r>
      <w:bookmarkEnd w:id="4"/>
    </w:p>
    <w:p w:rsidR="002F53FD" w:rsidRDefault="002F53FD" w:rsidP="009338B1">
      <w:pPr>
        <w:spacing w:line="240" w:lineRule="auto"/>
      </w:pPr>
      <w:r>
        <w:t xml:space="preserve">Data that describe the activities of the DRP applicants and CBDPP grantees are not available elsewhere. This is the only effort to characterize the impact that these programs are making on the provision of services.  </w:t>
      </w:r>
    </w:p>
    <w:p w:rsidR="002F53FD" w:rsidRDefault="002F53FD" w:rsidP="009338B1">
      <w:pPr>
        <w:pStyle w:val="Heading2"/>
        <w:numPr>
          <w:ilvl w:val="0"/>
          <w:numId w:val="5"/>
        </w:numPr>
        <w:tabs>
          <w:tab w:val="clear" w:pos="720"/>
          <w:tab w:val="num" w:pos="360"/>
        </w:tabs>
        <w:spacing w:line="240" w:lineRule="auto"/>
        <w:ind w:left="0" w:firstLine="0"/>
      </w:pPr>
      <w:bookmarkStart w:id="5" w:name="_Toc46022713"/>
      <w:r>
        <w:t>Involvement of Small Entities</w:t>
      </w:r>
      <w:bookmarkEnd w:id="5"/>
    </w:p>
    <w:p w:rsidR="002F53FD" w:rsidRDefault="002F53FD" w:rsidP="009338B1">
      <w:pPr>
        <w:spacing w:line="240" w:lineRule="auto"/>
      </w:pPr>
      <w:r>
        <w:t>This data collection does not involve small businesses</w:t>
      </w:r>
      <w:r w:rsidR="00CE6620">
        <w:t xml:space="preserve"> and does not have a significant impact on small entities</w:t>
      </w:r>
      <w:r>
        <w:t>.</w:t>
      </w:r>
      <w:r w:rsidR="00CD4ABF">
        <w:t xml:space="preserve"> </w:t>
      </w:r>
    </w:p>
    <w:p w:rsidR="002F53FD" w:rsidRDefault="002F53FD" w:rsidP="009338B1">
      <w:pPr>
        <w:pStyle w:val="Heading2"/>
        <w:spacing w:line="240" w:lineRule="auto"/>
        <w:rPr>
          <w:b w:val="0"/>
          <w:bCs w:val="0"/>
        </w:rPr>
      </w:pPr>
      <w:bookmarkStart w:id="6" w:name="_Toc46022714"/>
      <w:r>
        <w:t>6.</w:t>
      </w:r>
      <w:r>
        <w:tab/>
        <w:t>Consequences If Information Collected Less Frequently</w:t>
      </w:r>
      <w:bookmarkEnd w:id="6"/>
    </w:p>
    <w:p w:rsidR="002F53FD" w:rsidRDefault="002F53FD" w:rsidP="009338B1">
      <w:pPr>
        <w:spacing w:line="240" w:lineRule="auto"/>
      </w:pPr>
      <w:r>
        <w:t>Dental reimbursement funds are disseminated once each year based on the dental education programs applications.  Collection of DRP applications on a less-than-annual basis would not be consistent with the availability and distribution of the reimbursement funds.  CBDPP grantees submit data annually to allow HRSA to monitor the services provided by the grant program and to allow HRSA to compare data across DRP and CBDPP.</w:t>
      </w:r>
    </w:p>
    <w:p w:rsidR="002F53FD" w:rsidRDefault="002F53FD" w:rsidP="009338B1">
      <w:pPr>
        <w:pStyle w:val="Heading2"/>
        <w:spacing w:line="240" w:lineRule="auto"/>
      </w:pPr>
      <w:bookmarkStart w:id="7" w:name="_Toc46022715"/>
      <w:r>
        <w:t>7.</w:t>
      </w:r>
      <w:r>
        <w:tab/>
        <w:t>Consistency With the Guidelines in 5 CFR 1320.5(d)(2)</w:t>
      </w:r>
      <w:bookmarkEnd w:id="7"/>
    </w:p>
    <w:p w:rsidR="00A17738" w:rsidRDefault="002F53FD" w:rsidP="009338B1">
      <w:pPr>
        <w:spacing w:line="240" w:lineRule="auto"/>
        <w:rPr>
          <w:rStyle w:val="BodyTextFi"/>
        </w:rPr>
      </w:pPr>
      <w:r>
        <w:rPr>
          <w:rStyle w:val="BodyTextFi"/>
        </w:rPr>
        <w:t>The data will be collected in a manner consistent wit</w:t>
      </w:r>
      <w:r w:rsidR="00A17738">
        <w:rPr>
          <w:rStyle w:val="BodyTextFi"/>
        </w:rPr>
        <w:t>h the guidelines in 5 CFR 1320.5(d)(2)</w:t>
      </w:r>
      <w:r>
        <w:rPr>
          <w:rStyle w:val="BodyTextFi"/>
        </w:rPr>
        <w:t>.</w:t>
      </w:r>
    </w:p>
    <w:p w:rsidR="00A17738" w:rsidRPr="00955D35" w:rsidRDefault="00A17738" w:rsidP="009338B1">
      <w:pPr>
        <w:numPr>
          <w:ilvl w:val="0"/>
          <w:numId w:val="13"/>
        </w:numPr>
        <w:spacing w:line="240" w:lineRule="auto"/>
        <w:rPr>
          <w:rStyle w:val="BodyTextFi"/>
        </w:rPr>
      </w:pPr>
      <w:r w:rsidRPr="00955D35">
        <w:rPr>
          <w:rStyle w:val="BodyTextFi"/>
        </w:rPr>
        <w:t>Respondents will not be required to report information to the agency more often than quarterly.</w:t>
      </w:r>
    </w:p>
    <w:p w:rsidR="00A17738" w:rsidRPr="00955D35" w:rsidRDefault="00A17738" w:rsidP="009338B1">
      <w:pPr>
        <w:numPr>
          <w:ilvl w:val="0"/>
          <w:numId w:val="13"/>
        </w:numPr>
        <w:spacing w:line="240" w:lineRule="auto"/>
        <w:rPr>
          <w:rStyle w:val="BodyTextFi"/>
        </w:rPr>
      </w:pPr>
      <w:r w:rsidRPr="00955D35">
        <w:rPr>
          <w:rStyle w:val="BodyTextFi"/>
        </w:rPr>
        <w:t xml:space="preserve">Respondents will not be required to prepare a written response to an information collection request or requirement in fewer than 30 days after receipt of it; </w:t>
      </w:r>
    </w:p>
    <w:p w:rsidR="00A17738" w:rsidRPr="00955D35" w:rsidRDefault="00A17738" w:rsidP="009338B1">
      <w:pPr>
        <w:numPr>
          <w:ilvl w:val="0"/>
          <w:numId w:val="13"/>
        </w:numPr>
        <w:spacing w:line="240" w:lineRule="auto"/>
        <w:rPr>
          <w:rStyle w:val="BodyTextFi"/>
        </w:rPr>
      </w:pPr>
      <w:r w:rsidRPr="00955D35">
        <w:rPr>
          <w:rStyle w:val="BodyTextFi"/>
        </w:rPr>
        <w:t xml:space="preserve">Respondents will  not be required to submit more than an original and two copies of any document; </w:t>
      </w:r>
    </w:p>
    <w:p w:rsidR="00A17738" w:rsidRPr="00955D35" w:rsidRDefault="00A17738" w:rsidP="009338B1">
      <w:pPr>
        <w:numPr>
          <w:ilvl w:val="0"/>
          <w:numId w:val="13"/>
        </w:numPr>
        <w:spacing w:line="240" w:lineRule="auto"/>
        <w:rPr>
          <w:rStyle w:val="BodyTextFi"/>
        </w:rPr>
      </w:pPr>
      <w:r w:rsidRPr="00955D35">
        <w:rPr>
          <w:rStyle w:val="BodyTextFi"/>
        </w:rPr>
        <w:t xml:space="preserve">Respondents will not be required to retain records, other than health, medical, government contract, grant-in-aid, or tax records, for more than three years; </w:t>
      </w:r>
    </w:p>
    <w:p w:rsidR="00A17738" w:rsidRPr="00955D35" w:rsidRDefault="00A17738" w:rsidP="009338B1">
      <w:pPr>
        <w:numPr>
          <w:ilvl w:val="0"/>
          <w:numId w:val="13"/>
        </w:numPr>
        <w:spacing w:line="240" w:lineRule="auto"/>
        <w:rPr>
          <w:rStyle w:val="BodyTextFi"/>
        </w:rPr>
      </w:pPr>
      <w:r w:rsidRPr="00955D35">
        <w:rPr>
          <w:rStyle w:val="BodyTextFi"/>
        </w:rPr>
        <w:t xml:space="preserve">This data collection is not connected with a statistical survey. </w:t>
      </w:r>
    </w:p>
    <w:p w:rsidR="00A17738" w:rsidRPr="00955D35" w:rsidRDefault="00A17738" w:rsidP="009338B1">
      <w:pPr>
        <w:numPr>
          <w:ilvl w:val="0"/>
          <w:numId w:val="13"/>
        </w:numPr>
        <w:spacing w:line="240" w:lineRule="auto"/>
        <w:rPr>
          <w:rStyle w:val="BodyTextFi"/>
        </w:rPr>
      </w:pPr>
      <w:r w:rsidRPr="00955D35">
        <w:rPr>
          <w:rStyle w:val="BodyTextFi"/>
        </w:rPr>
        <w:t>This da</w:t>
      </w:r>
      <w:r w:rsidR="00C63B59">
        <w:rPr>
          <w:rStyle w:val="BodyTextFi"/>
        </w:rPr>
        <w:t>ta collection does not require</w:t>
      </w:r>
      <w:r w:rsidRPr="00955D35">
        <w:rPr>
          <w:rStyle w:val="BodyTextFi"/>
        </w:rPr>
        <w:t xml:space="preserve"> the use of a statistical data classification.</w:t>
      </w:r>
    </w:p>
    <w:p w:rsidR="00A17738" w:rsidRPr="00955D35" w:rsidRDefault="00A17738" w:rsidP="009338B1">
      <w:pPr>
        <w:numPr>
          <w:ilvl w:val="0"/>
          <w:numId w:val="13"/>
        </w:numPr>
        <w:spacing w:line="240" w:lineRule="auto"/>
        <w:rPr>
          <w:rStyle w:val="BodyTextFi"/>
        </w:rPr>
      </w:pPr>
      <w:r w:rsidRPr="00955D35">
        <w:rPr>
          <w:rStyle w:val="BodyTextFi"/>
        </w:rPr>
        <w:t>This data collection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Demographic data are reported only in the aggregate, so no information about individual patients is transmitted.</w:t>
      </w:r>
    </w:p>
    <w:p w:rsidR="00A17738" w:rsidRPr="00955D35" w:rsidRDefault="00A17738" w:rsidP="009338B1">
      <w:pPr>
        <w:numPr>
          <w:ilvl w:val="0"/>
          <w:numId w:val="13"/>
        </w:numPr>
        <w:spacing w:line="240" w:lineRule="auto"/>
        <w:rPr>
          <w:rStyle w:val="BodyTextFi"/>
        </w:rPr>
      </w:pPr>
      <w:r w:rsidRPr="00955D35">
        <w:rPr>
          <w:rStyle w:val="BodyTextFi"/>
        </w:rPr>
        <w:t>Respondents are not required to submit proprietary, trade secret, or other confidential information unless the agency can demonstrate that it has instituted procedures to protect its confidentiality to the extent permitted by law.</w:t>
      </w:r>
    </w:p>
    <w:p w:rsidR="002F53FD" w:rsidRDefault="002F53FD" w:rsidP="009338B1">
      <w:pPr>
        <w:pStyle w:val="Heading2"/>
        <w:spacing w:line="240" w:lineRule="auto"/>
      </w:pPr>
      <w:bookmarkStart w:id="8" w:name="_Toc46022716"/>
      <w:r>
        <w:t>8.</w:t>
      </w:r>
      <w:r>
        <w:tab/>
        <w:t>Consultation Outside the Agency</w:t>
      </w:r>
      <w:bookmarkEnd w:id="8"/>
    </w:p>
    <w:p w:rsidR="002F53FD" w:rsidRDefault="002F53FD" w:rsidP="009338B1">
      <w:pPr>
        <w:spacing w:line="240" w:lineRule="auto"/>
      </w:pPr>
      <w:r>
        <w:t xml:space="preserve">The notice required in 5 CFR 1320.8(d) was published in the </w:t>
      </w:r>
      <w:r>
        <w:rPr>
          <w:i/>
          <w:iCs/>
        </w:rPr>
        <w:t>Federal Register</w:t>
      </w:r>
      <w:r>
        <w:t xml:space="preserve"> on </w:t>
      </w:r>
      <w:r w:rsidR="00EA04C4">
        <w:t>January 31, 2011</w:t>
      </w:r>
      <w:r w:rsidR="00CD4ABF">
        <w:t>, 200</w:t>
      </w:r>
      <w:r w:rsidR="00E33F2E">
        <w:t>7</w:t>
      </w:r>
      <w:r>
        <w:t xml:space="preserve"> (Volume </w:t>
      </w:r>
      <w:r w:rsidR="00E33F2E">
        <w:t>7</w:t>
      </w:r>
      <w:r w:rsidR="00EA04C4">
        <w:t>6</w:t>
      </w:r>
      <w:r>
        <w:t xml:space="preserve">, </w:t>
      </w:r>
      <w:r w:rsidR="00CD4ABF">
        <w:t>No. 2</w:t>
      </w:r>
      <w:r w:rsidR="00EA04C4">
        <w:t>0</w:t>
      </w:r>
      <w:r w:rsidR="00CD4ABF">
        <w:t xml:space="preserve">, </w:t>
      </w:r>
      <w:r w:rsidR="00E33F2E">
        <w:t>p</w:t>
      </w:r>
      <w:r w:rsidR="00CD4ABF">
        <w:t>age</w:t>
      </w:r>
      <w:r w:rsidR="00E33F2E">
        <w:t>s</w:t>
      </w:r>
      <w:r w:rsidR="00CD4ABF">
        <w:t xml:space="preserve"> </w:t>
      </w:r>
      <w:r w:rsidR="00EA04C4">
        <w:t>5388-5389</w:t>
      </w:r>
      <w:r>
        <w:t>)</w:t>
      </w:r>
      <w:r w:rsidR="00CD4ABF">
        <w:t>.</w:t>
      </w:r>
      <w:r w:rsidR="006D7A24">
        <w:t xml:space="preserve"> </w:t>
      </w:r>
      <w:r>
        <w:t xml:space="preserve"> No comments were received.</w:t>
      </w:r>
    </w:p>
    <w:p w:rsidR="000203B7" w:rsidRDefault="0092213C" w:rsidP="00B65660">
      <w:pPr>
        <w:spacing w:line="240" w:lineRule="auto"/>
      </w:pPr>
      <w:r>
        <w:t>I</w:t>
      </w:r>
      <w:r w:rsidR="002F53FD">
        <w:t>n determining</w:t>
      </w:r>
      <w:r w:rsidR="009514C5">
        <w:t xml:space="preserve"> the burden estimate and the clarity of the information requested in the report</w:t>
      </w:r>
      <w:r w:rsidR="002F53FD">
        <w:t xml:space="preserve"> from grantees, HAB consulted with </w:t>
      </w:r>
      <w:r w:rsidR="009514C5">
        <w:t>two grantees.</w:t>
      </w:r>
      <w:r>
        <w:t xml:space="preserve">  </w:t>
      </w:r>
      <w:r w:rsidR="009514C5">
        <w:t>C</w:t>
      </w:r>
      <w:r w:rsidR="00AA5D7A">
        <w:t>ontact information is provided below:</w:t>
      </w:r>
    </w:p>
    <w:p w:rsidR="009514C5" w:rsidRDefault="009514C5" w:rsidP="009514C5">
      <w:pPr>
        <w:spacing w:after="0" w:line="240" w:lineRule="auto"/>
      </w:pPr>
      <w:r>
        <w:t>Dr. Tom Rogers</w:t>
      </w:r>
    </w:p>
    <w:p w:rsidR="009514C5" w:rsidRDefault="009514C5" w:rsidP="009514C5">
      <w:pPr>
        <w:spacing w:after="0" w:line="240" w:lineRule="auto"/>
      </w:pPr>
      <w:smartTag w:uri="urn:schemas-microsoft-com:office:smarttags" w:element="place">
        <w:smartTag w:uri="urn:schemas-microsoft-com:office:smarttags" w:element="PlaceName">
          <w:r>
            <w:t>Loma</w:t>
          </w:r>
        </w:smartTag>
        <w:r>
          <w:t xml:space="preserve"> </w:t>
        </w:r>
        <w:smartTag w:uri="urn:schemas-microsoft-com:office:smarttags" w:element="PlaceName">
          <w:r>
            <w:t>Linda</w:t>
          </w:r>
        </w:smartTag>
        <w:r>
          <w:t xml:space="preserve"> </w:t>
        </w:r>
        <w:smartTag w:uri="urn:schemas-microsoft-com:office:smarttags" w:element="PlaceName">
          <w:r>
            <w:t>University</w:t>
          </w:r>
        </w:smartTag>
        <w:r>
          <w:t xml:space="preserve"> </w:t>
        </w:r>
        <w:smartTag w:uri="urn:schemas-microsoft-com:office:smarttags" w:element="PlaceType">
          <w:r>
            <w:t>School</w:t>
          </w:r>
        </w:smartTag>
      </w:smartTag>
      <w:r>
        <w:t xml:space="preserve"> of Dentistry</w:t>
      </w:r>
    </w:p>
    <w:p w:rsidR="009514C5" w:rsidRDefault="009514C5" w:rsidP="009514C5">
      <w:pPr>
        <w:spacing w:after="0" w:line="240" w:lineRule="auto"/>
      </w:pPr>
      <w:r>
        <w:t>(909) 558-8164</w:t>
      </w:r>
    </w:p>
    <w:p w:rsidR="009514C5" w:rsidRDefault="00F01A10" w:rsidP="009514C5">
      <w:pPr>
        <w:spacing w:after="0" w:line="240" w:lineRule="auto"/>
      </w:pPr>
      <w:hyperlink r:id="rId7" w:history="1">
        <w:r w:rsidR="009514C5" w:rsidRPr="00817648">
          <w:rPr>
            <w:rStyle w:val="Hyperlink"/>
          </w:rPr>
          <w:t>Trogers@llu.edu</w:t>
        </w:r>
      </w:hyperlink>
    </w:p>
    <w:p w:rsidR="009514C5" w:rsidRDefault="009514C5" w:rsidP="009514C5">
      <w:pPr>
        <w:spacing w:after="0" w:line="240" w:lineRule="auto"/>
      </w:pPr>
    </w:p>
    <w:p w:rsidR="009514C5" w:rsidRDefault="009514C5" w:rsidP="009514C5">
      <w:pPr>
        <w:spacing w:after="0" w:line="240" w:lineRule="auto"/>
      </w:pPr>
      <w:r>
        <w:t>Dr. Jill York</w:t>
      </w:r>
    </w:p>
    <w:p w:rsidR="009514C5" w:rsidRDefault="009514C5" w:rsidP="009514C5">
      <w:pPr>
        <w:spacing w:after="0" w:line="240" w:lineRule="auto"/>
      </w:pPr>
      <w:smartTag w:uri="urn:schemas-microsoft-com:office:smarttags" w:element="PlaceType">
        <w:r>
          <w:t>University</w:t>
        </w:r>
      </w:smartTag>
      <w:r>
        <w:t xml:space="preserve"> of </w:t>
      </w:r>
      <w:smartTag w:uri="urn:schemas-microsoft-com:office:smarttags" w:element="PlaceName">
        <w:r>
          <w:t>Medicine</w:t>
        </w:r>
      </w:smartTag>
      <w:r>
        <w:t xml:space="preserve"> and Dentistry of </w:t>
      </w:r>
      <w:smartTag w:uri="urn:schemas-microsoft-com:office:smarttags" w:element="place">
        <w:smartTag w:uri="urn:schemas-microsoft-com:office:smarttags" w:element="City">
          <w:r>
            <w:t>New Jersey</w:t>
          </w:r>
        </w:smartTag>
        <w:r>
          <w:t xml:space="preserve">, </w:t>
        </w:r>
        <w:smartTag w:uri="urn:schemas-microsoft-com:office:smarttags" w:element="State">
          <w:r>
            <w:t>New Jersey</w:t>
          </w:r>
        </w:smartTag>
      </w:smartTag>
      <w:r>
        <w:t xml:space="preserve"> Dental School</w:t>
      </w:r>
    </w:p>
    <w:p w:rsidR="009514C5" w:rsidRDefault="009514C5" w:rsidP="009514C5">
      <w:pPr>
        <w:spacing w:after="0" w:line="240" w:lineRule="auto"/>
      </w:pPr>
      <w:r>
        <w:t>(973) 972-0190</w:t>
      </w:r>
    </w:p>
    <w:p w:rsidR="009514C5" w:rsidRDefault="00F01A10" w:rsidP="009514C5">
      <w:pPr>
        <w:spacing w:after="0" w:line="240" w:lineRule="auto"/>
      </w:pPr>
      <w:hyperlink r:id="rId8" w:history="1">
        <w:r w:rsidR="009514C5" w:rsidRPr="00817648">
          <w:rPr>
            <w:rStyle w:val="Hyperlink"/>
          </w:rPr>
          <w:t>yorkja@umdnj.edu</w:t>
        </w:r>
      </w:hyperlink>
      <w:r w:rsidR="009514C5">
        <w:t xml:space="preserve"> </w:t>
      </w:r>
    </w:p>
    <w:p w:rsidR="002F53FD" w:rsidRDefault="002F53FD" w:rsidP="009338B1">
      <w:pPr>
        <w:pStyle w:val="Heading2"/>
        <w:spacing w:line="240" w:lineRule="auto"/>
      </w:pPr>
      <w:bookmarkStart w:id="9" w:name="_Toc46022717"/>
      <w:r>
        <w:t>9.</w:t>
      </w:r>
      <w:r>
        <w:tab/>
        <w:t>Remuneration of Respondents</w:t>
      </w:r>
      <w:bookmarkEnd w:id="9"/>
    </w:p>
    <w:p w:rsidR="002F53FD" w:rsidRDefault="00A26BC4" w:rsidP="009338B1">
      <w:pPr>
        <w:spacing w:line="240" w:lineRule="auto"/>
      </w:pPr>
      <w:r>
        <w:rPr>
          <w:rStyle w:val="BodyTextFi"/>
        </w:rPr>
        <w:t>Respondents will not be remunerated.</w:t>
      </w:r>
    </w:p>
    <w:p w:rsidR="002F53FD" w:rsidRDefault="002F53FD" w:rsidP="009338B1">
      <w:pPr>
        <w:pStyle w:val="Heading2"/>
        <w:spacing w:line="240" w:lineRule="auto"/>
      </w:pPr>
      <w:bookmarkStart w:id="10" w:name="_Toc46022718"/>
      <w:r>
        <w:t>10.</w:t>
      </w:r>
      <w:r>
        <w:tab/>
        <w:t>Assurance of Confidentiality</w:t>
      </w:r>
      <w:bookmarkEnd w:id="10"/>
    </w:p>
    <w:p w:rsidR="002F53FD" w:rsidRDefault="002F53FD" w:rsidP="009338B1">
      <w:pPr>
        <w:spacing w:line="240" w:lineRule="auto"/>
      </w:pPr>
      <w:r>
        <w:t xml:space="preserve">Only summary data will be included in any reports developed from the collection of this information. No individual level data will be seen by HRSA or any outside party.  </w:t>
      </w:r>
    </w:p>
    <w:p w:rsidR="002F53FD" w:rsidRDefault="002F53FD" w:rsidP="009338B1">
      <w:pPr>
        <w:pStyle w:val="Heading2"/>
        <w:spacing w:line="240" w:lineRule="auto"/>
      </w:pPr>
      <w:bookmarkStart w:id="11" w:name="_Toc46022719"/>
      <w:r>
        <w:t>11.</w:t>
      </w:r>
      <w:r>
        <w:tab/>
        <w:t>Questions of a Sensitive Nature</w:t>
      </w:r>
      <w:bookmarkEnd w:id="11"/>
    </w:p>
    <w:p w:rsidR="002F53FD" w:rsidRDefault="002F53FD" w:rsidP="009338B1">
      <w:pPr>
        <w:spacing w:line="240" w:lineRule="auto"/>
      </w:pPr>
      <w:r>
        <w:t xml:space="preserve">Data are reported on </w:t>
      </w:r>
      <w:r w:rsidR="00C63B59">
        <w:t>the number of patients with HIV;</w:t>
      </w:r>
      <w:r>
        <w:t xml:space="preserve"> however</w:t>
      </w:r>
      <w:r w:rsidR="00C63B59">
        <w:t>,</w:t>
      </w:r>
      <w:r>
        <w:t xml:space="preserve"> data submitted to HRSA do not include any client-level data or client-identifying information.  </w:t>
      </w:r>
    </w:p>
    <w:p w:rsidR="002F53FD" w:rsidRDefault="002F53FD" w:rsidP="009338B1">
      <w:pPr>
        <w:pStyle w:val="Heading2"/>
        <w:spacing w:line="240" w:lineRule="auto"/>
      </w:pPr>
      <w:bookmarkStart w:id="12" w:name="_Toc46022720"/>
      <w:r>
        <w:t>12.</w:t>
      </w:r>
      <w:r>
        <w:tab/>
        <w:t>Estimates of Annualized Hour Burden</w:t>
      </w:r>
      <w:bookmarkEnd w:id="12"/>
    </w:p>
    <w:p w:rsidR="002F53FD" w:rsidRDefault="002F53FD" w:rsidP="009338B1">
      <w:pPr>
        <w:pStyle w:val="HTMLPreformatted"/>
        <w:rPr>
          <w:rFonts w:ascii="Times New Roman" w:hAnsi="Times New Roman" w:cs="Times New Roman"/>
          <w:sz w:val="24"/>
          <w:szCs w:val="24"/>
        </w:rPr>
      </w:pPr>
      <w:bookmarkStart w:id="13" w:name="_Toc46022721"/>
      <w:r>
        <w:rPr>
          <w:rFonts w:ascii="Times New Roman" w:hAnsi="Times New Roman" w:cs="Times New Roman"/>
          <w:sz w:val="24"/>
          <w:szCs w:val="24"/>
        </w:rPr>
        <w:t>The estimated annual burden to complete the Dental Services Form i</w:t>
      </w:r>
      <w:r w:rsidR="007613BF">
        <w:rPr>
          <w:rFonts w:ascii="Times New Roman" w:hAnsi="Times New Roman" w:cs="Times New Roman"/>
          <w:sz w:val="24"/>
          <w:szCs w:val="24"/>
        </w:rPr>
        <w:t>s as follows:</w:t>
      </w:r>
    </w:p>
    <w:p w:rsidR="002F53FD" w:rsidRDefault="002F53FD" w:rsidP="009338B1">
      <w:pPr>
        <w:pStyle w:val="Footer"/>
        <w:tabs>
          <w:tab w:val="clear" w:pos="4320"/>
          <w:tab w:val="clear" w:pos="8640"/>
        </w:tabs>
        <w:spacing w:line="240" w:lineRule="auto"/>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239"/>
        <w:gridCol w:w="1281"/>
        <w:gridCol w:w="1200"/>
        <w:gridCol w:w="1080"/>
        <w:gridCol w:w="1320"/>
        <w:gridCol w:w="1080"/>
        <w:gridCol w:w="960"/>
      </w:tblGrid>
      <w:tr w:rsidR="002F53FD">
        <w:tc>
          <w:tcPr>
            <w:tcW w:w="1668" w:type="dxa"/>
          </w:tcPr>
          <w:p w:rsidR="002F53FD" w:rsidRPr="00860347" w:rsidRDefault="002F53FD" w:rsidP="009338B1">
            <w:pPr>
              <w:spacing w:line="240" w:lineRule="auto"/>
              <w:rPr>
                <w:sz w:val="20"/>
              </w:rPr>
            </w:pPr>
            <w:r w:rsidRPr="00860347">
              <w:rPr>
                <w:sz w:val="20"/>
              </w:rPr>
              <w:t>Program</w:t>
            </w:r>
          </w:p>
        </w:tc>
        <w:tc>
          <w:tcPr>
            <w:tcW w:w="1239" w:type="dxa"/>
          </w:tcPr>
          <w:p w:rsidR="002F53FD" w:rsidRPr="00860347" w:rsidRDefault="002F53FD" w:rsidP="009338B1">
            <w:pPr>
              <w:spacing w:line="240" w:lineRule="auto"/>
              <w:jc w:val="center"/>
              <w:rPr>
                <w:sz w:val="20"/>
              </w:rPr>
            </w:pPr>
            <w:r w:rsidRPr="00860347">
              <w:rPr>
                <w:sz w:val="20"/>
              </w:rPr>
              <w:t>Number of respondents</w:t>
            </w:r>
          </w:p>
        </w:tc>
        <w:tc>
          <w:tcPr>
            <w:tcW w:w="1281" w:type="dxa"/>
          </w:tcPr>
          <w:p w:rsidR="002F53FD" w:rsidRPr="00860347" w:rsidRDefault="002F53FD" w:rsidP="009338B1">
            <w:pPr>
              <w:spacing w:line="240" w:lineRule="auto"/>
              <w:jc w:val="center"/>
              <w:rPr>
                <w:sz w:val="20"/>
              </w:rPr>
            </w:pPr>
            <w:r w:rsidRPr="00860347">
              <w:rPr>
                <w:sz w:val="20"/>
              </w:rPr>
              <w:t>Responses per respondent</w:t>
            </w:r>
          </w:p>
        </w:tc>
        <w:tc>
          <w:tcPr>
            <w:tcW w:w="1200" w:type="dxa"/>
          </w:tcPr>
          <w:p w:rsidR="002F53FD" w:rsidRPr="00860347" w:rsidRDefault="002F53FD" w:rsidP="009338B1">
            <w:pPr>
              <w:spacing w:line="240" w:lineRule="auto"/>
              <w:jc w:val="center"/>
              <w:rPr>
                <w:sz w:val="20"/>
              </w:rPr>
            </w:pPr>
            <w:r w:rsidRPr="00860347">
              <w:rPr>
                <w:sz w:val="20"/>
              </w:rPr>
              <w:t>Total responses</w:t>
            </w:r>
          </w:p>
        </w:tc>
        <w:tc>
          <w:tcPr>
            <w:tcW w:w="1080" w:type="dxa"/>
          </w:tcPr>
          <w:p w:rsidR="002F53FD" w:rsidRPr="00860347" w:rsidRDefault="002F53FD" w:rsidP="009338B1">
            <w:pPr>
              <w:spacing w:line="240" w:lineRule="auto"/>
              <w:jc w:val="center"/>
              <w:rPr>
                <w:sz w:val="20"/>
              </w:rPr>
            </w:pPr>
            <w:r w:rsidRPr="00860347">
              <w:rPr>
                <w:sz w:val="20"/>
              </w:rPr>
              <w:t>Hours per response</w:t>
            </w:r>
          </w:p>
        </w:tc>
        <w:tc>
          <w:tcPr>
            <w:tcW w:w="1320" w:type="dxa"/>
          </w:tcPr>
          <w:p w:rsidR="002F53FD" w:rsidRPr="00860347" w:rsidRDefault="002F53FD" w:rsidP="009338B1">
            <w:pPr>
              <w:spacing w:line="240" w:lineRule="auto"/>
              <w:jc w:val="center"/>
              <w:rPr>
                <w:sz w:val="20"/>
              </w:rPr>
            </w:pPr>
            <w:r w:rsidRPr="00860347">
              <w:rPr>
                <w:sz w:val="20"/>
              </w:rPr>
              <w:t>Total burden Hours</w:t>
            </w:r>
          </w:p>
        </w:tc>
        <w:tc>
          <w:tcPr>
            <w:tcW w:w="1080" w:type="dxa"/>
          </w:tcPr>
          <w:p w:rsidR="002F53FD" w:rsidRPr="00860347" w:rsidRDefault="002F53FD" w:rsidP="009338B1">
            <w:pPr>
              <w:spacing w:line="240" w:lineRule="auto"/>
              <w:jc w:val="center"/>
              <w:rPr>
                <w:sz w:val="20"/>
              </w:rPr>
            </w:pPr>
            <w:r w:rsidRPr="00860347">
              <w:rPr>
                <w:sz w:val="20"/>
              </w:rPr>
              <w:t xml:space="preserve">Hours wage rate </w:t>
            </w:r>
          </w:p>
        </w:tc>
        <w:tc>
          <w:tcPr>
            <w:tcW w:w="960" w:type="dxa"/>
          </w:tcPr>
          <w:p w:rsidR="002F53FD" w:rsidRPr="00860347" w:rsidRDefault="002F53FD" w:rsidP="009338B1">
            <w:pPr>
              <w:spacing w:line="240" w:lineRule="auto"/>
              <w:jc w:val="center"/>
              <w:rPr>
                <w:sz w:val="20"/>
              </w:rPr>
            </w:pPr>
            <w:r w:rsidRPr="00860347">
              <w:rPr>
                <w:sz w:val="20"/>
              </w:rPr>
              <w:t>Total hour cost</w:t>
            </w:r>
          </w:p>
        </w:tc>
      </w:tr>
      <w:tr w:rsidR="00860347">
        <w:tc>
          <w:tcPr>
            <w:tcW w:w="1668" w:type="dxa"/>
          </w:tcPr>
          <w:p w:rsidR="00860347" w:rsidRPr="00860347" w:rsidRDefault="00860347" w:rsidP="009338B1">
            <w:pPr>
              <w:spacing w:line="240" w:lineRule="auto"/>
              <w:rPr>
                <w:sz w:val="20"/>
              </w:rPr>
            </w:pPr>
            <w:r w:rsidRPr="00860347">
              <w:rPr>
                <w:sz w:val="20"/>
              </w:rPr>
              <w:t>Total</w:t>
            </w:r>
          </w:p>
        </w:tc>
        <w:tc>
          <w:tcPr>
            <w:tcW w:w="1239" w:type="dxa"/>
          </w:tcPr>
          <w:p w:rsidR="00860347" w:rsidRPr="00860347" w:rsidRDefault="00437BE1" w:rsidP="00437BE1">
            <w:pPr>
              <w:spacing w:line="240" w:lineRule="auto"/>
              <w:rPr>
                <w:sz w:val="20"/>
              </w:rPr>
            </w:pPr>
            <w:r>
              <w:rPr>
                <w:sz w:val="20"/>
              </w:rPr>
              <w:t>70</w:t>
            </w:r>
          </w:p>
        </w:tc>
        <w:tc>
          <w:tcPr>
            <w:tcW w:w="1281" w:type="dxa"/>
          </w:tcPr>
          <w:p w:rsidR="00860347" w:rsidRPr="00860347" w:rsidRDefault="00860347" w:rsidP="009338B1">
            <w:pPr>
              <w:spacing w:line="240" w:lineRule="auto"/>
              <w:rPr>
                <w:sz w:val="20"/>
              </w:rPr>
            </w:pPr>
            <w:r w:rsidRPr="00860347">
              <w:rPr>
                <w:sz w:val="20"/>
              </w:rPr>
              <w:t>1</w:t>
            </w:r>
          </w:p>
        </w:tc>
        <w:tc>
          <w:tcPr>
            <w:tcW w:w="1200" w:type="dxa"/>
          </w:tcPr>
          <w:p w:rsidR="00860347" w:rsidRPr="00860347" w:rsidRDefault="00437BE1" w:rsidP="00437BE1">
            <w:pPr>
              <w:spacing w:line="240" w:lineRule="auto"/>
              <w:rPr>
                <w:sz w:val="20"/>
              </w:rPr>
            </w:pPr>
            <w:r>
              <w:rPr>
                <w:sz w:val="20"/>
              </w:rPr>
              <w:t>7</w:t>
            </w:r>
            <w:r w:rsidR="00E70F63">
              <w:rPr>
                <w:sz w:val="20"/>
              </w:rPr>
              <w:t>0</w:t>
            </w:r>
          </w:p>
        </w:tc>
        <w:tc>
          <w:tcPr>
            <w:tcW w:w="1080" w:type="dxa"/>
          </w:tcPr>
          <w:p w:rsidR="00860347" w:rsidRPr="00860347" w:rsidRDefault="00860347" w:rsidP="009338B1">
            <w:pPr>
              <w:spacing w:line="240" w:lineRule="auto"/>
              <w:rPr>
                <w:sz w:val="20"/>
              </w:rPr>
            </w:pPr>
            <w:r w:rsidRPr="00860347">
              <w:rPr>
                <w:sz w:val="20"/>
              </w:rPr>
              <w:t>20</w:t>
            </w:r>
          </w:p>
        </w:tc>
        <w:tc>
          <w:tcPr>
            <w:tcW w:w="1320" w:type="dxa"/>
          </w:tcPr>
          <w:p w:rsidR="00860347" w:rsidRDefault="00E70F63" w:rsidP="00437BE1">
            <w:pPr>
              <w:spacing w:line="240" w:lineRule="auto"/>
              <w:rPr>
                <w:sz w:val="20"/>
              </w:rPr>
            </w:pPr>
            <w:r>
              <w:rPr>
                <w:sz w:val="20"/>
              </w:rPr>
              <w:t>1</w:t>
            </w:r>
            <w:r w:rsidR="00437BE1">
              <w:rPr>
                <w:sz w:val="20"/>
              </w:rPr>
              <w:t>4</w:t>
            </w:r>
            <w:r w:rsidR="00860347">
              <w:rPr>
                <w:sz w:val="20"/>
              </w:rPr>
              <w:t>00</w:t>
            </w:r>
          </w:p>
        </w:tc>
        <w:tc>
          <w:tcPr>
            <w:tcW w:w="1080" w:type="dxa"/>
          </w:tcPr>
          <w:p w:rsidR="00860347" w:rsidRPr="00860347" w:rsidRDefault="00851DC2" w:rsidP="009338B1">
            <w:pPr>
              <w:spacing w:line="240" w:lineRule="auto"/>
              <w:rPr>
                <w:sz w:val="20"/>
              </w:rPr>
            </w:pPr>
            <w:r>
              <w:rPr>
                <w:sz w:val="20"/>
              </w:rPr>
              <w:t>$33.00</w:t>
            </w:r>
          </w:p>
        </w:tc>
        <w:tc>
          <w:tcPr>
            <w:tcW w:w="960" w:type="dxa"/>
          </w:tcPr>
          <w:p w:rsidR="00860347" w:rsidRPr="00860347" w:rsidRDefault="00E70F63" w:rsidP="00437BE1">
            <w:pPr>
              <w:spacing w:line="240" w:lineRule="auto"/>
              <w:rPr>
                <w:sz w:val="20"/>
              </w:rPr>
            </w:pPr>
            <w:r>
              <w:rPr>
                <w:sz w:val="20"/>
              </w:rPr>
              <w:t>$</w:t>
            </w:r>
            <w:r w:rsidR="00437BE1">
              <w:rPr>
                <w:sz w:val="20"/>
              </w:rPr>
              <w:t>46</w:t>
            </w:r>
            <w:r>
              <w:rPr>
                <w:sz w:val="20"/>
              </w:rPr>
              <w:t>,</w:t>
            </w:r>
            <w:r w:rsidR="00437BE1">
              <w:rPr>
                <w:sz w:val="20"/>
              </w:rPr>
              <w:t>200</w:t>
            </w:r>
          </w:p>
        </w:tc>
      </w:tr>
    </w:tbl>
    <w:p w:rsidR="002F53FD" w:rsidRDefault="002F53FD" w:rsidP="009338B1">
      <w:pPr>
        <w:pStyle w:val="Footer"/>
        <w:tabs>
          <w:tab w:val="clear" w:pos="4320"/>
          <w:tab w:val="clear" w:pos="8640"/>
        </w:tabs>
        <w:spacing w:line="240" w:lineRule="auto"/>
      </w:pPr>
    </w:p>
    <w:p w:rsidR="002F53FD" w:rsidRPr="00851DC2" w:rsidRDefault="002F53FD" w:rsidP="009338B1">
      <w:pPr>
        <w:pStyle w:val="Heading2"/>
        <w:numPr>
          <w:ilvl w:val="0"/>
          <w:numId w:val="10"/>
        </w:numPr>
        <w:spacing w:line="240" w:lineRule="auto"/>
      </w:pPr>
      <w:r w:rsidRPr="00851DC2">
        <w:t>Estimates of Annualized Cost Burden to Respondents</w:t>
      </w:r>
      <w:bookmarkEnd w:id="13"/>
    </w:p>
    <w:p w:rsidR="002F53FD" w:rsidRPr="00851DC2" w:rsidRDefault="007613BF" w:rsidP="009338B1">
      <w:pPr>
        <w:spacing w:line="240" w:lineRule="auto"/>
      </w:pPr>
      <w:r>
        <w:t xml:space="preserve">There are no capital or start up costs for this activity.  </w:t>
      </w:r>
      <w:r w:rsidR="002F53FD" w:rsidRPr="00851DC2">
        <w:t>There are no direct costs to respondents other than their time in participating in the data collection, which is shown in table above.</w:t>
      </w:r>
    </w:p>
    <w:p w:rsidR="002F53FD" w:rsidRPr="00907570" w:rsidRDefault="002F53FD" w:rsidP="009338B1">
      <w:pPr>
        <w:pStyle w:val="Heading2"/>
        <w:numPr>
          <w:ilvl w:val="0"/>
          <w:numId w:val="10"/>
        </w:numPr>
        <w:spacing w:line="240" w:lineRule="auto"/>
      </w:pPr>
      <w:bookmarkStart w:id="14" w:name="_Toc46022722"/>
      <w:r w:rsidRPr="00907570">
        <w:t>Estimates of Annualized Cost to the Government</w:t>
      </w:r>
      <w:bookmarkEnd w:id="14"/>
    </w:p>
    <w:p w:rsidR="002F53FD" w:rsidRDefault="002F53FD" w:rsidP="009338B1">
      <w:pPr>
        <w:spacing w:line="240" w:lineRule="auto"/>
      </w:pPr>
      <w:r w:rsidRPr="00907570">
        <w:t>HRSA has maintained a contract to provide technical assistance, the distribution of OMB-approved dental services data report forms, data entr</w:t>
      </w:r>
      <w:r w:rsidR="00FC6B7A">
        <w:t>y, and analysis.  For 20</w:t>
      </w:r>
      <w:r w:rsidR="00404549">
        <w:t>11</w:t>
      </w:r>
      <w:r w:rsidRPr="00907570">
        <w:t>, this contract will be $</w:t>
      </w:r>
      <w:r w:rsidR="00404549">
        <w:rPr>
          <w:b/>
          <w:bCs/>
          <w:color w:val="FF0000"/>
        </w:rPr>
        <w:t>$187,400</w:t>
      </w:r>
      <w:r w:rsidR="00C63B59">
        <w:t>.</w:t>
      </w:r>
      <w:r w:rsidRPr="00907570">
        <w:t xml:space="preserve"> In addition, government personnel require </w:t>
      </w:r>
      <w:r w:rsidR="00462864">
        <w:t>10% time of 1 FTE at a GS 14</w:t>
      </w:r>
      <w:r w:rsidRPr="00907570">
        <w:t xml:space="preserve"> </w:t>
      </w:r>
      <w:r w:rsidR="00C1210E">
        <w:t xml:space="preserve">level </w:t>
      </w:r>
      <w:r w:rsidR="006D645E">
        <w:t>($8,</w:t>
      </w:r>
      <w:r w:rsidR="00717A61">
        <w:t>469</w:t>
      </w:r>
      <w:r w:rsidR="006D645E">
        <w:t xml:space="preserve">) </w:t>
      </w:r>
      <w:r w:rsidRPr="00907570">
        <w:t>to review and prepare award notices</w:t>
      </w:r>
      <w:r w:rsidR="007613BF">
        <w:t>.</w:t>
      </w:r>
    </w:p>
    <w:p w:rsidR="002F53FD" w:rsidRDefault="002F53FD" w:rsidP="009338B1">
      <w:pPr>
        <w:pStyle w:val="Heading2"/>
        <w:spacing w:line="240" w:lineRule="auto"/>
      </w:pPr>
      <w:bookmarkStart w:id="15" w:name="_Toc46022723"/>
      <w:r w:rsidRPr="00907570">
        <w:t>15.</w:t>
      </w:r>
      <w:r w:rsidRPr="00907570">
        <w:tab/>
        <w:t>Changes in Burden</w:t>
      </w:r>
      <w:bookmarkEnd w:id="15"/>
    </w:p>
    <w:p w:rsidR="007A4C7C" w:rsidRDefault="00471F30" w:rsidP="009338B1">
      <w:pPr>
        <w:spacing w:line="240" w:lineRule="auto"/>
      </w:pPr>
      <w:r>
        <w:t xml:space="preserve">The current OMB inventory of burden </w:t>
      </w:r>
      <w:r w:rsidR="006D7A24">
        <w:t xml:space="preserve">hours for this activity is </w:t>
      </w:r>
      <w:r w:rsidR="00717A61">
        <w:t>1</w:t>
      </w:r>
      <w:r w:rsidR="006D7A24">
        <w:t>,</w:t>
      </w:r>
      <w:r w:rsidR="00717A61">
        <w:t>6</w:t>
      </w:r>
      <w:r w:rsidR="006D7A24">
        <w:t>00</w:t>
      </w:r>
      <w:r>
        <w:t xml:space="preserve"> hours</w:t>
      </w:r>
      <w:r w:rsidR="006D7A24">
        <w:t>.</w:t>
      </w:r>
      <w:r>
        <w:t xml:space="preserve"> </w:t>
      </w:r>
      <w:r w:rsidR="00AB0DA6">
        <w:t>This request is for 1,</w:t>
      </w:r>
      <w:r w:rsidR="00717A61">
        <w:t>4</w:t>
      </w:r>
      <w:r w:rsidR="00AB0DA6">
        <w:t xml:space="preserve">00 hours, a decrease of </w:t>
      </w:r>
      <w:r w:rsidR="00717A61">
        <w:t>2</w:t>
      </w:r>
      <w:r w:rsidR="00AB0DA6">
        <w:t>00 hours.  This change in burden is a program adjustment due to a decrease in the expected number of respondents.</w:t>
      </w:r>
    </w:p>
    <w:p w:rsidR="002F53FD" w:rsidRPr="00907570" w:rsidRDefault="002F53FD" w:rsidP="009338B1">
      <w:pPr>
        <w:pStyle w:val="Heading2"/>
        <w:spacing w:line="240" w:lineRule="auto"/>
      </w:pPr>
      <w:bookmarkStart w:id="16" w:name="_Toc46022724"/>
      <w:r w:rsidRPr="00907570">
        <w:t>16.</w:t>
      </w:r>
      <w:r w:rsidRPr="00907570">
        <w:tab/>
        <w:t>Time Schedule, Publication and Analysis Plan</w:t>
      </w:r>
      <w:bookmarkEnd w:id="16"/>
    </w:p>
    <w:p w:rsidR="00BA4AB6" w:rsidRDefault="002F53FD" w:rsidP="009338B1">
      <w:pPr>
        <w:pStyle w:val="Heading2"/>
        <w:spacing w:line="240" w:lineRule="auto"/>
        <w:rPr>
          <w:b w:val="0"/>
        </w:rPr>
      </w:pPr>
      <w:r w:rsidRPr="00462864">
        <w:rPr>
          <w:b w:val="0"/>
        </w:rPr>
        <w:t>The</w:t>
      </w:r>
      <w:bookmarkStart w:id="17" w:name="_Toc46022725"/>
      <w:r w:rsidR="005F6EAF">
        <w:rPr>
          <w:b w:val="0"/>
        </w:rPr>
        <w:t>re are no plans for formal publication of the information, although there will be annual summary reports</w:t>
      </w:r>
      <w:r w:rsidR="00471F30">
        <w:rPr>
          <w:b w:val="0"/>
        </w:rPr>
        <w:t xml:space="preserve"> in order to monitor grantee progress</w:t>
      </w:r>
      <w:r w:rsidR="005F6EAF">
        <w:rPr>
          <w:b w:val="0"/>
        </w:rPr>
        <w:t xml:space="preserve">. </w:t>
      </w:r>
    </w:p>
    <w:p w:rsidR="002F53FD" w:rsidRDefault="002F53FD" w:rsidP="009338B1">
      <w:pPr>
        <w:pStyle w:val="Heading2"/>
        <w:spacing w:line="240" w:lineRule="auto"/>
      </w:pPr>
      <w:r>
        <w:t>17.</w:t>
      </w:r>
      <w:r>
        <w:tab/>
        <w:t>Exemption for Display of Expiration Date</w:t>
      </w:r>
      <w:bookmarkEnd w:id="17"/>
    </w:p>
    <w:p w:rsidR="002F53FD" w:rsidRDefault="000C3B3D" w:rsidP="009338B1">
      <w:pPr>
        <w:spacing w:line="240" w:lineRule="auto"/>
      </w:pPr>
      <w:r>
        <w:t>The expiration date will be displayed.</w:t>
      </w:r>
    </w:p>
    <w:p w:rsidR="002F53FD" w:rsidRDefault="002F53FD" w:rsidP="009338B1">
      <w:pPr>
        <w:pStyle w:val="Heading2"/>
        <w:spacing w:line="240" w:lineRule="auto"/>
      </w:pPr>
      <w:bookmarkStart w:id="18" w:name="_Toc46022726"/>
      <w:r>
        <w:t>18.</w:t>
      </w:r>
      <w:r>
        <w:tab/>
        <w:t>Exceptions to Certification for PRA Submissions</w:t>
      </w:r>
      <w:bookmarkEnd w:id="18"/>
    </w:p>
    <w:p w:rsidR="002F53FD" w:rsidRPr="00E54AD4" w:rsidRDefault="002F53FD" w:rsidP="009338B1">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pPr>
      <w:r>
        <w:rPr>
          <w:rStyle w:val="BodyTextFi"/>
        </w:rPr>
        <w:t>This information collection fully complies with the guidelines in 5 CFR 1320.9. The necessary certifications are included in the package</w:t>
      </w:r>
      <w:r w:rsidR="005B5942">
        <w:rPr>
          <w:rStyle w:val="BodyTextFi"/>
        </w:rPr>
        <w:t>.</w:t>
      </w:r>
      <w:r w:rsidR="005B5942" w:rsidRPr="00E54AD4">
        <w:t xml:space="preserve"> </w:t>
      </w:r>
    </w:p>
    <w:sectPr w:rsidR="002F53FD" w:rsidRPr="00E54AD4" w:rsidSect="00487ABC">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4C4" w:rsidRDefault="00EA04C4">
      <w:r>
        <w:separator/>
      </w:r>
    </w:p>
  </w:endnote>
  <w:endnote w:type="continuationSeparator" w:id="1">
    <w:p w:rsidR="00EA04C4" w:rsidRDefault="00EA04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C4" w:rsidRDefault="00F01A10">
    <w:pPr>
      <w:pStyle w:val="Footer"/>
      <w:jc w:val="right"/>
    </w:pPr>
    <w:r>
      <w:rPr>
        <w:rStyle w:val="PageNumber"/>
      </w:rPr>
      <w:fldChar w:fldCharType="begin"/>
    </w:r>
    <w:r w:rsidR="00EA04C4">
      <w:rPr>
        <w:rStyle w:val="PageNumber"/>
      </w:rPr>
      <w:instrText xml:space="preserve"> PAGE </w:instrText>
    </w:r>
    <w:r>
      <w:rPr>
        <w:rStyle w:val="PageNumber"/>
      </w:rPr>
      <w:fldChar w:fldCharType="separate"/>
    </w:r>
    <w:r w:rsidR="00044454">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4C4" w:rsidRDefault="00EA04C4">
      <w:r>
        <w:separator/>
      </w:r>
    </w:p>
  </w:footnote>
  <w:footnote w:type="continuationSeparator" w:id="1">
    <w:p w:rsidR="00EA04C4" w:rsidRDefault="00EA04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2F9"/>
    <w:multiLevelType w:val="hybridMultilevel"/>
    <w:tmpl w:val="5FF80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A97C0A"/>
    <w:multiLevelType w:val="hybridMultilevel"/>
    <w:tmpl w:val="D0529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716B1C"/>
    <w:multiLevelType w:val="hybridMultilevel"/>
    <w:tmpl w:val="1248D914"/>
    <w:lvl w:ilvl="0" w:tplc="0AC8EA16">
      <w:start w:val="1"/>
      <w:numFmt w:val="decimal"/>
      <w:lvlText w:val="%1."/>
      <w:lvlJc w:val="left"/>
      <w:pPr>
        <w:tabs>
          <w:tab w:val="num" w:pos="1080"/>
        </w:tabs>
        <w:ind w:left="1080" w:hanging="720"/>
      </w:pPr>
      <w:rPr>
        <w:rFonts w:hint="default"/>
      </w:rPr>
    </w:lvl>
    <w:lvl w:ilvl="1" w:tplc="6E3EC71E">
      <w:start w:val="2"/>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395B96"/>
    <w:multiLevelType w:val="hybridMultilevel"/>
    <w:tmpl w:val="CC38FBF0"/>
    <w:lvl w:ilvl="0" w:tplc="758288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7D62D81"/>
    <w:multiLevelType w:val="hybridMultilevel"/>
    <w:tmpl w:val="C4F810BE"/>
    <w:lvl w:ilvl="0" w:tplc="45E4BB7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7A7CF5"/>
    <w:multiLevelType w:val="hybridMultilevel"/>
    <w:tmpl w:val="3F9CD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D77ED8"/>
    <w:multiLevelType w:val="hybridMultilevel"/>
    <w:tmpl w:val="D14C121E"/>
    <w:lvl w:ilvl="0" w:tplc="7E1A0A6E">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27350C"/>
    <w:multiLevelType w:val="hybridMultilevel"/>
    <w:tmpl w:val="817C1A74"/>
    <w:lvl w:ilvl="0" w:tplc="9AE24D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D94390"/>
    <w:multiLevelType w:val="hybridMultilevel"/>
    <w:tmpl w:val="60CA9FEC"/>
    <w:lvl w:ilvl="0" w:tplc="C792A8D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FC0D6B"/>
    <w:multiLevelType w:val="hybridMultilevel"/>
    <w:tmpl w:val="C08C37B6"/>
    <w:lvl w:ilvl="0" w:tplc="C756A74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BB67DB0"/>
    <w:multiLevelType w:val="hybridMultilevel"/>
    <w:tmpl w:val="F1BA2874"/>
    <w:lvl w:ilvl="0" w:tplc="0409000F">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F7B11E3"/>
    <w:multiLevelType w:val="hybridMultilevel"/>
    <w:tmpl w:val="9062817C"/>
    <w:lvl w:ilvl="0" w:tplc="1AACBC66">
      <w:start w:val="1"/>
      <w:numFmt w:val="upperLetter"/>
      <w:lvlText w:val="%1."/>
      <w:lvlJc w:val="left"/>
      <w:pPr>
        <w:tabs>
          <w:tab w:val="num" w:pos="1080"/>
        </w:tabs>
        <w:ind w:left="1080" w:hanging="720"/>
      </w:pPr>
      <w:rPr>
        <w:rFonts w:hint="default"/>
      </w:rPr>
    </w:lvl>
    <w:lvl w:ilvl="1" w:tplc="07DC006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9C6F80"/>
    <w:multiLevelType w:val="multilevel"/>
    <w:tmpl w:val="B1767A9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1"/>
  </w:num>
  <w:num w:numId="2">
    <w:abstractNumId w:val="2"/>
  </w:num>
  <w:num w:numId="3">
    <w:abstractNumId w:val="8"/>
  </w:num>
  <w:num w:numId="4">
    <w:abstractNumId w:val="3"/>
  </w:num>
  <w:num w:numId="5">
    <w:abstractNumId w:val="9"/>
  </w:num>
  <w:num w:numId="6">
    <w:abstractNumId w:val="4"/>
  </w:num>
  <w:num w:numId="7">
    <w:abstractNumId w:val="7"/>
  </w:num>
  <w:num w:numId="8">
    <w:abstractNumId w:val="6"/>
  </w:num>
  <w:num w:numId="9">
    <w:abstractNumId w:val="1"/>
  </w:num>
  <w:num w:numId="10">
    <w:abstractNumId w:val="10"/>
  </w:num>
  <w:num w:numId="11">
    <w:abstractNumId w:val="12"/>
  </w:num>
  <w:num w:numId="12">
    <w:abstractNumId w:val="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84029"/>
    <w:rsid w:val="000203B7"/>
    <w:rsid w:val="0002147F"/>
    <w:rsid w:val="00044454"/>
    <w:rsid w:val="00061552"/>
    <w:rsid w:val="000A6D98"/>
    <w:rsid w:val="000B2DC1"/>
    <w:rsid w:val="000B67ED"/>
    <w:rsid w:val="000C3B3D"/>
    <w:rsid w:val="001257D0"/>
    <w:rsid w:val="001A26D5"/>
    <w:rsid w:val="00240C33"/>
    <w:rsid w:val="002A71E5"/>
    <w:rsid w:val="002B0645"/>
    <w:rsid w:val="002B359B"/>
    <w:rsid w:val="002F53FD"/>
    <w:rsid w:val="00321BD9"/>
    <w:rsid w:val="003241D7"/>
    <w:rsid w:val="00342BC2"/>
    <w:rsid w:val="0036275F"/>
    <w:rsid w:val="00376B85"/>
    <w:rsid w:val="003A100C"/>
    <w:rsid w:val="003C0327"/>
    <w:rsid w:val="003E281A"/>
    <w:rsid w:val="003E2B5F"/>
    <w:rsid w:val="00404549"/>
    <w:rsid w:val="00437BE1"/>
    <w:rsid w:val="00462864"/>
    <w:rsid w:val="00467A37"/>
    <w:rsid w:val="00471F30"/>
    <w:rsid w:val="00487ABC"/>
    <w:rsid w:val="004B78B7"/>
    <w:rsid w:val="004C0767"/>
    <w:rsid w:val="004D673E"/>
    <w:rsid w:val="00580DF0"/>
    <w:rsid w:val="005A046B"/>
    <w:rsid w:val="005A6B54"/>
    <w:rsid w:val="005B5942"/>
    <w:rsid w:val="005D0737"/>
    <w:rsid w:val="005F6EAF"/>
    <w:rsid w:val="00656963"/>
    <w:rsid w:val="00663BEC"/>
    <w:rsid w:val="006A4C1B"/>
    <w:rsid w:val="006D645E"/>
    <w:rsid w:val="006D7A24"/>
    <w:rsid w:val="006F7E8E"/>
    <w:rsid w:val="00717A61"/>
    <w:rsid w:val="00717BD1"/>
    <w:rsid w:val="00725491"/>
    <w:rsid w:val="0075419B"/>
    <w:rsid w:val="007613BF"/>
    <w:rsid w:val="00793147"/>
    <w:rsid w:val="0079578E"/>
    <w:rsid w:val="007A4C7C"/>
    <w:rsid w:val="007C3577"/>
    <w:rsid w:val="00851DC2"/>
    <w:rsid w:val="00860347"/>
    <w:rsid w:val="0089285C"/>
    <w:rsid w:val="008A43CC"/>
    <w:rsid w:val="008E753A"/>
    <w:rsid w:val="00907570"/>
    <w:rsid w:val="0092213C"/>
    <w:rsid w:val="009306EC"/>
    <w:rsid w:val="009338B1"/>
    <w:rsid w:val="009514C5"/>
    <w:rsid w:val="00955D35"/>
    <w:rsid w:val="0099011B"/>
    <w:rsid w:val="00A1045D"/>
    <w:rsid w:val="00A17738"/>
    <w:rsid w:val="00A26BC4"/>
    <w:rsid w:val="00A4427D"/>
    <w:rsid w:val="00A51FD9"/>
    <w:rsid w:val="00AA5D7A"/>
    <w:rsid w:val="00AB0DA6"/>
    <w:rsid w:val="00AE3151"/>
    <w:rsid w:val="00B47EFE"/>
    <w:rsid w:val="00B54BDF"/>
    <w:rsid w:val="00B65660"/>
    <w:rsid w:val="00B84029"/>
    <w:rsid w:val="00B9688D"/>
    <w:rsid w:val="00BA273E"/>
    <w:rsid w:val="00BA4AB6"/>
    <w:rsid w:val="00BD6796"/>
    <w:rsid w:val="00C1210E"/>
    <w:rsid w:val="00C63B59"/>
    <w:rsid w:val="00C75F67"/>
    <w:rsid w:val="00CC22E2"/>
    <w:rsid w:val="00CD4ABF"/>
    <w:rsid w:val="00CE5C06"/>
    <w:rsid w:val="00CE6620"/>
    <w:rsid w:val="00D553B1"/>
    <w:rsid w:val="00D8189E"/>
    <w:rsid w:val="00DD5297"/>
    <w:rsid w:val="00E33F2E"/>
    <w:rsid w:val="00E45210"/>
    <w:rsid w:val="00E50504"/>
    <w:rsid w:val="00E54AD4"/>
    <w:rsid w:val="00E70F63"/>
    <w:rsid w:val="00E9433E"/>
    <w:rsid w:val="00EA04C4"/>
    <w:rsid w:val="00EB1141"/>
    <w:rsid w:val="00F01A10"/>
    <w:rsid w:val="00F52DB4"/>
    <w:rsid w:val="00F5709E"/>
    <w:rsid w:val="00F760F6"/>
    <w:rsid w:val="00F9575A"/>
    <w:rsid w:val="00FC6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ABC"/>
    <w:pPr>
      <w:spacing w:after="240" w:line="360" w:lineRule="auto"/>
    </w:pPr>
    <w:rPr>
      <w:sz w:val="24"/>
      <w:szCs w:val="24"/>
    </w:rPr>
  </w:style>
  <w:style w:type="paragraph" w:styleId="Heading1">
    <w:name w:val="heading 1"/>
    <w:basedOn w:val="Normal"/>
    <w:next w:val="Normal"/>
    <w:qFormat/>
    <w:rsid w:val="00487ABC"/>
    <w:pPr>
      <w:keepNext/>
      <w:spacing w:before="240" w:after="120"/>
      <w:outlineLvl w:val="0"/>
    </w:pPr>
    <w:rPr>
      <w:rFonts w:cs="Arial"/>
      <w:b/>
      <w:bCs/>
      <w:sz w:val="32"/>
      <w:szCs w:val="32"/>
    </w:rPr>
  </w:style>
  <w:style w:type="paragraph" w:styleId="Heading2">
    <w:name w:val="heading 2"/>
    <w:basedOn w:val="Normal"/>
    <w:next w:val="Normal"/>
    <w:qFormat/>
    <w:rsid w:val="00487ABC"/>
    <w:pPr>
      <w:keepNext/>
      <w:tabs>
        <w:tab w:val="left" w:pos="360"/>
      </w:tabs>
      <w:spacing w:before="240" w:after="60"/>
      <w:outlineLvl w:val="1"/>
    </w:pPr>
    <w:rPr>
      <w:rFonts w:cs="Arial"/>
      <w:b/>
      <w:bCs/>
      <w:iCs/>
      <w:szCs w:val="28"/>
    </w:rPr>
  </w:style>
  <w:style w:type="paragraph" w:styleId="Heading3">
    <w:name w:val="heading 3"/>
    <w:basedOn w:val="Normal"/>
    <w:next w:val="Normal"/>
    <w:qFormat/>
    <w:rsid w:val="00487AB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87ABC"/>
    <w:pPr>
      <w:tabs>
        <w:tab w:val="left" w:pos="360"/>
        <w:tab w:val="left" w:pos="720"/>
        <w:tab w:val="right" w:leader="dot" w:pos="9360"/>
      </w:tabs>
      <w:spacing w:after="0" w:line="240" w:lineRule="auto"/>
    </w:pPr>
  </w:style>
  <w:style w:type="paragraph" w:styleId="TOC2">
    <w:name w:val="toc 2"/>
    <w:basedOn w:val="Normal"/>
    <w:next w:val="Normal"/>
    <w:autoRedefine/>
    <w:semiHidden/>
    <w:rsid w:val="00487ABC"/>
    <w:pPr>
      <w:tabs>
        <w:tab w:val="left" w:pos="360"/>
        <w:tab w:val="left" w:pos="720"/>
        <w:tab w:val="right" w:leader="dot" w:pos="9360"/>
      </w:tabs>
      <w:spacing w:after="0" w:line="240" w:lineRule="auto"/>
      <w:ind w:left="360"/>
    </w:pPr>
  </w:style>
  <w:style w:type="paragraph" w:styleId="TOC3">
    <w:name w:val="toc 3"/>
    <w:basedOn w:val="Normal"/>
    <w:next w:val="Normal"/>
    <w:autoRedefine/>
    <w:semiHidden/>
    <w:rsid w:val="00487ABC"/>
    <w:pPr>
      <w:tabs>
        <w:tab w:val="left" w:pos="360"/>
        <w:tab w:val="left" w:pos="720"/>
        <w:tab w:val="right" w:pos="9216"/>
      </w:tabs>
      <w:spacing w:after="0" w:line="240" w:lineRule="auto"/>
      <w:ind w:left="720"/>
    </w:pPr>
  </w:style>
  <w:style w:type="paragraph" w:styleId="TOC4">
    <w:name w:val="toc 4"/>
    <w:basedOn w:val="Normal"/>
    <w:next w:val="Normal"/>
    <w:autoRedefine/>
    <w:semiHidden/>
    <w:rsid w:val="00487ABC"/>
    <w:pPr>
      <w:ind w:left="720"/>
    </w:pPr>
  </w:style>
  <w:style w:type="paragraph" w:styleId="TOC5">
    <w:name w:val="toc 5"/>
    <w:basedOn w:val="Normal"/>
    <w:next w:val="Normal"/>
    <w:autoRedefine/>
    <w:semiHidden/>
    <w:rsid w:val="00487ABC"/>
    <w:pPr>
      <w:ind w:left="960"/>
    </w:pPr>
  </w:style>
  <w:style w:type="paragraph" w:styleId="TOC6">
    <w:name w:val="toc 6"/>
    <w:basedOn w:val="Normal"/>
    <w:next w:val="Normal"/>
    <w:autoRedefine/>
    <w:semiHidden/>
    <w:rsid w:val="00487ABC"/>
    <w:pPr>
      <w:ind w:left="1200"/>
    </w:pPr>
  </w:style>
  <w:style w:type="paragraph" w:styleId="TOC7">
    <w:name w:val="toc 7"/>
    <w:basedOn w:val="Normal"/>
    <w:next w:val="Normal"/>
    <w:autoRedefine/>
    <w:semiHidden/>
    <w:rsid w:val="00487ABC"/>
    <w:pPr>
      <w:ind w:left="1440"/>
    </w:pPr>
  </w:style>
  <w:style w:type="paragraph" w:styleId="TOC8">
    <w:name w:val="toc 8"/>
    <w:basedOn w:val="Normal"/>
    <w:next w:val="Normal"/>
    <w:autoRedefine/>
    <w:semiHidden/>
    <w:rsid w:val="00487ABC"/>
    <w:pPr>
      <w:ind w:left="1680"/>
    </w:pPr>
  </w:style>
  <w:style w:type="paragraph" w:styleId="TOC9">
    <w:name w:val="toc 9"/>
    <w:basedOn w:val="Normal"/>
    <w:next w:val="Normal"/>
    <w:autoRedefine/>
    <w:semiHidden/>
    <w:rsid w:val="00487ABC"/>
    <w:pPr>
      <w:ind w:left="1920"/>
    </w:pPr>
  </w:style>
  <w:style w:type="character" w:customStyle="1" w:styleId="BodyTextFi">
    <w:name w:val="Body Text Fi"/>
    <w:rsid w:val="00487ABC"/>
  </w:style>
  <w:style w:type="paragraph" w:styleId="BodyText">
    <w:name w:val="Body Text"/>
    <w:basedOn w:val="Normal"/>
    <w:rsid w:val="00487ABC"/>
    <w:pPr>
      <w:jc w:val="center"/>
    </w:pPr>
    <w:rPr>
      <w:rFonts w:ascii="Arial" w:hAnsi="Arial" w:cs="Arial"/>
      <w:b/>
      <w:bCs/>
      <w:sz w:val="48"/>
    </w:rPr>
  </w:style>
  <w:style w:type="paragraph" w:styleId="Header">
    <w:name w:val="header"/>
    <w:basedOn w:val="Normal"/>
    <w:rsid w:val="00487ABC"/>
    <w:pPr>
      <w:tabs>
        <w:tab w:val="center" w:pos="4320"/>
        <w:tab w:val="right" w:pos="8640"/>
      </w:tabs>
    </w:pPr>
  </w:style>
  <w:style w:type="paragraph" w:styleId="Footer">
    <w:name w:val="footer"/>
    <w:basedOn w:val="Normal"/>
    <w:rsid w:val="00487ABC"/>
    <w:pPr>
      <w:tabs>
        <w:tab w:val="center" w:pos="4320"/>
        <w:tab w:val="right" w:pos="8640"/>
      </w:tabs>
    </w:pPr>
  </w:style>
  <w:style w:type="character" w:styleId="PageNumber">
    <w:name w:val="page number"/>
    <w:basedOn w:val="DefaultParagraphFont"/>
    <w:rsid w:val="00487ABC"/>
  </w:style>
  <w:style w:type="paragraph" w:styleId="Title">
    <w:name w:val="Title"/>
    <w:basedOn w:val="Normal"/>
    <w:qFormat/>
    <w:rsid w:val="00487ABC"/>
    <w:pPr>
      <w:spacing w:before="240" w:after="60" w:line="240" w:lineRule="auto"/>
      <w:jc w:val="center"/>
    </w:pPr>
    <w:rPr>
      <w:rFonts w:ascii="Arial" w:hAnsi="Arial" w:cs="Arial"/>
      <w:b/>
      <w:bCs/>
      <w:caps/>
      <w:sz w:val="28"/>
      <w:szCs w:val="32"/>
    </w:rPr>
  </w:style>
  <w:style w:type="paragraph" w:customStyle="1" w:styleId="TitlePage">
    <w:name w:val="TitlePage"/>
    <w:basedOn w:val="Title"/>
    <w:rsid w:val="00487ABC"/>
    <w:rPr>
      <w:caps w:val="0"/>
      <w:sz w:val="48"/>
    </w:rPr>
  </w:style>
  <w:style w:type="character" w:styleId="Hyperlink">
    <w:name w:val="Hyperlink"/>
    <w:basedOn w:val="DefaultParagraphFont"/>
    <w:rsid w:val="00487ABC"/>
    <w:rPr>
      <w:color w:val="0000FF"/>
      <w:u w:val="single"/>
    </w:rPr>
  </w:style>
  <w:style w:type="paragraph" w:styleId="HTMLPreformatted">
    <w:name w:val="HTML Preformatted"/>
    <w:basedOn w:val="Normal"/>
    <w:rsid w:val="0048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paragraph" w:styleId="BalloonText">
    <w:name w:val="Balloon Text"/>
    <w:basedOn w:val="Normal"/>
    <w:semiHidden/>
    <w:rsid w:val="004B78B7"/>
    <w:rPr>
      <w:rFonts w:ascii="Tahoma" w:hAnsi="Tahoma" w:cs="Tahoma"/>
      <w:sz w:val="16"/>
      <w:szCs w:val="16"/>
    </w:rPr>
  </w:style>
  <w:style w:type="character" w:styleId="CommentReference">
    <w:name w:val="annotation reference"/>
    <w:basedOn w:val="DefaultParagraphFont"/>
    <w:rsid w:val="00437BE1"/>
    <w:rPr>
      <w:sz w:val="16"/>
      <w:szCs w:val="16"/>
    </w:rPr>
  </w:style>
  <w:style w:type="paragraph" w:styleId="CommentText">
    <w:name w:val="annotation text"/>
    <w:basedOn w:val="Normal"/>
    <w:link w:val="CommentTextChar"/>
    <w:rsid w:val="00437BE1"/>
    <w:rPr>
      <w:sz w:val="20"/>
      <w:szCs w:val="20"/>
    </w:rPr>
  </w:style>
  <w:style w:type="character" w:customStyle="1" w:styleId="CommentTextChar">
    <w:name w:val="Comment Text Char"/>
    <w:basedOn w:val="DefaultParagraphFont"/>
    <w:link w:val="CommentText"/>
    <w:rsid w:val="00437BE1"/>
  </w:style>
  <w:style w:type="paragraph" w:styleId="CommentSubject">
    <w:name w:val="annotation subject"/>
    <w:basedOn w:val="CommentText"/>
    <w:next w:val="CommentText"/>
    <w:link w:val="CommentSubjectChar"/>
    <w:rsid w:val="00437BE1"/>
    <w:rPr>
      <w:b/>
      <w:bCs/>
    </w:rPr>
  </w:style>
  <w:style w:type="character" w:customStyle="1" w:styleId="CommentSubjectChar">
    <w:name w:val="Comment Subject Char"/>
    <w:basedOn w:val="CommentTextChar"/>
    <w:link w:val="CommentSubject"/>
    <w:rsid w:val="00437BE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orkja@umdnj.edu" TargetMode="External"/><Relationship Id="rId3" Type="http://schemas.openxmlformats.org/officeDocument/2006/relationships/settings" Target="settings.xml"/><Relationship Id="rId7" Type="http://schemas.openxmlformats.org/officeDocument/2006/relationships/hyperlink" Target="mailto:Trogers@ll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1698</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CSR Inc.</Company>
  <LinksUpToDate>false</LinksUpToDate>
  <CharactersWithSpaces>11139</CharactersWithSpaces>
  <SharedDoc>false</SharedDoc>
  <HLinks>
    <vt:vector size="12" baseType="variant">
      <vt:variant>
        <vt:i4>655409</vt:i4>
      </vt:variant>
      <vt:variant>
        <vt:i4>3</vt:i4>
      </vt:variant>
      <vt:variant>
        <vt:i4>0</vt:i4>
      </vt:variant>
      <vt:variant>
        <vt:i4>5</vt:i4>
      </vt:variant>
      <vt:variant>
        <vt:lpwstr>mailto:yorkja@umdnj.edu</vt:lpwstr>
      </vt:variant>
      <vt:variant>
        <vt:lpwstr/>
      </vt:variant>
      <vt:variant>
        <vt:i4>6684747</vt:i4>
      </vt:variant>
      <vt:variant>
        <vt:i4>0</vt:i4>
      </vt:variant>
      <vt:variant>
        <vt:i4>0</vt:i4>
      </vt:variant>
      <vt:variant>
        <vt:i4>5</vt:i4>
      </vt:variant>
      <vt:variant>
        <vt:lpwstr>mailto:Trogers@llu.edu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Claudia Flatau</dc:creator>
  <cp:keywords/>
  <dc:description/>
  <cp:lastModifiedBy>CHaddad</cp:lastModifiedBy>
  <cp:revision>4</cp:revision>
  <cp:lastPrinted>2011-03-28T18:06:00Z</cp:lastPrinted>
  <dcterms:created xsi:type="dcterms:W3CDTF">2011-03-28T20:09:00Z</dcterms:created>
  <dcterms:modified xsi:type="dcterms:W3CDTF">2011-03-28T21:02:00Z</dcterms:modified>
</cp:coreProperties>
</file>