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FD" w:rsidRPr="007105B3" w:rsidRDefault="00CD79FD" w:rsidP="00034B31">
      <w:pPr>
        <w:tabs>
          <w:tab w:val="left" w:pos="720"/>
          <w:tab w:val="left" w:pos="1440"/>
        </w:tabs>
        <w:spacing w:line="240" w:lineRule="auto"/>
        <w:ind w:left="1440" w:hanging="1440"/>
        <w:jc w:val="center"/>
        <w:rPr>
          <w:b/>
        </w:rPr>
      </w:pPr>
      <w:r w:rsidRPr="007105B3">
        <w:rPr>
          <w:b/>
        </w:rPr>
        <w:t xml:space="preserve">Supporting Statement for the </w:t>
      </w:r>
    </w:p>
    <w:p w:rsidR="00034B31" w:rsidRPr="007105B3" w:rsidRDefault="00CD79FD" w:rsidP="00034B31">
      <w:pPr>
        <w:tabs>
          <w:tab w:val="left" w:pos="720"/>
          <w:tab w:val="left" w:pos="1440"/>
        </w:tabs>
        <w:spacing w:line="240" w:lineRule="auto"/>
        <w:ind w:left="1440" w:hanging="1440"/>
        <w:jc w:val="center"/>
        <w:rPr>
          <w:b/>
        </w:rPr>
      </w:pPr>
      <w:r w:rsidRPr="007105B3">
        <w:rPr>
          <w:b/>
        </w:rPr>
        <w:t xml:space="preserve">Recordkeeping and Disclosure requirements </w:t>
      </w:r>
    </w:p>
    <w:p w:rsidR="00034B31" w:rsidRPr="007105B3" w:rsidRDefault="00CD79FD" w:rsidP="00034B31">
      <w:pPr>
        <w:tabs>
          <w:tab w:val="left" w:pos="720"/>
          <w:tab w:val="left" w:pos="1440"/>
        </w:tabs>
        <w:spacing w:line="240" w:lineRule="auto"/>
        <w:ind w:left="1440" w:hanging="1440"/>
        <w:jc w:val="center"/>
        <w:rPr>
          <w:b/>
        </w:rPr>
      </w:pPr>
      <w:proofErr w:type="gramStart"/>
      <w:r w:rsidRPr="007105B3">
        <w:rPr>
          <w:b/>
        </w:rPr>
        <w:t>in</w:t>
      </w:r>
      <w:proofErr w:type="gramEnd"/>
      <w:r w:rsidRPr="007105B3">
        <w:rPr>
          <w:b/>
        </w:rPr>
        <w:t xml:space="preserve"> Connection with Regulation B (Equal Credit Opportunity Act) </w:t>
      </w:r>
    </w:p>
    <w:p w:rsidR="00CD79FD" w:rsidRPr="007105B3" w:rsidRDefault="00CD79FD" w:rsidP="00034B31">
      <w:pPr>
        <w:tabs>
          <w:tab w:val="left" w:pos="720"/>
          <w:tab w:val="left" w:pos="1440"/>
        </w:tabs>
        <w:spacing w:line="240" w:lineRule="auto"/>
        <w:ind w:left="1440" w:hanging="1440"/>
        <w:jc w:val="center"/>
        <w:rPr>
          <w:b/>
        </w:rPr>
      </w:pPr>
      <w:r w:rsidRPr="007105B3">
        <w:rPr>
          <w:b/>
        </w:rPr>
        <w:t>(Reg B; OMB No. 7100-0201)</w:t>
      </w:r>
    </w:p>
    <w:p w:rsidR="00EB7D1B" w:rsidRPr="007105B3" w:rsidRDefault="00EB7D1B" w:rsidP="00034B31">
      <w:pPr>
        <w:widowControl/>
        <w:autoSpaceDE w:val="0"/>
        <w:autoSpaceDN w:val="0"/>
        <w:spacing w:line="240" w:lineRule="auto"/>
        <w:jc w:val="center"/>
        <w:rPr>
          <w:b/>
          <w:bCs/>
          <w:i/>
        </w:rPr>
      </w:pPr>
    </w:p>
    <w:p w:rsidR="00EB7D1B" w:rsidRPr="007105B3" w:rsidRDefault="00EB7D1B" w:rsidP="00034B31">
      <w:pPr>
        <w:widowControl/>
        <w:autoSpaceDE w:val="0"/>
        <w:autoSpaceDN w:val="0"/>
        <w:spacing w:line="240" w:lineRule="auto"/>
        <w:jc w:val="center"/>
        <w:rPr>
          <w:b/>
          <w:bCs/>
          <w:i/>
        </w:rPr>
      </w:pPr>
      <w:r w:rsidRPr="007105B3">
        <w:rPr>
          <w:b/>
          <w:bCs/>
          <w:i/>
        </w:rPr>
        <w:t>Credit Score Disclosure</w:t>
      </w:r>
    </w:p>
    <w:p w:rsidR="0073000F" w:rsidRPr="007105B3" w:rsidRDefault="0073000F" w:rsidP="00034B31">
      <w:pPr>
        <w:widowControl/>
        <w:autoSpaceDE w:val="0"/>
        <w:autoSpaceDN w:val="0"/>
        <w:spacing w:line="240" w:lineRule="auto"/>
        <w:jc w:val="center"/>
        <w:rPr>
          <w:b/>
          <w:bCs/>
          <w:i/>
        </w:rPr>
      </w:pPr>
      <w:r w:rsidRPr="007105B3">
        <w:rPr>
          <w:b/>
          <w:bCs/>
          <w:i/>
        </w:rPr>
        <w:t>(Docket No. R-</w:t>
      </w:r>
      <w:r w:rsidR="00EB7D1B" w:rsidRPr="007105B3">
        <w:rPr>
          <w:b/>
          <w:bCs/>
          <w:i/>
        </w:rPr>
        <w:t>1408</w:t>
      </w:r>
      <w:r w:rsidRPr="007105B3">
        <w:rPr>
          <w:b/>
          <w:bCs/>
          <w:i/>
        </w:rPr>
        <w:t>) (RIN 7100-AD</w:t>
      </w:r>
      <w:r w:rsidR="00EB7D1B" w:rsidRPr="007105B3">
        <w:rPr>
          <w:b/>
          <w:bCs/>
          <w:i/>
        </w:rPr>
        <w:t>67</w:t>
      </w:r>
      <w:r w:rsidRPr="007105B3">
        <w:rPr>
          <w:b/>
          <w:bCs/>
          <w:i/>
        </w:rPr>
        <w:t>)</w:t>
      </w:r>
    </w:p>
    <w:p w:rsidR="00CD79FD" w:rsidRPr="007105B3" w:rsidRDefault="00CD79FD" w:rsidP="00235A44">
      <w:pPr>
        <w:spacing w:line="240" w:lineRule="auto"/>
        <w:jc w:val="left"/>
        <w:rPr>
          <w:b/>
        </w:rPr>
      </w:pPr>
    </w:p>
    <w:p w:rsidR="00675501" w:rsidRPr="007105B3" w:rsidRDefault="00675501" w:rsidP="00235A44">
      <w:pPr>
        <w:spacing w:line="240" w:lineRule="auto"/>
        <w:jc w:val="left"/>
        <w:rPr>
          <w:b/>
        </w:rPr>
      </w:pPr>
      <w:r w:rsidRPr="007105B3">
        <w:rPr>
          <w:b/>
        </w:rPr>
        <w:t>Summary</w:t>
      </w:r>
    </w:p>
    <w:p w:rsidR="00675501" w:rsidRPr="007105B3" w:rsidRDefault="00675501" w:rsidP="005A6742">
      <w:pPr>
        <w:spacing w:line="240" w:lineRule="auto"/>
        <w:jc w:val="center"/>
        <w:rPr>
          <w:b/>
        </w:rPr>
      </w:pPr>
    </w:p>
    <w:p w:rsidR="00C722D2" w:rsidRPr="007105B3" w:rsidRDefault="00675501" w:rsidP="00235A44">
      <w:pPr>
        <w:tabs>
          <w:tab w:val="left" w:pos="360"/>
        </w:tabs>
        <w:spacing w:line="240" w:lineRule="auto"/>
        <w:jc w:val="left"/>
      </w:pPr>
      <w:r w:rsidRPr="007105B3">
        <w:rPr>
          <w:b/>
        </w:rPr>
        <w:tab/>
      </w:r>
      <w:r w:rsidR="00CD79FD" w:rsidRPr="007105B3">
        <w:t xml:space="preserve">The Board of Governors of the Federal Reserve System, under delegated authority from the Office of Management and Budget (OMB), proposes to extend for three years, with revision, </w:t>
      </w:r>
      <w:r w:rsidRPr="007105B3">
        <w:t>the</w:t>
      </w:r>
      <w:bookmarkStart w:id="0" w:name="OLE_LINK3"/>
      <w:r w:rsidRPr="007105B3">
        <w:t xml:space="preserve"> recordkeeping and disclosure requirements in connection with Regulation B, which implements the Equal Credit Opportunity Act</w:t>
      </w:r>
      <w:bookmarkEnd w:id="0"/>
      <w:r w:rsidRPr="007105B3">
        <w:t xml:space="preserve"> (ECOA)</w:t>
      </w:r>
      <w:r w:rsidR="00F858B3" w:rsidRPr="007105B3">
        <w:t>.</w:t>
      </w:r>
      <w:r w:rsidRPr="007105B3">
        <w:rPr>
          <w:rStyle w:val="FootnoteReference"/>
        </w:rPr>
        <w:footnoteReference w:id="1"/>
      </w:r>
      <w:r w:rsidRPr="007105B3">
        <w:t xml:space="preserve">  </w:t>
      </w:r>
      <w:r w:rsidR="00C722D2" w:rsidRPr="007105B3">
        <w:t>The Paperwork Reduction Act (PRA) classifies these requirements as an information collection.</w:t>
      </w:r>
    </w:p>
    <w:p w:rsidR="00C722D2" w:rsidRPr="00C55697" w:rsidRDefault="00C722D2" w:rsidP="00235A44">
      <w:pPr>
        <w:tabs>
          <w:tab w:val="left" w:pos="360"/>
        </w:tabs>
        <w:spacing w:line="240" w:lineRule="auto"/>
        <w:jc w:val="left"/>
      </w:pPr>
    </w:p>
    <w:p w:rsidR="00675501" w:rsidRPr="00C55697" w:rsidRDefault="00C722D2" w:rsidP="00235A44">
      <w:pPr>
        <w:tabs>
          <w:tab w:val="left" w:pos="360"/>
        </w:tabs>
        <w:spacing w:line="240" w:lineRule="auto"/>
        <w:jc w:val="left"/>
      </w:pPr>
      <w:r w:rsidRPr="00C55697">
        <w:tab/>
        <w:t xml:space="preserve">On </w:t>
      </w:r>
      <w:r w:rsidR="00EB7D1B" w:rsidRPr="00C55697">
        <w:t>March 15, 2011</w:t>
      </w:r>
      <w:r w:rsidRPr="00C55697">
        <w:t xml:space="preserve">, a notice of proposed rulemaking (NPRM) was published in the </w:t>
      </w:r>
      <w:r w:rsidRPr="00C55697">
        <w:rPr>
          <w:i/>
        </w:rPr>
        <w:t>Federal Register</w:t>
      </w:r>
      <w:r w:rsidRPr="00C55697">
        <w:t xml:space="preserve"> (76 FR </w:t>
      </w:r>
      <w:r w:rsidR="00EB7D1B" w:rsidRPr="00C55697">
        <w:t>13896</w:t>
      </w:r>
      <w:r w:rsidRPr="00C55697">
        <w:t xml:space="preserve">) </w:t>
      </w:r>
      <w:r w:rsidR="008462F9" w:rsidRPr="00C55697">
        <w:t xml:space="preserve">requesting </w:t>
      </w:r>
      <w:r w:rsidRPr="00C55697">
        <w:t xml:space="preserve">public comment </w:t>
      </w:r>
      <w:r w:rsidR="008462F9" w:rsidRPr="00C55697">
        <w:rPr>
          <w:rFonts w:eastAsia="Calibri"/>
        </w:rPr>
        <w:t xml:space="preserve">on </w:t>
      </w:r>
      <w:r w:rsidR="0086792D" w:rsidRPr="00C55697">
        <w:rPr>
          <w:rFonts w:eastAsia="Calibri"/>
        </w:rPr>
        <w:t>proposed</w:t>
      </w:r>
      <w:r w:rsidR="008462F9" w:rsidRPr="00C55697">
        <w:rPr>
          <w:rFonts w:eastAsia="Calibri"/>
        </w:rPr>
        <w:t xml:space="preserve"> </w:t>
      </w:r>
      <w:r w:rsidRPr="00C55697">
        <w:rPr>
          <w:rFonts w:eastAsia="Calibri"/>
        </w:rPr>
        <w:t>amend</w:t>
      </w:r>
      <w:r w:rsidR="008462F9" w:rsidRPr="00C55697">
        <w:rPr>
          <w:rFonts w:eastAsia="Calibri"/>
        </w:rPr>
        <w:t>ments</w:t>
      </w:r>
      <w:r w:rsidR="00A53697" w:rsidRPr="00C55697">
        <w:rPr>
          <w:rFonts w:eastAsia="Calibri"/>
        </w:rPr>
        <w:t xml:space="preserve"> to</w:t>
      </w:r>
      <w:r w:rsidRPr="00C55697">
        <w:rPr>
          <w:rFonts w:eastAsia="Calibri"/>
        </w:rPr>
        <w:t xml:space="preserve"> Regul</w:t>
      </w:r>
      <w:r w:rsidR="00762552" w:rsidRPr="00C55697">
        <w:rPr>
          <w:rFonts w:eastAsia="Calibri"/>
        </w:rPr>
        <w:t xml:space="preserve">ation B.  </w:t>
      </w:r>
      <w:r w:rsidR="00762552" w:rsidRPr="00C55697">
        <w:t xml:space="preserve">The </w:t>
      </w:r>
      <w:r w:rsidR="00D13374" w:rsidRPr="00C55697">
        <w:t>Federal Reserve</w:t>
      </w:r>
      <w:r w:rsidR="00762552" w:rsidRPr="00C55697">
        <w:t xml:space="preserve"> propose</w:t>
      </w:r>
      <w:r w:rsidR="00E4723E">
        <w:t>d</w:t>
      </w:r>
      <w:r w:rsidR="00762552" w:rsidRPr="00C55697">
        <w:t xml:space="preserve"> to amend the model notices in Regulation B to include the disclosure of credit scores and information relating to credit scores if a credit score is used in taking adverse action.  </w:t>
      </w:r>
      <w:r w:rsidR="008737B8" w:rsidRPr="00C55697">
        <w:t>These proposed amendments</w:t>
      </w:r>
      <w:r w:rsidR="00762552" w:rsidRPr="00C55697">
        <w:t xml:space="preserve"> reflect the new content requirements in section 615(a) of the</w:t>
      </w:r>
      <w:r w:rsidR="0090134B" w:rsidRPr="00C55697">
        <w:t xml:space="preserve"> Fair Credit Reporting Act</w:t>
      </w:r>
      <w:r w:rsidR="00762552" w:rsidRPr="00C55697">
        <w:t xml:space="preserve"> </w:t>
      </w:r>
      <w:r w:rsidR="00737841" w:rsidRPr="00C55697">
        <w:t>(</w:t>
      </w:r>
      <w:r w:rsidR="00762552" w:rsidRPr="00C55697">
        <w:t>FCRA</w:t>
      </w:r>
      <w:r w:rsidR="00737841" w:rsidRPr="00C55697">
        <w:t>)</w:t>
      </w:r>
      <w:r w:rsidR="00762552" w:rsidRPr="00C55697">
        <w:t xml:space="preserve"> that were added by section 1100F of the Dodd-Frank Wall Street Reform and Consumer Protection Act</w:t>
      </w:r>
      <w:r w:rsidR="0086792D" w:rsidRPr="00C55697">
        <w:t xml:space="preserve"> (Dodd-Frank Act)</w:t>
      </w:r>
      <w:r w:rsidR="00762552" w:rsidRPr="00C55697">
        <w:t>.  The comment period expire</w:t>
      </w:r>
      <w:r w:rsidR="007D32EF" w:rsidRPr="00C55697">
        <w:t>d</w:t>
      </w:r>
      <w:r w:rsidR="00762552" w:rsidRPr="00C55697">
        <w:t xml:space="preserve"> </w:t>
      </w:r>
      <w:r w:rsidR="008462F9" w:rsidRPr="00C55697">
        <w:t xml:space="preserve">on </w:t>
      </w:r>
      <w:r w:rsidR="00EB7D1B" w:rsidRPr="00C55697">
        <w:t>May 16</w:t>
      </w:r>
      <w:r w:rsidR="00762552" w:rsidRPr="00C55697">
        <w:t>, 2011.</w:t>
      </w:r>
      <w:r w:rsidR="00C55697" w:rsidRPr="00C55697">
        <w:t xml:space="preserve">  The </w:t>
      </w:r>
      <w:r w:rsidR="00EF7393" w:rsidRPr="00C55697">
        <w:t xml:space="preserve">Federal Reserve </w:t>
      </w:r>
      <w:r w:rsidR="00C55697">
        <w:t xml:space="preserve">received five </w:t>
      </w:r>
      <w:r w:rsidR="00C55697" w:rsidRPr="00C55697">
        <w:t xml:space="preserve">comments from industry groups that specifically addressed </w:t>
      </w:r>
      <w:r w:rsidR="00C55697" w:rsidRPr="00C55697">
        <w:rPr>
          <w:rStyle w:val="documentbody1"/>
          <w:rFonts w:ascii="Times New Roman" w:hAnsi="Times New Roman"/>
          <w:sz w:val="24"/>
          <w:szCs w:val="24"/>
        </w:rPr>
        <w:t xml:space="preserve">paperwork burden.  </w:t>
      </w:r>
      <w:r w:rsidR="00C55697" w:rsidRPr="00C55697">
        <w:t xml:space="preserve">On July 15, 2011, a notice of final rulemaking was published in the </w:t>
      </w:r>
      <w:r w:rsidR="00C55697" w:rsidRPr="00C55697">
        <w:rPr>
          <w:i/>
        </w:rPr>
        <w:t>Federal Register</w:t>
      </w:r>
      <w:r w:rsidR="00C55697" w:rsidRPr="00C55697">
        <w:t xml:space="preserve"> adopting the amendments largely as proposed, with mandatory compliance by August 15, 2011 (76 FR </w:t>
      </w:r>
      <w:r w:rsidR="00777B39">
        <w:t>41590</w:t>
      </w:r>
      <w:r w:rsidR="00C55697" w:rsidRPr="00C55697">
        <w:t>).</w:t>
      </w:r>
    </w:p>
    <w:p w:rsidR="00675501" w:rsidRPr="00C55697" w:rsidRDefault="00675501" w:rsidP="00235A44">
      <w:pPr>
        <w:tabs>
          <w:tab w:val="left" w:pos="360"/>
        </w:tabs>
        <w:spacing w:line="240" w:lineRule="auto"/>
        <w:jc w:val="left"/>
      </w:pPr>
    </w:p>
    <w:p w:rsidR="00774ECB" w:rsidRPr="007105B3" w:rsidRDefault="00675501" w:rsidP="00774ECB">
      <w:pPr>
        <w:tabs>
          <w:tab w:val="left" w:pos="360"/>
        </w:tabs>
        <w:spacing w:line="240" w:lineRule="auto"/>
        <w:jc w:val="left"/>
      </w:pPr>
      <w:r w:rsidRPr="00C55697">
        <w:tab/>
        <w:t>ECOA and Regulation B prohibit discrimination in any aspect of a credit transaction because of race, color, religion, national origin, sex, marital status, age, or other speci</w:t>
      </w:r>
      <w:r w:rsidRPr="00C55697">
        <w:softHyphen/>
        <w:t>fied bases.  To aid in</w:t>
      </w:r>
      <w:r w:rsidRPr="007105B3">
        <w:t xml:space="preserve"> implementation of this prohibition, the statute and regulation also subject creditors to various mandatory disclosure requirements, notification provisions, credit history reporting, monitoring rules, and recordkeeping requirements.  These requirements are triggered by specific events and disclosures must be provided within the time periods established by the Act and regulation.  </w:t>
      </w:r>
      <w:r w:rsidR="000210F2" w:rsidRPr="007105B3">
        <w:t xml:space="preserve">There are no required reporting forms associated with Regulation B.  To ease the burden and cost of complying with Regulation B (particularly for small entities), the Federal Reserve provides model </w:t>
      </w:r>
      <w:proofErr w:type="gramStart"/>
      <w:r w:rsidR="000210F2" w:rsidRPr="007105B3">
        <w:t>forms</w:t>
      </w:r>
      <w:proofErr w:type="gramEnd"/>
      <w:r w:rsidR="000210F2" w:rsidRPr="007105B3">
        <w:t>, which are appended to the regulation.</w:t>
      </w:r>
      <w:r w:rsidR="000210F2" w:rsidRPr="007105B3">
        <w:rPr>
          <w:rStyle w:val="FootnoteReference"/>
        </w:rPr>
        <w:footnoteReference w:id="2"/>
      </w:r>
    </w:p>
    <w:p w:rsidR="00774ECB" w:rsidRPr="007105B3" w:rsidRDefault="00774ECB" w:rsidP="00774ECB">
      <w:pPr>
        <w:tabs>
          <w:tab w:val="left" w:pos="360"/>
        </w:tabs>
        <w:spacing w:line="240" w:lineRule="auto"/>
        <w:jc w:val="left"/>
      </w:pPr>
    </w:p>
    <w:p w:rsidR="006D411C" w:rsidRPr="007105B3" w:rsidRDefault="00774ECB" w:rsidP="006D411C">
      <w:pPr>
        <w:tabs>
          <w:tab w:val="left" w:pos="360"/>
        </w:tabs>
        <w:spacing w:line="240" w:lineRule="auto"/>
        <w:jc w:val="left"/>
      </w:pPr>
      <w:r w:rsidRPr="007105B3">
        <w:tab/>
      </w:r>
      <w:r w:rsidR="00675501" w:rsidRPr="007105B3">
        <w:t xml:space="preserve">Regulation B applies to all types of creditors, not just state member banks.  The Federal Reserve accounts for the paperwork burden associated with Regulation B only for </w:t>
      </w:r>
      <w:r w:rsidR="006865D6" w:rsidRPr="007105B3">
        <w:t xml:space="preserve">the categories of </w:t>
      </w:r>
      <w:r w:rsidR="006865D6" w:rsidRPr="007105B3">
        <w:lastRenderedPageBreak/>
        <w:t xml:space="preserve">creditors for which it enforces compliance </w:t>
      </w:r>
      <w:r w:rsidR="0070757E" w:rsidRPr="007105B3">
        <w:t xml:space="preserve">with </w:t>
      </w:r>
      <w:r w:rsidR="006865D6" w:rsidRPr="007105B3">
        <w:t>Regulation B</w:t>
      </w:r>
      <w:r w:rsidR="00675501" w:rsidRPr="007105B3">
        <w:t>.</w:t>
      </w:r>
      <w:r w:rsidR="004552E4" w:rsidRPr="007105B3">
        <w:rPr>
          <w:rStyle w:val="FootnoteReference"/>
        </w:rPr>
        <w:footnoteReference w:id="3"/>
      </w:r>
      <w:r w:rsidR="00675501" w:rsidRPr="007105B3">
        <w:t xml:space="preserve">  Other federal agencies account for the paperwork burden imposed on the creditors for which they have regulatory enforcement authority.  The </w:t>
      </w:r>
      <w:r w:rsidR="008737B8" w:rsidRPr="007105B3">
        <w:t xml:space="preserve">current </w:t>
      </w:r>
      <w:r w:rsidR="00675501" w:rsidRPr="007105B3">
        <w:t xml:space="preserve">annual burden for the </w:t>
      </w:r>
      <w:r w:rsidR="0099189E" w:rsidRPr="007105B3">
        <w:t>1,</w:t>
      </w:r>
      <w:r w:rsidR="008737B8" w:rsidRPr="007105B3">
        <w:t>107</w:t>
      </w:r>
      <w:r w:rsidR="006D28C8" w:rsidRPr="007105B3">
        <w:t xml:space="preserve"> </w:t>
      </w:r>
      <w:r w:rsidR="00675501" w:rsidRPr="007105B3">
        <w:t>creditors</w:t>
      </w:r>
      <w:r w:rsidR="00EE5E38" w:rsidRPr="007105B3">
        <w:rPr>
          <w:rStyle w:val="FootnoteReference"/>
        </w:rPr>
        <w:footnoteReference w:id="4"/>
      </w:r>
      <w:r w:rsidR="00675501" w:rsidRPr="007105B3">
        <w:t xml:space="preserve"> that </w:t>
      </w:r>
      <w:r w:rsidR="006D28C8" w:rsidRPr="007105B3">
        <w:t xml:space="preserve">are </w:t>
      </w:r>
      <w:r w:rsidR="0051232C" w:rsidRPr="007105B3">
        <w:t xml:space="preserve">Federal Reserve-supervised and </w:t>
      </w:r>
      <w:r w:rsidR="006D28C8" w:rsidRPr="007105B3">
        <w:t xml:space="preserve">deemed “respondents” for purposes of the PRA </w:t>
      </w:r>
      <w:r w:rsidR="00675501" w:rsidRPr="007105B3">
        <w:t xml:space="preserve">is </w:t>
      </w:r>
      <w:r w:rsidR="00303BC9" w:rsidRPr="007105B3">
        <w:t xml:space="preserve">estimated to be </w:t>
      </w:r>
      <w:r w:rsidR="006A13C0" w:rsidRPr="007105B3">
        <w:t>157</w:t>
      </w:r>
      <w:r w:rsidR="0099189E" w:rsidRPr="007105B3">
        <w:t>,</w:t>
      </w:r>
      <w:r w:rsidR="006A13C0" w:rsidRPr="007105B3">
        <w:t>538</w:t>
      </w:r>
      <w:r w:rsidR="00675501" w:rsidRPr="007105B3">
        <w:t xml:space="preserve"> hours.</w:t>
      </w:r>
    </w:p>
    <w:p w:rsidR="00944BBB" w:rsidRPr="007105B3" w:rsidRDefault="006D411C" w:rsidP="006D411C">
      <w:pPr>
        <w:tabs>
          <w:tab w:val="left" w:pos="360"/>
        </w:tabs>
        <w:spacing w:line="240" w:lineRule="auto"/>
        <w:jc w:val="left"/>
      </w:pPr>
      <w:r w:rsidRPr="007105B3">
        <w:tab/>
      </w:r>
    </w:p>
    <w:p w:rsidR="00527D5E" w:rsidRPr="007105B3" w:rsidRDefault="00944BBB" w:rsidP="006D411C">
      <w:pPr>
        <w:tabs>
          <w:tab w:val="left" w:pos="360"/>
        </w:tabs>
        <w:spacing w:line="240" w:lineRule="auto"/>
        <w:jc w:val="left"/>
        <w:rPr>
          <w:rFonts w:eastAsia="Calibri"/>
        </w:rPr>
      </w:pPr>
      <w:r w:rsidRPr="007105B3">
        <w:tab/>
      </w:r>
      <w:r w:rsidR="006D411C" w:rsidRPr="007105B3">
        <w:t xml:space="preserve">The Federal Reserve estimates the </w:t>
      </w:r>
      <w:r w:rsidR="00D13374" w:rsidRPr="007105B3">
        <w:t>proposed</w:t>
      </w:r>
      <w:r w:rsidR="006D411C" w:rsidRPr="007105B3">
        <w:t xml:space="preserve"> rule would impose</w:t>
      </w:r>
      <w:r w:rsidR="006D411C" w:rsidRPr="007105B3">
        <w:rPr>
          <w:rFonts w:eastAsia="Calibri"/>
        </w:rPr>
        <w:t xml:space="preserve"> a one-time increase </w:t>
      </w:r>
      <w:r w:rsidR="00527D5E" w:rsidRPr="007105B3">
        <w:rPr>
          <w:rFonts w:eastAsia="Calibri"/>
        </w:rPr>
        <w:t xml:space="preserve">of </w:t>
      </w:r>
      <w:r w:rsidR="00042F77">
        <w:rPr>
          <w:rFonts w:eastAsia="Calibri"/>
        </w:rPr>
        <w:t>35</w:t>
      </w:r>
      <w:r w:rsidR="00527D5E" w:rsidRPr="007105B3">
        <w:rPr>
          <w:rFonts w:eastAsia="Calibri"/>
        </w:rPr>
        <w:t>,</w:t>
      </w:r>
      <w:r w:rsidR="00042F77">
        <w:rPr>
          <w:rFonts w:eastAsia="Calibri"/>
        </w:rPr>
        <w:t>424</w:t>
      </w:r>
      <w:r w:rsidR="00527D5E" w:rsidRPr="007105B3">
        <w:rPr>
          <w:rFonts w:eastAsia="Calibri"/>
        </w:rPr>
        <w:t xml:space="preserve"> hours </w:t>
      </w:r>
      <w:r w:rsidR="006D411C" w:rsidRPr="007105B3">
        <w:rPr>
          <w:rFonts w:eastAsia="Calibri"/>
        </w:rPr>
        <w:t xml:space="preserve">in the annual burden under Regulation B for all respondents regulated by the Federal </w:t>
      </w:r>
      <w:r w:rsidR="0086792D" w:rsidRPr="007105B3">
        <w:rPr>
          <w:rFonts w:eastAsia="Calibri"/>
        </w:rPr>
        <w:t>Reserve</w:t>
      </w:r>
      <w:r w:rsidR="006D411C" w:rsidRPr="007105B3">
        <w:rPr>
          <w:rFonts w:eastAsia="Calibri"/>
        </w:rPr>
        <w:t xml:space="preserve">.  </w:t>
      </w:r>
      <w:r w:rsidR="00527D5E" w:rsidRPr="007105B3">
        <w:rPr>
          <w:rFonts w:eastAsia="Calibri"/>
        </w:rPr>
        <w:t>The total annual burden for the Regulation B information collection would increase from 157,538 to 1</w:t>
      </w:r>
      <w:r w:rsidR="00042F77">
        <w:rPr>
          <w:rFonts w:eastAsia="Calibri"/>
        </w:rPr>
        <w:t>92</w:t>
      </w:r>
      <w:r w:rsidR="00527D5E" w:rsidRPr="007105B3">
        <w:rPr>
          <w:rFonts w:eastAsia="Calibri"/>
        </w:rPr>
        <w:t>,</w:t>
      </w:r>
      <w:r w:rsidR="00042F77">
        <w:rPr>
          <w:rFonts w:eastAsia="Calibri"/>
        </w:rPr>
        <w:t>962</w:t>
      </w:r>
      <w:r w:rsidR="00527D5E" w:rsidRPr="007105B3">
        <w:rPr>
          <w:rFonts w:eastAsia="Calibri"/>
        </w:rPr>
        <w:t xml:space="preserve"> hours.  </w:t>
      </w:r>
      <w:r w:rsidR="006D411C" w:rsidRPr="007105B3">
        <w:rPr>
          <w:rFonts w:eastAsia="Calibri"/>
        </w:rPr>
        <w:t xml:space="preserve">The Federal Reserve estimates that, on a continuing basis, the revision to the rule </w:t>
      </w:r>
      <w:r w:rsidRPr="007105B3">
        <w:rPr>
          <w:rFonts w:eastAsia="Calibri"/>
        </w:rPr>
        <w:t xml:space="preserve">would have a negligible effect on </w:t>
      </w:r>
      <w:r w:rsidR="006D411C" w:rsidRPr="007105B3">
        <w:rPr>
          <w:rFonts w:eastAsia="Calibri"/>
        </w:rPr>
        <w:t xml:space="preserve">the annual burden. </w:t>
      </w:r>
    </w:p>
    <w:p w:rsidR="006D411C" w:rsidRPr="007105B3" w:rsidRDefault="006D411C" w:rsidP="006D411C">
      <w:pPr>
        <w:tabs>
          <w:tab w:val="left" w:pos="360"/>
        </w:tabs>
        <w:spacing w:line="240" w:lineRule="auto"/>
        <w:jc w:val="left"/>
      </w:pPr>
    </w:p>
    <w:p w:rsidR="00A57E2A" w:rsidRPr="007105B3" w:rsidRDefault="004E1FF1" w:rsidP="006D411C">
      <w:pPr>
        <w:spacing w:line="240" w:lineRule="auto"/>
        <w:jc w:val="left"/>
        <w:rPr>
          <w:b/>
        </w:rPr>
      </w:pPr>
      <w:r w:rsidRPr="007105B3">
        <w:rPr>
          <w:b/>
        </w:rPr>
        <w:t>Background and Justification</w:t>
      </w:r>
    </w:p>
    <w:p w:rsidR="00A57E2A" w:rsidRPr="007105B3" w:rsidRDefault="00A57E2A" w:rsidP="00A57E2A">
      <w:pPr>
        <w:spacing w:line="240" w:lineRule="auto"/>
        <w:jc w:val="left"/>
        <w:rPr>
          <w:b/>
        </w:rPr>
      </w:pPr>
    </w:p>
    <w:p w:rsidR="00A57E2A" w:rsidRPr="007105B3" w:rsidRDefault="00A57E2A" w:rsidP="00A57E2A">
      <w:pPr>
        <w:tabs>
          <w:tab w:val="left" w:pos="360"/>
        </w:tabs>
        <w:spacing w:line="240" w:lineRule="auto"/>
        <w:jc w:val="left"/>
      </w:pPr>
      <w:r w:rsidRPr="007105B3">
        <w:rPr>
          <w:b/>
        </w:rPr>
        <w:tab/>
      </w:r>
      <w:r w:rsidR="004E1FF1" w:rsidRPr="007105B3">
        <w:t xml:space="preserve">ECOA is designed to ensure that credit is made available to all creditworthy customers without discrimination on the basis of race, color, religion, national origin, sex, marital status, age (provided the applicant has the capacity to contract), receipt of public assistance, or the fact that the applicant has in good faith exercised any right under the Consumer Credit Protection Act (15 </w:t>
      </w:r>
      <w:smartTag w:uri="urn:schemas-microsoft-com:office:smarttags" w:element="stockticker">
        <w:r w:rsidR="004E1FF1" w:rsidRPr="007105B3">
          <w:t>USC</w:t>
        </w:r>
      </w:smartTag>
      <w:r w:rsidR="004E1FF1" w:rsidRPr="007105B3">
        <w:t xml:space="preserve"> 1600 </w:t>
      </w:r>
      <w:r w:rsidR="004E1FF1" w:rsidRPr="007105B3">
        <w:rPr>
          <w:i/>
        </w:rPr>
        <w:t>et seq.</w:t>
      </w:r>
      <w:r w:rsidR="004E1FF1" w:rsidRPr="007105B3">
        <w:t xml:space="preserve">).  Some of the recordkeeping and disclosure requirements of Regulation B that implement this prohibition were mandated by Congress in the Act, while others were adopted by the </w:t>
      </w:r>
      <w:r w:rsidR="000F741E" w:rsidRPr="007105B3">
        <w:t>Federal Reserve</w:t>
      </w:r>
      <w:r w:rsidR="004E1FF1" w:rsidRPr="007105B3">
        <w:t xml:space="preserve"> under its authority to implement the statute by regulation.</w:t>
      </w:r>
    </w:p>
    <w:p w:rsidR="00A57E2A" w:rsidRPr="007105B3" w:rsidRDefault="00A57E2A" w:rsidP="00A57E2A">
      <w:pPr>
        <w:tabs>
          <w:tab w:val="left" w:pos="360"/>
        </w:tabs>
        <w:spacing w:line="240" w:lineRule="auto"/>
        <w:jc w:val="left"/>
      </w:pPr>
    </w:p>
    <w:p w:rsidR="00A57E2A" w:rsidRPr="007105B3" w:rsidRDefault="00A57E2A" w:rsidP="00A57E2A">
      <w:pPr>
        <w:tabs>
          <w:tab w:val="left" w:pos="360"/>
        </w:tabs>
        <w:spacing w:line="240" w:lineRule="auto"/>
        <w:jc w:val="left"/>
      </w:pPr>
      <w:r w:rsidRPr="007105B3">
        <w:tab/>
      </w:r>
      <w:r w:rsidR="009C57ED" w:rsidRPr="007105B3">
        <w:t xml:space="preserve">Since the </w:t>
      </w:r>
      <w:r w:rsidR="00EC1C1C" w:rsidRPr="007105B3">
        <w:t xml:space="preserve">2005 </w:t>
      </w:r>
      <w:r w:rsidR="009C57ED" w:rsidRPr="007105B3">
        <w:t xml:space="preserve">renewal of the recordkeeping and disclosure requirements in connection with Regulation B, the Board has </w:t>
      </w:r>
      <w:r w:rsidRPr="007105B3">
        <w:t xml:space="preserve">amended Regulation B to address the timing and delivery of electronic disclosures, consistent with the requirements of the Electronic Signatures in Global and National Commerce Act (E-Sign Act).  </w:t>
      </w:r>
      <w:r w:rsidR="00EC1C1C" w:rsidRPr="007105B3">
        <w:t xml:space="preserve">In November 2007, the Board published a final rule that </w:t>
      </w:r>
      <w:r w:rsidRPr="007105B3">
        <w:t>provides that certain disclosures may be provided to a consumer in electronic form without regard to the consumer consent and other provisions of the E-Sign Act and that, when an advertisement is accessed by the consumer in electronic form, the disclosures must be provided in electronic form on or with the advertisement.</w:t>
      </w:r>
      <w:r w:rsidR="008A061F" w:rsidRPr="007105B3">
        <w:rPr>
          <w:rStyle w:val="FootnoteReference"/>
        </w:rPr>
        <w:footnoteReference w:id="5"/>
      </w:r>
      <w:r w:rsidR="004F375D" w:rsidRPr="007105B3">
        <w:t xml:space="preserve">  </w:t>
      </w:r>
    </w:p>
    <w:p w:rsidR="00A57E2A" w:rsidRPr="007105B3" w:rsidRDefault="00A57E2A" w:rsidP="00541630">
      <w:pPr>
        <w:spacing w:line="240" w:lineRule="auto"/>
        <w:jc w:val="left"/>
        <w:rPr>
          <w:b/>
        </w:rPr>
      </w:pPr>
    </w:p>
    <w:p w:rsidR="00777B39" w:rsidRDefault="00777B39">
      <w:pPr>
        <w:widowControl/>
        <w:adjustRightInd/>
        <w:spacing w:line="240" w:lineRule="auto"/>
        <w:jc w:val="left"/>
        <w:textAlignment w:val="auto"/>
        <w:rPr>
          <w:b/>
        </w:rPr>
      </w:pPr>
      <w:r>
        <w:rPr>
          <w:b/>
        </w:rPr>
        <w:br w:type="page"/>
      </w:r>
    </w:p>
    <w:p w:rsidR="00A57E2A" w:rsidRPr="007105B3" w:rsidRDefault="004E1FF1" w:rsidP="00541630">
      <w:pPr>
        <w:spacing w:line="240" w:lineRule="auto"/>
        <w:jc w:val="left"/>
      </w:pPr>
      <w:r w:rsidRPr="007105B3">
        <w:rPr>
          <w:b/>
        </w:rPr>
        <w:lastRenderedPageBreak/>
        <w:t>Description of Information Collection</w:t>
      </w:r>
    </w:p>
    <w:p w:rsidR="00A57E2A" w:rsidRPr="007105B3" w:rsidRDefault="00A57E2A" w:rsidP="00541630">
      <w:pPr>
        <w:spacing w:line="240" w:lineRule="auto"/>
        <w:jc w:val="left"/>
      </w:pPr>
    </w:p>
    <w:p w:rsidR="00A57E2A" w:rsidRPr="007105B3" w:rsidRDefault="00A57E2A" w:rsidP="00A57E2A">
      <w:pPr>
        <w:tabs>
          <w:tab w:val="left" w:pos="360"/>
        </w:tabs>
        <w:spacing w:line="240" w:lineRule="auto"/>
        <w:jc w:val="left"/>
      </w:pPr>
      <w:r w:rsidRPr="007105B3">
        <w:tab/>
        <w:t>T</w:t>
      </w:r>
      <w:r w:rsidR="004E1FF1" w:rsidRPr="007105B3">
        <w:t>he following information descriptions pertain to</w:t>
      </w:r>
      <w:r w:rsidR="0083669B" w:rsidRPr="007105B3">
        <w:t xml:space="preserve"> the</w:t>
      </w:r>
      <w:r w:rsidR="004E1FF1" w:rsidRPr="007105B3">
        <w:t xml:space="preserve"> paperwork requirements of Regulation B</w:t>
      </w:r>
      <w:r w:rsidR="0083669B" w:rsidRPr="007105B3">
        <w:t>.</w:t>
      </w:r>
    </w:p>
    <w:p w:rsidR="00A57E2A" w:rsidRPr="007105B3" w:rsidRDefault="00A57E2A" w:rsidP="00A57E2A">
      <w:pPr>
        <w:tabs>
          <w:tab w:val="left" w:pos="360"/>
        </w:tabs>
        <w:spacing w:line="240" w:lineRule="auto"/>
        <w:jc w:val="left"/>
      </w:pPr>
    </w:p>
    <w:p w:rsidR="00A57E2A" w:rsidRPr="007105B3" w:rsidRDefault="00A57E2A" w:rsidP="00A57E2A">
      <w:pPr>
        <w:tabs>
          <w:tab w:val="left" w:pos="360"/>
        </w:tabs>
        <w:spacing w:line="240" w:lineRule="auto"/>
        <w:jc w:val="left"/>
      </w:pPr>
      <w:r w:rsidRPr="007105B3">
        <w:tab/>
      </w:r>
      <w:r w:rsidR="004E1FF1" w:rsidRPr="007105B3">
        <w:rPr>
          <w:b/>
        </w:rPr>
        <w:t>Notification</w:t>
      </w:r>
      <w:r w:rsidR="002A65E8" w:rsidRPr="007105B3">
        <w:rPr>
          <w:b/>
        </w:rPr>
        <w:t>s</w:t>
      </w:r>
      <w:r w:rsidR="004E1FF1" w:rsidRPr="007105B3">
        <w:rPr>
          <w:b/>
        </w:rPr>
        <w:t xml:space="preserve"> (Section 202.9)</w:t>
      </w:r>
    </w:p>
    <w:p w:rsidR="00A57E2A" w:rsidRPr="007105B3" w:rsidRDefault="00A57E2A" w:rsidP="00A57E2A">
      <w:pPr>
        <w:spacing w:line="240" w:lineRule="auto"/>
        <w:ind w:firstLine="720"/>
        <w:jc w:val="left"/>
      </w:pPr>
    </w:p>
    <w:p w:rsidR="004E1FF1" w:rsidRPr="007105B3" w:rsidRDefault="00A57E2A" w:rsidP="00A57E2A">
      <w:pPr>
        <w:spacing w:line="240" w:lineRule="auto"/>
        <w:ind w:firstLine="360"/>
        <w:jc w:val="left"/>
      </w:pPr>
      <w:r w:rsidRPr="007105B3">
        <w:t>N</w:t>
      </w:r>
      <w:r w:rsidR="004E1FF1" w:rsidRPr="007105B3">
        <w:t>o other federal law mandates the following disclosures, although the Fair Credit Reporting Act requires related, but different, disclosures in some of the same circumstances.  Moreover, some states may have similar require</w:t>
      </w:r>
      <w:r w:rsidR="004E1FF1" w:rsidRPr="007105B3">
        <w:softHyphen/>
        <w:t>ments.</w:t>
      </w:r>
    </w:p>
    <w:p w:rsidR="004E1FF1" w:rsidRPr="007105B3" w:rsidRDefault="004E1FF1" w:rsidP="00A57E2A">
      <w:pPr>
        <w:spacing w:line="240" w:lineRule="auto"/>
        <w:jc w:val="left"/>
      </w:pPr>
    </w:p>
    <w:p w:rsidR="007145DE" w:rsidRPr="007105B3" w:rsidRDefault="004E1FF1">
      <w:pPr>
        <w:widowControl/>
        <w:spacing w:line="240" w:lineRule="auto"/>
        <w:ind w:firstLine="360"/>
        <w:jc w:val="left"/>
      </w:pPr>
      <w:proofErr w:type="gramStart"/>
      <w:r w:rsidRPr="007105B3">
        <w:rPr>
          <w:i/>
        </w:rPr>
        <w:t>Consumer credit</w:t>
      </w:r>
      <w:r w:rsidR="006B3B48" w:rsidRPr="007105B3">
        <w:t>.</w:t>
      </w:r>
      <w:proofErr w:type="gramEnd"/>
      <w:r w:rsidRPr="007105B3">
        <w:t xml:space="preserve">  Under ECOA and Regulation B, an applicant is entitled to notice of the action taken on a credit application and, if the creditor's decision results in the denial or termination of credit, a written statement of the specific reasons for the adverse action (or disclosure of the right to request the reasons).  The notification provides credit applicants and borrowers an opportunity to correct errors in their credit history, helps them identify problems in their credit standing, and improves their understanding of the credit-granting process.  When adverse action is taken against a consumer based on information from a consumer reporting agency, the FCRA requires additional disclosures, which may be provided on the same document.</w:t>
      </w:r>
    </w:p>
    <w:p w:rsidR="00A57E2A" w:rsidRPr="007105B3" w:rsidRDefault="00A57E2A" w:rsidP="00A57E2A">
      <w:pPr>
        <w:spacing w:line="240" w:lineRule="auto"/>
        <w:ind w:firstLine="360"/>
        <w:jc w:val="left"/>
      </w:pPr>
    </w:p>
    <w:p w:rsidR="00A57E2A" w:rsidRPr="007105B3" w:rsidRDefault="004E1FF1" w:rsidP="00A57E2A">
      <w:pPr>
        <w:spacing w:line="240" w:lineRule="auto"/>
        <w:ind w:firstLine="360"/>
        <w:jc w:val="left"/>
      </w:pPr>
      <w:r w:rsidRPr="007105B3">
        <w:t>The adverse action notice must generally be in writing, except that creditors that d</w:t>
      </w:r>
      <w:r w:rsidR="00BA01E5" w:rsidRPr="007105B3">
        <w:t>id</w:t>
      </w:r>
      <w:r w:rsidRPr="007105B3">
        <w:t xml:space="preserve"> not receive more than 150 applications </w:t>
      </w:r>
      <w:r w:rsidR="00BA01E5" w:rsidRPr="007105B3">
        <w:t>during the preceding</w:t>
      </w:r>
      <w:r w:rsidRPr="007105B3">
        <w:t xml:space="preserve"> year may provide notices of adverse action orally.  A notice of adverse action must be given within </w:t>
      </w:r>
      <w:r w:rsidR="00CF63A5" w:rsidRPr="007105B3">
        <w:t xml:space="preserve">30 </w:t>
      </w:r>
      <w:r w:rsidRPr="007105B3">
        <w:t>days after (1) receipt of a completed applica</w:t>
      </w:r>
      <w:r w:rsidRPr="007105B3">
        <w:softHyphen/>
        <w:t>tion; (2) the denial of credit on an incomplete application</w:t>
      </w:r>
      <w:r w:rsidR="00BA01E5" w:rsidRPr="007105B3">
        <w:t xml:space="preserve"> (unless a notice of incompleteness is provided)</w:t>
      </w:r>
      <w:r w:rsidRPr="007105B3">
        <w:t xml:space="preserve">; or (3) adverse action regarding an existing account.  A creditor that makes a counter-offer (to grant credit on terms other than those requested) has </w:t>
      </w:r>
      <w:r w:rsidR="00CF63A5" w:rsidRPr="007105B3">
        <w:t xml:space="preserve">90 </w:t>
      </w:r>
      <w:r w:rsidRPr="007105B3">
        <w:t xml:space="preserve">days from the counteroffer to give the adverse action notice if the applicant does not accept the counter-offer or use the credit offered.  </w:t>
      </w:r>
    </w:p>
    <w:p w:rsidR="00A57E2A" w:rsidRPr="007105B3" w:rsidRDefault="00A57E2A" w:rsidP="00A57E2A">
      <w:pPr>
        <w:spacing w:line="240" w:lineRule="auto"/>
        <w:ind w:firstLine="360"/>
        <w:jc w:val="left"/>
      </w:pPr>
    </w:p>
    <w:p w:rsidR="00A57E2A" w:rsidRPr="007105B3" w:rsidRDefault="004E1FF1" w:rsidP="00A57E2A">
      <w:pPr>
        <w:spacing w:line="240" w:lineRule="auto"/>
        <w:ind w:firstLine="360"/>
        <w:jc w:val="left"/>
      </w:pPr>
      <w:proofErr w:type="gramStart"/>
      <w:r w:rsidRPr="007105B3">
        <w:rPr>
          <w:i/>
        </w:rPr>
        <w:t>Business credit</w:t>
      </w:r>
      <w:r w:rsidR="006B3B48" w:rsidRPr="007105B3">
        <w:rPr>
          <w:i/>
        </w:rPr>
        <w:t>.</w:t>
      </w:r>
      <w:proofErr w:type="gramEnd"/>
      <w:r w:rsidRPr="007105B3">
        <w:rPr>
          <w:i/>
        </w:rPr>
        <w:t xml:space="preserve">  </w:t>
      </w:r>
      <w:r w:rsidRPr="007105B3">
        <w:t>Generally, a business applicant’s asset size determines a creditor’s precise obligations.  When a creditor takes adverse action on an application from a business with $1 million or less in annual revenues, the creditor m</w:t>
      </w:r>
      <w:r w:rsidR="00BA01E5" w:rsidRPr="007105B3">
        <w:t>ay</w:t>
      </w:r>
      <w:r w:rsidRPr="007105B3">
        <w:t xml:space="preserve"> notify the business applicant orally or in writing.  The creditor must also provide the applicant with reasons for an adverse action or a notice telling the applicant of its right to request the reasons.  These notices must be provided within the same </w:t>
      </w:r>
      <w:proofErr w:type="gramStart"/>
      <w:r w:rsidRPr="007105B3">
        <w:t>time periods that apply</w:t>
      </w:r>
      <w:proofErr w:type="gramEnd"/>
      <w:r w:rsidRPr="007105B3">
        <w:t xml:space="preserve"> in the case of consumer applicants.  The notice of the business’ right to request reasons for adverse action</w:t>
      </w:r>
      <w:r w:rsidR="00EC1C1C" w:rsidRPr="007105B3">
        <w:t xml:space="preserve"> </w:t>
      </w:r>
      <w:r w:rsidRPr="007105B3">
        <w:t xml:space="preserve">may be provided at the time of application in a retainable form or, if an application is </w:t>
      </w:r>
      <w:r w:rsidR="00946F50" w:rsidRPr="007105B3">
        <w:t>made</w:t>
      </w:r>
      <w:r w:rsidRPr="007105B3">
        <w:t xml:space="preserve"> </w:t>
      </w:r>
      <w:r w:rsidR="003A1708" w:rsidRPr="007105B3">
        <w:t xml:space="preserve">solely </w:t>
      </w:r>
      <w:r w:rsidRPr="007105B3">
        <w:t xml:space="preserve">by telephone, orally.  A business with more than $1 million in annual revenues is entitled to oral or written notice </w:t>
      </w:r>
      <w:r w:rsidR="00C91577" w:rsidRPr="007105B3">
        <w:t xml:space="preserve">of adverse action </w:t>
      </w:r>
      <w:r w:rsidRPr="007105B3">
        <w:t>within a reasonable time of the action taken and, if timely requested, a written statement of reasons for an adverse action.</w:t>
      </w:r>
    </w:p>
    <w:p w:rsidR="00A57E2A" w:rsidRPr="007105B3" w:rsidRDefault="00A57E2A" w:rsidP="00A57E2A">
      <w:pPr>
        <w:spacing w:line="240" w:lineRule="auto"/>
        <w:ind w:firstLine="360"/>
        <w:jc w:val="left"/>
      </w:pPr>
    </w:p>
    <w:p w:rsidR="00A57E2A" w:rsidRPr="007105B3" w:rsidRDefault="002A65E8" w:rsidP="00A57E2A">
      <w:pPr>
        <w:spacing w:line="240" w:lineRule="auto"/>
        <w:ind w:firstLine="360"/>
        <w:jc w:val="left"/>
      </w:pPr>
      <w:r w:rsidRPr="007105B3">
        <w:rPr>
          <w:b/>
        </w:rPr>
        <w:t xml:space="preserve">Furnishing of </w:t>
      </w:r>
      <w:r w:rsidR="004F19AC" w:rsidRPr="007105B3">
        <w:rPr>
          <w:b/>
        </w:rPr>
        <w:t>C</w:t>
      </w:r>
      <w:r w:rsidRPr="007105B3">
        <w:rPr>
          <w:b/>
        </w:rPr>
        <w:t xml:space="preserve">redit </w:t>
      </w:r>
      <w:r w:rsidR="004F19AC" w:rsidRPr="007105B3">
        <w:rPr>
          <w:b/>
        </w:rPr>
        <w:t>I</w:t>
      </w:r>
      <w:r w:rsidRPr="007105B3">
        <w:rPr>
          <w:b/>
        </w:rPr>
        <w:t>nformation</w:t>
      </w:r>
      <w:r w:rsidR="004E1FF1" w:rsidRPr="007105B3">
        <w:rPr>
          <w:b/>
        </w:rPr>
        <w:t xml:space="preserve"> (Section 202.10)</w:t>
      </w:r>
    </w:p>
    <w:p w:rsidR="00A57E2A" w:rsidRPr="007105B3" w:rsidRDefault="00A57E2A" w:rsidP="00A57E2A">
      <w:pPr>
        <w:spacing w:line="240" w:lineRule="auto"/>
        <w:ind w:firstLine="360"/>
        <w:jc w:val="left"/>
      </w:pPr>
    </w:p>
    <w:p w:rsidR="00A57E2A" w:rsidRPr="007105B3" w:rsidRDefault="004E1FF1" w:rsidP="00A57E2A">
      <w:pPr>
        <w:spacing w:line="240" w:lineRule="auto"/>
        <w:ind w:firstLine="360"/>
        <w:jc w:val="left"/>
      </w:pPr>
      <w:r w:rsidRPr="007105B3">
        <w:t>Creditors that report credit history must report histories of accounts that spouses are permitted to use or on which they are contrac</w:t>
      </w:r>
      <w:r w:rsidRPr="007105B3">
        <w:softHyphen/>
        <w:t xml:space="preserve">tually liable in a fashion that reflects both spouses' participation.  This requirement applies to any creditor that reports credit history to credit reporting agencies or to other creditors. </w:t>
      </w:r>
    </w:p>
    <w:p w:rsidR="00A57E2A" w:rsidRPr="007105B3" w:rsidRDefault="00A57E2A" w:rsidP="00A57E2A">
      <w:pPr>
        <w:spacing w:line="240" w:lineRule="auto"/>
        <w:ind w:firstLine="360"/>
        <w:jc w:val="left"/>
      </w:pPr>
    </w:p>
    <w:p w:rsidR="00A57E2A" w:rsidRPr="007105B3" w:rsidRDefault="002A65E8" w:rsidP="00A57E2A">
      <w:pPr>
        <w:spacing w:line="240" w:lineRule="auto"/>
        <w:ind w:firstLine="360"/>
        <w:jc w:val="left"/>
        <w:rPr>
          <w:b/>
        </w:rPr>
      </w:pPr>
      <w:r w:rsidRPr="007105B3">
        <w:rPr>
          <w:b/>
        </w:rPr>
        <w:t xml:space="preserve">Record </w:t>
      </w:r>
      <w:r w:rsidR="00A57E2A" w:rsidRPr="007105B3">
        <w:rPr>
          <w:b/>
        </w:rPr>
        <w:t>Retention</w:t>
      </w:r>
      <w:r w:rsidR="00A57E2A" w:rsidRPr="007105B3">
        <w:rPr>
          <w:i/>
        </w:rPr>
        <w:t xml:space="preserve"> </w:t>
      </w:r>
      <w:r w:rsidR="00A57E2A" w:rsidRPr="007105B3">
        <w:rPr>
          <w:b/>
        </w:rPr>
        <w:t>(</w:t>
      </w:r>
      <w:r w:rsidRPr="007105B3">
        <w:rPr>
          <w:b/>
        </w:rPr>
        <w:t>Section 202.12)</w:t>
      </w:r>
      <w:r w:rsidR="00D9778C" w:rsidRPr="007105B3">
        <w:rPr>
          <w:b/>
        </w:rPr>
        <w:t xml:space="preserve"> </w:t>
      </w:r>
    </w:p>
    <w:p w:rsidR="00A57E2A" w:rsidRPr="007105B3" w:rsidRDefault="004F19AC" w:rsidP="00A57E2A">
      <w:pPr>
        <w:spacing w:line="240" w:lineRule="auto"/>
        <w:ind w:firstLine="360"/>
        <w:jc w:val="left"/>
        <w:rPr>
          <w:i/>
        </w:rPr>
      </w:pPr>
      <w:r w:rsidRPr="007105B3">
        <w:rPr>
          <w:i/>
        </w:rPr>
        <w:t>(Applications, actions, and prescreened solicitations)</w:t>
      </w:r>
    </w:p>
    <w:p w:rsidR="00A57E2A" w:rsidRPr="007105B3" w:rsidRDefault="00A57E2A" w:rsidP="00A57E2A">
      <w:pPr>
        <w:spacing w:line="240" w:lineRule="auto"/>
        <w:ind w:firstLine="360"/>
        <w:jc w:val="left"/>
        <w:rPr>
          <w:i/>
        </w:rPr>
      </w:pPr>
    </w:p>
    <w:p w:rsidR="00A57E2A" w:rsidRPr="007105B3" w:rsidRDefault="00CC4E0F" w:rsidP="00A57E2A">
      <w:pPr>
        <w:spacing w:line="240" w:lineRule="auto"/>
        <w:ind w:firstLine="360"/>
        <w:jc w:val="left"/>
        <w:rPr>
          <w:i/>
        </w:rPr>
      </w:pPr>
      <w:r w:rsidRPr="007105B3">
        <w:t xml:space="preserve">A creditor must retain for </w:t>
      </w:r>
      <w:r w:rsidR="00CF63A5" w:rsidRPr="007105B3">
        <w:t xml:space="preserve">25 </w:t>
      </w:r>
      <w:r w:rsidRPr="007105B3">
        <w:t>months any written or recorded material related to a consumer credit appli</w:t>
      </w:r>
      <w:r w:rsidRPr="007105B3">
        <w:softHyphen/>
        <w:t>cation, as well as copies of any notification of action taken and statement of specific reasons for adverse action (or any written notation or memo of an oral notification and statement)</w:t>
      </w:r>
      <w:r w:rsidR="00946F50" w:rsidRPr="007105B3">
        <w:t xml:space="preserve"> and any written statement submitted by the applicant alleging a violation of ECOA or Regulation B</w:t>
      </w:r>
      <w:r w:rsidRPr="007105B3">
        <w:t xml:space="preserve">.  Comparable records of business credit applications must be retained for </w:t>
      </w:r>
      <w:r w:rsidR="00CF63A5" w:rsidRPr="007105B3">
        <w:t xml:space="preserve">12 </w:t>
      </w:r>
      <w:r w:rsidRPr="007105B3">
        <w:t>months, except that records of applications from businesses with gross revenues exceeding $1</w:t>
      </w:r>
      <w:r w:rsidR="00CD54F6" w:rsidRPr="007105B3">
        <w:t xml:space="preserve"> million</w:t>
      </w:r>
      <w:r w:rsidRPr="007105B3">
        <w:t xml:space="preserve"> must be kept for </w:t>
      </w:r>
      <w:r w:rsidR="00CF63A5" w:rsidRPr="007105B3">
        <w:t xml:space="preserve">60 </w:t>
      </w:r>
      <w:r w:rsidRPr="007105B3">
        <w:t xml:space="preserve">days (or </w:t>
      </w:r>
      <w:r w:rsidR="00CF63A5" w:rsidRPr="007105B3">
        <w:t xml:space="preserve">12 </w:t>
      </w:r>
      <w:r w:rsidRPr="007105B3">
        <w:t xml:space="preserve">months, if the applicant requests </w:t>
      </w:r>
      <w:r w:rsidR="009113C7" w:rsidRPr="007105B3">
        <w:t xml:space="preserve">in writing </w:t>
      </w:r>
      <w:r w:rsidRPr="007105B3">
        <w:t xml:space="preserve">the reason for the adverse action or that the records </w:t>
      </w:r>
      <w:proofErr w:type="gramStart"/>
      <w:r w:rsidRPr="007105B3">
        <w:t>be</w:t>
      </w:r>
      <w:proofErr w:type="gramEnd"/>
      <w:r w:rsidRPr="007105B3">
        <w:t xml:space="preserve"> retained).</w:t>
      </w:r>
      <w:r w:rsidR="000324F5" w:rsidRPr="007105B3">
        <w:t xml:space="preserve">  The record retent</w:t>
      </w:r>
      <w:r w:rsidR="00B56BAF" w:rsidRPr="007105B3">
        <w:t xml:space="preserve">ion requirements also extend to </w:t>
      </w:r>
      <w:r w:rsidR="00D9778C" w:rsidRPr="007105B3">
        <w:t>information used in prescreened credit solicitations.  Th</w:t>
      </w:r>
      <w:r w:rsidR="000324F5" w:rsidRPr="007105B3">
        <w:t xml:space="preserve">e information to be retained </w:t>
      </w:r>
      <w:r w:rsidR="00D9778C" w:rsidRPr="007105B3">
        <w:t xml:space="preserve">includes records related to the text of the solicitation, the criteria used to select potential </w:t>
      </w:r>
      <w:r w:rsidR="009113C7" w:rsidRPr="007105B3">
        <w:t>recipients of the</w:t>
      </w:r>
      <w:r w:rsidR="00D9778C" w:rsidRPr="007105B3">
        <w:t xml:space="preserve"> prescreened </w:t>
      </w:r>
      <w:proofErr w:type="gramStart"/>
      <w:r w:rsidR="00D9778C" w:rsidRPr="007105B3">
        <w:t>solicitations,</w:t>
      </w:r>
      <w:proofErr w:type="gramEnd"/>
      <w:r w:rsidR="00D9778C" w:rsidRPr="007105B3">
        <w:t xml:space="preserve"> and correspondence related to consumer complaints</w:t>
      </w:r>
      <w:r w:rsidR="009113C7" w:rsidRPr="007105B3">
        <w:t xml:space="preserve"> </w:t>
      </w:r>
      <w:r w:rsidR="0067359F" w:rsidRPr="007105B3">
        <w:t xml:space="preserve">(formal or informal) </w:t>
      </w:r>
      <w:r w:rsidR="009113C7" w:rsidRPr="007105B3">
        <w:t>about the solicitations</w:t>
      </w:r>
      <w:r w:rsidR="00D9778C" w:rsidRPr="007105B3">
        <w:t xml:space="preserve">.  </w:t>
      </w:r>
    </w:p>
    <w:p w:rsidR="00147279" w:rsidRPr="007105B3" w:rsidRDefault="00147279" w:rsidP="00A57E2A">
      <w:pPr>
        <w:spacing w:line="240" w:lineRule="auto"/>
        <w:ind w:firstLine="360"/>
        <w:jc w:val="left"/>
        <w:rPr>
          <w:b/>
        </w:rPr>
      </w:pPr>
    </w:p>
    <w:p w:rsidR="00A57E2A" w:rsidRPr="007105B3" w:rsidRDefault="002A65E8" w:rsidP="00A57E2A">
      <w:pPr>
        <w:spacing w:line="240" w:lineRule="auto"/>
        <w:ind w:firstLine="360"/>
        <w:jc w:val="left"/>
        <w:rPr>
          <w:b/>
        </w:rPr>
      </w:pPr>
      <w:r w:rsidRPr="007105B3">
        <w:rPr>
          <w:b/>
        </w:rPr>
        <w:t xml:space="preserve">Information for </w:t>
      </w:r>
      <w:r w:rsidR="004F19AC" w:rsidRPr="007105B3">
        <w:rPr>
          <w:b/>
        </w:rPr>
        <w:t>M</w:t>
      </w:r>
      <w:r w:rsidRPr="007105B3">
        <w:rPr>
          <w:b/>
        </w:rPr>
        <w:t xml:space="preserve">onitoring </w:t>
      </w:r>
      <w:r w:rsidR="004F19AC" w:rsidRPr="007105B3">
        <w:rPr>
          <w:b/>
        </w:rPr>
        <w:t>P</w:t>
      </w:r>
      <w:r w:rsidRPr="007105B3">
        <w:rPr>
          <w:b/>
        </w:rPr>
        <w:t>urposes</w:t>
      </w:r>
      <w:r w:rsidRPr="007105B3" w:rsidDel="002A65E8">
        <w:rPr>
          <w:b/>
        </w:rPr>
        <w:t xml:space="preserve"> </w:t>
      </w:r>
      <w:r w:rsidR="001025DD" w:rsidRPr="007105B3">
        <w:rPr>
          <w:b/>
        </w:rPr>
        <w:t>(Section 202.13)</w:t>
      </w:r>
    </w:p>
    <w:p w:rsidR="00A57E2A" w:rsidRPr="007105B3" w:rsidRDefault="00A57E2A" w:rsidP="00A57E2A">
      <w:pPr>
        <w:spacing w:line="240" w:lineRule="auto"/>
        <w:ind w:firstLine="360"/>
        <w:jc w:val="left"/>
        <w:rPr>
          <w:b/>
        </w:rPr>
      </w:pPr>
    </w:p>
    <w:p w:rsidR="00A57E2A" w:rsidRPr="007105B3" w:rsidRDefault="001025DD" w:rsidP="00A57E2A">
      <w:pPr>
        <w:spacing w:line="240" w:lineRule="auto"/>
        <w:ind w:firstLine="360"/>
        <w:jc w:val="left"/>
        <w:rPr>
          <w:i/>
        </w:rPr>
      </w:pPr>
      <w:r w:rsidRPr="007105B3">
        <w:t xml:space="preserve">A creditor is required to request that an applicant indicate his or her race, ethnicity, sex, age, and marital status in connection with applications for credit primarily for purchasing or refinancing </w:t>
      </w:r>
      <w:r w:rsidR="0067359F" w:rsidRPr="007105B3">
        <w:t xml:space="preserve">a dwelling </w:t>
      </w:r>
      <w:r w:rsidRPr="007105B3">
        <w:t xml:space="preserve">to be occupied by the applicant as a principal residence and secured by a lien on the </w:t>
      </w:r>
      <w:r w:rsidR="0067359F" w:rsidRPr="007105B3">
        <w:t>dwelling</w:t>
      </w:r>
      <w:r w:rsidRPr="007105B3">
        <w:t>.  Creditors are otherwise prohibited from collecting such applicant data with some exceptions.  The applicant must be informed that the information is being requested by the federal government for the purpose of monitoring the creditor's compliance with federal law and if the applicant declines to provide the information, the bank will note the applicant’s ethnicity, race, and sex based on visual observation or surname.</w:t>
      </w:r>
    </w:p>
    <w:p w:rsidR="00A57E2A" w:rsidRPr="007105B3" w:rsidRDefault="00A57E2A" w:rsidP="00A57E2A">
      <w:pPr>
        <w:spacing w:line="240" w:lineRule="auto"/>
        <w:ind w:firstLine="360"/>
        <w:jc w:val="left"/>
        <w:rPr>
          <w:i/>
        </w:rPr>
      </w:pPr>
    </w:p>
    <w:p w:rsidR="00A57E2A" w:rsidRPr="007105B3" w:rsidRDefault="002A65E8" w:rsidP="00A57E2A">
      <w:pPr>
        <w:spacing w:line="240" w:lineRule="auto"/>
        <w:ind w:firstLine="360"/>
        <w:jc w:val="left"/>
        <w:rPr>
          <w:b/>
        </w:rPr>
      </w:pPr>
      <w:r w:rsidRPr="007105B3">
        <w:rPr>
          <w:b/>
        </w:rPr>
        <w:t xml:space="preserve">Rules on </w:t>
      </w:r>
      <w:r w:rsidR="004F19AC" w:rsidRPr="007105B3">
        <w:rPr>
          <w:b/>
        </w:rPr>
        <w:t>P</w:t>
      </w:r>
      <w:r w:rsidRPr="007105B3">
        <w:rPr>
          <w:b/>
        </w:rPr>
        <w:t xml:space="preserve">roviding </w:t>
      </w:r>
      <w:r w:rsidR="004F19AC" w:rsidRPr="007105B3">
        <w:rPr>
          <w:b/>
        </w:rPr>
        <w:t>A</w:t>
      </w:r>
      <w:r w:rsidRPr="007105B3">
        <w:rPr>
          <w:b/>
        </w:rPr>
        <w:t xml:space="preserve">ppraisal </w:t>
      </w:r>
      <w:r w:rsidR="004F19AC" w:rsidRPr="007105B3">
        <w:rPr>
          <w:b/>
        </w:rPr>
        <w:t>R</w:t>
      </w:r>
      <w:r w:rsidRPr="007105B3">
        <w:rPr>
          <w:b/>
        </w:rPr>
        <w:t>eports</w:t>
      </w:r>
      <w:r w:rsidR="00411B27" w:rsidRPr="007105B3">
        <w:rPr>
          <w:b/>
        </w:rPr>
        <w:t xml:space="preserve"> (Section 202.14)</w:t>
      </w:r>
    </w:p>
    <w:p w:rsidR="00A57E2A" w:rsidRPr="007105B3" w:rsidRDefault="00411B27" w:rsidP="00A57E2A">
      <w:pPr>
        <w:spacing w:line="240" w:lineRule="auto"/>
        <w:ind w:firstLine="360"/>
        <w:jc w:val="left"/>
        <w:rPr>
          <w:b/>
        </w:rPr>
      </w:pPr>
      <w:r w:rsidRPr="007105B3">
        <w:rPr>
          <w:i/>
        </w:rPr>
        <w:t>(Appraisal report upon request</w:t>
      </w:r>
      <w:r w:rsidR="00EF1DD8" w:rsidRPr="007105B3">
        <w:rPr>
          <w:i/>
        </w:rPr>
        <w:t xml:space="preserve"> and </w:t>
      </w:r>
      <w:r w:rsidRPr="007105B3">
        <w:rPr>
          <w:i/>
        </w:rPr>
        <w:t>Notice of right to appraisal)</w:t>
      </w:r>
      <w:r w:rsidR="002A65E8" w:rsidRPr="007105B3">
        <w:rPr>
          <w:b/>
        </w:rPr>
        <w:t xml:space="preserve"> </w:t>
      </w:r>
    </w:p>
    <w:p w:rsidR="00A57E2A" w:rsidRPr="007105B3" w:rsidRDefault="00A57E2A" w:rsidP="00A57E2A">
      <w:pPr>
        <w:spacing w:line="240" w:lineRule="auto"/>
        <w:ind w:firstLine="360"/>
        <w:jc w:val="left"/>
        <w:rPr>
          <w:b/>
        </w:rPr>
      </w:pPr>
    </w:p>
    <w:p w:rsidR="00A57E2A" w:rsidRPr="007105B3" w:rsidRDefault="004E1FF1" w:rsidP="00A57E2A">
      <w:pPr>
        <w:spacing w:line="240" w:lineRule="auto"/>
        <w:ind w:firstLine="360"/>
        <w:jc w:val="left"/>
      </w:pPr>
      <w:r w:rsidRPr="007105B3">
        <w:t xml:space="preserve">An applicant has a right to a copy of any appraisal report used in connection with an application for </w:t>
      </w:r>
      <w:r w:rsidR="00611398" w:rsidRPr="007105B3">
        <w:t xml:space="preserve">credit </w:t>
      </w:r>
      <w:r w:rsidRPr="007105B3">
        <w:t xml:space="preserve">to be secured by a dwelling.  Creditors may elect either to provide a copy of the appraisal report to all applicants for covered loans or provide the appraisal only upon request.  Creditors who choose to provide the appraisal only upon request must notify all applicants for covered loans of their right to request a copy of the appraisal.  The notice is not required to be in any particular format, but the regulation contains model language to ease compliance.  Creditors can give the notice at any time during the application process, but not later than </w:t>
      </w:r>
      <w:r w:rsidR="00B65609" w:rsidRPr="007105B3">
        <w:t xml:space="preserve">when the creditor provides </w:t>
      </w:r>
      <w:r w:rsidRPr="007105B3">
        <w:t xml:space="preserve">notification </w:t>
      </w:r>
      <w:r w:rsidR="00B65609" w:rsidRPr="007105B3">
        <w:t>to</w:t>
      </w:r>
      <w:r w:rsidRPr="007105B3">
        <w:t xml:space="preserve"> the applicant of the action taken.</w:t>
      </w:r>
      <w:r w:rsidR="004F5108" w:rsidRPr="007105B3">
        <w:t xml:space="preserve">  </w:t>
      </w:r>
    </w:p>
    <w:p w:rsidR="00A57E2A" w:rsidRPr="007105B3" w:rsidRDefault="00A57E2A" w:rsidP="00A57E2A">
      <w:pPr>
        <w:spacing w:line="240" w:lineRule="auto"/>
        <w:ind w:firstLine="360"/>
        <w:jc w:val="left"/>
      </w:pPr>
    </w:p>
    <w:p w:rsidR="00A57E2A" w:rsidRPr="007105B3" w:rsidRDefault="002A65E8" w:rsidP="00A57E2A">
      <w:pPr>
        <w:spacing w:line="240" w:lineRule="auto"/>
        <w:ind w:firstLine="360"/>
        <w:jc w:val="left"/>
        <w:rPr>
          <w:b/>
        </w:rPr>
      </w:pPr>
      <w:r w:rsidRPr="007105B3">
        <w:rPr>
          <w:b/>
        </w:rPr>
        <w:t xml:space="preserve">Record </w:t>
      </w:r>
      <w:r w:rsidR="004F19AC" w:rsidRPr="007105B3">
        <w:rPr>
          <w:b/>
        </w:rPr>
        <w:t>R</w:t>
      </w:r>
      <w:r w:rsidRPr="007105B3">
        <w:rPr>
          <w:b/>
        </w:rPr>
        <w:t>etention</w:t>
      </w:r>
      <w:r w:rsidR="004E1FF1" w:rsidRPr="007105B3">
        <w:rPr>
          <w:b/>
        </w:rPr>
        <w:t xml:space="preserve"> (Sections 202.12 &amp; 202.15)</w:t>
      </w:r>
    </w:p>
    <w:p w:rsidR="00A57E2A" w:rsidRPr="007105B3" w:rsidRDefault="00411B27" w:rsidP="00A57E2A">
      <w:pPr>
        <w:spacing w:line="240" w:lineRule="auto"/>
        <w:ind w:firstLine="360"/>
        <w:jc w:val="left"/>
        <w:rPr>
          <w:i/>
        </w:rPr>
      </w:pPr>
      <w:r w:rsidRPr="007105B3">
        <w:rPr>
          <w:i/>
        </w:rPr>
        <w:t>(Incentives for self-testing and self-correction)</w:t>
      </w:r>
    </w:p>
    <w:p w:rsidR="00A57E2A" w:rsidRPr="007105B3" w:rsidRDefault="00A57E2A" w:rsidP="00A57E2A">
      <w:pPr>
        <w:spacing w:line="240" w:lineRule="auto"/>
        <w:ind w:firstLine="360"/>
        <w:jc w:val="left"/>
      </w:pPr>
    </w:p>
    <w:p w:rsidR="00A57E2A" w:rsidRPr="007105B3" w:rsidRDefault="004E1FF1" w:rsidP="00A57E2A">
      <w:pPr>
        <w:spacing w:line="240" w:lineRule="auto"/>
        <w:ind w:firstLine="360"/>
        <w:jc w:val="left"/>
      </w:pPr>
      <w:r w:rsidRPr="007105B3">
        <w:t xml:space="preserve">As defined by Regulation B, a self-test is any program, practice, or study that is designed and used specifically to determine the extent or effectiveness of a creditor's compliance with ECOA or </w:t>
      </w:r>
      <w:r w:rsidRPr="007105B3">
        <w:lastRenderedPageBreak/>
        <w:t>Regulation B, and creates data or factual information that would not otherwise be available and cannot be derived from loan or application files or other records related to credit transactions.  The results or report of a self-test, as well as data or factual information created by the self-test and any analysis, opinions, or conclusions, are privileged if the creditor: (1) takes appropriate corrective action to address any likely violations identified by the self-test, (2) refrains from disclosing any part of the report or results, and (3) retains all written or recorded information</w:t>
      </w:r>
      <w:r w:rsidR="001025DD" w:rsidRPr="007105B3">
        <w:t xml:space="preserve"> required to be retained</w:t>
      </w:r>
      <w:r w:rsidRPr="007105B3">
        <w:t xml:space="preserve"> about the self-test and produces it when necessary to determine whether the privilege applies.</w:t>
      </w:r>
    </w:p>
    <w:p w:rsidR="00A57E2A" w:rsidRPr="007105B3" w:rsidRDefault="00A57E2A" w:rsidP="00A57E2A">
      <w:pPr>
        <w:spacing w:line="240" w:lineRule="auto"/>
        <w:ind w:firstLine="360"/>
        <w:jc w:val="left"/>
      </w:pPr>
    </w:p>
    <w:p w:rsidR="007145DE" w:rsidRPr="007105B3" w:rsidRDefault="004E1FF1">
      <w:pPr>
        <w:widowControl/>
        <w:spacing w:line="240" w:lineRule="auto"/>
        <w:ind w:firstLine="360"/>
        <w:jc w:val="left"/>
      </w:pPr>
      <w:r w:rsidRPr="007105B3">
        <w:t xml:space="preserve">A creditor ordinarily must retain all written or recorded information about a self-test for </w:t>
      </w:r>
      <w:r w:rsidR="00CF63A5" w:rsidRPr="007105B3">
        <w:t xml:space="preserve">25 </w:t>
      </w:r>
      <w:r w:rsidRPr="007105B3">
        <w:t>months.  If a creditor has actual notice that it is under investigation or is subject to an enforcement proceeding for an alleged violation, or if it has been served with notice of a civil action, the creditor must retain the information until final disposition of the matter, unless an earlier time is allowed by the appropriate agency or court order.</w:t>
      </w:r>
    </w:p>
    <w:p w:rsidR="00AF0F1D" w:rsidRPr="007105B3" w:rsidRDefault="00AF0F1D" w:rsidP="00AF0F1D">
      <w:pPr>
        <w:spacing w:line="240" w:lineRule="auto"/>
        <w:ind w:firstLine="360"/>
        <w:jc w:val="left"/>
      </w:pPr>
    </w:p>
    <w:p w:rsidR="00AF0F1D" w:rsidRPr="007105B3" w:rsidRDefault="002A65E8" w:rsidP="00AF0F1D">
      <w:pPr>
        <w:spacing w:line="240" w:lineRule="auto"/>
        <w:ind w:firstLine="360"/>
        <w:jc w:val="left"/>
        <w:rPr>
          <w:b/>
        </w:rPr>
      </w:pPr>
      <w:r w:rsidRPr="007105B3">
        <w:rPr>
          <w:b/>
        </w:rPr>
        <w:t xml:space="preserve">Rules concerning requests for information </w:t>
      </w:r>
      <w:r w:rsidR="00375BE9" w:rsidRPr="007105B3">
        <w:rPr>
          <w:b/>
        </w:rPr>
        <w:t xml:space="preserve">(Section 202.5) </w:t>
      </w:r>
    </w:p>
    <w:p w:rsidR="00AF0F1D" w:rsidRPr="007105B3" w:rsidRDefault="00411B27" w:rsidP="00AF0F1D">
      <w:pPr>
        <w:spacing w:line="240" w:lineRule="auto"/>
        <w:ind w:firstLine="360"/>
        <w:jc w:val="left"/>
        <w:rPr>
          <w:i/>
        </w:rPr>
      </w:pPr>
      <w:r w:rsidRPr="007105B3">
        <w:rPr>
          <w:i/>
        </w:rPr>
        <w:t>(Disclosure for optional self-test)</w:t>
      </w:r>
    </w:p>
    <w:p w:rsidR="00AF0F1D" w:rsidRPr="007105B3" w:rsidRDefault="00AF0F1D" w:rsidP="00AF0F1D">
      <w:pPr>
        <w:spacing w:line="240" w:lineRule="auto"/>
        <w:ind w:firstLine="360"/>
        <w:jc w:val="left"/>
      </w:pPr>
    </w:p>
    <w:p w:rsidR="00F04EA2" w:rsidRPr="007105B3" w:rsidRDefault="00375BE9" w:rsidP="00F04EA2">
      <w:pPr>
        <w:spacing w:line="240" w:lineRule="auto"/>
        <w:ind w:firstLine="360"/>
        <w:jc w:val="left"/>
      </w:pPr>
      <w:r w:rsidRPr="007105B3">
        <w:t xml:space="preserve">When a creditor inquires about, and notes, personal characteristics such as race or national origin for the purpose of conducting a self-test under § 202.15, the creditor must disclose orally or in writing to the consumer at the time of the information request that providing the information is optional, that the information request is to monitor compliance with ECOA, that federal law prohibits discrimination on the basis of this information or on the basis of an applicant’s decision not to furnish this information, and that, if applicable, certain information may be noted by </w:t>
      </w:r>
      <w:r w:rsidR="00F04EA2" w:rsidRPr="007105B3">
        <w:t>visual observation or surname.</w:t>
      </w:r>
    </w:p>
    <w:p w:rsidR="00F04EA2" w:rsidRPr="007105B3" w:rsidRDefault="00F04EA2" w:rsidP="00F04EA2">
      <w:pPr>
        <w:spacing w:line="240" w:lineRule="auto"/>
        <w:ind w:firstLine="360"/>
        <w:jc w:val="left"/>
      </w:pPr>
    </w:p>
    <w:p w:rsidR="00F04EA2" w:rsidRPr="007105B3" w:rsidRDefault="008470C4" w:rsidP="008470C4">
      <w:pPr>
        <w:widowControl/>
        <w:autoSpaceDE w:val="0"/>
        <w:autoSpaceDN w:val="0"/>
        <w:spacing w:line="240" w:lineRule="auto"/>
        <w:jc w:val="center"/>
        <w:rPr>
          <w:b/>
          <w:i/>
        </w:rPr>
      </w:pPr>
      <w:r w:rsidRPr="007105B3">
        <w:rPr>
          <w:b/>
          <w:bCs/>
          <w:i/>
        </w:rPr>
        <w:t xml:space="preserve">Credit Score Disclosure </w:t>
      </w:r>
      <w:r w:rsidR="00F04EA2" w:rsidRPr="007105B3">
        <w:rPr>
          <w:b/>
          <w:i/>
        </w:rPr>
        <w:t>Amendments</w:t>
      </w:r>
      <w:r w:rsidR="005B73BB" w:rsidRPr="007105B3">
        <w:rPr>
          <w:b/>
          <w:i/>
        </w:rPr>
        <w:t xml:space="preserve"> </w:t>
      </w:r>
    </w:p>
    <w:p w:rsidR="00F04EA2" w:rsidRPr="007105B3" w:rsidRDefault="00F04EA2" w:rsidP="00F04EA2">
      <w:pPr>
        <w:spacing w:line="240" w:lineRule="auto"/>
        <w:ind w:firstLine="360"/>
        <w:jc w:val="left"/>
      </w:pPr>
    </w:p>
    <w:p w:rsidR="005B73BB" w:rsidRPr="007105B3" w:rsidRDefault="005B73BB" w:rsidP="00786435">
      <w:pPr>
        <w:keepNext/>
        <w:spacing w:line="240" w:lineRule="auto"/>
        <w:ind w:firstLine="360"/>
        <w:jc w:val="left"/>
        <w:rPr>
          <w:b/>
        </w:rPr>
      </w:pPr>
      <w:r w:rsidRPr="007105B3">
        <w:rPr>
          <w:b/>
        </w:rPr>
        <w:t>Appendix C to Part 202 – Sample Notification Forms.</w:t>
      </w:r>
    </w:p>
    <w:p w:rsidR="005B73BB" w:rsidRPr="007105B3" w:rsidRDefault="005B73BB" w:rsidP="005B73BB">
      <w:pPr>
        <w:keepNext/>
        <w:spacing w:line="240" w:lineRule="auto"/>
        <w:jc w:val="left"/>
        <w:rPr>
          <w:b/>
        </w:rPr>
      </w:pPr>
    </w:p>
    <w:p w:rsidR="00F04EA2" w:rsidRPr="007105B3" w:rsidRDefault="005B73BB" w:rsidP="0008032E">
      <w:pPr>
        <w:keepNext/>
        <w:spacing w:line="240" w:lineRule="auto"/>
        <w:ind w:firstLine="360"/>
        <w:jc w:val="left"/>
      </w:pPr>
      <w:r w:rsidRPr="007105B3">
        <w:t xml:space="preserve">Under the proposal, Forms C-1 through C-5 would be revised to include, as applicable, a statement that the creditor obtained the consumer’s credit score from a consumer reporting agency named in the notice and used the score in making the credit decision.  The notice would also state that a credit score is a number that reflects the information in the consumer’s credit report and that the consumer’s credit score can change depending on how the information in the consumer’s credit report changes.  The model notices would also provide space for the creditor to include the content required under section 1100F of the Dodd-Frank Act that is specific to the consumer.  This content includes: the consumer’s credit score, the date the credit score was created, the range of possible credit scores under the model used, and up to four key factors that adversely affected the consumer’s credit score (or up to five factors if the number of enquiries made with respect to that consumer report is one of the factors).  </w:t>
      </w:r>
    </w:p>
    <w:p w:rsidR="00F04EA2" w:rsidRPr="007105B3" w:rsidRDefault="0008032E" w:rsidP="0008032E">
      <w:pPr>
        <w:tabs>
          <w:tab w:val="left" w:pos="4035"/>
        </w:tabs>
        <w:spacing w:line="240" w:lineRule="auto"/>
        <w:ind w:firstLine="360"/>
        <w:jc w:val="left"/>
      </w:pPr>
      <w:r w:rsidRPr="007105B3">
        <w:tab/>
      </w:r>
    </w:p>
    <w:p w:rsidR="00777B39" w:rsidRDefault="00777B39">
      <w:pPr>
        <w:widowControl/>
        <w:adjustRightInd/>
        <w:spacing w:line="240" w:lineRule="auto"/>
        <w:jc w:val="left"/>
        <w:textAlignment w:val="auto"/>
        <w:rPr>
          <w:b/>
        </w:rPr>
      </w:pPr>
      <w:r>
        <w:rPr>
          <w:b/>
        </w:rPr>
        <w:br w:type="page"/>
      </w:r>
    </w:p>
    <w:p w:rsidR="00AF0F1D" w:rsidRPr="007105B3" w:rsidRDefault="004E1FF1" w:rsidP="00AF0F1D">
      <w:pPr>
        <w:spacing w:line="240" w:lineRule="auto"/>
        <w:jc w:val="left"/>
        <w:rPr>
          <w:b/>
        </w:rPr>
      </w:pPr>
      <w:r w:rsidRPr="007105B3">
        <w:rPr>
          <w:b/>
        </w:rPr>
        <w:lastRenderedPageBreak/>
        <w:t>Time Schedule for Information Collection</w:t>
      </w:r>
    </w:p>
    <w:p w:rsidR="00AF0F1D" w:rsidRPr="007105B3" w:rsidRDefault="00AF0F1D" w:rsidP="00AF0F1D">
      <w:pPr>
        <w:spacing w:line="240" w:lineRule="auto"/>
        <w:ind w:firstLine="360"/>
        <w:jc w:val="left"/>
        <w:rPr>
          <w:b/>
        </w:rPr>
      </w:pPr>
    </w:p>
    <w:p w:rsidR="00AF0F1D" w:rsidRPr="007105B3" w:rsidRDefault="004E1FF1" w:rsidP="00AF0F1D">
      <w:pPr>
        <w:spacing w:line="240" w:lineRule="auto"/>
        <w:ind w:firstLine="360"/>
        <w:jc w:val="left"/>
      </w:pPr>
      <w:r w:rsidRPr="007105B3">
        <w:t>Regulation B information collection requirements are triggered by certain events, disclosures must be provided to applicants within prescribed times, and records must be retained for specified periods.</w:t>
      </w:r>
    </w:p>
    <w:p w:rsidR="00AF0F1D" w:rsidRPr="007105B3" w:rsidRDefault="00AF0F1D" w:rsidP="00AF0F1D">
      <w:pPr>
        <w:spacing w:line="240" w:lineRule="auto"/>
        <w:ind w:firstLine="360"/>
        <w:jc w:val="left"/>
      </w:pPr>
    </w:p>
    <w:p w:rsidR="00AF0F1D" w:rsidRPr="007105B3" w:rsidRDefault="003B1258" w:rsidP="00AF0F1D">
      <w:pPr>
        <w:spacing w:line="240" w:lineRule="auto"/>
        <w:jc w:val="left"/>
        <w:rPr>
          <w:b/>
        </w:rPr>
      </w:pPr>
      <w:r w:rsidRPr="007105B3">
        <w:rPr>
          <w:b/>
        </w:rPr>
        <w:t>Sensitive Questions</w:t>
      </w:r>
    </w:p>
    <w:p w:rsidR="00AF0F1D" w:rsidRPr="007105B3" w:rsidRDefault="00AF0F1D" w:rsidP="00AF0F1D">
      <w:pPr>
        <w:spacing w:line="240" w:lineRule="auto"/>
        <w:ind w:firstLine="360"/>
        <w:jc w:val="left"/>
        <w:rPr>
          <w:b/>
        </w:rPr>
      </w:pPr>
    </w:p>
    <w:p w:rsidR="00AF0F1D" w:rsidRPr="007105B3" w:rsidRDefault="003B1258" w:rsidP="00EF7393">
      <w:pPr>
        <w:spacing w:line="240" w:lineRule="auto"/>
        <w:ind w:firstLine="360"/>
        <w:jc w:val="left"/>
      </w:pPr>
      <w:r w:rsidRPr="007105B3">
        <w:t>Sensitive questions are not contained in any report or survey sponsored by the Federal Reserve in connection with Regulation B.  However, applicants for mortgage loans are asked to voluntarily provide information on ethnicity, sex, age, and marital status so that regulators may monitor for compliance with the law.  If they do not provide the information, certain information may be noted by visual observation or surname.  For all non-mortgage credit, a creditor may not ask or note applicants’ sex, race, color, religion, or national origin.  There is an exception permitting collection of this information for purposes of conducting a self-test that meets the requirements of § 202.15.  It is at the option of the applicant to provide this information.</w:t>
      </w:r>
    </w:p>
    <w:p w:rsidR="00AF0F1D" w:rsidRPr="007105B3" w:rsidRDefault="00AF0F1D" w:rsidP="00EF7393">
      <w:pPr>
        <w:spacing w:line="240" w:lineRule="auto"/>
        <w:ind w:firstLine="360"/>
        <w:jc w:val="left"/>
      </w:pPr>
    </w:p>
    <w:p w:rsidR="00EF7393" w:rsidRDefault="00C55697" w:rsidP="00EF7393">
      <w:pPr>
        <w:pStyle w:val="BodyText2"/>
        <w:tabs>
          <w:tab w:val="left" w:pos="360"/>
        </w:tabs>
        <w:spacing w:line="240" w:lineRule="auto"/>
        <w:jc w:val="left"/>
        <w:rPr>
          <w:rFonts w:ascii="Times New Roman" w:hAnsi="Times New Roman"/>
          <w:b/>
          <w:bCs/>
          <w:color w:val="auto"/>
        </w:rPr>
      </w:pPr>
      <w:r>
        <w:rPr>
          <w:rFonts w:ascii="Times New Roman" w:hAnsi="Times New Roman"/>
          <w:b/>
          <w:bCs/>
          <w:color w:val="auto"/>
        </w:rPr>
        <w:t xml:space="preserve">Consultation </w:t>
      </w:r>
      <w:proofErr w:type="gramStart"/>
      <w:r>
        <w:rPr>
          <w:rFonts w:ascii="Times New Roman" w:hAnsi="Times New Roman"/>
          <w:b/>
          <w:bCs/>
          <w:color w:val="auto"/>
        </w:rPr>
        <w:t>Outside</w:t>
      </w:r>
      <w:proofErr w:type="gramEnd"/>
      <w:r>
        <w:rPr>
          <w:rFonts w:ascii="Times New Roman" w:hAnsi="Times New Roman"/>
          <w:b/>
          <w:bCs/>
          <w:color w:val="auto"/>
        </w:rPr>
        <w:t xml:space="preserve"> the Agency and Discussion of Public Comment</w:t>
      </w:r>
    </w:p>
    <w:p w:rsidR="00EF7393" w:rsidRDefault="00EF7393" w:rsidP="00EF7393">
      <w:pPr>
        <w:pStyle w:val="BodyText2"/>
        <w:tabs>
          <w:tab w:val="left" w:pos="360"/>
        </w:tabs>
        <w:spacing w:line="240" w:lineRule="auto"/>
        <w:jc w:val="left"/>
        <w:rPr>
          <w:rFonts w:ascii="Times New Roman" w:hAnsi="Times New Roman"/>
          <w:b/>
          <w:bCs/>
          <w:color w:val="auto"/>
        </w:rPr>
      </w:pPr>
    </w:p>
    <w:p w:rsidR="00EF7393" w:rsidRDefault="00EF7393" w:rsidP="00EF7393">
      <w:pPr>
        <w:pStyle w:val="BodyText2"/>
        <w:tabs>
          <w:tab w:val="left" w:pos="360"/>
        </w:tabs>
        <w:spacing w:line="240" w:lineRule="auto"/>
        <w:jc w:val="left"/>
        <w:rPr>
          <w:color w:val="auto"/>
        </w:rPr>
      </w:pPr>
      <w:r>
        <w:rPr>
          <w:rFonts w:ascii="Times New Roman" w:hAnsi="Times New Roman"/>
          <w:b/>
          <w:bCs/>
          <w:color w:val="auto"/>
        </w:rPr>
        <w:tab/>
      </w:r>
      <w:r w:rsidR="00EB7D1B" w:rsidRPr="00EF7393">
        <w:t xml:space="preserve">On March 15, 2011, a NPRM was published in the </w:t>
      </w:r>
      <w:r w:rsidR="00EB7D1B" w:rsidRPr="00EF7393">
        <w:rPr>
          <w:i/>
        </w:rPr>
        <w:t>Federal Register</w:t>
      </w:r>
      <w:r w:rsidR="00EB7D1B" w:rsidRPr="00EF7393">
        <w:t xml:space="preserve"> (76 FR 13896) </w:t>
      </w:r>
      <w:r w:rsidR="00A53697" w:rsidRPr="00EF7393">
        <w:t xml:space="preserve">requesting </w:t>
      </w:r>
      <w:r w:rsidR="00EB7D1B" w:rsidRPr="00EF7393">
        <w:t xml:space="preserve">public comment </w:t>
      </w:r>
      <w:r w:rsidR="00A53697" w:rsidRPr="00EF7393">
        <w:rPr>
          <w:rFonts w:eastAsia="Calibri"/>
        </w:rPr>
        <w:t xml:space="preserve">on the </w:t>
      </w:r>
      <w:r w:rsidR="00527D5E" w:rsidRPr="00EF7393">
        <w:rPr>
          <w:rFonts w:eastAsia="Calibri"/>
        </w:rPr>
        <w:t xml:space="preserve">proposed </w:t>
      </w:r>
      <w:r w:rsidR="00EB7D1B" w:rsidRPr="00EF7393">
        <w:rPr>
          <w:rFonts w:eastAsia="Calibri"/>
        </w:rPr>
        <w:t>amend</w:t>
      </w:r>
      <w:r w:rsidR="00A53697" w:rsidRPr="00EF7393">
        <w:rPr>
          <w:rFonts w:eastAsia="Calibri"/>
        </w:rPr>
        <w:t>ments to</w:t>
      </w:r>
      <w:r w:rsidR="00EB7D1B" w:rsidRPr="00EF7393">
        <w:rPr>
          <w:rFonts w:eastAsia="Calibri"/>
        </w:rPr>
        <w:t xml:space="preserve"> Regulation B.  </w:t>
      </w:r>
      <w:r w:rsidR="00EB7D1B" w:rsidRPr="00EF7393">
        <w:t>The comment period expire</w:t>
      </w:r>
      <w:r w:rsidR="007D32EF" w:rsidRPr="00EF7393">
        <w:t>d</w:t>
      </w:r>
      <w:r w:rsidR="00EB7D1B" w:rsidRPr="00EF7393">
        <w:t xml:space="preserve"> </w:t>
      </w:r>
      <w:r w:rsidR="00A53697" w:rsidRPr="00EF7393">
        <w:t xml:space="preserve">on </w:t>
      </w:r>
      <w:r w:rsidR="00EB7D1B" w:rsidRPr="00EF7393">
        <w:t>May 16, 2011.</w:t>
      </w:r>
      <w:r w:rsidR="00C55697" w:rsidRPr="00EF7393">
        <w:t xml:space="preserve">  The </w:t>
      </w:r>
      <w:r w:rsidRPr="00C55697">
        <w:t xml:space="preserve">Federal Reserve </w:t>
      </w:r>
      <w:r w:rsidR="00C55697" w:rsidRPr="00EF7393">
        <w:t xml:space="preserve">received five comments from industry groups that specifically addressed </w:t>
      </w:r>
      <w:r w:rsidR="00C55697" w:rsidRPr="00EF7393">
        <w:rPr>
          <w:rStyle w:val="documentbody1"/>
          <w:rFonts w:ascii="Times New Roman" w:hAnsi="Times New Roman"/>
          <w:sz w:val="24"/>
          <w:szCs w:val="24"/>
        </w:rPr>
        <w:t xml:space="preserve">paperwork burden.  </w:t>
      </w:r>
      <w:r w:rsidRPr="00EF7393">
        <w:t xml:space="preserve">In the proposal, the </w:t>
      </w:r>
      <w:r w:rsidRPr="00C55697">
        <w:t xml:space="preserve">Federal Reserve </w:t>
      </w:r>
      <w:r w:rsidRPr="00EF7393">
        <w:t xml:space="preserve">estimated that respondents potentially affected by the additional notice would take, on average, 16 hours (2 business days) to update their systems and modify model notices to comply with the proposed requirements. The </w:t>
      </w:r>
      <w:r w:rsidRPr="00C55697">
        <w:t xml:space="preserve">Federal Reserve </w:t>
      </w:r>
      <w:r w:rsidRPr="00EF7393">
        <w:t>recognized that the amount of time needed for any particular creditor subject to the proposed requirements may be higher or lower, but believed this average fi</w:t>
      </w:r>
      <w:r>
        <w:t xml:space="preserve">gure was a reasonable estimate.  </w:t>
      </w:r>
      <w:r w:rsidRPr="00EF7393">
        <w:rPr>
          <w:color w:val="auto"/>
        </w:rPr>
        <w:t xml:space="preserve">Several industry commenters believed that the </w:t>
      </w:r>
      <w:r w:rsidRPr="00C55697">
        <w:t xml:space="preserve">Federal Reserve </w:t>
      </w:r>
      <w:r w:rsidRPr="00EF7393">
        <w:rPr>
          <w:color w:val="auto"/>
        </w:rPr>
        <w:t>under</w:t>
      </w:r>
      <w:r>
        <w:rPr>
          <w:color w:val="auto"/>
        </w:rPr>
        <w:t xml:space="preserve"> </w:t>
      </w:r>
      <w:r w:rsidRPr="00EF7393">
        <w:rPr>
          <w:color w:val="auto"/>
        </w:rPr>
        <w:t xml:space="preserve">estimated the compliance burden of the proposed rule. These commenters asserted that compliance would require </w:t>
      </w:r>
      <w:r w:rsidRPr="00EF7393">
        <w:rPr>
          <w:color w:val="auto"/>
        </w:rPr>
        <w:t xml:space="preserve">between </w:t>
      </w:r>
      <w:r>
        <w:rPr>
          <w:color w:val="auto"/>
        </w:rPr>
        <w:t>two</w:t>
      </w:r>
      <w:r w:rsidRPr="00EF7393">
        <w:rPr>
          <w:color w:val="auto"/>
        </w:rPr>
        <w:t xml:space="preserve"> weeks </w:t>
      </w:r>
      <w:r w:rsidR="00E4723E">
        <w:rPr>
          <w:color w:val="auto"/>
        </w:rPr>
        <w:t xml:space="preserve">(80 hours) </w:t>
      </w:r>
      <w:r w:rsidRPr="00EF7393">
        <w:rPr>
          <w:color w:val="auto"/>
        </w:rPr>
        <w:t xml:space="preserve">and 8,000 hours. </w:t>
      </w:r>
    </w:p>
    <w:p w:rsidR="00EF7393" w:rsidRDefault="00EF7393" w:rsidP="00EF7393">
      <w:pPr>
        <w:pStyle w:val="BodyText2"/>
        <w:tabs>
          <w:tab w:val="left" w:pos="360"/>
        </w:tabs>
        <w:spacing w:line="240" w:lineRule="auto"/>
        <w:jc w:val="left"/>
        <w:rPr>
          <w:color w:val="auto"/>
        </w:rPr>
      </w:pPr>
    </w:p>
    <w:p w:rsidR="00C55697" w:rsidRPr="00EF7393" w:rsidRDefault="00EF7393" w:rsidP="00EF7393">
      <w:pPr>
        <w:pStyle w:val="BodyText2"/>
        <w:tabs>
          <w:tab w:val="left" w:pos="360"/>
        </w:tabs>
        <w:spacing w:line="240" w:lineRule="auto"/>
        <w:jc w:val="left"/>
      </w:pPr>
      <w:r>
        <w:rPr>
          <w:color w:val="auto"/>
        </w:rPr>
        <w:tab/>
      </w:r>
      <w:r w:rsidRPr="00EF7393">
        <w:rPr>
          <w:color w:val="auto"/>
        </w:rPr>
        <w:t xml:space="preserve">Based on these comments, the </w:t>
      </w:r>
      <w:r w:rsidRPr="00C55697">
        <w:t xml:space="preserve">Federal Reserve </w:t>
      </w:r>
      <w:r w:rsidRPr="00EF7393">
        <w:rPr>
          <w:color w:val="auto"/>
        </w:rPr>
        <w:t>agree</w:t>
      </w:r>
      <w:r>
        <w:rPr>
          <w:color w:val="auto"/>
        </w:rPr>
        <w:t>d</w:t>
      </w:r>
      <w:r w:rsidRPr="00EF7393">
        <w:rPr>
          <w:color w:val="auto"/>
        </w:rPr>
        <w:t xml:space="preserve"> that some additional time beyond 16 hours may be needed.</w:t>
      </w:r>
      <w:r>
        <w:rPr>
          <w:color w:val="auto"/>
        </w:rPr>
        <w:t xml:space="preserve">  </w:t>
      </w:r>
      <w:r w:rsidRPr="00EF7393">
        <w:rPr>
          <w:color w:val="auto"/>
        </w:rPr>
        <w:t xml:space="preserve">The </w:t>
      </w:r>
      <w:r w:rsidRPr="00C55697">
        <w:t>Federal Reserve</w:t>
      </w:r>
      <w:r w:rsidRPr="00EF7393">
        <w:rPr>
          <w:color w:val="auto"/>
        </w:rPr>
        <w:t>, therefore, revised upward its prior burden estimate</w:t>
      </w:r>
      <w:r>
        <w:rPr>
          <w:color w:val="auto"/>
        </w:rPr>
        <w:t xml:space="preserve"> to</w:t>
      </w:r>
      <w:r w:rsidRPr="00EF7393">
        <w:rPr>
          <w:color w:val="auto"/>
        </w:rPr>
        <w:t xml:space="preserve"> 32 hours (4 business days)</w:t>
      </w:r>
      <w:r>
        <w:rPr>
          <w:color w:val="auto"/>
        </w:rPr>
        <w:t xml:space="preserve">.  </w:t>
      </w:r>
      <w:r w:rsidRPr="00EF7393">
        <w:rPr>
          <w:color w:val="auto"/>
        </w:rPr>
        <w:t xml:space="preserve"> </w:t>
      </w:r>
      <w:r>
        <w:rPr>
          <w:color w:val="auto"/>
        </w:rPr>
        <w:t>E</w:t>
      </w:r>
      <w:r w:rsidRPr="00EF7393">
        <w:rPr>
          <w:color w:val="auto"/>
        </w:rPr>
        <w:t>ntities affected by th</w:t>
      </w:r>
      <w:r>
        <w:rPr>
          <w:color w:val="auto"/>
        </w:rPr>
        <w:t>e</w:t>
      </w:r>
      <w:r w:rsidRPr="00EF7393">
        <w:rPr>
          <w:color w:val="auto"/>
        </w:rPr>
        <w:t xml:space="preserve"> final rule are already familiar with the existing adverse action provisions</w:t>
      </w:r>
      <w:r w:rsidR="00777B39">
        <w:rPr>
          <w:color w:val="auto"/>
        </w:rPr>
        <w:t xml:space="preserve">, thus </w:t>
      </w:r>
      <w:r w:rsidR="00777B39" w:rsidRPr="00EF7393">
        <w:rPr>
          <w:color w:val="auto"/>
        </w:rPr>
        <w:t xml:space="preserve">to add additional information to </w:t>
      </w:r>
      <w:r w:rsidR="00777B39">
        <w:rPr>
          <w:color w:val="auto"/>
        </w:rPr>
        <w:t>their</w:t>
      </w:r>
      <w:r w:rsidR="00777B39" w:rsidRPr="00EF7393">
        <w:rPr>
          <w:color w:val="auto"/>
        </w:rPr>
        <w:t xml:space="preserve"> notice</w:t>
      </w:r>
      <w:r w:rsidR="00777B39">
        <w:rPr>
          <w:color w:val="auto"/>
        </w:rPr>
        <w:t xml:space="preserve"> </w:t>
      </w:r>
      <w:r w:rsidRPr="00EF7393">
        <w:rPr>
          <w:color w:val="auto"/>
        </w:rPr>
        <w:t>should not be overly burdensome</w:t>
      </w:r>
      <w:r w:rsidR="00777B39">
        <w:rPr>
          <w:color w:val="auto"/>
        </w:rPr>
        <w:t xml:space="preserve">.  </w:t>
      </w:r>
      <w:r w:rsidRPr="00EF7393">
        <w:rPr>
          <w:color w:val="auto"/>
        </w:rPr>
        <w:t xml:space="preserve"> In addition, the </w:t>
      </w:r>
      <w:r w:rsidR="00777B39" w:rsidRPr="00C55697">
        <w:t>Federal Reserve</w:t>
      </w:r>
      <w:r w:rsidR="00777B39" w:rsidRPr="00EF7393">
        <w:rPr>
          <w:color w:val="auto"/>
        </w:rPr>
        <w:t xml:space="preserve"> </w:t>
      </w:r>
      <w:r w:rsidRPr="00EF7393">
        <w:rPr>
          <w:color w:val="auto"/>
        </w:rPr>
        <w:t>has provided model notices that should significantly reduce the cost of compliance with the final rule.</w:t>
      </w:r>
      <w:r>
        <w:rPr>
          <w:color w:val="auto"/>
        </w:rPr>
        <w:t xml:space="preserve">  </w:t>
      </w:r>
      <w:r w:rsidR="00C55697" w:rsidRPr="00EF7393">
        <w:t xml:space="preserve">On July 15, 2011, a notice of final rulemaking was published in the </w:t>
      </w:r>
      <w:r w:rsidR="00C55697" w:rsidRPr="00EF7393">
        <w:rPr>
          <w:i/>
        </w:rPr>
        <w:t>Federal Register</w:t>
      </w:r>
      <w:r w:rsidR="00C55697" w:rsidRPr="00EF7393">
        <w:t xml:space="preserve"> adopting the amendments largely as proposed, with mandatory compliance by August 15, 2011 (76 FR </w:t>
      </w:r>
      <w:r w:rsidR="00777B39">
        <w:t>41590</w:t>
      </w:r>
      <w:r w:rsidR="00C55697" w:rsidRPr="00EF7393">
        <w:t>).</w:t>
      </w:r>
    </w:p>
    <w:p w:rsidR="00AF0F1D" w:rsidRPr="007105B3" w:rsidRDefault="00AF0F1D" w:rsidP="00347B2D">
      <w:pPr>
        <w:pStyle w:val="BodyText2"/>
        <w:tabs>
          <w:tab w:val="left" w:pos="360"/>
        </w:tabs>
        <w:spacing w:line="240" w:lineRule="auto"/>
        <w:jc w:val="left"/>
        <w:rPr>
          <w:rFonts w:ascii="Times New Roman" w:hAnsi="Times New Roman"/>
          <w:color w:val="auto"/>
        </w:rPr>
      </w:pPr>
    </w:p>
    <w:p w:rsidR="00AF0F1D" w:rsidRPr="007105B3" w:rsidRDefault="004E1FF1" w:rsidP="0027750D">
      <w:pPr>
        <w:spacing w:line="240" w:lineRule="auto"/>
        <w:jc w:val="left"/>
        <w:rPr>
          <w:b/>
        </w:rPr>
      </w:pPr>
      <w:r w:rsidRPr="007105B3">
        <w:rPr>
          <w:b/>
        </w:rPr>
        <w:t>Legal Status</w:t>
      </w:r>
    </w:p>
    <w:p w:rsidR="00AF0F1D" w:rsidRPr="007105B3" w:rsidRDefault="00AF0F1D" w:rsidP="00AF0F1D">
      <w:pPr>
        <w:spacing w:line="240" w:lineRule="auto"/>
        <w:ind w:firstLine="360"/>
        <w:jc w:val="left"/>
        <w:rPr>
          <w:b/>
        </w:rPr>
      </w:pPr>
    </w:p>
    <w:p w:rsidR="00AF0F1D" w:rsidRPr="007105B3" w:rsidRDefault="004E1FF1" w:rsidP="00AF0F1D">
      <w:pPr>
        <w:spacing w:line="240" w:lineRule="auto"/>
        <w:ind w:firstLine="360"/>
        <w:jc w:val="left"/>
      </w:pPr>
      <w:r w:rsidRPr="007105B3">
        <w:t xml:space="preserve">The Board's Legal Division has determined that 15 </w:t>
      </w:r>
      <w:smartTag w:uri="urn:schemas-microsoft-com:office:smarttags" w:element="stockticker">
        <w:r w:rsidRPr="007105B3">
          <w:t>USC</w:t>
        </w:r>
      </w:smartTag>
      <w:r w:rsidR="00F858B3" w:rsidRPr="007105B3">
        <w:t xml:space="preserve"> 1691 </w:t>
      </w:r>
      <w:r w:rsidRPr="007105B3">
        <w:t xml:space="preserve">authorize the </w:t>
      </w:r>
      <w:r w:rsidR="000F741E" w:rsidRPr="007105B3">
        <w:t>Federal Reserve</w:t>
      </w:r>
      <w:r w:rsidRPr="007105B3">
        <w:t xml:space="preserve"> to mandate the information disclosures.  Since the Federal Reserve does not collect any information, </w:t>
      </w:r>
      <w:r w:rsidRPr="007105B3">
        <w:lastRenderedPageBreak/>
        <w:t>no issue of confidentiality normally arises.  However, the information may be protected from disclosure under the exemptions (b</w:t>
      </w:r>
      <w:proofErr w:type="gramStart"/>
      <w:r w:rsidRPr="007105B3">
        <w:t>)(</w:t>
      </w:r>
      <w:proofErr w:type="gramEnd"/>
      <w:r w:rsidRPr="007105B3">
        <w:t>4), (6), and (8) of the Freedom of Information</w:t>
      </w:r>
      <w:r w:rsidR="00AF0F1D" w:rsidRPr="007105B3">
        <w:t xml:space="preserve"> Act (5 </w:t>
      </w:r>
      <w:smartTag w:uri="urn:schemas-microsoft-com:office:smarttags" w:element="stockticker">
        <w:r w:rsidR="00AF0F1D" w:rsidRPr="007105B3">
          <w:t>USC</w:t>
        </w:r>
      </w:smartTag>
      <w:r w:rsidR="00AF0F1D" w:rsidRPr="007105B3">
        <w:t xml:space="preserve"> 522 (b)).</w:t>
      </w:r>
    </w:p>
    <w:p w:rsidR="00AF0F1D" w:rsidRPr="007105B3" w:rsidRDefault="00AF0F1D" w:rsidP="00AF0F1D">
      <w:pPr>
        <w:spacing w:line="240" w:lineRule="auto"/>
        <w:ind w:firstLine="360"/>
        <w:jc w:val="left"/>
      </w:pPr>
    </w:p>
    <w:p w:rsidR="00AF0F1D" w:rsidRPr="007105B3" w:rsidRDefault="004E1FF1" w:rsidP="00AF0F1D">
      <w:pPr>
        <w:spacing w:line="240" w:lineRule="auto"/>
        <w:jc w:val="left"/>
      </w:pPr>
      <w:r w:rsidRPr="007105B3">
        <w:rPr>
          <w:b/>
        </w:rPr>
        <w:t>Estimate of Respondent Burden</w:t>
      </w:r>
      <w:r w:rsidRPr="007105B3">
        <w:t xml:space="preserve"> </w:t>
      </w:r>
      <w:bookmarkStart w:id="1" w:name="OLE_LINK1"/>
    </w:p>
    <w:p w:rsidR="00AF0F1D" w:rsidRPr="007105B3" w:rsidRDefault="00AF0F1D" w:rsidP="00AF0F1D">
      <w:pPr>
        <w:spacing w:line="240" w:lineRule="auto"/>
        <w:ind w:firstLine="360"/>
        <w:jc w:val="left"/>
      </w:pPr>
    </w:p>
    <w:p w:rsidR="0086792D" w:rsidRPr="007105B3" w:rsidRDefault="004E1FF1" w:rsidP="00AE2A5F">
      <w:pPr>
        <w:spacing w:line="240" w:lineRule="auto"/>
        <w:ind w:firstLine="360"/>
        <w:jc w:val="left"/>
      </w:pPr>
      <w:r w:rsidRPr="007105B3">
        <w:t xml:space="preserve">The </w:t>
      </w:r>
      <w:r w:rsidR="0049450C" w:rsidRPr="007105B3">
        <w:t>total</w:t>
      </w:r>
      <w:r w:rsidR="00347B2D" w:rsidRPr="007105B3">
        <w:t xml:space="preserve"> </w:t>
      </w:r>
      <w:r w:rsidRPr="007105B3">
        <w:t>annual burden for this information collection is</w:t>
      </w:r>
      <w:r w:rsidR="00347B2D" w:rsidRPr="007105B3">
        <w:t xml:space="preserve"> estimated to </w:t>
      </w:r>
      <w:r w:rsidR="0086792D" w:rsidRPr="007105B3">
        <w:t>increase from</w:t>
      </w:r>
      <w:r w:rsidRPr="007105B3">
        <w:t xml:space="preserve"> </w:t>
      </w:r>
      <w:r w:rsidR="0099189E" w:rsidRPr="007105B3">
        <w:t>1</w:t>
      </w:r>
      <w:r w:rsidR="00347B2D" w:rsidRPr="007105B3">
        <w:t>57</w:t>
      </w:r>
      <w:r w:rsidR="0099189E" w:rsidRPr="007105B3">
        <w:t>,</w:t>
      </w:r>
      <w:r w:rsidR="00347B2D" w:rsidRPr="007105B3">
        <w:t>538</w:t>
      </w:r>
      <w:r w:rsidRPr="007105B3">
        <w:t xml:space="preserve"> hours</w:t>
      </w:r>
      <w:r w:rsidR="0086792D" w:rsidRPr="007105B3">
        <w:t xml:space="preserve"> to 1</w:t>
      </w:r>
      <w:r w:rsidR="007C1053">
        <w:t>92</w:t>
      </w:r>
      <w:r w:rsidR="0086792D" w:rsidRPr="007105B3">
        <w:t>,</w:t>
      </w:r>
      <w:r w:rsidR="007C1053">
        <w:t>962</w:t>
      </w:r>
      <w:r w:rsidR="0086792D" w:rsidRPr="007105B3">
        <w:t xml:space="preserve"> hours</w:t>
      </w:r>
      <w:r w:rsidRPr="007105B3">
        <w:t xml:space="preserve">, as shown in the </w:t>
      </w:r>
      <w:r w:rsidR="004F19AC" w:rsidRPr="007105B3">
        <w:t xml:space="preserve">following </w:t>
      </w:r>
      <w:r w:rsidRPr="007105B3">
        <w:t xml:space="preserve">table.  </w:t>
      </w:r>
      <w:bookmarkEnd w:id="1"/>
      <w:r w:rsidR="00D13374" w:rsidRPr="007105B3">
        <w:rPr>
          <w:rFonts w:eastAsia="Calibri"/>
        </w:rPr>
        <w:t xml:space="preserve">The </w:t>
      </w:r>
      <w:r w:rsidR="00D13374" w:rsidRPr="007105B3">
        <w:t>Federal Reserve</w:t>
      </w:r>
      <w:r w:rsidR="00D13374" w:rsidRPr="007105B3">
        <w:rPr>
          <w:rFonts w:eastAsia="Calibri"/>
        </w:rPr>
        <w:t xml:space="preserve"> estimates that </w:t>
      </w:r>
      <w:r w:rsidR="001A1673" w:rsidRPr="007105B3">
        <w:rPr>
          <w:rFonts w:eastAsia="Calibri"/>
        </w:rPr>
        <w:t xml:space="preserve">the </w:t>
      </w:r>
      <w:r w:rsidR="00D13374" w:rsidRPr="007105B3">
        <w:rPr>
          <w:rFonts w:eastAsia="Calibri"/>
        </w:rPr>
        <w:t xml:space="preserve">1,107 respondents regulated by the Federal Reserve would take, on average, </w:t>
      </w:r>
      <w:r w:rsidR="00042F77">
        <w:rPr>
          <w:rFonts w:eastAsia="Calibri"/>
        </w:rPr>
        <w:t>32</w:t>
      </w:r>
      <w:r w:rsidR="00D13374" w:rsidRPr="007105B3">
        <w:rPr>
          <w:rFonts w:eastAsia="Calibri"/>
        </w:rPr>
        <w:t xml:space="preserve"> hours (</w:t>
      </w:r>
      <w:r w:rsidR="00042F77">
        <w:rPr>
          <w:rFonts w:eastAsia="Calibri"/>
        </w:rPr>
        <w:t>four</w:t>
      </w:r>
      <w:r w:rsidR="00D13374" w:rsidRPr="007105B3">
        <w:rPr>
          <w:rFonts w:eastAsia="Calibri"/>
        </w:rPr>
        <w:t xml:space="preserve"> business days) </w:t>
      </w:r>
      <w:r w:rsidR="00D00916" w:rsidRPr="007105B3">
        <w:t>to update their systems and modify model notices to comply with proposed requirements.</w:t>
      </w:r>
      <w:r w:rsidR="00D13374" w:rsidRPr="007105B3">
        <w:rPr>
          <w:rFonts w:eastAsia="Calibri"/>
        </w:rPr>
        <w:t xml:space="preserve">  This one-time </w:t>
      </w:r>
      <w:r w:rsidR="00A53697" w:rsidRPr="007105B3">
        <w:rPr>
          <w:rFonts w:eastAsia="Calibri"/>
        </w:rPr>
        <w:t xml:space="preserve">requirement </w:t>
      </w:r>
      <w:r w:rsidR="001A1673" w:rsidRPr="007105B3">
        <w:rPr>
          <w:rFonts w:eastAsia="Calibri"/>
        </w:rPr>
        <w:t>would</w:t>
      </w:r>
      <w:r w:rsidR="00D13374" w:rsidRPr="007105B3">
        <w:rPr>
          <w:rFonts w:eastAsia="Calibri"/>
        </w:rPr>
        <w:t xml:space="preserve"> increase the burden by </w:t>
      </w:r>
      <w:r w:rsidR="00042F77">
        <w:rPr>
          <w:rFonts w:eastAsia="Calibri"/>
        </w:rPr>
        <w:t>35</w:t>
      </w:r>
      <w:r w:rsidR="00D13374" w:rsidRPr="007105B3">
        <w:rPr>
          <w:rFonts w:eastAsia="Calibri"/>
        </w:rPr>
        <w:t>,</w:t>
      </w:r>
      <w:r w:rsidR="00042F77">
        <w:rPr>
          <w:rFonts w:eastAsia="Calibri"/>
        </w:rPr>
        <w:t>424</w:t>
      </w:r>
      <w:r w:rsidR="00D13374" w:rsidRPr="007105B3">
        <w:rPr>
          <w:rFonts w:eastAsia="Calibri"/>
        </w:rPr>
        <w:t xml:space="preserve"> hours.  The Federal Reserve estimates that, on a continuing basis, the revision to the rule would have a negligible effect on the annual burden.  </w:t>
      </w:r>
      <w:r w:rsidR="0086792D" w:rsidRPr="007105B3">
        <w:t>The recordkeeping and disclosure requirements represent less than 2 percent of total Federal Reserve System paperwork burden.</w:t>
      </w:r>
    </w:p>
    <w:p w:rsidR="0086792D" w:rsidRPr="007105B3" w:rsidRDefault="0086792D" w:rsidP="0086792D">
      <w:pPr>
        <w:spacing w:line="240" w:lineRule="auto"/>
        <w:ind w:firstLine="360"/>
        <w:jc w:val="left"/>
      </w:pPr>
    </w:p>
    <w:p w:rsidR="00D13374" w:rsidRPr="007105B3" w:rsidRDefault="00D13374" w:rsidP="00EB7D1B">
      <w:pPr>
        <w:spacing w:line="240" w:lineRule="auto"/>
        <w:ind w:firstLine="360"/>
        <w:jc w:val="left"/>
      </w:pPr>
      <w:r w:rsidRPr="007105B3">
        <w:rPr>
          <w:rFonts w:eastAsia="Calibri"/>
        </w:rPr>
        <w:t>This total estimated burden increase represents averages for all respondents supervised by the Federal Reserve.  The Board expects that the amount of time required to implement each of the changes for a given institution may vary based on the size and complexity of the respondent.</w:t>
      </w:r>
    </w:p>
    <w:p w:rsidR="00D13374" w:rsidRPr="007105B3" w:rsidRDefault="00D13374" w:rsidP="00D13374">
      <w:pPr>
        <w:pStyle w:val="BodyTextIndent"/>
        <w:spacing w:line="240" w:lineRule="auto"/>
        <w:jc w:val="left"/>
        <w:rPr>
          <w:rFonts w:ascii="Times New Roman" w:eastAsia="Calibri" w:hAnsi="Times New Roman"/>
          <w:color w:val="auto"/>
        </w:rPr>
      </w:pPr>
    </w:p>
    <w:p w:rsidR="0086792D" w:rsidRPr="007105B3" w:rsidRDefault="0086792D">
      <w:pPr>
        <w:widowControl/>
        <w:adjustRightInd/>
        <w:spacing w:line="240" w:lineRule="auto"/>
        <w:jc w:val="left"/>
        <w:textAlignment w:val="auto"/>
        <w:rPr>
          <w:rFonts w:eastAsia="Calibri"/>
        </w:rPr>
      </w:pPr>
      <w:r w:rsidRPr="007105B3">
        <w:rPr>
          <w:rFonts w:eastAsia="Calibri"/>
        </w:rPr>
        <w:br w:type="page"/>
      </w:r>
    </w:p>
    <w:p w:rsidR="004E1FF1" w:rsidRPr="007105B3" w:rsidRDefault="004E1FF1" w:rsidP="00541630">
      <w:pPr>
        <w:spacing w:line="240" w:lineRule="auto"/>
        <w:jc w:val="left"/>
      </w:pPr>
    </w:p>
    <w:tbl>
      <w:tblPr>
        <w:tblW w:w="0" w:type="auto"/>
        <w:tblInd w:w="139" w:type="dxa"/>
        <w:tblBorders>
          <w:top w:val="single" w:sz="4" w:space="0" w:color="auto"/>
          <w:bottom w:val="single" w:sz="4" w:space="0" w:color="auto"/>
        </w:tblBorders>
        <w:tblLayout w:type="fixed"/>
        <w:tblCellMar>
          <w:left w:w="139" w:type="dxa"/>
          <w:right w:w="139" w:type="dxa"/>
        </w:tblCellMar>
        <w:tblLook w:val="0000"/>
      </w:tblPr>
      <w:tblGrid>
        <w:gridCol w:w="3690"/>
        <w:gridCol w:w="1467"/>
        <w:gridCol w:w="1377"/>
        <w:gridCol w:w="1377"/>
        <w:gridCol w:w="1377"/>
      </w:tblGrid>
      <w:tr w:rsidR="004E1FF1" w:rsidRPr="007105B3" w:rsidTr="00E05995">
        <w:trPr>
          <w:cantSplit/>
        </w:trPr>
        <w:tc>
          <w:tcPr>
            <w:tcW w:w="3690" w:type="dxa"/>
            <w:vAlign w:val="center"/>
          </w:tcPr>
          <w:p w:rsidR="004E1FF1" w:rsidRPr="007105B3" w:rsidRDefault="00165851" w:rsidP="00165851">
            <w:pPr>
              <w:spacing w:line="240" w:lineRule="auto"/>
              <w:jc w:val="left"/>
            </w:pPr>
            <w:r w:rsidRPr="007105B3">
              <w:t>Current</w:t>
            </w:r>
          </w:p>
        </w:tc>
        <w:tc>
          <w:tcPr>
            <w:tcW w:w="1467" w:type="dxa"/>
            <w:vAlign w:val="center"/>
          </w:tcPr>
          <w:p w:rsidR="00BD2E72" w:rsidRPr="007105B3" w:rsidRDefault="000F4A07" w:rsidP="003B1258">
            <w:pPr>
              <w:spacing w:line="240" w:lineRule="auto"/>
              <w:jc w:val="center"/>
              <w:rPr>
                <w:i/>
              </w:rPr>
            </w:pPr>
            <w:r w:rsidRPr="007105B3">
              <w:rPr>
                <w:i/>
              </w:rPr>
              <w:t>N</w:t>
            </w:r>
            <w:r w:rsidR="004E1FF1" w:rsidRPr="007105B3">
              <w:rPr>
                <w:i/>
              </w:rPr>
              <w:t>umber</w:t>
            </w:r>
          </w:p>
          <w:p w:rsidR="00BD2E72" w:rsidRPr="007105B3" w:rsidRDefault="006C1C21" w:rsidP="003B1258">
            <w:pPr>
              <w:spacing w:line="240" w:lineRule="auto"/>
              <w:jc w:val="center"/>
              <w:rPr>
                <w:i/>
              </w:rPr>
            </w:pPr>
            <w:r w:rsidRPr="007105B3">
              <w:rPr>
                <w:i/>
              </w:rPr>
              <w:t>o</w:t>
            </w:r>
            <w:r w:rsidR="00BD2E72" w:rsidRPr="007105B3">
              <w:rPr>
                <w:i/>
              </w:rPr>
              <w:t>f</w:t>
            </w:r>
          </w:p>
          <w:p w:rsidR="004E1FF1" w:rsidRPr="007105B3" w:rsidRDefault="004E1FF1" w:rsidP="003B1258">
            <w:pPr>
              <w:spacing w:line="240" w:lineRule="auto"/>
              <w:jc w:val="center"/>
            </w:pPr>
            <w:r w:rsidRPr="007105B3">
              <w:rPr>
                <w:i/>
              </w:rPr>
              <w:t>respondents</w:t>
            </w:r>
          </w:p>
        </w:tc>
        <w:tc>
          <w:tcPr>
            <w:tcW w:w="1377" w:type="dxa"/>
            <w:vAlign w:val="center"/>
          </w:tcPr>
          <w:p w:rsidR="004E1FF1" w:rsidRPr="007105B3" w:rsidRDefault="004E1FF1" w:rsidP="003B1258">
            <w:pPr>
              <w:spacing w:line="240" w:lineRule="auto"/>
              <w:jc w:val="center"/>
            </w:pPr>
            <w:r w:rsidRPr="007105B3">
              <w:rPr>
                <w:i/>
              </w:rPr>
              <w:t>Estimated annual frequency</w:t>
            </w:r>
          </w:p>
        </w:tc>
        <w:tc>
          <w:tcPr>
            <w:tcW w:w="1377" w:type="dxa"/>
            <w:vAlign w:val="center"/>
          </w:tcPr>
          <w:p w:rsidR="004E1FF1" w:rsidRPr="007105B3" w:rsidRDefault="004E1FF1" w:rsidP="003B1258">
            <w:pPr>
              <w:spacing w:line="240" w:lineRule="auto"/>
              <w:jc w:val="center"/>
            </w:pPr>
            <w:r w:rsidRPr="007105B3">
              <w:rPr>
                <w:i/>
              </w:rPr>
              <w:t xml:space="preserve">Estimated </w:t>
            </w:r>
            <w:r w:rsidR="006C1C21" w:rsidRPr="007105B3">
              <w:rPr>
                <w:i/>
              </w:rPr>
              <w:t>response time</w:t>
            </w:r>
          </w:p>
        </w:tc>
        <w:tc>
          <w:tcPr>
            <w:tcW w:w="1377" w:type="dxa"/>
            <w:vAlign w:val="center"/>
          </w:tcPr>
          <w:p w:rsidR="004E1FF1" w:rsidRPr="007105B3" w:rsidRDefault="004E1FF1" w:rsidP="007048E2">
            <w:pPr>
              <w:spacing w:line="240" w:lineRule="auto"/>
              <w:jc w:val="center"/>
              <w:rPr>
                <w:i/>
              </w:rPr>
            </w:pPr>
            <w:r w:rsidRPr="007105B3">
              <w:rPr>
                <w:i/>
              </w:rPr>
              <w:t>Estimated annual burden</w:t>
            </w:r>
            <w:r w:rsidR="003B1258" w:rsidRPr="007105B3">
              <w:rPr>
                <w:i/>
              </w:rPr>
              <w:t xml:space="preserve"> </w:t>
            </w:r>
            <w:r w:rsidRPr="007105B3">
              <w:rPr>
                <w:i/>
              </w:rPr>
              <w:t>hours</w:t>
            </w:r>
          </w:p>
        </w:tc>
      </w:tr>
      <w:tr w:rsidR="00A04496" w:rsidRPr="007105B3" w:rsidTr="00E05995">
        <w:trPr>
          <w:cantSplit/>
        </w:trPr>
        <w:tc>
          <w:tcPr>
            <w:tcW w:w="3690" w:type="dxa"/>
            <w:vAlign w:val="bottom"/>
          </w:tcPr>
          <w:p w:rsidR="00A04496" w:rsidRPr="007105B3" w:rsidRDefault="00010F66" w:rsidP="00541630">
            <w:pPr>
              <w:spacing w:line="240" w:lineRule="auto"/>
              <w:jc w:val="left"/>
            </w:pPr>
            <w:r w:rsidRPr="007105B3">
              <w:t>Notifications</w:t>
            </w:r>
            <w:r w:rsidR="00A04496" w:rsidRPr="007105B3">
              <w:t xml:space="preserve"> </w:t>
            </w:r>
            <w:r w:rsidR="00A04496" w:rsidRPr="007105B3">
              <w:rPr>
                <w:b/>
              </w:rPr>
              <w:t>(202.9)</w:t>
            </w:r>
          </w:p>
        </w:tc>
        <w:tc>
          <w:tcPr>
            <w:tcW w:w="1467" w:type="dxa"/>
            <w:vAlign w:val="bottom"/>
          </w:tcPr>
          <w:p w:rsidR="00A04496" w:rsidRPr="007105B3" w:rsidRDefault="00C944E1" w:rsidP="007048E2">
            <w:pPr>
              <w:spacing w:line="240" w:lineRule="auto"/>
              <w:jc w:val="center"/>
            </w:pPr>
            <w:r w:rsidRPr="007105B3">
              <w:t>1,</w:t>
            </w:r>
            <w:r w:rsidR="007048E2" w:rsidRPr="007105B3">
              <w:t>107</w:t>
            </w:r>
          </w:p>
        </w:tc>
        <w:tc>
          <w:tcPr>
            <w:tcW w:w="1377" w:type="dxa"/>
            <w:vAlign w:val="bottom"/>
          </w:tcPr>
          <w:p w:rsidR="00A04496" w:rsidRPr="007105B3" w:rsidRDefault="007048E2" w:rsidP="00831DD5">
            <w:pPr>
              <w:spacing w:line="240" w:lineRule="auto"/>
              <w:jc w:val="center"/>
            </w:pPr>
            <w:r w:rsidRPr="007105B3">
              <w:t>12</w:t>
            </w:r>
          </w:p>
        </w:tc>
        <w:tc>
          <w:tcPr>
            <w:tcW w:w="1377" w:type="dxa"/>
            <w:vAlign w:val="bottom"/>
          </w:tcPr>
          <w:p w:rsidR="00A04496" w:rsidRPr="007105B3" w:rsidRDefault="007048E2" w:rsidP="00831DD5">
            <w:pPr>
              <w:spacing w:line="240" w:lineRule="auto"/>
              <w:jc w:val="center"/>
            </w:pPr>
            <w:r w:rsidRPr="007105B3">
              <w:t>6 hours</w:t>
            </w:r>
          </w:p>
        </w:tc>
        <w:tc>
          <w:tcPr>
            <w:tcW w:w="1377" w:type="dxa"/>
            <w:vAlign w:val="bottom"/>
          </w:tcPr>
          <w:p w:rsidR="00F17164" w:rsidRPr="007105B3" w:rsidRDefault="00F17164" w:rsidP="00831DD5">
            <w:pPr>
              <w:spacing w:line="240" w:lineRule="auto"/>
              <w:jc w:val="right"/>
            </w:pPr>
          </w:p>
          <w:p w:rsidR="00A04496" w:rsidRPr="007105B3" w:rsidRDefault="007048E2" w:rsidP="00831DD5">
            <w:pPr>
              <w:spacing w:line="240" w:lineRule="auto"/>
              <w:jc w:val="right"/>
            </w:pPr>
            <w:r w:rsidRPr="007105B3">
              <w:t>79,704</w:t>
            </w:r>
          </w:p>
        </w:tc>
      </w:tr>
      <w:tr w:rsidR="00672006" w:rsidRPr="007105B3" w:rsidTr="00E05995">
        <w:trPr>
          <w:cantSplit/>
        </w:trPr>
        <w:tc>
          <w:tcPr>
            <w:tcW w:w="3690" w:type="dxa"/>
            <w:vAlign w:val="bottom"/>
          </w:tcPr>
          <w:p w:rsidR="00187F49" w:rsidRPr="007105B3" w:rsidRDefault="00010F66" w:rsidP="00541630">
            <w:pPr>
              <w:spacing w:line="240" w:lineRule="auto"/>
              <w:jc w:val="left"/>
            </w:pPr>
            <w:r w:rsidRPr="007105B3">
              <w:t xml:space="preserve">Furnishing of credit </w:t>
            </w:r>
          </w:p>
          <w:p w:rsidR="00672006" w:rsidRPr="007105B3" w:rsidRDefault="00010F66" w:rsidP="00541630">
            <w:pPr>
              <w:spacing w:line="240" w:lineRule="auto"/>
              <w:jc w:val="left"/>
            </w:pPr>
            <w:r w:rsidRPr="007105B3">
              <w:t>information</w:t>
            </w:r>
            <w:r w:rsidR="00672006" w:rsidRPr="007105B3">
              <w:t xml:space="preserve"> </w:t>
            </w:r>
            <w:r w:rsidR="00672006" w:rsidRPr="007105B3">
              <w:rPr>
                <w:b/>
              </w:rPr>
              <w:t>(202.10)</w:t>
            </w:r>
          </w:p>
        </w:tc>
        <w:tc>
          <w:tcPr>
            <w:tcW w:w="1467" w:type="dxa"/>
            <w:vAlign w:val="bottom"/>
          </w:tcPr>
          <w:p w:rsidR="00672006" w:rsidRPr="007105B3" w:rsidRDefault="007048E2" w:rsidP="007048E2">
            <w:pPr>
              <w:spacing w:line="240" w:lineRule="auto"/>
              <w:jc w:val="center"/>
            </w:pPr>
            <w:r w:rsidRPr="007105B3">
              <w:t>1,107</w:t>
            </w:r>
          </w:p>
        </w:tc>
        <w:tc>
          <w:tcPr>
            <w:tcW w:w="1377" w:type="dxa"/>
            <w:vAlign w:val="bottom"/>
          </w:tcPr>
          <w:p w:rsidR="00672006" w:rsidRPr="007105B3" w:rsidRDefault="007048E2" w:rsidP="00831DD5">
            <w:pPr>
              <w:spacing w:line="240" w:lineRule="auto"/>
              <w:jc w:val="center"/>
            </w:pPr>
            <w:r w:rsidRPr="007105B3">
              <w:t>12</w:t>
            </w:r>
          </w:p>
        </w:tc>
        <w:tc>
          <w:tcPr>
            <w:tcW w:w="1377" w:type="dxa"/>
            <w:vAlign w:val="bottom"/>
          </w:tcPr>
          <w:p w:rsidR="00672006" w:rsidRPr="007105B3" w:rsidRDefault="00672006" w:rsidP="007048E2">
            <w:pPr>
              <w:spacing w:line="240" w:lineRule="auto"/>
              <w:jc w:val="center"/>
            </w:pPr>
            <w:r w:rsidRPr="007105B3">
              <w:t>2.</w:t>
            </w:r>
            <w:r w:rsidR="007048E2" w:rsidRPr="007105B3">
              <w:t>50 hours</w:t>
            </w:r>
          </w:p>
        </w:tc>
        <w:tc>
          <w:tcPr>
            <w:tcW w:w="1377" w:type="dxa"/>
            <w:vAlign w:val="bottom"/>
          </w:tcPr>
          <w:p w:rsidR="00672006" w:rsidRPr="007105B3" w:rsidRDefault="00672006" w:rsidP="00831DD5">
            <w:pPr>
              <w:spacing w:line="240" w:lineRule="auto"/>
              <w:jc w:val="right"/>
            </w:pPr>
          </w:p>
          <w:p w:rsidR="00F17164" w:rsidRPr="007105B3" w:rsidRDefault="004A07DC" w:rsidP="007048E2">
            <w:pPr>
              <w:spacing w:line="240" w:lineRule="auto"/>
              <w:jc w:val="right"/>
            </w:pPr>
            <w:r w:rsidRPr="007105B3">
              <w:t>3</w:t>
            </w:r>
            <w:r w:rsidR="007048E2" w:rsidRPr="007105B3">
              <w:t>3</w:t>
            </w:r>
            <w:r w:rsidRPr="007105B3">
              <w:t>,</w:t>
            </w:r>
            <w:r w:rsidR="007048E2" w:rsidRPr="007105B3">
              <w:t>210</w:t>
            </w:r>
          </w:p>
        </w:tc>
      </w:tr>
      <w:tr w:rsidR="008401A9" w:rsidRPr="007105B3" w:rsidTr="00E05995">
        <w:trPr>
          <w:cantSplit/>
        </w:trPr>
        <w:tc>
          <w:tcPr>
            <w:tcW w:w="3690" w:type="dxa"/>
            <w:vAlign w:val="bottom"/>
          </w:tcPr>
          <w:p w:rsidR="00187F49" w:rsidRPr="007105B3" w:rsidRDefault="00F6160D" w:rsidP="00541630">
            <w:pPr>
              <w:spacing w:line="240" w:lineRule="auto"/>
              <w:jc w:val="left"/>
              <w:rPr>
                <w:i/>
              </w:rPr>
            </w:pPr>
            <w:r w:rsidRPr="007105B3">
              <w:t>Record retention</w:t>
            </w:r>
            <w:r w:rsidR="00187F49" w:rsidRPr="007105B3">
              <w:t xml:space="preserve"> </w:t>
            </w:r>
            <w:r w:rsidR="00187F49" w:rsidRPr="007105B3">
              <w:rPr>
                <w:b/>
              </w:rPr>
              <w:t>(202.12)</w:t>
            </w:r>
            <w:r w:rsidR="007C2EFE" w:rsidRPr="007105B3">
              <w:t>:</w:t>
            </w:r>
            <w:r w:rsidRPr="007105B3">
              <w:rPr>
                <w:i/>
              </w:rPr>
              <w:t xml:space="preserve"> </w:t>
            </w:r>
          </w:p>
          <w:p w:rsidR="008401A9" w:rsidRPr="007105B3" w:rsidRDefault="007C2EFE" w:rsidP="00F674EA">
            <w:pPr>
              <w:spacing w:line="240" w:lineRule="auto"/>
              <w:jc w:val="left"/>
              <w:rPr>
                <w:i/>
              </w:rPr>
            </w:pPr>
            <w:r w:rsidRPr="007105B3">
              <w:rPr>
                <w:i/>
              </w:rPr>
              <w:t xml:space="preserve">  </w:t>
            </w:r>
            <w:r w:rsidR="00187F49" w:rsidRPr="007105B3">
              <w:rPr>
                <w:i/>
              </w:rPr>
              <w:t>A</w:t>
            </w:r>
            <w:r w:rsidR="00F6160D" w:rsidRPr="007105B3">
              <w:rPr>
                <w:i/>
              </w:rPr>
              <w:t>pplications, action</w:t>
            </w:r>
            <w:r w:rsidR="00187F49" w:rsidRPr="007105B3">
              <w:rPr>
                <w:i/>
              </w:rPr>
              <w:t xml:space="preserve">s, and </w:t>
            </w:r>
            <w:r w:rsidRPr="007105B3">
              <w:rPr>
                <w:i/>
              </w:rPr>
              <w:t xml:space="preserve">  </w:t>
            </w:r>
            <w:r w:rsidRPr="007105B3">
              <w:t xml:space="preserve">       </w:t>
            </w:r>
            <w:r w:rsidR="00187F49" w:rsidRPr="007105B3">
              <w:rPr>
                <w:i/>
              </w:rPr>
              <w:t>prescreened solicitations</w:t>
            </w:r>
            <w:r w:rsidR="00F86274" w:rsidRPr="007105B3">
              <w:rPr>
                <w:rStyle w:val="FootnoteReference"/>
                <w:i/>
              </w:rPr>
              <w:footnoteReference w:id="6"/>
            </w:r>
          </w:p>
        </w:tc>
        <w:tc>
          <w:tcPr>
            <w:tcW w:w="1467" w:type="dxa"/>
            <w:vAlign w:val="bottom"/>
          </w:tcPr>
          <w:p w:rsidR="008401A9" w:rsidRPr="007105B3" w:rsidRDefault="007048E2" w:rsidP="007048E2">
            <w:pPr>
              <w:spacing w:line="240" w:lineRule="auto"/>
              <w:jc w:val="center"/>
            </w:pPr>
            <w:r w:rsidRPr="007105B3">
              <w:t>1,107</w:t>
            </w:r>
          </w:p>
        </w:tc>
        <w:tc>
          <w:tcPr>
            <w:tcW w:w="1377" w:type="dxa"/>
            <w:vAlign w:val="bottom"/>
          </w:tcPr>
          <w:p w:rsidR="008401A9" w:rsidRPr="007105B3" w:rsidRDefault="008401A9" w:rsidP="00831DD5">
            <w:pPr>
              <w:spacing w:line="240" w:lineRule="auto"/>
              <w:jc w:val="center"/>
            </w:pPr>
            <w:r w:rsidRPr="007105B3">
              <w:t>1</w:t>
            </w:r>
          </w:p>
        </w:tc>
        <w:tc>
          <w:tcPr>
            <w:tcW w:w="1377" w:type="dxa"/>
            <w:vAlign w:val="bottom"/>
          </w:tcPr>
          <w:p w:rsidR="008401A9" w:rsidRPr="007105B3" w:rsidRDefault="008401A9" w:rsidP="00831DD5">
            <w:pPr>
              <w:spacing w:line="240" w:lineRule="auto"/>
              <w:jc w:val="center"/>
            </w:pPr>
            <w:r w:rsidRPr="007105B3">
              <w:t>8 hours</w:t>
            </w:r>
          </w:p>
        </w:tc>
        <w:tc>
          <w:tcPr>
            <w:tcW w:w="1377" w:type="dxa"/>
            <w:vAlign w:val="bottom"/>
          </w:tcPr>
          <w:p w:rsidR="008401A9" w:rsidRPr="007105B3" w:rsidRDefault="008401A9" w:rsidP="00831DD5">
            <w:pPr>
              <w:spacing w:line="240" w:lineRule="auto"/>
              <w:jc w:val="right"/>
            </w:pPr>
          </w:p>
          <w:p w:rsidR="00F17164" w:rsidRPr="007105B3" w:rsidRDefault="007048E2" w:rsidP="007048E2">
            <w:pPr>
              <w:spacing w:line="240" w:lineRule="auto"/>
              <w:jc w:val="right"/>
            </w:pPr>
            <w:r w:rsidRPr="007105B3">
              <w:t>8</w:t>
            </w:r>
            <w:r w:rsidR="004A07DC" w:rsidRPr="007105B3">
              <w:t>,</w:t>
            </w:r>
            <w:r w:rsidRPr="007105B3">
              <w:t>856</w:t>
            </w:r>
          </w:p>
        </w:tc>
      </w:tr>
      <w:tr w:rsidR="00672006" w:rsidRPr="007105B3" w:rsidTr="00E05995">
        <w:trPr>
          <w:cantSplit/>
        </w:trPr>
        <w:tc>
          <w:tcPr>
            <w:tcW w:w="3690" w:type="dxa"/>
            <w:vAlign w:val="bottom"/>
          </w:tcPr>
          <w:p w:rsidR="00672006" w:rsidRPr="007105B3" w:rsidRDefault="00010F66" w:rsidP="00541630">
            <w:pPr>
              <w:spacing w:line="240" w:lineRule="auto"/>
              <w:jc w:val="left"/>
            </w:pPr>
            <w:r w:rsidRPr="007105B3">
              <w:t>Information for monitoring purposes</w:t>
            </w:r>
            <w:r w:rsidRPr="007105B3" w:rsidDel="00010F66">
              <w:t xml:space="preserve"> </w:t>
            </w:r>
            <w:r w:rsidR="00672006" w:rsidRPr="007105B3">
              <w:rPr>
                <w:b/>
              </w:rPr>
              <w:t>(202.13)</w:t>
            </w:r>
          </w:p>
        </w:tc>
        <w:tc>
          <w:tcPr>
            <w:tcW w:w="1467" w:type="dxa"/>
            <w:vAlign w:val="bottom"/>
          </w:tcPr>
          <w:p w:rsidR="00672006" w:rsidRPr="007105B3" w:rsidRDefault="007048E2" w:rsidP="007048E2">
            <w:pPr>
              <w:spacing w:line="240" w:lineRule="auto"/>
              <w:jc w:val="center"/>
            </w:pPr>
            <w:r w:rsidRPr="007105B3">
              <w:t>1,107</w:t>
            </w:r>
          </w:p>
        </w:tc>
        <w:tc>
          <w:tcPr>
            <w:tcW w:w="1377" w:type="dxa"/>
            <w:vAlign w:val="bottom"/>
          </w:tcPr>
          <w:p w:rsidR="00672006" w:rsidRPr="007105B3" w:rsidRDefault="007048E2" w:rsidP="00831DD5">
            <w:pPr>
              <w:spacing w:line="240" w:lineRule="auto"/>
              <w:jc w:val="center"/>
            </w:pPr>
            <w:r w:rsidRPr="007105B3">
              <w:t>12</w:t>
            </w:r>
          </w:p>
        </w:tc>
        <w:tc>
          <w:tcPr>
            <w:tcW w:w="1377" w:type="dxa"/>
            <w:vAlign w:val="bottom"/>
          </w:tcPr>
          <w:p w:rsidR="00672006" w:rsidRPr="007105B3" w:rsidRDefault="007048E2" w:rsidP="007048E2">
            <w:pPr>
              <w:spacing w:line="240" w:lineRule="auto"/>
              <w:jc w:val="center"/>
            </w:pPr>
            <w:r w:rsidRPr="007105B3">
              <w:t xml:space="preserve">15 </w:t>
            </w:r>
            <w:r w:rsidR="00672006" w:rsidRPr="007105B3">
              <w:t>mins</w:t>
            </w:r>
          </w:p>
        </w:tc>
        <w:tc>
          <w:tcPr>
            <w:tcW w:w="1377" w:type="dxa"/>
            <w:vAlign w:val="bottom"/>
          </w:tcPr>
          <w:p w:rsidR="00F17164" w:rsidRPr="007105B3" w:rsidRDefault="004A07DC" w:rsidP="007048E2">
            <w:pPr>
              <w:spacing w:line="240" w:lineRule="auto"/>
              <w:jc w:val="right"/>
            </w:pPr>
            <w:r w:rsidRPr="007105B3">
              <w:t>3,</w:t>
            </w:r>
            <w:r w:rsidR="007048E2" w:rsidRPr="007105B3">
              <w:t>321</w:t>
            </w:r>
          </w:p>
        </w:tc>
      </w:tr>
      <w:tr w:rsidR="00F674EA" w:rsidRPr="007105B3" w:rsidTr="00E05995">
        <w:trPr>
          <w:cantSplit/>
          <w:trHeight w:val="370"/>
        </w:trPr>
        <w:tc>
          <w:tcPr>
            <w:tcW w:w="3690" w:type="dxa"/>
            <w:vAlign w:val="bottom"/>
          </w:tcPr>
          <w:p w:rsidR="00F674EA" w:rsidRPr="007105B3" w:rsidRDefault="00F674EA" w:rsidP="00541630">
            <w:pPr>
              <w:spacing w:line="240" w:lineRule="auto"/>
              <w:jc w:val="left"/>
            </w:pPr>
            <w:r w:rsidRPr="007105B3">
              <w:t xml:space="preserve">Rules on providing </w:t>
            </w:r>
          </w:p>
          <w:p w:rsidR="00F674EA" w:rsidRPr="007105B3" w:rsidRDefault="00F674EA" w:rsidP="00F674EA">
            <w:pPr>
              <w:spacing w:line="240" w:lineRule="auto"/>
              <w:jc w:val="left"/>
            </w:pPr>
            <w:r w:rsidRPr="007105B3">
              <w:t xml:space="preserve">appraisal reports </w:t>
            </w:r>
            <w:r w:rsidRPr="007105B3">
              <w:rPr>
                <w:b/>
              </w:rPr>
              <w:t>(202.14)</w:t>
            </w:r>
            <w:r w:rsidRPr="007105B3">
              <w:t>:</w:t>
            </w:r>
          </w:p>
        </w:tc>
        <w:tc>
          <w:tcPr>
            <w:tcW w:w="1467" w:type="dxa"/>
            <w:vMerge w:val="restart"/>
            <w:vAlign w:val="bottom"/>
          </w:tcPr>
          <w:p w:rsidR="00F674EA" w:rsidRPr="007105B3" w:rsidRDefault="00F674EA" w:rsidP="007048E2">
            <w:pPr>
              <w:spacing w:line="240" w:lineRule="auto"/>
              <w:jc w:val="center"/>
            </w:pPr>
            <w:r w:rsidRPr="007105B3">
              <w:t>1,107</w:t>
            </w:r>
          </w:p>
        </w:tc>
        <w:tc>
          <w:tcPr>
            <w:tcW w:w="1377" w:type="dxa"/>
            <w:vMerge w:val="restart"/>
            <w:vAlign w:val="bottom"/>
          </w:tcPr>
          <w:p w:rsidR="00F674EA" w:rsidRPr="007105B3" w:rsidRDefault="00F674EA" w:rsidP="00F674EA">
            <w:pPr>
              <w:spacing w:line="240" w:lineRule="auto"/>
              <w:jc w:val="center"/>
            </w:pPr>
            <w:r w:rsidRPr="007105B3">
              <w:t>12</w:t>
            </w:r>
          </w:p>
        </w:tc>
        <w:tc>
          <w:tcPr>
            <w:tcW w:w="1377" w:type="dxa"/>
            <w:vMerge w:val="restart"/>
            <w:vAlign w:val="bottom"/>
          </w:tcPr>
          <w:p w:rsidR="00F674EA" w:rsidRPr="007105B3" w:rsidRDefault="00F674EA" w:rsidP="00F674EA">
            <w:pPr>
              <w:spacing w:line="240" w:lineRule="auto"/>
              <w:jc w:val="center"/>
            </w:pPr>
            <w:r w:rsidRPr="007105B3">
              <w:t>1.25 hours</w:t>
            </w:r>
          </w:p>
        </w:tc>
        <w:tc>
          <w:tcPr>
            <w:tcW w:w="1377" w:type="dxa"/>
            <w:vMerge w:val="restart"/>
            <w:vAlign w:val="bottom"/>
          </w:tcPr>
          <w:p w:rsidR="00F674EA" w:rsidRPr="007105B3" w:rsidRDefault="00F674EA" w:rsidP="00831DD5">
            <w:pPr>
              <w:spacing w:line="240" w:lineRule="auto"/>
              <w:jc w:val="right"/>
            </w:pPr>
          </w:p>
          <w:p w:rsidR="00F674EA" w:rsidRPr="007105B3" w:rsidRDefault="00F674EA" w:rsidP="00F674EA">
            <w:pPr>
              <w:spacing w:line="240" w:lineRule="auto"/>
              <w:jc w:val="right"/>
            </w:pPr>
            <w:r w:rsidRPr="007105B3">
              <w:t>16,605</w:t>
            </w:r>
          </w:p>
        </w:tc>
      </w:tr>
      <w:tr w:rsidR="00F674EA" w:rsidRPr="007105B3" w:rsidTr="00E05995">
        <w:trPr>
          <w:cantSplit/>
          <w:trHeight w:val="370"/>
        </w:trPr>
        <w:tc>
          <w:tcPr>
            <w:tcW w:w="3690" w:type="dxa"/>
            <w:vAlign w:val="bottom"/>
          </w:tcPr>
          <w:p w:rsidR="00F674EA" w:rsidRPr="007105B3" w:rsidRDefault="00F674EA" w:rsidP="00F674EA">
            <w:pPr>
              <w:spacing w:line="240" w:lineRule="auto"/>
              <w:jc w:val="left"/>
            </w:pPr>
            <w:r w:rsidRPr="007105B3">
              <w:rPr>
                <w:i/>
              </w:rPr>
              <w:t>Appraisal report upon request</w:t>
            </w:r>
          </w:p>
        </w:tc>
        <w:tc>
          <w:tcPr>
            <w:tcW w:w="1467" w:type="dxa"/>
            <w:vMerge/>
            <w:vAlign w:val="bottom"/>
          </w:tcPr>
          <w:p w:rsidR="00F674EA" w:rsidRPr="007105B3" w:rsidRDefault="00F674EA" w:rsidP="007048E2">
            <w:pPr>
              <w:spacing w:line="240" w:lineRule="auto"/>
              <w:jc w:val="center"/>
            </w:pPr>
          </w:p>
        </w:tc>
        <w:tc>
          <w:tcPr>
            <w:tcW w:w="1377" w:type="dxa"/>
            <w:vMerge/>
            <w:vAlign w:val="bottom"/>
          </w:tcPr>
          <w:p w:rsidR="00F674EA" w:rsidRPr="007105B3" w:rsidRDefault="00F674EA" w:rsidP="00831DD5">
            <w:pPr>
              <w:spacing w:line="240" w:lineRule="auto"/>
              <w:jc w:val="center"/>
            </w:pPr>
          </w:p>
        </w:tc>
        <w:tc>
          <w:tcPr>
            <w:tcW w:w="1377" w:type="dxa"/>
            <w:vMerge/>
            <w:vAlign w:val="bottom"/>
          </w:tcPr>
          <w:p w:rsidR="00F674EA" w:rsidRPr="007105B3" w:rsidRDefault="00F674EA" w:rsidP="00831DD5">
            <w:pPr>
              <w:spacing w:line="240" w:lineRule="auto"/>
              <w:jc w:val="center"/>
            </w:pPr>
          </w:p>
        </w:tc>
        <w:tc>
          <w:tcPr>
            <w:tcW w:w="1377" w:type="dxa"/>
            <w:vMerge/>
            <w:vAlign w:val="bottom"/>
          </w:tcPr>
          <w:p w:rsidR="00F674EA" w:rsidRPr="007105B3" w:rsidRDefault="00F674EA" w:rsidP="00831DD5">
            <w:pPr>
              <w:spacing w:line="240" w:lineRule="auto"/>
              <w:jc w:val="right"/>
            </w:pPr>
          </w:p>
        </w:tc>
      </w:tr>
      <w:tr w:rsidR="00F674EA" w:rsidRPr="007105B3" w:rsidTr="00E05995">
        <w:trPr>
          <w:cantSplit/>
          <w:trHeight w:val="370"/>
        </w:trPr>
        <w:tc>
          <w:tcPr>
            <w:tcW w:w="3690" w:type="dxa"/>
            <w:vAlign w:val="bottom"/>
          </w:tcPr>
          <w:p w:rsidR="00F674EA" w:rsidRPr="007105B3" w:rsidRDefault="00F674EA" w:rsidP="00F674EA">
            <w:pPr>
              <w:spacing w:line="240" w:lineRule="auto"/>
              <w:jc w:val="left"/>
            </w:pPr>
            <w:r w:rsidRPr="007105B3">
              <w:rPr>
                <w:i/>
              </w:rPr>
              <w:t>Notice of right to appraisal</w:t>
            </w:r>
          </w:p>
        </w:tc>
        <w:tc>
          <w:tcPr>
            <w:tcW w:w="1467" w:type="dxa"/>
            <w:vAlign w:val="bottom"/>
          </w:tcPr>
          <w:p w:rsidR="00F674EA" w:rsidRPr="007105B3" w:rsidRDefault="00F674EA" w:rsidP="00F674EA">
            <w:pPr>
              <w:spacing w:line="240" w:lineRule="auto"/>
              <w:jc w:val="center"/>
            </w:pPr>
            <w:r w:rsidRPr="007105B3">
              <w:t>1,107</w:t>
            </w:r>
          </w:p>
        </w:tc>
        <w:tc>
          <w:tcPr>
            <w:tcW w:w="1377" w:type="dxa"/>
            <w:vAlign w:val="bottom"/>
          </w:tcPr>
          <w:p w:rsidR="00F674EA" w:rsidRPr="007105B3" w:rsidRDefault="00F674EA" w:rsidP="00831DD5">
            <w:pPr>
              <w:spacing w:line="240" w:lineRule="auto"/>
              <w:jc w:val="center"/>
            </w:pPr>
            <w:r w:rsidRPr="007105B3">
              <w:t>12</w:t>
            </w:r>
          </w:p>
        </w:tc>
        <w:tc>
          <w:tcPr>
            <w:tcW w:w="1377" w:type="dxa"/>
            <w:vAlign w:val="bottom"/>
          </w:tcPr>
          <w:p w:rsidR="00F674EA" w:rsidRPr="007105B3" w:rsidRDefault="00F674EA" w:rsidP="00831DD5">
            <w:pPr>
              <w:spacing w:line="240" w:lineRule="auto"/>
              <w:jc w:val="center"/>
            </w:pPr>
            <w:r w:rsidRPr="007105B3">
              <w:t>30 mins</w:t>
            </w:r>
          </w:p>
        </w:tc>
        <w:tc>
          <w:tcPr>
            <w:tcW w:w="1377" w:type="dxa"/>
            <w:vAlign w:val="bottom"/>
          </w:tcPr>
          <w:p w:rsidR="00F674EA" w:rsidRPr="007105B3" w:rsidRDefault="00F674EA" w:rsidP="00F674EA">
            <w:pPr>
              <w:spacing w:line="240" w:lineRule="auto"/>
              <w:jc w:val="right"/>
            </w:pPr>
            <w:r w:rsidRPr="007105B3">
              <w:t>6,642</w:t>
            </w:r>
          </w:p>
        </w:tc>
      </w:tr>
      <w:tr w:rsidR="00375BE9" w:rsidRPr="007105B3" w:rsidTr="00E05995">
        <w:trPr>
          <w:cantSplit/>
        </w:trPr>
        <w:tc>
          <w:tcPr>
            <w:tcW w:w="3690" w:type="dxa"/>
            <w:vAlign w:val="bottom"/>
          </w:tcPr>
          <w:p w:rsidR="00375BE9" w:rsidRPr="007105B3" w:rsidRDefault="00375BE9" w:rsidP="00541630">
            <w:pPr>
              <w:spacing w:line="240" w:lineRule="auto"/>
              <w:jc w:val="left"/>
            </w:pPr>
          </w:p>
        </w:tc>
        <w:tc>
          <w:tcPr>
            <w:tcW w:w="1467" w:type="dxa"/>
            <w:vAlign w:val="bottom"/>
          </w:tcPr>
          <w:p w:rsidR="00375BE9" w:rsidRPr="007105B3" w:rsidRDefault="00375BE9" w:rsidP="00831DD5">
            <w:pPr>
              <w:spacing w:line="240" w:lineRule="auto"/>
              <w:jc w:val="center"/>
            </w:pPr>
          </w:p>
        </w:tc>
        <w:tc>
          <w:tcPr>
            <w:tcW w:w="1377" w:type="dxa"/>
            <w:vAlign w:val="bottom"/>
          </w:tcPr>
          <w:p w:rsidR="00375BE9" w:rsidRPr="007105B3" w:rsidRDefault="00375BE9" w:rsidP="00831DD5">
            <w:pPr>
              <w:spacing w:line="240" w:lineRule="auto"/>
              <w:jc w:val="center"/>
            </w:pPr>
          </w:p>
        </w:tc>
        <w:tc>
          <w:tcPr>
            <w:tcW w:w="1377" w:type="dxa"/>
            <w:vAlign w:val="bottom"/>
          </w:tcPr>
          <w:p w:rsidR="00375BE9" w:rsidRPr="007105B3" w:rsidRDefault="00375BE9" w:rsidP="00831DD5">
            <w:pPr>
              <w:spacing w:line="240" w:lineRule="auto"/>
              <w:jc w:val="center"/>
            </w:pPr>
          </w:p>
        </w:tc>
        <w:tc>
          <w:tcPr>
            <w:tcW w:w="1377" w:type="dxa"/>
            <w:vAlign w:val="bottom"/>
          </w:tcPr>
          <w:p w:rsidR="00375BE9" w:rsidRPr="007105B3" w:rsidRDefault="00375BE9" w:rsidP="00831DD5">
            <w:pPr>
              <w:spacing w:line="240" w:lineRule="auto"/>
              <w:jc w:val="right"/>
            </w:pPr>
          </w:p>
        </w:tc>
      </w:tr>
      <w:tr w:rsidR="00411B27" w:rsidRPr="007105B3" w:rsidTr="00E05995">
        <w:trPr>
          <w:cantSplit/>
        </w:trPr>
        <w:tc>
          <w:tcPr>
            <w:tcW w:w="3690" w:type="dxa"/>
            <w:vAlign w:val="bottom"/>
          </w:tcPr>
          <w:p w:rsidR="00411B27" w:rsidRPr="007105B3" w:rsidRDefault="00411B27" w:rsidP="00541630">
            <w:pPr>
              <w:spacing w:line="240" w:lineRule="auto"/>
              <w:jc w:val="left"/>
              <w:rPr>
                <w:u w:val="single"/>
              </w:rPr>
            </w:pPr>
            <w:r w:rsidRPr="007105B3">
              <w:rPr>
                <w:u w:val="single"/>
              </w:rPr>
              <w:t>Self-testing</w:t>
            </w:r>
          </w:p>
        </w:tc>
        <w:tc>
          <w:tcPr>
            <w:tcW w:w="1467" w:type="dxa"/>
            <w:vAlign w:val="bottom"/>
          </w:tcPr>
          <w:p w:rsidR="00411B27" w:rsidRPr="007105B3" w:rsidRDefault="00411B27" w:rsidP="00831DD5">
            <w:pPr>
              <w:spacing w:line="240" w:lineRule="auto"/>
              <w:jc w:val="center"/>
            </w:pPr>
          </w:p>
        </w:tc>
        <w:tc>
          <w:tcPr>
            <w:tcW w:w="1377" w:type="dxa"/>
            <w:vAlign w:val="bottom"/>
          </w:tcPr>
          <w:p w:rsidR="00411B27" w:rsidRPr="007105B3" w:rsidRDefault="00411B27" w:rsidP="00831DD5">
            <w:pPr>
              <w:spacing w:line="240" w:lineRule="auto"/>
              <w:jc w:val="center"/>
            </w:pPr>
          </w:p>
        </w:tc>
        <w:tc>
          <w:tcPr>
            <w:tcW w:w="1377" w:type="dxa"/>
            <w:vAlign w:val="bottom"/>
          </w:tcPr>
          <w:p w:rsidR="00411B27" w:rsidRPr="007105B3" w:rsidRDefault="00411B27" w:rsidP="00831DD5">
            <w:pPr>
              <w:spacing w:line="240" w:lineRule="auto"/>
              <w:jc w:val="center"/>
            </w:pPr>
          </w:p>
        </w:tc>
        <w:tc>
          <w:tcPr>
            <w:tcW w:w="1377" w:type="dxa"/>
            <w:vAlign w:val="bottom"/>
          </w:tcPr>
          <w:p w:rsidR="00411B27" w:rsidRPr="007105B3" w:rsidDel="00F17164" w:rsidRDefault="00411B27" w:rsidP="00831DD5">
            <w:pPr>
              <w:spacing w:line="240" w:lineRule="auto"/>
              <w:jc w:val="right"/>
            </w:pPr>
          </w:p>
        </w:tc>
      </w:tr>
      <w:tr w:rsidR="00A04496" w:rsidRPr="007105B3" w:rsidTr="00E05995">
        <w:trPr>
          <w:cantSplit/>
        </w:trPr>
        <w:tc>
          <w:tcPr>
            <w:tcW w:w="3690" w:type="dxa"/>
            <w:vAlign w:val="bottom"/>
          </w:tcPr>
          <w:p w:rsidR="006C1C21" w:rsidRPr="007105B3" w:rsidRDefault="00411B27" w:rsidP="00541630">
            <w:pPr>
              <w:spacing w:line="240" w:lineRule="auto"/>
              <w:jc w:val="left"/>
            </w:pPr>
            <w:r w:rsidRPr="007105B3">
              <w:t>Record retention:</w:t>
            </w:r>
          </w:p>
          <w:p w:rsidR="00A04496" w:rsidRPr="007105B3" w:rsidRDefault="007C2EFE" w:rsidP="00F674EA">
            <w:pPr>
              <w:spacing w:line="240" w:lineRule="auto"/>
              <w:jc w:val="left"/>
            </w:pPr>
            <w:r w:rsidRPr="007105B3">
              <w:rPr>
                <w:i/>
              </w:rPr>
              <w:t xml:space="preserve">  </w:t>
            </w:r>
            <w:r w:rsidR="00411B27" w:rsidRPr="007105B3">
              <w:rPr>
                <w:i/>
              </w:rPr>
              <w:t xml:space="preserve">Incentives </w:t>
            </w:r>
            <w:r w:rsidR="00A04496" w:rsidRPr="007105B3">
              <w:rPr>
                <w:b/>
              </w:rPr>
              <w:t>(202.12)</w:t>
            </w:r>
          </w:p>
          <w:p w:rsidR="00A04496" w:rsidRPr="007105B3" w:rsidRDefault="007C2EFE" w:rsidP="00F674EA">
            <w:pPr>
              <w:spacing w:line="240" w:lineRule="auto"/>
              <w:jc w:val="left"/>
            </w:pPr>
            <w:r w:rsidRPr="007105B3">
              <w:rPr>
                <w:i/>
              </w:rPr>
              <w:t xml:space="preserve">  </w:t>
            </w:r>
            <w:r w:rsidR="00411B27" w:rsidRPr="007105B3">
              <w:rPr>
                <w:i/>
              </w:rPr>
              <w:t>Self-correction</w:t>
            </w:r>
            <w:r w:rsidR="006C1C21" w:rsidRPr="007105B3">
              <w:t xml:space="preserve"> </w:t>
            </w:r>
            <w:r w:rsidR="00A04496" w:rsidRPr="007105B3">
              <w:rPr>
                <w:b/>
              </w:rPr>
              <w:t>(202.15)</w:t>
            </w:r>
          </w:p>
        </w:tc>
        <w:tc>
          <w:tcPr>
            <w:tcW w:w="1467" w:type="dxa"/>
            <w:vAlign w:val="bottom"/>
          </w:tcPr>
          <w:p w:rsidR="00A04496" w:rsidRPr="007105B3" w:rsidRDefault="00245398" w:rsidP="00831DD5">
            <w:pPr>
              <w:spacing w:line="240" w:lineRule="auto"/>
              <w:jc w:val="center"/>
            </w:pPr>
            <w:r w:rsidRPr="007105B3">
              <w:t>2</w:t>
            </w:r>
            <w:r w:rsidR="00F17164" w:rsidRPr="007105B3">
              <w:t>00</w:t>
            </w:r>
          </w:p>
          <w:p w:rsidR="00A04496" w:rsidRPr="007105B3" w:rsidRDefault="00F17164" w:rsidP="00831DD5">
            <w:pPr>
              <w:spacing w:line="240" w:lineRule="auto"/>
              <w:jc w:val="center"/>
            </w:pPr>
            <w:r w:rsidRPr="007105B3">
              <w:t>50</w:t>
            </w:r>
          </w:p>
        </w:tc>
        <w:tc>
          <w:tcPr>
            <w:tcW w:w="1377" w:type="dxa"/>
            <w:vAlign w:val="bottom"/>
          </w:tcPr>
          <w:p w:rsidR="00A04496" w:rsidRPr="007105B3" w:rsidRDefault="00A04496" w:rsidP="00831DD5">
            <w:pPr>
              <w:spacing w:line="240" w:lineRule="auto"/>
              <w:jc w:val="center"/>
            </w:pPr>
            <w:r w:rsidRPr="007105B3">
              <w:t>1</w:t>
            </w:r>
          </w:p>
          <w:p w:rsidR="00A04496" w:rsidRPr="007105B3" w:rsidRDefault="00A04496" w:rsidP="00831DD5">
            <w:pPr>
              <w:spacing w:line="240" w:lineRule="auto"/>
              <w:jc w:val="center"/>
            </w:pPr>
            <w:r w:rsidRPr="007105B3">
              <w:t>1</w:t>
            </w:r>
          </w:p>
        </w:tc>
        <w:tc>
          <w:tcPr>
            <w:tcW w:w="1377" w:type="dxa"/>
            <w:vAlign w:val="bottom"/>
          </w:tcPr>
          <w:p w:rsidR="00A04496" w:rsidRPr="007105B3" w:rsidRDefault="00A04496" w:rsidP="00831DD5">
            <w:pPr>
              <w:spacing w:line="240" w:lineRule="auto"/>
              <w:jc w:val="center"/>
            </w:pPr>
            <w:r w:rsidRPr="007105B3">
              <w:t>2 hours</w:t>
            </w:r>
          </w:p>
          <w:p w:rsidR="00A04496" w:rsidRPr="007105B3" w:rsidRDefault="00A04496" w:rsidP="00831DD5">
            <w:pPr>
              <w:spacing w:line="240" w:lineRule="auto"/>
              <w:jc w:val="center"/>
            </w:pPr>
            <w:r w:rsidRPr="007105B3">
              <w:t>8 hours</w:t>
            </w:r>
          </w:p>
        </w:tc>
        <w:tc>
          <w:tcPr>
            <w:tcW w:w="1377" w:type="dxa"/>
            <w:vAlign w:val="bottom"/>
          </w:tcPr>
          <w:p w:rsidR="00BC6E91" w:rsidRPr="007105B3" w:rsidRDefault="00F17164" w:rsidP="00831DD5">
            <w:pPr>
              <w:spacing w:line="240" w:lineRule="auto"/>
              <w:jc w:val="right"/>
            </w:pPr>
            <w:r w:rsidRPr="007105B3">
              <w:t>400</w:t>
            </w:r>
          </w:p>
          <w:p w:rsidR="00245398" w:rsidRPr="007105B3" w:rsidRDefault="00F17164" w:rsidP="00831DD5">
            <w:pPr>
              <w:spacing w:line="240" w:lineRule="auto"/>
              <w:jc w:val="right"/>
            </w:pPr>
            <w:r w:rsidRPr="007105B3">
              <w:t>400</w:t>
            </w:r>
          </w:p>
        </w:tc>
      </w:tr>
      <w:tr w:rsidR="00A04496" w:rsidRPr="007105B3" w:rsidTr="00E05995">
        <w:trPr>
          <w:cantSplit/>
          <w:trHeight w:val="441"/>
        </w:trPr>
        <w:tc>
          <w:tcPr>
            <w:tcW w:w="3690" w:type="dxa"/>
            <w:vAlign w:val="bottom"/>
          </w:tcPr>
          <w:p w:rsidR="00187F49" w:rsidRPr="007105B3" w:rsidRDefault="002A27B0" w:rsidP="00541630">
            <w:pPr>
              <w:spacing w:line="240" w:lineRule="auto"/>
              <w:jc w:val="left"/>
            </w:pPr>
            <w:r w:rsidRPr="007105B3">
              <w:t xml:space="preserve">Rules concerning requests </w:t>
            </w:r>
          </w:p>
          <w:p w:rsidR="00411B27" w:rsidRPr="007105B3" w:rsidRDefault="002A27B0" w:rsidP="00541630">
            <w:pPr>
              <w:spacing w:line="240" w:lineRule="auto"/>
              <w:jc w:val="left"/>
            </w:pPr>
            <w:r w:rsidRPr="007105B3">
              <w:t xml:space="preserve">for information </w:t>
            </w:r>
            <w:r w:rsidR="00A04496" w:rsidRPr="007105B3">
              <w:rPr>
                <w:b/>
              </w:rPr>
              <w:t>(202.5)</w:t>
            </w:r>
          </w:p>
          <w:p w:rsidR="00A04496" w:rsidRPr="007105B3" w:rsidRDefault="007C2EFE" w:rsidP="00541630">
            <w:pPr>
              <w:spacing w:line="240" w:lineRule="auto"/>
              <w:jc w:val="left"/>
              <w:rPr>
                <w:i/>
              </w:rPr>
            </w:pPr>
            <w:r w:rsidRPr="007105B3">
              <w:rPr>
                <w:i/>
              </w:rPr>
              <w:t xml:space="preserve">  </w:t>
            </w:r>
            <w:r w:rsidR="00411B27" w:rsidRPr="007105B3">
              <w:rPr>
                <w:i/>
              </w:rPr>
              <w:t>Disclosure for optional self-test</w:t>
            </w:r>
          </w:p>
        </w:tc>
        <w:tc>
          <w:tcPr>
            <w:tcW w:w="1467" w:type="dxa"/>
            <w:vAlign w:val="bottom"/>
          </w:tcPr>
          <w:p w:rsidR="00A04496" w:rsidRPr="007105B3" w:rsidRDefault="00245398" w:rsidP="00831DD5">
            <w:pPr>
              <w:spacing w:line="240" w:lineRule="auto"/>
              <w:jc w:val="center"/>
            </w:pPr>
            <w:r w:rsidRPr="007105B3">
              <w:t>2</w:t>
            </w:r>
            <w:r w:rsidR="00F17164" w:rsidRPr="007105B3">
              <w:t>00</w:t>
            </w:r>
          </w:p>
        </w:tc>
        <w:tc>
          <w:tcPr>
            <w:tcW w:w="1377" w:type="dxa"/>
            <w:vAlign w:val="bottom"/>
          </w:tcPr>
          <w:p w:rsidR="00A04496" w:rsidRPr="007105B3" w:rsidRDefault="00F674EA" w:rsidP="00831DD5">
            <w:pPr>
              <w:spacing w:line="240" w:lineRule="auto"/>
              <w:jc w:val="center"/>
            </w:pPr>
            <w:r w:rsidRPr="007105B3">
              <w:t>12</w:t>
            </w:r>
          </w:p>
        </w:tc>
        <w:tc>
          <w:tcPr>
            <w:tcW w:w="1377" w:type="dxa"/>
            <w:vAlign w:val="bottom"/>
          </w:tcPr>
          <w:p w:rsidR="00A04496" w:rsidRPr="007105B3" w:rsidRDefault="00F674EA" w:rsidP="00831DD5">
            <w:pPr>
              <w:spacing w:line="240" w:lineRule="auto"/>
              <w:jc w:val="center"/>
            </w:pPr>
            <w:r w:rsidRPr="007105B3">
              <w:t>3.5 hours</w:t>
            </w:r>
          </w:p>
        </w:tc>
        <w:tc>
          <w:tcPr>
            <w:tcW w:w="1377" w:type="dxa"/>
            <w:vAlign w:val="bottom"/>
          </w:tcPr>
          <w:p w:rsidR="00A04496" w:rsidRPr="007105B3" w:rsidRDefault="00A04496" w:rsidP="00831DD5">
            <w:pPr>
              <w:spacing w:line="240" w:lineRule="auto"/>
              <w:jc w:val="right"/>
              <w:rPr>
                <w:u w:val="single"/>
              </w:rPr>
            </w:pPr>
          </w:p>
          <w:p w:rsidR="00F17164" w:rsidRPr="007105B3" w:rsidRDefault="00F17164" w:rsidP="00F674EA">
            <w:pPr>
              <w:spacing w:line="240" w:lineRule="auto"/>
              <w:jc w:val="right"/>
              <w:rPr>
                <w:u w:val="single"/>
              </w:rPr>
            </w:pPr>
            <w:r w:rsidRPr="007105B3">
              <w:rPr>
                <w:u w:val="single"/>
              </w:rPr>
              <w:t>8,</w:t>
            </w:r>
            <w:r w:rsidR="00F674EA" w:rsidRPr="007105B3">
              <w:rPr>
                <w:u w:val="single"/>
              </w:rPr>
              <w:t>400</w:t>
            </w:r>
          </w:p>
        </w:tc>
      </w:tr>
      <w:tr w:rsidR="00A04496" w:rsidRPr="007105B3" w:rsidTr="00E05995">
        <w:trPr>
          <w:cantSplit/>
          <w:trHeight w:val="567"/>
        </w:trPr>
        <w:tc>
          <w:tcPr>
            <w:tcW w:w="3690" w:type="dxa"/>
            <w:vAlign w:val="bottom"/>
          </w:tcPr>
          <w:p w:rsidR="00A04496" w:rsidRPr="007105B3" w:rsidRDefault="006D1B79" w:rsidP="00F674EA">
            <w:pPr>
              <w:spacing w:line="240" w:lineRule="auto"/>
              <w:jc w:val="right"/>
              <w:rPr>
                <w:i/>
              </w:rPr>
            </w:pPr>
            <w:r w:rsidRPr="007105B3">
              <w:rPr>
                <w:i/>
              </w:rPr>
              <w:t>Total</w:t>
            </w:r>
          </w:p>
        </w:tc>
        <w:tc>
          <w:tcPr>
            <w:tcW w:w="1467" w:type="dxa"/>
            <w:vAlign w:val="bottom"/>
          </w:tcPr>
          <w:p w:rsidR="00A04496" w:rsidRPr="007105B3" w:rsidRDefault="00A04496" w:rsidP="00831DD5">
            <w:pPr>
              <w:spacing w:line="240" w:lineRule="auto"/>
              <w:jc w:val="center"/>
            </w:pPr>
          </w:p>
        </w:tc>
        <w:tc>
          <w:tcPr>
            <w:tcW w:w="1377" w:type="dxa"/>
            <w:vAlign w:val="bottom"/>
          </w:tcPr>
          <w:p w:rsidR="00A04496" w:rsidRPr="007105B3" w:rsidRDefault="00A04496" w:rsidP="00831DD5">
            <w:pPr>
              <w:spacing w:line="240" w:lineRule="auto"/>
              <w:jc w:val="center"/>
            </w:pPr>
          </w:p>
        </w:tc>
        <w:tc>
          <w:tcPr>
            <w:tcW w:w="1377" w:type="dxa"/>
            <w:vAlign w:val="bottom"/>
          </w:tcPr>
          <w:p w:rsidR="00A04496" w:rsidRPr="007105B3" w:rsidRDefault="00A04496" w:rsidP="00831DD5">
            <w:pPr>
              <w:spacing w:line="240" w:lineRule="auto"/>
              <w:jc w:val="center"/>
            </w:pPr>
          </w:p>
        </w:tc>
        <w:tc>
          <w:tcPr>
            <w:tcW w:w="1377" w:type="dxa"/>
            <w:vAlign w:val="bottom"/>
          </w:tcPr>
          <w:p w:rsidR="00F17164" w:rsidRPr="007105B3" w:rsidRDefault="0099189E" w:rsidP="00F674EA">
            <w:pPr>
              <w:spacing w:line="240" w:lineRule="auto"/>
              <w:jc w:val="right"/>
            </w:pPr>
            <w:bookmarkStart w:id="2" w:name="OLE_LINK2"/>
            <w:r w:rsidRPr="007105B3">
              <w:t>1</w:t>
            </w:r>
            <w:r w:rsidR="00F674EA" w:rsidRPr="007105B3">
              <w:t>57</w:t>
            </w:r>
            <w:r w:rsidRPr="007105B3">
              <w:t>,</w:t>
            </w:r>
            <w:bookmarkEnd w:id="2"/>
            <w:r w:rsidR="00F674EA" w:rsidRPr="007105B3">
              <w:t>538</w:t>
            </w:r>
          </w:p>
        </w:tc>
      </w:tr>
    </w:tbl>
    <w:p w:rsidR="00E93560" w:rsidRPr="007105B3" w:rsidRDefault="00E93560" w:rsidP="00541630">
      <w:pPr>
        <w:pStyle w:val="BodyTextIndent3"/>
        <w:spacing w:line="240" w:lineRule="auto"/>
        <w:ind w:firstLine="0"/>
        <w:rPr>
          <w:rFonts w:ascii="Times New Roman" w:hAnsi="Times New Roman"/>
          <w:color w:val="auto"/>
        </w:rPr>
      </w:pPr>
    </w:p>
    <w:p w:rsidR="00607498" w:rsidRPr="007105B3" w:rsidRDefault="00E93560" w:rsidP="00541630">
      <w:pPr>
        <w:pStyle w:val="BodyTextIndent3"/>
        <w:spacing w:line="240" w:lineRule="auto"/>
        <w:ind w:firstLine="0"/>
        <w:rPr>
          <w:rFonts w:ascii="Times New Roman" w:hAnsi="Times New Roman"/>
          <w:color w:val="auto"/>
        </w:rPr>
      </w:pPr>
      <w:r w:rsidRPr="007105B3">
        <w:rPr>
          <w:rFonts w:ascii="Times New Roman" w:hAnsi="Times New Roman"/>
          <w:color w:val="auto"/>
        </w:rPr>
        <w:br w:type="page"/>
      </w:r>
    </w:p>
    <w:tbl>
      <w:tblPr>
        <w:tblW w:w="0" w:type="auto"/>
        <w:tblInd w:w="139" w:type="dxa"/>
        <w:tblBorders>
          <w:top w:val="single" w:sz="4" w:space="0" w:color="auto"/>
          <w:bottom w:val="single" w:sz="4" w:space="0" w:color="auto"/>
        </w:tblBorders>
        <w:tblLayout w:type="fixed"/>
        <w:tblCellMar>
          <w:left w:w="139" w:type="dxa"/>
          <w:right w:w="139" w:type="dxa"/>
        </w:tblCellMar>
        <w:tblLook w:val="0000"/>
      </w:tblPr>
      <w:tblGrid>
        <w:gridCol w:w="3690"/>
        <w:gridCol w:w="1467"/>
        <w:gridCol w:w="1377"/>
        <w:gridCol w:w="1377"/>
        <w:gridCol w:w="1377"/>
      </w:tblGrid>
      <w:tr w:rsidR="00E93560" w:rsidRPr="007105B3" w:rsidTr="00E93560">
        <w:trPr>
          <w:cantSplit/>
        </w:trPr>
        <w:tc>
          <w:tcPr>
            <w:tcW w:w="3690" w:type="dxa"/>
            <w:vAlign w:val="center"/>
          </w:tcPr>
          <w:p w:rsidR="00E93560" w:rsidRPr="007105B3" w:rsidRDefault="00E93560" w:rsidP="00FA00DB">
            <w:pPr>
              <w:spacing w:line="240" w:lineRule="auto"/>
              <w:jc w:val="left"/>
              <w:rPr>
                <w:b/>
              </w:rPr>
            </w:pPr>
            <w:r w:rsidRPr="007105B3">
              <w:rPr>
                <w:b/>
              </w:rPr>
              <w:lastRenderedPageBreak/>
              <w:t>Proposed</w:t>
            </w:r>
          </w:p>
        </w:tc>
        <w:tc>
          <w:tcPr>
            <w:tcW w:w="1467" w:type="dxa"/>
            <w:vAlign w:val="center"/>
          </w:tcPr>
          <w:p w:rsidR="00E93560" w:rsidRPr="007105B3" w:rsidRDefault="00E93560" w:rsidP="00FA00DB">
            <w:pPr>
              <w:spacing w:line="240" w:lineRule="auto"/>
              <w:jc w:val="center"/>
              <w:rPr>
                <w:i/>
              </w:rPr>
            </w:pPr>
            <w:r w:rsidRPr="007105B3">
              <w:rPr>
                <w:i/>
              </w:rPr>
              <w:t>Number</w:t>
            </w:r>
          </w:p>
          <w:p w:rsidR="00E93560" w:rsidRPr="007105B3" w:rsidRDefault="00E93560" w:rsidP="00FA00DB">
            <w:pPr>
              <w:spacing w:line="240" w:lineRule="auto"/>
              <w:jc w:val="center"/>
              <w:rPr>
                <w:i/>
              </w:rPr>
            </w:pPr>
            <w:r w:rsidRPr="007105B3">
              <w:rPr>
                <w:i/>
              </w:rPr>
              <w:t>of</w:t>
            </w:r>
          </w:p>
          <w:p w:rsidR="00E93560" w:rsidRPr="007105B3" w:rsidRDefault="00E93560" w:rsidP="00FA00DB">
            <w:pPr>
              <w:spacing w:line="240" w:lineRule="auto"/>
              <w:jc w:val="center"/>
            </w:pPr>
            <w:r w:rsidRPr="007105B3">
              <w:rPr>
                <w:i/>
              </w:rPr>
              <w:t>respondents</w:t>
            </w:r>
            <w:r w:rsidR="005A6742">
              <w:rPr>
                <w:rStyle w:val="FootnoteReference"/>
                <w:i/>
              </w:rPr>
              <w:footnoteReference w:id="7"/>
            </w:r>
          </w:p>
        </w:tc>
        <w:tc>
          <w:tcPr>
            <w:tcW w:w="1377" w:type="dxa"/>
            <w:vAlign w:val="center"/>
          </w:tcPr>
          <w:p w:rsidR="00E93560" w:rsidRPr="007105B3" w:rsidRDefault="00E93560" w:rsidP="00FA00DB">
            <w:pPr>
              <w:spacing w:line="240" w:lineRule="auto"/>
              <w:jc w:val="center"/>
            </w:pPr>
            <w:r w:rsidRPr="007105B3">
              <w:rPr>
                <w:i/>
              </w:rPr>
              <w:t>Estimated annual frequency</w:t>
            </w:r>
          </w:p>
        </w:tc>
        <w:tc>
          <w:tcPr>
            <w:tcW w:w="1377" w:type="dxa"/>
            <w:vAlign w:val="center"/>
          </w:tcPr>
          <w:p w:rsidR="00E93560" w:rsidRPr="007105B3" w:rsidRDefault="00E93560" w:rsidP="00FA00DB">
            <w:pPr>
              <w:spacing w:line="240" w:lineRule="auto"/>
              <w:jc w:val="center"/>
            </w:pPr>
            <w:r w:rsidRPr="007105B3">
              <w:rPr>
                <w:i/>
              </w:rPr>
              <w:t>Estimated response time</w:t>
            </w:r>
          </w:p>
        </w:tc>
        <w:tc>
          <w:tcPr>
            <w:tcW w:w="1377" w:type="dxa"/>
            <w:vAlign w:val="center"/>
          </w:tcPr>
          <w:p w:rsidR="00E93560" w:rsidRPr="007105B3" w:rsidRDefault="00E93560" w:rsidP="00FA00DB">
            <w:pPr>
              <w:spacing w:line="240" w:lineRule="auto"/>
              <w:jc w:val="center"/>
              <w:rPr>
                <w:i/>
              </w:rPr>
            </w:pPr>
            <w:r w:rsidRPr="007105B3">
              <w:rPr>
                <w:i/>
              </w:rPr>
              <w:t>Estimated annual burden hours</w:t>
            </w:r>
          </w:p>
        </w:tc>
      </w:tr>
      <w:tr w:rsidR="00E93560" w:rsidRPr="007105B3" w:rsidTr="00E93560">
        <w:trPr>
          <w:cantSplit/>
        </w:trPr>
        <w:tc>
          <w:tcPr>
            <w:tcW w:w="3690" w:type="dxa"/>
            <w:vAlign w:val="bottom"/>
          </w:tcPr>
          <w:p w:rsidR="00E93560" w:rsidRPr="007105B3" w:rsidRDefault="00E93560" w:rsidP="00FA00DB">
            <w:pPr>
              <w:spacing w:line="240" w:lineRule="auto"/>
              <w:jc w:val="left"/>
            </w:pPr>
            <w:r w:rsidRPr="007105B3">
              <w:t xml:space="preserve">Notifications </w:t>
            </w:r>
            <w:r w:rsidRPr="007105B3">
              <w:rPr>
                <w:b/>
              </w:rPr>
              <w:t>(202.9)</w:t>
            </w:r>
          </w:p>
        </w:tc>
        <w:tc>
          <w:tcPr>
            <w:tcW w:w="1467" w:type="dxa"/>
            <w:vAlign w:val="bottom"/>
          </w:tcPr>
          <w:p w:rsidR="00E93560" w:rsidRPr="007105B3" w:rsidRDefault="00E93560" w:rsidP="00FA00DB">
            <w:pPr>
              <w:spacing w:line="240" w:lineRule="auto"/>
              <w:jc w:val="center"/>
            </w:pPr>
            <w:r w:rsidRPr="007105B3">
              <w:t>1,107</w:t>
            </w:r>
          </w:p>
        </w:tc>
        <w:tc>
          <w:tcPr>
            <w:tcW w:w="1377" w:type="dxa"/>
            <w:vAlign w:val="bottom"/>
          </w:tcPr>
          <w:p w:rsidR="00E93560" w:rsidRPr="007105B3" w:rsidRDefault="00E93560" w:rsidP="00FA00DB">
            <w:pPr>
              <w:spacing w:line="240" w:lineRule="auto"/>
              <w:jc w:val="center"/>
            </w:pPr>
            <w:r w:rsidRPr="007105B3">
              <w:t>12</w:t>
            </w:r>
          </w:p>
        </w:tc>
        <w:tc>
          <w:tcPr>
            <w:tcW w:w="1377" w:type="dxa"/>
            <w:vAlign w:val="bottom"/>
          </w:tcPr>
          <w:p w:rsidR="00E93560" w:rsidRPr="007105B3" w:rsidRDefault="00E93560" w:rsidP="00FA00DB">
            <w:pPr>
              <w:spacing w:line="240" w:lineRule="auto"/>
              <w:jc w:val="center"/>
            </w:pPr>
            <w:r w:rsidRPr="007105B3">
              <w:t>6 hours</w:t>
            </w:r>
          </w:p>
        </w:tc>
        <w:tc>
          <w:tcPr>
            <w:tcW w:w="1377" w:type="dxa"/>
            <w:vAlign w:val="bottom"/>
          </w:tcPr>
          <w:p w:rsidR="00E93560" w:rsidRPr="007105B3" w:rsidRDefault="00E93560" w:rsidP="00FA00DB">
            <w:pPr>
              <w:spacing w:line="240" w:lineRule="auto"/>
              <w:jc w:val="right"/>
            </w:pPr>
          </w:p>
          <w:p w:rsidR="00E93560" w:rsidRPr="007105B3" w:rsidRDefault="00E93560" w:rsidP="00FA00DB">
            <w:pPr>
              <w:spacing w:line="240" w:lineRule="auto"/>
              <w:jc w:val="right"/>
            </w:pPr>
            <w:r w:rsidRPr="007105B3">
              <w:t>79,704</w:t>
            </w:r>
          </w:p>
        </w:tc>
      </w:tr>
      <w:tr w:rsidR="00E93560" w:rsidRPr="007105B3" w:rsidTr="00E93560">
        <w:trPr>
          <w:cantSplit/>
        </w:trPr>
        <w:tc>
          <w:tcPr>
            <w:tcW w:w="3690" w:type="dxa"/>
            <w:vAlign w:val="bottom"/>
          </w:tcPr>
          <w:p w:rsidR="00E93560" w:rsidRPr="007105B3" w:rsidRDefault="00E93560" w:rsidP="00EB7D1B">
            <w:pPr>
              <w:spacing w:line="240" w:lineRule="auto"/>
              <w:jc w:val="left"/>
              <w:rPr>
                <w:b/>
              </w:rPr>
            </w:pPr>
            <w:r w:rsidRPr="007105B3">
              <w:rPr>
                <w:b/>
              </w:rPr>
              <w:t>One-time change (R-</w:t>
            </w:r>
            <w:r w:rsidR="00EB7D1B" w:rsidRPr="007105B3">
              <w:rPr>
                <w:b/>
              </w:rPr>
              <w:t>1408</w:t>
            </w:r>
            <w:r w:rsidRPr="007105B3">
              <w:rPr>
                <w:b/>
              </w:rPr>
              <w:t>)</w:t>
            </w:r>
          </w:p>
        </w:tc>
        <w:tc>
          <w:tcPr>
            <w:tcW w:w="1467" w:type="dxa"/>
            <w:vAlign w:val="bottom"/>
          </w:tcPr>
          <w:p w:rsidR="00E93560" w:rsidRPr="007105B3" w:rsidRDefault="00E93560" w:rsidP="00FA00DB">
            <w:pPr>
              <w:spacing w:line="240" w:lineRule="auto"/>
              <w:jc w:val="center"/>
              <w:rPr>
                <w:b/>
              </w:rPr>
            </w:pPr>
            <w:r w:rsidRPr="007105B3">
              <w:rPr>
                <w:b/>
              </w:rPr>
              <w:t>1,107</w:t>
            </w:r>
          </w:p>
        </w:tc>
        <w:tc>
          <w:tcPr>
            <w:tcW w:w="1377" w:type="dxa"/>
            <w:vAlign w:val="bottom"/>
          </w:tcPr>
          <w:p w:rsidR="00E93560" w:rsidRPr="007105B3" w:rsidRDefault="00E93560" w:rsidP="00FA00DB">
            <w:pPr>
              <w:spacing w:line="240" w:lineRule="auto"/>
              <w:jc w:val="center"/>
              <w:rPr>
                <w:b/>
              </w:rPr>
            </w:pPr>
            <w:r w:rsidRPr="007105B3">
              <w:rPr>
                <w:b/>
              </w:rPr>
              <w:t>1</w:t>
            </w:r>
          </w:p>
        </w:tc>
        <w:tc>
          <w:tcPr>
            <w:tcW w:w="1377" w:type="dxa"/>
            <w:vAlign w:val="bottom"/>
          </w:tcPr>
          <w:p w:rsidR="00E93560" w:rsidRPr="007105B3" w:rsidRDefault="00042F77" w:rsidP="00FA00DB">
            <w:pPr>
              <w:spacing w:line="240" w:lineRule="auto"/>
              <w:jc w:val="center"/>
              <w:rPr>
                <w:b/>
              </w:rPr>
            </w:pPr>
            <w:r>
              <w:rPr>
                <w:b/>
              </w:rPr>
              <w:t>32</w:t>
            </w:r>
            <w:r w:rsidR="00E93560" w:rsidRPr="007105B3">
              <w:rPr>
                <w:b/>
              </w:rPr>
              <w:t xml:space="preserve"> hours</w:t>
            </w:r>
          </w:p>
        </w:tc>
        <w:tc>
          <w:tcPr>
            <w:tcW w:w="1377" w:type="dxa"/>
            <w:vAlign w:val="bottom"/>
          </w:tcPr>
          <w:p w:rsidR="00E93560" w:rsidRPr="007105B3" w:rsidRDefault="00042F77" w:rsidP="00042F77">
            <w:pPr>
              <w:spacing w:line="240" w:lineRule="auto"/>
              <w:jc w:val="right"/>
              <w:rPr>
                <w:b/>
              </w:rPr>
            </w:pPr>
            <w:r>
              <w:rPr>
                <w:b/>
              </w:rPr>
              <w:t>35</w:t>
            </w:r>
            <w:r w:rsidR="00E93560" w:rsidRPr="007105B3">
              <w:rPr>
                <w:b/>
              </w:rPr>
              <w:t>,</w:t>
            </w:r>
            <w:r>
              <w:rPr>
                <w:b/>
              </w:rPr>
              <w:t>424</w:t>
            </w:r>
          </w:p>
        </w:tc>
      </w:tr>
      <w:tr w:rsidR="00E93560" w:rsidRPr="007105B3" w:rsidTr="00E93560">
        <w:trPr>
          <w:cantSplit/>
        </w:trPr>
        <w:tc>
          <w:tcPr>
            <w:tcW w:w="3690" w:type="dxa"/>
            <w:vAlign w:val="bottom"/>
          </w:tcPr>
          <w:p w:rsidR="00E93560" w:rsidRPr="007105B3" w:rsidRDefault="00E93560" w:rsidP="00FA00DB">
            <w:pPr>
              <w:spacing w:line="240" w:lineRule="auto"/>
              <w:jc w:val="left"/>
            </w:pPr>
            <w:r w:rsidRPr="007105B3">
              <w:t xml:space="preserve">Furnishing of credit </w:t>
            </w:r>
          </w:p>
          <w:p w:rsidR="00E93560" w:rsidRPr="007105B3" w:rsidRDefault="00E93560" w:rsidP="00FA00DB">
            <w:pPr>
              <w:spacing w:line="240" w:lineRule="auto"/>
              <w:jc w:val="left"/>
            </w:pPr>
            <w:r w:rsidRPr="007105B3">
              <w:t xml:space="preserve">information </w:t>
            </w:r>
            <w:r w:rsidRPr="007105B3">
              <w:rPr>
                <w:b/>
              </w:rPr>
              <w:t>(202.10)</w:t>
            </w:r>
          </w:p>
        </w:tc>
        <w:tc>
          <w:tcPr>
            <w:tcW w:w="1467" w:type="dxa"/>
            <w:vAlign w:val="bottom"/>
          </w:tcPr>
          <w:p w:rsidR="00E93560" w:rsidRPr="007105B3" w:rsidRDefault="00E93560" w:rsidP="00FA00DB">
            <w:pPr>
              <w:spacing w:line="240" w:lineRule="auto"/>
              <w:jc w:val="center"/>
            </w:pPr>
            <w:r w:rsidRPr="007105B3">
              <w:t>1,107</w:t>
            </w:r>
          </w:p>
        </w:tc>
        <w:tc>
          <w:tcPr>
            <w:tcW w:w="1377" w:type="dxa"/>
            <w:vAlign w:val="bottom"/>
          </w:tcPr>
          <w:p w:rsidR="00E93560" w:rsidRPr="007105B3" w:rsidRDefault="00E93560" w:rsidP="00FA00DB">
            <w:pPr>
              <w:spacing w:line="240" w:lineRule="auto"/>
              <w:jc w:val="center"/>
            </w:pPr>
            <w:r w:rsidRPr="007105B3">
              <w:t>12</w:t>
            </w:r>
          </w:p>
        </w:tc>
        <w:tc>
          <w:tcPr>
            <w:tcW w:w="1377" w:type="dxa"/>
            <w:vAlign w:val="bottom"/>
          </w:tcPr>
          <w:p w:rsidR="00E93560" w:rsidRPr="007105B3" w:rsidRDefault="00E93560" w:rsidP="00FA00DB">
            <w:pPr>
              <w:spacing w:line="240" w:lineRule="auto"/>
              <w:jc w:val="center"/>
            </w:pPr>
            <w:r w:rsidRPr="007105B3">
              <w:t>2.50 hours</w:t>
            </w:r>
          </w:p>
        </w:tc>
        <w:tc>
          <w:tcPr>
            <w:tcW w:w="1377" w:type="dxa"/>
            <w:vAlign w:val="bottom"/>
          </w:tcPr>
          <w:p w:rsidR="00E93560" w:rsidRPr="007105B3" w:rsidRDefault="00E93560" w:rsidP="00FA00DB">
            <w:pPr>
              <w:spacing w:line="240" w:lineRule="auto"/>
              <w:jc w:val="right"/>
            </w:pPr>
          </w:p>
          <w:p w:rsidR="00E93560" w:rsidRPr="007105B3" w:rsidRDefault="00E93560" w:rsidP="00FA00DB">
            <w:pPr>
              <w:spacing w:line="240" w:lineRule="auto"/>
              <w:jc w:val="right"/>
            </w:pPr>
            <w:r w:rsidRPr="007105B3">
              <w:t>33,210</w:t>
            </w:r>
          </w:p>
        </w:tc>
      </w:tr>
      <w:tr w:rsidR="00E93560" w:rsidRPr="007105B3" w:rsidTr="00E93560">
        <w:trPr>
          <w:cantSplit/>
        </w:trPr>
        <w:tc>
          <w:tcPr>
            <w:tcW w:w="3690" w:type="dxa"/>
            <w:vAlign w:val="bottom"/>
          </w:tcPr>
          <w:p w:rsidR="00E93560" w:rsidRPr="007105B3" w:rsidRDefault="00E93560" w:rsidP="00FA00DB">
            <w:pPr>
              <w:spacing w:line="240" w:lineRule="auto"/>
              <w:jc w:val="left"/>
              <w:rPr>
                <w:i/>
              </w:rPr>
            </w:pPr>
            <w:r w:rsidRPr="007105B3">
              <w:t xml:space="preserve">Record retention </w:t>
            </w:r>
            <w:r w:rsidRPr="007105B3">
              <w:rPr>
                <w:b/>
              </w:rPr>
              <w:t>(202.12)</w:t>
            </w:r>
            <w:r w:rsidRPr="007105B3">
              <w:t>:</w:t>
            </w:r>
            <w:r w:rsidRPr="007105B3">
              <w:rPr>
                <w:i/>
              </w:rPr>
              <w:t xml:space="preserve"> </w:t>
            </w:r>
          </w:p>
          <w:p w:rsidR="00E93560" w:rsidRPr="007105B3" w:rsidRDefault="00E93560" w:rsidP="00FA00DB">
            <w:pPr>
              <w:spacing w:line="240" w:lineRule="auto"/>
              <w:jc w:val="left"/>
              <w:rPr>
                <w:i/>
              </w:rPr>
            </w:pPr>
            <w:r w:rsidRPr="007105B3">
              <w:rPr>
                <w:i/>
              </w:rPr>
              <w:t xml:space="preserve">  Applications, actions, and   </w:t>
            </w:r>
            <w:r w:rsidRPr="007105B3">
              <w:t xml:space="preserve">       </w:t>
            </w:r>
            <w:r w:rsidRPr="007105B3">
              <w:rPr>
                <w:i/>
              </w:rPr>
              <w:t>prescreened solicitations</w:t>
            </w:r>
            <w:r w:rsidRPr="007105B3">
              <w:rPr>
                <w:rStyle w:val="FootnoteReference"/>
                <w:i/>
              </w:rPr>
              <w:footnoteReference w:id="8"/>
            </w:r>
          </w:p>
        </w:tc>
        <w:tc>
          <w:tcPr>
            <w:tcW w:w="1467" w:type="dxa"/>
            <w:vAlign w:val="bottom"/>
          </w:tcPr>
          <w:p w:rsidR="00E93560" w:rsidRPr="007105B3" w:rsidRDefault="00E93560" w:rsidP="00FA00DB">
            <w:pPr>
              <w:spacing w:line="240" w:lineRule="auto"/>
              <w:jc w:val="center"/>
            </w:pPr>
            <w:r w:rsidRPr="007105B3">
              <w:t>1,107</w:t>
            </w:r>
          </w:p>
        </w:tc>
        <w:tc>
          <w:tcPr>
            <w:tcW w:w="1377" w:type="dxa"/>
            <w:vAlign w:val="bottom"/>
          </w:tcPr>
          <w:p w:rsidR="00E93560" w:rsidRPr="007105B3" w:rsidRDefault="00E93560" w:rsidP="00FA00DB">
            <w:pPr>
              <w:spacing w:line="240" w:lineRule="auto"/>
              <w:jc w:val="center"/>
            </w:pPr>
            <w:r w:rsidRPr="007105B3">
              <w:t>1</w:t>
            </w:r>
          </w:p>
        </w:tc>
        <w:tc>
          <w:tcPr>
            <w:tcW w:w="1377" w:type="dxa"/>
            <w:vAlign w:val="bottom"/>
          </w:tcPr>
          <w:p w:rsidR="00E93560" w:rsidRPr="007105B3" w:rsidRDefault="00E93560" w:rsidP="00FA00DB">
            <w:pPr>
              <w:spacing w:line="240" w:lineRule="auto"/>
              <w:jc w:val="center"/>
            </w:pPr>
            <w:r w:rsidRPr="007105B3">
              <w:t>8 hours</w:t>
            </w:r>
          </w:p>
        </w:tc>
        <w:tc>
          <w:tcPr>
            <w:tcW w:w="1377" w:type="dxa"/>
            <w:vAlign w:val="bottom"/>
          </w:tcPr>
          <w:p w:rsidR="00E93560" w:rsidRPr="007105B3" w:rsidRDefault="00E93560" w:rsidP="00FA00DB">
            <w:pPr>
              <w:spacing w:line="240" w:lineRule="auto"/>
              <w:jc w:val="right"/>
            </w:pPr>
          </w:p>
          <w:p w:rsidR="00E93560" w:rsidRPr="007105B3" w:rsidRDefault="00E93560" w:rsidP="00FA00DB">
            <w:pPr>
              <w:spacing w:line="240" w:lineRule="auto"/>
              <w:jc w:val="right"/>
            </w:pPr>
            <w:r w:rsidRPr="007105B3">
              <w:t>8,856</w:t>
            </w:r>
          </w:p>
        </w:tc>
      </w:tr>
      <w:tr w:rsidR="00E93560" w:rsidRPr="007105B3" w:rsidTr="00E93560">
        <w:trPr>
          <w:cantSplit/>
        </w:trPr>
        <w:tc>
          <w:tcPr>
            <w:tcW w:w="3690" w:type="dxa"/>
            <w:vAlign w:val="bottom"/>
          </w:tcPr>
          <w:p w:rsidR="00E93560" w:rsidRPr="007105B3" w:rsidRDefault="00E93560" w:rsidP="00FA00DB">
            <w:pPr>
              <w:spacing w:line="240" w:lineRule="auto"/>
              <w:jc w:val="left"/>
            </w:pPr>
            <w:r w:rsidRPr="007105B3">
              <w:t>Information for monitoring purposes</w:t>
            </w:r>
            <w:r w:rsidRPr="007105B3" w:rsidDel="00010F66">
              <w:t xml:space="preserve"> </w:t>
            </w:r>
            <w:r w:rsidRPr="007105B3">
              <w:rPr>
                <w:b/>
              </w:rPr>
              <w:t>(202.13)</w:t>
            </w:r>
          </w:p>
        </w:tc>
        <w:tc>
          <w:tcPr>
            <w:tcW w:w="1467" w:type="dxa"/>
            <w:vAlign w:val="bottom"/>
          </w:tcPr>
          <w:p w:rsidR="00E93560" w:rsidRPr="007105B3" w:rsidRDefault="00E93560" w:rsidP="00FA00DB">
            <w:pPr>
              <w:spacing w:line="240" w:lineRule="auto"/>
              <w:jc w:val="center"/>
            </w:pPr>
            <w:r w:rsidRPr="007105B3">
              <w:t>1,107</w:t>
            </w:r>
          </w:p>
        </w:tc>
        <w:tc>
          <w:tcPr>
            <w:tcW w:w="1377" w:type="dxa"/>
            <w:vAlign w:val="bottom"/>
          </w:tcPr>
          <w:p w:rsidR="00E93560" w:rsidRPr="007105B3" w:rsidRDefault="00E93560" w:rsidP="00FA00DB">
            <w:pPr>
              <w:spacing w:line="240" w:lineRule="auto"/>
              <w:jc w:val="center"/>
            </w:pPr>
            <w:r w:rsidRPr="007105B3">
              <w:t>12</w:t>
            </w:r>
          </w:p>
        </w:tc>
        <w:tc>
          <w:tcPr>
            <w:tcW w:w="1377" w:type="dxa"/>
            <w:vAlign w:val="bottom"/>
          </w:tcPr>
          <w:p w:rsidR="00E93560" w:rsidRPr="007105B3" w:rsidRDefault="00E93560" w:rsidP="00FA00DB">
            <w:pPr>
              <w:spacing w:line="240" w:lineRule="auto"/>
              <w:jc w:val="center"/>
            </w:pPr>
            <w:r w:rsidRPr="007105B3">
              <w:t>15 mins</w:t>
            </w:r>
          </w:p>
        </w:tc>
        <w:tc>
          <w:tcPr>
            <w:tcW w:w="1377" w:type="dxa"/>
            <w:vAlign w:val="bottom"/>
          </w:tcPr>
          <w:p w:rsidR="00E93560" w:rsidRPr="007105B3" w:rsidRDefault="00E93560" w:rsidP="00FA00DB">
            <w:pPr>
              <w:spacing w:line="240" w:lineRule="auto"/>
              <w:jc w:val="right"/>
            </w:pPr>
            <w:r w:rsidRPr="007105B3">
              <w:t>3,321</w:t>
            </w:r>
          </w:p>
        </w:tc>
      </w:tr>
      <w:tr w:rsidR="00E93560" w:rsidRPr="007105B3" w:rsidTr="00E93560">
        <w:trPr>
          <w:cantSplit/>
          <w:trHeight w:val="370"/>
        </w:trPr>
        <w:tc>
          <w:tcPr>
            <w:tcW w:w="3690" w:type="dxa"/>
            <w:vAlign w:val="bottom"/>
          </w:tcPr>
          <w:p w:rsidR="00E93560" w:rsidRPr="007105B3" w:rsidRDefault="00E93560" w:rsidP="00FA00DB">
            <w:pPr>
              <w:spacing w:line="240" w:lineRule="auto"/>
              <w:jc w:val="left"/>
            </w:pPr>
            <w:r w:rsidRPr="007105B3">
              <w:t xml:space="preserve">Rules on providing </w:t>
            </w:r>
          </w:p>
          <w:p w:rsidR="00E93560" w:rsidRPr="007105B3" w:rsidRDefault="00E93560" w:rsidP="00FA00DB">
            <w:pPr>
              <w:spacing w:line="240" w:lineRule="auto"/>
              <w:jc w:val="left"/>
            </w:pPr>
            <w:r w:rsidRPr="007105B3">
              <w:t xml:space="preserve">appraisal reports </w:t>
            </w:r>
            <w:r w:rsidRPr="007105B3">
              <w:rPr>
                <w:b/>
              </w:rPr>
              <w:t>(202.14)</w:t>
            </w:r>
            <w:r w:rsidRPr="007105B3">
              <w:t>:</w:t>
            </w:r>
          </w:p>
        </w:tc>
        <w:tc>
          <w:tcPr>
            <w:tcW w:w="1467" w:type="dxa"/>
            <w:vMerge w:val="restart"/>
            <w:vAlign w:val="bottom"/>
          </w:tcPr>
          <w:p w:rsidR="00E93560" w:rsidRPr="007105B3" w:rsidRDefault="00E93560" w:rsidP="00FA00DB">
            <w:pPr>
              <w:spacing w:line="240" w:lineRule="auto"/>
              <w:jc w:val="center"/>
            </w:pPr>
            <w:r w:rsidRPr="007105B3">
              <w:t>1,107</w:t>
            </w:r>
          </w:p>
        </w:tc>
        <w:tc>
          <w:tcPr>
            <w:tcW w:w="1377" w:type="dxa"/>
            <w:vMerge w:val="restart"/>
            <w:vAlign w:val="bottom"/>
          </w:tcPr>
          <w:p w:rsidR="00E93560" w:rsidRPr="007105B3" w:rsidRDefault="00E93560" w:rsidP="00FA00DB">
            <w:pPr>
              <w:spacing w:line="240" w:lineRule="auto"/>
              <w:jc w:val="center"/>
            </w:pPr>
            <w:r w:rsidRPr="007105B3">
              <w:t>12</w:t>
            </w:r>
          </w:p>
        </w:tc>
        <w:tc>
          <w:tcPr>
            <w:tcW w:w="1377" w:type="dxa"/>
            <w:vMerge w:val="restart"/>
            <w:vAlign w:val="bottom"/>
          </w:tcPr>
          <w:p w:rsidR="00E93560" w:rsidRPr="007105B3" w:rsidRDefault="00E93560" w:rsidP="00FA00DB">
            <w:pPr>
              <w:spacing w:line="240" w:lineRule="auto"/>
              <w:jc w:val="center"/>
            </w:pPr>
            <w:r w:rsidRPr="007105B3">
              <w:t>1.25 hours</w:t>
            </w:r>
          </w:p>
        </w:tc>
        <w:tc>
          <w:tcPr>
            <w:tcW w:w="1377" w:type="dxa"/>
            <w:vMerge w:val="restart"/>
            <w:vAlign w:val="bottom"/>
          </w:tcPr>
          <w:p w:rsidR="00E93560" w:rsidRPr="007105B3" w:rsidRDefault="00E93560" w:rsidP="00FA00DB">
            <w:pPr>
              <w:spacing w:line="240" w:lineRule="auto"/>
              <w:jc w:val="right"/>
            </w:pPr>
          </w:p>
          <w:p w:rsidR="00E93560" w:rsidRPr="007105B3" w:rsidRDefault="00E93560" w:rsidP="00FA00DB">
            <w:pPr>
              <w:spacing w:line="240" w:lineRule="auto"/>
              <w:jc w:val="right"/>
            </w:pPr>
            <w:r w:rsidRPr="007105B3">
              <w:t>16,605</w:t>
            </w:r>
          </w:p>
        </w:tc>
      </w:tr>
      <w:tr w:rsidR="00E93560" w:rsidRPr="007105B3" w:rsidTr="00E93560">
        <w:trPr>
          <w:cantSplit/>
          <w:trHeight w:val="370"/>
        </w:trPr>
        <w:tc>
          <w:tcPr>
            <w:tcW w:w="3690" w:type="dxa"/>
            <w:vAlign w:val="bottom"/>
          </w:tcPr>
          <w:p w:rsidR="00E93560" w:rsidRPr="007105B3" w:rsidRDefault="00E93560" w:rsidP="00FA00DB">
            <w:pPr>
              <w:spacing w:line="240" w:lineRule="auto"/>
              <w:jc w:val="left"/>
            </w:pPr>
            <w:r w:rsidRPr="007105B3">
              <w:rPr>
                <w:i/>
              </w:rPr>
              <w:t>Appraisal report upon request</w:t>
            </w:r>
          </w:p>
        </w:tc>
        <w:tc>
          <w:tcPr>
            <w:tcW w:w="1467" w:type="dxa"/>
            <w:vMerge/>
            <w:vAlign w:val="bottom"/>
          </w:tcPr>
          <w:p w:rsidR="00E93560" w:rsidRPr="007105B3" w:rsidRDefault="00E93560" w:rsidP="00FA00DB">
            <w:pPr>
              <w:spacing w:line="240" w:lineRule="auto"/>
              <w:jc w:val="center"/>
            </w:pPr>
          </w:p>
        </w:tc>
        <w:tc>
          <w:tcPr>
            <w:tcW w:w="1377" w:type="dxa"/>
            <w:vMerge/>
            <w:vAlign w:val="bottom"/>
          </w:tcPr>
          <w:p w:rsidR="00E93560" w:rsidRPr="007105B3" w:rsidRDefault="00E93560" w:rsidP="00FA00DB">
            <w:pPr>
              <w:spacing w:line="240" w:lineRule="auto"/>
              <w:jc w:val="center"/>
            </w:pPr>
          </w:p>
        </w:tc>
        <w:tc>
          <w:tcPr>
            <w:tcW w:w="1377" w:type="dxa"/>
            <w:vMerge/>
            <w:vAlign w:val="bottom"/>
          </w:tcPr>
          <w:p w:rsidR="00E93560" w:rsidRPr="007105B3" w:rsidRDefault="00E93560" w:rsidP="00FA00DB">
            <w:pPr>
              <w:spacing w:line="240" w:lineRule="auto"/>
              <w:jc w:val="center"/>
            </w:pPr>
          </w:p>
        </w:tc>
        <w:tc>
          <w:tcPr>
            <w:tcW w:w="1377" w:type="dxa"/>
            <w:vMerge/>
            <w:vAlign w:val="bottom"/>
          </w:tcPr>
          <w:p w:rsidR="00E93560" w:rsidRPr="007105B3" w:rsidRDefault="00E93560" w:rsidP="00FA00DB">
            <w:pPr>
              <w:spacing w:line="240" w:lineRule="auto"/>
              <w:jc w:val="right"/>
            </w:pPr>
          </w:p>
        </w:tc>
      </w:tr>
      <w:tr w:rsidR="00E93560" w:rsidRPr="007105B3" w:rsidTr="00E93560">
        <w:trPr>
          <w:cantSplit/>
          <w:trHeight w:val="370"/>
        </w:trPr>
        <w:tc>
          <w:tcPr>
            <w:tcW w:w="3690" w:type="dxa"/>
            <w:vAlign w:val="bottom"/>
          </w:tcPr>
          <w:p w:rsidR="00E93560" w:rsidRPr="007105B3" w:rsidRDefault="00E93560" w:rsidP="00FA00DB">
            <w:pPr>
              <w:spacing w:line="240" w:lineRule="auto"/>
              <w:jc w:val="left"/>
            </w:pPr>
            <w:r w:rsidRPr="007105B3">
              <w:rPr>
                <w:i/>
              </w:rPr>
              <w:t>Notice of right to appraisal</w:t>
            </w:r>
          </w:p>
        </w:tc>
        <w:tc>
          <w:tcPr>
            <w:tcW w:w="1467" w:type="dxa"/>
            <w:vAlign w:val="bottom"/>
          </w:tcPr>
          <w:p w:rsidR="00E93560" w:rsidRPr="007105B3" w:rsidRDefault="00E93560" w:rsidP="00FA00DB">
            <w:pPr>
              <w:spacing w:line="240" w:lineRule="auto"/>
              <w:jc w:val="center"/>
            </w:pPr>
            <w:r w:rsidRPr="007105B3">
              <w:t>1,107</w:t>
            </w:r>
          </w:p>
        </w:tc>
        <w:tc>
          <w:tcPr>
            <w:tcW w:w="1377" w:type="dxa"/>
            <w:vAlign w:val="bottom"/>
          </w:tcPr>
          <w:p w:rsidR="00E93560" w:rsidRPr="007105B3" w:rsidRDefault="00E93560" w:rsidP="00FA00DB">
            <w:pPr>
              <w:spacing w:line="240" w:lineRule="auto"/>
              <w:jc w:val="center"/>
            </w:pPr>
            <w:r w:rsidRPr="007105B3">
              <w:t>12</w:t>
            </w:r>
          </w:p>
        </w:tc>
        <w:tc>
          <w:tcPr>
            <w:tcW w:w="1377" w:type="dxa"/>
            <w:vAlign w:val="bottom"/>
          </w:tcPr>
          <w:p w:rsidR="00E93560" w:rsidRPr="007105B3" w:rsidRDefault="00E93560" w:rsidP="00FA00DB">
            <w:pPr>
              <w:spacing w:line="240" w:lineRule="auto"/>
              <w:jc w:val="center"/>
            </w:pPr>
            <w:r w:rsidRPr="007105B3">
              <w:t>30 mins</w:t>
            </w:r>
          </w:p>
        </w:tc>
        <w:tc>
          <w:tcPr>
            <w:tcW w:w="1377" w:type="dxa"/>
            <w:vAlign w:val="bottom"/>
          </w:tcPr>
          <w:p w:rsidR="00E93560" w:rsidRPr="007105B3" w:rsidRDefault="00E93560" w:rsidP="00FA00DB">
            <w:pPr>
              <w:spacing w:line="240" w:lineRule="auto"/>
              <w:jc w:val="right"/>
            </w:pPr>
            <w:r w:rsidRPr="007105B3">
              <w:t>6,642</w:t>
            </w:r>
          </w:p>
        </w:tc>
      </w:tr>
      <w:tr w:rsidR="00E93560" w:rsidRPr="007105B3" w:rsidTr="00E93560">
        <w:trPr>
          <w:cantSplit/>
        </w:trPr>
        <w:tc>
          <w:tcPr>
            <w:tcW w:w="3690" w:type="dxa"/>
            <w:vAlign w:val="bottom"/>
          </w:tcPr>
          <w:p w:rsidR="00E93560" w:rsidRPr="007105B3" w:rsidRDefault="00E93560" w:rsidP="00FA00DB">
            <w:pPr>
              <w:spacing w:line="240" w:lineRule="auto"/>
              <w:jc w:val="left"/>
            </w:pPr>
          </w:p>
        </w:tc>
        <w:tc>
          <w:tcPr>
            <w:tcW w:w="1467" w:type="dxa"/>
            <w:vAlign w:val="bottom"/>
          </w:tcPr>
          <w:p w:rsidR="00E93560" w:rsidRPr="007105B3" w:rsidRDefault="00E93560" w:rsidP="00FA00DB">
            <w:pPr>
              <w:spacing w:line="240" w:lineRule="auto"/>
              <w:jc w:val="center"/>
            </w:pPr>
          </w:p>
        </w:tc>
        <w:tc>
          <w:tcPr>
            <w:tcW w:w="1377" w:type="dxa"/>
            <w:vAlign w:val="bottom"/>
          </w:tcPr>
          <w:p w:rsidR="00E93560" w:rsidRPr="007105B3" w:rsidRDefault="00E93560" w:rsidP="00FA00DB">
            <w:pPr>
              <w:spacing w:line="240" w:lineRule="auto"/>
              <w:jc w:val="center"/>
            </w:pPr>
          </w:p>
        </w:tc>
        <w:tc>
          <w:tcPr>
            <w:tcW w:w="1377" w:type="dxa"/>
            <w:vAlign w:val="bottom"/>
          </w:tcPr>
          <w:p w:rsidR="00E93560" w:rsidRPr="007105B3" w:rsidRDefault="00E93560" w:rsidP="00FA00DB">
            <w:pPr>
              <w:spacing w:line="240" w:lineRule="auto"/>
              <w:jc w:val="center"/>
            </w:pPr>
          </w:p>
        </w:tc>
        <w:tc>
          <w:tcPr>
            <w:tcW w:w="1377" w:type="dxa"/>
            <w:vAlign w:val="bottom"/>
          </w:tcPr>
          <w:p w:rsidR="00E93560" w:rsidRPr="007105B3" w:rsidRDefault="00E93560" w:rsidP="00FA00DB">
            <w:pPr>
              <w:spacing w:line="240" w:lineRule="auto"/>
              <w:jc w:val="right"/>
            </w:pPr>
          </w:p>
        </w:tc>
      </w:tr>
      <w:tr w:rsidR="00E93560" w:rsidRPr="007105B3" w:rsidTr="00E93560">
        <w:trPr>
          <w:cantSplit/>
        </w:trPr>
        <w:tc>
          <w:tcPr>
            <w:tcW w:w="3690" w:type="dxa"/>
            <w:vAlign w:val="bottom"/>
          </w:tcPr>
          <w:p w:rsidR="00E93560" w:rsidRPr="007105B3" w:rsidRDefault="00E93560" w:rsidP="00FA00DB">
            <w:pPr>
              <w:spacing w:line="240" w:lineRule="auto"/>
              <w:jc w:val="left"/>
              <w:rPr>
                <w:u w:val="single"/>
              </w:rPr>
            </w:pPr>
            <w:r w:rsidRPr="007105B3">
              <w:rPr>
                <w:u w:val="single"/>
              </w:rPr>
              <w:t>Self-testing</w:t>
            </w:r>
          </w:p>
        </w:tc>
        <w:tc>
          <w:tcPr>
            <w:tcW w:w="1467" w:type="dxa"/>
            <w:vAlign w:val="bottom"/>
          </w:tcPr>
          <w:p w:rsidR="00E93560" w:rsidRPr="007105B3" w:rsidRDefault="00E93560" w:rsidP="00FA00DB">
            <w:pPr>
              <w:spacing w:line="240" w:lineRule="auto"/>
              <w:jc w:val="center"/>
            </w:pPr>
          </w:p>
        </w:tc>
        <w:tc>
          <w:tcPr>
            <w:tcW w:w="1377" w:type="dxa"/>
            <w:vAlign w:val="bottom"/>
          </w:tcPr>
          <w:p w:rsidR="00E93560" w:rsidRPr="007105B3" w:rsidRDefault="00E93560" w:rsidP="00FA00DB">
            <w:pPr>
              <w:spacing w:line="240" w:lineRule="auto"/>
              <w:jc w:val="center"/>
            </w:pPr>
          </w:p>
        </w:tc>
        <w:tc>
          <w:tcPr>
            <w:tcW w:w="1377" w:type="dxa"/>
            <w:vAlign w:val="bottom"/>
          </w:tcPr>
          <w:p w:rsidR="00E93560" w:rsidRPr="007105B3" w:rsidRDefault="00E93560" w:rsidP="00FA00DB">
            <w:pPr>
              <w:spacing w:line="240" w:lineRule="auto"/>
              <w:jc w:val="center"/>
            </w:pPr>
          </w:p>
        </w:tc>
        <w:tc>
          <w:tcPr>
            <w:tcW w:w="1377" w:type="dxa"/>
            <w:vAlign w:val="bottom"/>
          </w:tcPr>
          <w:p w:rsidR="00E93560" w:rsidRPr="007105B3" w:rsidDel="00F17164" w:rsidRDefault="00E93560" w:rsidP="00FA00DB">
            <w:pPr>
              <w:spacing w:line="240" w:lineRule="auto"/>
              <w:jc w:val="right"/>
            </w:pPr>
          </w:p>
        </w:tc>
      </w:tr>
      <w:tr w:rsidR="00E93560" w:rsidRPr="007105B3" w:rsidTr="00E93560">
        <w:trPr>
          <w:cantSplit/>
        </w:trPr>
        <w:tc>
          <w:tcPr>
            <w:tcW w:w="3690" w:type="dxa"/>
            <w:vAlign w:val="bottom"/>
          </w:tcPr>
          <w:p w:rsidR="00E93560" w:rsidRPr="007105B3" w:rsidRDefault="00E93560" w:rsidP="00FA00DB">
            <w:pPr>
              <w:spacing w:line="240" w:lineRule="auto"/>
              <w:jc w:val="left"/>
            </w:pPr>
            <w:r w:rsidRPr="007105B3">
              <w:t>Record retention:</w:t>
            </w:r>
          </w:p>
          <w:p w:rsidR="00E93560" w:rsidRPr="007105B3" w:rsidRDefault="00E93560" w:rsidP="00FA00DB">
            <w:pPr>
              <w:spacing w:line="240" w:lineRule="auto"/>
              <w:jc w:val="left"/>
            </w:pPr>
            <w:r w:rsidRPr="007105B3">
              <w:rPr>
                <w:i/>
              </w:rPr>
              <w:t xml:space="preserve">  Incentives </w:t>
            </w:r>
            <w:r w:rsidRPr="007105B3">
              <w:rPr>
                <w:b/>
              </w:rPr>
              <w:t>(202.12)</w:t>
            </w:r>
          </w:p>
          <w:p w:rsidR="00E93560" w:rsidRPr="007105B3" w:rsidRDefault="00E93560" w:rsidP="00FA00DB">
            <w:pPr>
              <w:spacing w:line="240" w:lineRule="auto"/>
              <w:jc w:val="left"/>
            </w:pPr>
            <w:r w:rsidRPr="007105B3">
              <w:rPr>
                <w:i/>
              </w:rPr>
              <w:t xml:space="preserve">  Self-correction</w:t>
            </w:r>
            <w:r w:rsidRPr="007105B3">
              <w:t xml:space="preserve"> </w:t>
            </w:r>
            <w:r w:rsidRPr="007105B3">
              <w:rPr>
                <w:b/>
              </w:rPr>
              <w:t>(202.15)</w:t>
            </w:r>
          </w:p>
        </w:tc>
        <w:tc>
          <w:tcPr>
            <w:tcW w:w="1467" w:type="dxa"/>
            <w:vAlign w:val="bottom"/>
          </w:tcPr>
          <w:p w:rsidR="00E93560" w:rsidRPr="007105B3" w:rsidRDefault="00E93560" w:rsidP="00FA00DB">
            <w:pPr>
              <w:spacing w:line="240" w:lineRule="auto"/>
              <w:jc w:val="center"/>
            </w:pPr>
            <w:r w:rsidRPr="007105B3">
              <w:t>200</w:t>
            </w:r>
          </w:p>
          <w:p w:rsidR="00E93560" w:rsidRPr="007105B3" w:rsidRDefault="00E93560" w:rsidP="00FA00DB">
            <w:pPr>
              <w:spacing w:line="240" w:lineRule="auto"/>
              <w:jc w:val="center"/>
            </w:pPr>
            <w:r w:rsidRPr="007105B3">
              <w:t>50</w:t>
            </w:r>
          </w:p>
        </w:tc>
        <w:tc>
          <w:tcPr>
            <w:tcW w:w="1377" w:type="dxa"/>
            <w:vAlign w:val="bottom"/>
          </w:tcPr>
          <w:p w:rsidR="00E93560" w:rsidRPr="007105B3" w:rsidRDefault="00E93560" w:rsidP="00FA00DB">
            <w:pPr>
              <w:spacing w:line="240" w:lineRule="auto"/>
              <w:jc w:val="center"/>
            </w:pPr>
            <w:r w:rsidRPr="007105B3">
              <w:t>1</w:t>
            </w:r>
          </w:p>
          <w:p w:rsidR="00E93560" w:rsidRPr="007105B3" w:rsidRDefault="00E93560" w:rsidP="00FA00DB">
            <w:pPr>
              <w:spacing w:line="240" w:lineRule="auto"/>
              <w:jc w:val="center"/>
            </w:pPr>
            <w:r w:rsidRPr="007105B3">
              <w:t>1</w:t>
            </w:r>
          </w:p>
        </w:tc>
        <w:tc>
          <w:tcPr>
            <w:tcW w:w="1377" w:type="dxa"/>
            <w:vAlign w:val="bottom"/>
          </w:tcPr>
          <w:p w:rsidR="00E93560" w:rsidRPr="007105B3" w:rsidRDefault="00E93560" w:rsidP="00FA00DB">
            <w:pPr>
              <w:spacing w:line="240" w:lineRule="auto"/>
              <w:jc w:val="center"/>
            </w:pPr>
            <w:r w:rsidRPr="007105B3">
              <w:t>2 hours</w:t>
            </w:r>
          </w:p>
          <w:p w:rsidR="00E93560" w:rsidRPr="007105B3" w:rsidRDefault="00E93560" w:rsidP="00FA00DB">
            <w:pPr>
              <w:spacing w:line="240" w:lineRule="auto"/>
              <w:jc w:val="center"/>
            </w:pPr>
            <w:r w:rsidRPr="007105B3">
              <w:t>8 hours</w:t>
            </w:r>
          </w:p>
        </w:tc>
        <w:tc>
          <w:tcPr>
            <w:tcW w:w="1377" w:type="dxa"/>
            <w:vAlign w:val="bottom"/>
          </w:tcPr>
          <w:p w:rsidR="00E93560" w:rsidRPr="007105B3" w:rsidRDefault="00E93560" w:rsidP="00FA00DB">
            <w:pPr>
              <w:spacing w:line="240" w:lineRule="auto"/>
              <w:jc w:val="right"/>
            </w:pPr>
            <w:r w:rsidRPr="007105B3">
              <w:t>400</w:t>
            </w:r>
          </w:p>
          <w:p w:rsidR="00E93560" w:rsidRPr="007105B3" w:rsidRDefault="00E93560" w:rsidP="00FA00DB">
            <w:pPr>
              <w:spacing w:line="240" w:lineRule="auto"/>
              <w:jc w:val="right"/>
            </w:pPr>
            <w:r w:rsidRPr="007105B3">
              <w:t>400</w:t>
            </w:r>
          </w:p>
        </w:tc>
      </w:tr>
      <w:tr w:rsidR="00E93560" w:rsidRPr="007105B3" w:rsidTr="00E93560">
        <w:trPr>
          <w:cantSplit/>
          <w:trHeight w:val="441"/>
        </w:trPr>
        <w:tc>
          <w:tcPr>
            <w:tcW w:w="3690" w:type="dxa"/>
            <w:vAlign w:val="bottom"/>
          </w:tcPr>
          <w:p w:rsidR="00E93560" w:rsidRPr="007105B3" w:rsidRDefault="00E93560" w:rsidP="00FA00DB">
            <w:pPr>
              <w:spacing w:line="240" w:lineRule="auto"/>
              <w:jc w:val="left"/>
            </w:pPr>
            <w:r w:rsidRPr="007105B3">
              <w:t xml:space="preserve">Rules concerning requests </w:t>
            </w:r>
          </w:p>
          <w:p w:rsidR="00E93560" w:rsidRPr="007105B3" w:rsidRDefault="00E93560" w:rsidP="00FA00DB">
            <w:pPr>
              <w:spacing w:line="240" w:lineRule="auto"/>
              <w:jc w:val="left"/>
            </w:pPr>
            <w:r w:rsidRPr="007105B3">
              <w:t xml:space="preserve">for information </w:t>
            </w:r>
            <w:r w:rsidRPr="007105B3">
              <w:rPr>
                <w:b/>
              </w:rPr>
              <w:t>(202.5)</w:t>
            </w:r>
          </w:p>
          <w:p w:rsidR="00E93560" w:rsidRPr="007105B3" w:rsidRDefault="00E93560" w:rsidP="00FA00DB">
            <w:pPr>
              <w:spacing w:line="240" w:lineRule="auto"/>
              <w:jc w:val="left"/>
              <w:rPr>
                <w:i/>
              </w:rPr>
            </w:pPr>
            <w:r w:rsidRPr="007105B3">
              <w:rPr>
                <w:i/>
              </w:rPr>
              <w:t xml:space="preserve">  Disclosure for optional self-test</w:t>
            </w:r>
          </w:p>
        </w:tc>
        <w:tc>
          <w:tcPr>
            <w:tcW w:w="1467" w:type="dxa"/>
            <w:vAlign w:val="bottom"/>
          </w:tcPr>
          <w:p w:rsidR="00E93560" w:rsidRPr="007105B3" w:rsidRDefault="00E93560" w:rsidP="00FA00DB">
            <w:pPr>
              <w:spacing w:line="240" w:lineRule="auto"/>
              <w:jc w:val="center"/>
            </w:pPr>
            <w:r w:rsidRPr="007105B3">
              <w:t>200</w:t>
            </w:r>
          </w:p>
        </w:tc>
        <w:tc>
          <w:tcPr>
            <w:tcW w:w="1377" w:type="dxa"/>
            <w:vAlign w:val="bottom"/>
          </w:tcPr>
          <w:p w:rsidR="00E93560" w:rsidRPr="007105B3" w:rsidRDefault="00E93560" w:rsidP="00FA00DB">
            <w:pPr>
              <w:spacing w:line="240" w:lineRule="auto"/>
              <w:jc w:val="center"/>
            </w:pPr>
            <w:r w:rsidRPr="007105B3">
              <w:t>12</w:t>
            </w:r>
          </w:p>
        </w:tc>
        <w:tc>
          <w:tcPr>
            <w:tcW w:w="1377" w:type="dxa"/>
            <w:vAlign w:val="bottom"/>
          </w:tcPr>
          <w:p w:rsidR="00E93560" w:rsidRPr="007105B3" w:rsidRDefault="00E93560" w:rsidP="00FA00DB">
            <w:pPr>
              <w:spacing w:line="240" w:lineRule="auto"/>
              <w:jc w:val="center"/>
            </w:pPr>
            <w:r w:rsidRPr="007105B3">
              <w:t>3.5 hours</w:t>
            </w:r>
          </w:p>
        </w:tc>
        <w:tc>
          <w:tcPr>
            <w:tcW w:w="1377" w:type="dxa"/>
            <w:vAlign w:val="bottom"/>
          </w:tcPr>
          <w:p w:rsidR="00E93560" w:rsidRPr="007105B3" w:rsidRDefault="00E93560" w:rsidP="00FA00DB">
            <w:pPr>
              <w:spacing w:line="240" w:lineRule="auto"/>
              <w:jc w:val="right"/>
              <w:rPr>
                <w:u w:val="single"/>
              </w:rPr>
            </w:pPr>
          </w:p>
          <w:p w:rsidR="00E93560" w:rsidRPr="007105B3" w:rsidRDefault="00E93560" w:rsidP="00FA00DB">
            <w:pPr>
              <w:spacing w:line="240" w:lineRule="auto"/>
              <w:jc w:val="right"/>
              <w:rPr>
                <w:u w:val="single"/>
              </w:rPr>
            </w:pPr>
            <w:r w:rsidRPr="007105B3">
              <w:rPr>
                <w:u w:val="single"/>
              </w:rPr>
              <w:t>8,400</w:t>
            </w:r>
          </w:p>
        </w:tc>
      </w:tr>
      <w:tr w:rsidR="00E93560" w:rsidRPr="007105B3" w:rsidTr="00E93560">
        <w:trPr>
          <w:cantSplit/>
          <w:trHeight w:val="567"/>
        </w:trPr>
        <w:tc>
          <w:tcPr>
            <w:tcW w:w="3690" w:type="dxa"/>
            <w:vAlign w:val="bottom"/>
          </w:tcPr>
          <w:p w:rsidR="00E93560" w:rsidRPr="007105B3" w:rsidRDefault="00E93560" w:rsidP="00FA00DB">
            <w:pPr>
              <w:spacing w:line="240" w:lineRule="auto"/>
              <w:jc w:val="right"/>
              <w:rPr>
                <w:b/>
                <w:i/>
              </w:rPr>
            </w:pPr>
            <w:r w:rsidRPr="007105B3">
              <w:rPr>
                <w:b/>
                <w:i/>
              </w:rPr>
              <w:t>Total</w:t>
            </w:r>
          </w:p>
        </w:tc>
        <w:tc>
          <w:tcPr>
            <w:tcW w:w="146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E93560" w:rsidP="00042F77">
            <w:pPr>
              <w:spacing w:line="240" w:lineRule="auto"/>
              <w:jc w:val="right"/>
              <w:rPr>
                <w:b/>
              </w:rPr>
            </w:pPr>
            <w:r w:rsidRPr="007105B3">
              <w:rPr>
                <w:rFonts w:eastAsia="Calibri"/>
                <w:b/>
              </w:rPr>
              <w:t>1</w:t>
            </w:r>
            <w:r w:rsidR="00042F77">
              <w:rPr>
                <w:rFonts w:eastAsia="Calibri"/>
                <w:b/>
              </w:rPr>
              <w:t>92</w:t>
            </w:r>
            <w:r w:rsidRPr="007105B3">
              <w:rPr>
                <w:rFonts w:eastAsia="Calibri"/>
                <w:b/>
              </w:rPr>
              <w:t>,</w:t>
            </w:r>
            <w:r w:rsidR="00042F77">
              <w:rPr>
                <w:rFonts w:eastAsia="Calibri"/>
                <w:b/>
              </w:rPr>
              <w:t>962</w:t>
            </w:r>
          </w:p>
        </w:tc>
      </w:tr>
      <w:tr w:rsidR="00E93560" w:rsidRPr="007105B3" w:rsidTr="00E93560">
        <w:trPr>
          <w:cantSplit/>
          <w:trHeight w:val="567"/>
        </w:trPr>
        <w:tc>
          <w:tcPr>
            <w:tcW w:w="3690" w:type="dxa"/>
            <w:vAlign w:val="bottom"/>
          </w:tcPr>
          <w:p w:rsidR="00E93560" w:rsidRPr="007105B3" w:rsidRDefault="00E93560" w:rsidP="00FA00DB">
            <w:pPr>
              <w:spacing w:line="240" w:lineRule="auto"/>
              <w:jc w:val="right"/>
              <w:rPr>
                <w:b/>
                <w:i/>
              </w:rPr>
            </w:pPr>
            <w:r w:rsidRPr="007105B3">
              <w:rPr>
                <w:b/>
                <w:i/>
              </w:rPr>
              <w:t>One-time change</w:t>
            </w:r>
          </w:p>
        </w:tc>
        <w:tc>
          <w:tcPr>
            <w:tcW w:w="146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E93560" w:rsidP="00FA00DB">
            <w:pPr>
              <w:spacing w:line="240" w:lineRule="auto"/>
              <w:jc w:val="center"/>
              <w:rPr>
                <w:b/>
              </w:rPr>
            </w:pPr>
          </w:p>
        </w:tc>
        <w:tc>
          <w:tcPr>
            <w:tcW w:w="1377" w:type="dxa"/>
            <w:vAlign w:val="bottom"/>
          </w:tcPr>
          <w:p w:rsidR="00E93560" w:rsidRPr="007105B3" w:rsidRDefault="00042F77" w:rsidP="00042F77">
            <w:pPr>
              <w:spacing w:line="240" w:lineRule="auto"/>
              <w:jc w:val="right"/>
              <w:rPr>
                <w:b/>
              </w:rPr>
            </w:pPr>
            <w:r>
              <w:rPr>
                <w:b/>
              </w:rPr>
              <w:t>35</w:t>
            </w:r>
            <w:r w:rsidR="00E93560" w:rsidRPr="007105B3">
              <w:rPr>
                <w:b/>
              </w:rPr>
              <w:t>,</w:t>
            </w:r>
            <w:r>
              <w:rPr>
                <w:b/>
              </w:rPr>
              <w:t>424</w:t>
            </w:r>
          </w:p>
        </w:tc>
      </w:tr>
    </w:tbl>
    <w:p w:rsidR="00E93560" w:rsidRPr="007105B3" w:rsidRDefault="00E93560" w:rsidP="00541630">
      <w:pPr>
        <w:pStyle w:val="BodyTextIndent3"/>
        <w:spacing w:line="240" w:lineRule="auto"/>
        <w:ind w:firstLine="0"/>
        <w:rPr>
          <w:rFonts w:ascii="Times New Roman" w:hAnsi="Times New Roman"/>
          <w:color w:val="auto"/>
        </w:rPr>
      </w:pPr>
    </w:p>
    <w:p w:rsidR="003B1258" w:rsidRPr="007105B3" w:rsidRDefault="00D5666C" w:rsidP="00D5666C">
      <w:pPr>
        <w:pStyle w:val="BodyTextIndent3"/>
        <w:spacing w:line="240" w:lineRule="auto"/>
        <w:ind w:firstLine="0"/>
        <w:jc w:val="left"/>
        <w:rPr>
          <w:rFonts w:ascii="Times New Roman" w:hAnsi="Times New Roman"/>
          <w:b/>
          <w:color w:val="auto"/>
        </w:rPr>
      </w:pPr>
      <w:r w:rsidRPr="007105B3">
        <w:rPr>
          <w:rFonts w:ascii="Times New Roman" w:hAnsi="Times New Roman"/>
          <w:color w:val="auto"/>
        </w:rPr>
        <w:t>With the new requirements, the total estimated annual cost to respondents would increase by $</w:t>
      </w:r>
      <w:r w:rsidR="00042F77">
        <w:rPr>
          <w:rFonts w:ascii="Times New Roman" w:hAnsi="Times New Roman"/>
          <w:color w:val="auto"/>
        </w:rPr>
        <w:t>1,5</w:t>
      </w:r>
      <w:r w:rsidR="007C1053">
        <w:rPr>
          <w:rFonts w:ascii="Times New Roman" w:hAnsi="Times New Roman"/>
          <w:color w:val="auto"/>
        </w:rPr>
        <w:t>37</w:t>
      </w:r>
      <w:r w:rsidR="001A1673" w:rsidRPr="007105B3">
        <w:rPr>
          <w:rFonts w:ascii="Times New Roman" w:hAnsi="Times New Roman"/>
          <w:color w:val="auto"/>
        </w:rPr>
        <w:t>,</w:t>
      </w:r>
      <w:r w:rsidR="007C1053">
        <w:rPr>
          <w:rFonts w:ascii="Times New Roman" w:hAnsi="Times New Roman"/>
          <w:color w:val="auto"/>
        </w:rPr>
        <w:t>402</w:t>
      </w:r>
      <w:r w:rsidR="001A1673" w:rsidRPr="007105B3">
        <w:rPr>
          <w:rFonts w:ascii="Times New Roman" w:hAnsi="Times New Roman"/>
          <w:color w:val="auto"/>
        </w:rPr>
        <w:t xml:space="preserve"> </w:t>
      </w:r>
      <w:r w:rsidRPr="007105B3">
        <w:rPr>
          <w:rFonts w:ascii="Times New Roman" w:hAnsi="Times New Roman"/>
          <w:color w:val="auto"/>
        </w:rPr>
        <w:t>from $6,</w:t>
      </w:r>
      <w:r w:rsidR="007C1053">
        <w:rPr>
          <w:rFonts w:ascii="Times New Roman" w:hAnsi="Times New Roman"/>
          <w:color w:val="auto"/>
        </w:rPr>
        <w:t>837</w:t>
      </w:r>
      <w:r w:rsidRPr="007105B3">
        <w:rPr>
          <w:rFonts w:ascii="Times New Roman" w:hAnsi="Times New Roman"/>
          <w:color w:val="auto"/>
        </w:rPr>
        <w:t>,</w:t>
      </w:r>
      <w:r w:rsidR="007C1053">
        <w:rPr>
          <w:rFonts w:ascii="Times New Roman" w:hAnsi="Times New Roman"/>
          <w:color w:val="auto"/>
        </w:rPr>
        <w:t>149</w:t>
      </w:r>
      <w:r w:rsidRPr="007105B3">
        <w:rPr>
          <w:rFonts w:ascii="Times New Roman" w:hAnsi="Times New Roman"/>
          <w:color w:val="auto"/>
        </w:rPr>
        <w:t xml:space="preserve"> to $</w:t>
      </w:r>
      <w:r w:rsidR="00042F77">
        <w:rPr>
          <w:rFonts w:ascii="Times New Roman" w:hAnsi="Times New Roman"/>
          <w:color w:val="auto"/>
        </w:rPr>
        <w:t>8</w:t>
      </w:r>
      <w:r w:rsidRPr="007105B3">
        <w:rPr>
          <w:rFonts w:ascii="Times New Roman" w:hAnsi="Times New Roman"/>
          <w:color w:val="auto"/>
        </w:rPr>
        <w:t>,</w:t>
      </w:r>
      <w:r w:rsidR="007C1053">
        <w:rPr>
          <w:rFonts w:ascii="Times New Roman" w:hAnsi="Times New Roman"/>
          <w:color w:val="auto"/>
        </w:rPr>
        <w:t>374</w:t>
      </w:r>
      <w:r w:rsidRPr="007105B3">
        <w:rPr>
          <w:rFonts w:ascii="Times New Roman" w:hAnsi="Times New Roman"/>
          <w:color w:val="auto"/>
        </w:rPr>
        <w:t>,</w:t>
      </w:r>
      <w:r w:rsidR="007C1053">
        <w:rPr>
          <w:rFonts w:ascii="Times New Roman" w:hAnsi="Times New Roman"/>
          <w:color w:val="auto"/>
        </w:rPr>
        <w:t>551</w:t>
      </w:r>
      <w:r w:rsidRPr="007105B3">
        <w:rPr>
          <w:rFonts w:ascii="Times New Roman" w:hAnsi="Times New Roman"/>
          <w:color w:val="auto"/>
        </w:rPr>
        <w:t>.</w:t>
      </w:r>
      <w:r w:rsidRPr="007105B3">
        <w:rPr>
          <w:rStyle w:val="FootnoteReference"/>
          <w:rFonts w:ascii="Times New Roman" w:hAnsi="Times New Roman"/>
          <w:color w:val="auto"/>
        </w:rPr>
        <w:footnoteReference w:id="9"/>
      </w:r>
    </w:p>
    <w:p w:rsidR="00147279" w:rsidRPr="007105B3" w:rsidRDefault="00147279" w:rsidP="003B1258">
      <w:pPr>
        <w:spacing w:line="240" w:lineRule="auto"/>
        <w:jc w:val="left"/>
        <w:rPr>
          <w:b/>
        </w:rPr>
      </w:pPr>
    </w:p>
    <w:p w:rsidR="00034B31" w:rsidRPr="007105B3" w:rsidRDefault="00034B31" w:rsidP="003B1258">
      <w:pPr>
        <w:spacing w:line="240" w:lineRule="auto"/>
        <w:jc w:val="left"/>
        <w:rPr>
          <w:b/>
        </w:rPr>
      </w:pPr>
    </w:p>
    <w:p w:rsidR="00034B31" w:rsidRPr="007105B3" w:rsidRDefault="00034B31" w:rsidP="003B1258">
      <w:pPr>
        <w:spacing w:line="240" w:lineRule="auto"/>
        <w:jc w:val="left"/>
        <w:rPr>
          <w:b/>
        </w:rPr>
      </w:pPr>
    </w:p>
    <w:p w:rsidR="00AF0F1D" w:rsidRPr="007105B3" w:rsidRDefault="003B1258" w:rsidP="003B1258">
      <w:pPr>
        <w:spacing w:line="240" w:lineRule="auto"/>
        <w:jc w:val="left"/>
      </w:pPr>
      <w:r w:rsidRPr="007105B3">
        <w:rPr>
          <w:b/>
        </w:rPr>
        <w:t>Estimate of Cost to the Federal Reserve System</w:t>
      </w:r>
    </w:p>
    <w:p w:rsidR="00AF0F1D" w:rsidRPr="007105B3" w:rsidRDefault="00AF0F1D" w:rsidP="003B1258">
      <w:pPr>
        <w:spacing w:line="240" w:lineRule="auto"/>
        <w:jc w:val="left"/>
      </w:pPr>
    </w:p>
    <w:p w:rsidR="003B1258" w:rsidRPr="007105B3" w:rsidRDefault="00AF0F1D" w:rsidP="00AF0F1D">
      <w:pPr>
        <w:tabs>
          <w:tab w:val="left" w:pos="360"/>
        </w:tabs>
        <w:spacing w:line="240" w:lineRule="auto"/>
        <w:jc w:val="left"/>
      </w:pPr>
      <w:r w:rsidRPr="007105B3">
        <w:tab/>
      </w:r>
      <w:r w:rsidR="003B1258" w:rsidRPr="007105B3">
        <w:t>Since the Federal Reserve does not collect any information in connection with Regulation B, the related cost to the System is negligible.</w:t>
      </w:r>
    </w:p>
    <w:p w:rsidR="003B1258" w:rsidRPr="007105B3" w:rsidRDefault="003B1258" w:rsidP="00541630">
      <w:pPr>
        <w:spacing w:line="240" w:lineRule="auto"/>
        <w:jc w:val="left"/>
        <w:rPr>
          <w:b/>
        </w:rPr>
      </w:pPr>
    </w:p>
    <w:p w:rsidR="00B71575" w:rsidRPr="007105B3" w:rsidRDefault="00B71575" w:rsidP="00541630">
      <w:pPr>
        <w:spacing w:line="240" w:lineRule="auto"/>
        <w:jc w:val="left"/>
        <w:rPr>
          <w:b/>
        </w:rPr>
      </w:pPr>
      <w:r w:rsidRPr="007105B3">
        <w:rPr>
          <w:b/>
        </w:rPr>
        <w:t>Financial Industry Burden Averages</w:t>
      </w:r>
    </w:p>
    <w:p w:rsidR="00B71575" w:rsidRPr="007105B3" w:rsidRDefault="00B71575" w:rsidP="00541630">
      <w:pPr>
        <w:spacing w:line="240" w:lineRule="auto"/>
        <w:jc w:val="left"/>
      </w:pPr>
    </w:p>
    <w:p w:rsidR="00B71575" w:rsidRPr="007105B3" w:rsidRDefault="00B71575" w:rsidP="00AF0F1D">
      <w:pPr>
        <w:tabs>
          <w:tab w:val="left" w:pos="360"/>
        </w:tabs>
        <w:spacing w:line="240" w:lineRule="auto"/>
        <w:jc w:val="left"/>
      </w:pPr>
      <w:r w:rsidRPr="007105B3">
        <w:tab/>
        <w:t>The other federal financial agencies are responsible for estimating and reporting to OMB the total paperwork burden for the institutions for which they have administrative enforcement authority.</w:t>
      </w:r>
      <w:r w:rsidRPr="007105B3">
        <w:rPr>
          <w:rStyle w:val="FootnoteReference"/>
        </w:rPr>
        <w:footnoteReference w:id="10"/>
      </w:r>
      <w:r w:rsidRPr="007105B3">
        <w:t xml:space="preserve">  </w:t>
      </w:r>
      <w:r w:rsidR="002044BF" w:rsidRPr="007105B3">
        <w:t>They may, but are not required to, use the Federal Reserve’s burden estimates.  There are approximately 16,200 depository institutions potentially affected by this collection of information and are considered respondents for purposes of the PRA.  Using the Federal Reserve’s method, the total estimated annual burden for all financial institutions subject to Regulation B, including Federal Reserve supervised institutions, would be approximately 3,013,200 hours.</w:t>
      </w:r>
      <w:r w:rsidR="001A1673" w:rsidRPr="007105B3">
        <w:t xml:space="preserve">  </w:t>
      </w:r>
      <w:r w:rsidR="001A1673" w:rsidRPr="007105B3">
        <w:rPr>
          <w:rFonts w:eastAsia="Calibri"/>
        </w:rPr>
        <w:t xml:space="preserve">The new requirements would impose a one-time increase in the estimated annual burden for such institutions by </w:t>
      </w:r>
      <w:r w:rsidR="001505CE">
        <w:rPr>
          <w:rFonts w:eastAsia="Calibri"/>
        </w:rPr>
        <w:t>518</w:t>
      </w:r>
      <w:r w:rsidR="001A1673" w:rsidRPr="007105B3">
        <w:rPr>
          <w:rFonts w:eastAsia="Calibri"/>
        </w:rPr>
        <w:t>,</w:t>
      </w:r>
      <w:r w:rsidR="001505CE">
        <w:rPr>
          <w:rFonts w:eastAsia="Calibri"/>
        </w:rPr>
        <w:t>4</w:t>
      </w:r>
      <w:r w:rsidR="001A1673" w:rsidRPr="007105B3">
        <w:rPr>
          <w:rFonts w:eastAsia="Calibri"/>
        </w:rPr>
        <w:t>00 hours to 3,</w:t>
      </w:r>
      <w:r w:rsidR="001505CE">
        <w:rPr>
          <w:rFonts w:eastAsia="Calibri"/>
        </w:rPr>
        <w:t>531</w:t>
      </w:r>
      <w:r w:rsidR="001A1673" w:rsidRPr="007105B3">
        <w:rPr>
          <w:rFonts w:eastAsia="Calibri"/>
        </w:rPr>
        <w:t>,</w:t>
      </w:r>
      <w:r w:rsidR="001505CE">
        <w:rPr>
          <w:rFonts w:eastAsia="Calibri"/>
        </w:rPr>
        <w:t>600</w:t>
      </w:r>
      <w:r w:rsidR="001A1673" w:rsidRPr="007105B3">
        <w:rPr>
          <w:rFonts w:eastAsia="Calibri"/>
        </w:rPr>
        <w:t xml:space="preserve"> hours.  </w:t>
      </w:r>
      <w:r w:rsidR="002044BF" w:rsidRPr="007105B3">
        <w:t>The above estimates represent an average across all respondents and reflect variations between institutions based on their size, complexity, and practices.</w:t>
      </w:r>
      <w:r w:rsidR="00141214" w:rsidRPr="007105B3">
        <w:t xml:space="preserve">  </w:t>
      </w:r>
      <w:r w:rsidRPr="007105B3">
        <w:t xml:space="preserve"> </w:t>
      </w:r>
    </w:p>
    <w:sectPr w:rsidR="00B71575" w:rsidRPr="007105B3" w:rsidSect="00034B31">
      <w:footerReference w:type="even" r:id="rId8"/>
      <w:footerReference w:type="default" r:id="rId9"/>
      <w:pgSz w:w="12240" w:h="15840"/>
      <w:pgMar w:top="1440" w:right="1319" w:bottom="216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393" w:rsidRDefault="00EF7393">
      <w:pPr>
        <w:spacing w:line="240" w:lineRule="auto"/>
      </w:pPr>
      <w:r>
        <w:separator/>
      </w:r>
    </w:p>
  </w:endnote>
  <w:endnote w:type="continuationSeparator" w:id="0">
    <w:p w:rsidR="00EF7393" w:rsidRDefault="00EF73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93" w:rsidRDefault="00350C24" w:rsidP="005B3389">
    <w:pPr>
      <w:pStyle w:val="Footer"/>
      <w:framePr w:wrap="around" w:vAnchor="text" w:hAnchor="margin" w:xAlign="center" w:y="1"/>
      <w:rPr>
        <w:rStyle w:val="PageNumber"/>
      </w:rPr>
    </w:pPr>
    <w:r>
      <w:rPr>
        <w:rStyle w:val="PageNumber"/>
      </w:rPr>
      <w:fldChar w:fldCharType="begin"/>
    </w:r>
    <w:r w:rsidR="00EF7393">
      <w:rPr>
        <w:rStyle w:val="PageNumber"/>
      </w:rPr>
      <w:instrText xml:space="preserve">PAGE  </w:instrText>
    </w:r>
    <w:r>
      <w:rPr>
        <w:rStyle w:val="PageNumber"/>
      </w:rPr>
      <w:fldChar w:fldCharType="end"/>
    </w:r>
  </w:p>
  <w:p w:rsidR="00EF7393" w:rsidRDefault="00EF73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93" w:rsidRDefault="00350C24" w:rsidP="005B3389">
    <w:pPr>
      <w:pStyle w:val="Footer"/>
      <w:framePr w:wrap="around" w:vAnchor="text" w:hAnchor="margin" w:xAlign="center" w:y="1"/>
      <w:rPr>
        <w:rStyle w:val="PageNumber"/>
      </w:rPr>
    </w:pPr>
    <w:r>
      <w:rPr>
        <w:rStyle w:val="PageNumber"/>
      </w:rPr>
      <w:fldChar w:fldCharType="begin"/>
    </w:r>
    <w:r w:rsidR="00EF7393">
      <w:rPr>
        <w:rStyle w:val="PageNumber"/>
      </w:rPr>
      <w:instrText xml:space="preserve">PAGE  </w:instrText>
    </w:r>
    <w:r>
      <w:rPr>
        <w:rStyle w:val="PageNumber"/>
      </w:rPr>
      <w:fldChar w:fldCharType="separate"/>
    </w:r>
    <w:r w:rsidR="005A6742">
      <w:rPr>
        <w:rStyle w:val="PageNumber"/>
        <w:noProof/>
      </w:rPr>
      <w:t>1</w:t>
    </w:r>
    <w:r>
      <w:rPr>
        <w:rStyle w:val="PageNumber"/>
      </w:rPr>
      <w:fldChar w:fldCharType="end"/>
    </w:r>
  </w:p>
  <w:p w:rsidR="00EF7393" w:rsidRDefault="00EF73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393" w:rsidRDefault="00EF7393">
      <w:pPr>
        <w:spacing w:line="240" w:lineRule="auto"/>
      </w:pPr>
      <w:r>
        <w:separator/>
      </w:r>
    </w:p>
  </w:footnote>
  <w:footnote w:type="continuationSeparator" w:id="0">
    <w:p w:rsidR="00EF7393" w:rsidRDefault="00EF7393">
      <w:pPr>
        <w:spacing w:line="240" w:lineRule="auto"/>
      </w:pPr>
      <w:r>
        <w:continuationSeparator/>
      </w:r>
    </w:p>
  </w:footnote>
  <w:footnote w:id="1">
    <w:p w:rsidR="00EF7393" w:rsidRPr="00034B31" w:rsidRDefault="00EF7393" w:rsidP="000210F2">
      <w:pPr>
        <w:pStyle w:val="FootnoteText"/>
        <w:spacing w:line="240" w:lineRule="auto"/>
        <w:jc w:val="left"/>
      </w:pPr>
      <w:r w:rsidRPr="00034B31">
        <w:rPr>
          <w:rStyle w:val="FootnoteReference"/>
        </w:rPr>
        <w:footnoteRef/>
      </w:r>
      <w:r w:rsidRPr="00034B31">
        <w:t xml:space="preserve"> ECOA was enacted in 1974 and is codified at 15 U.S.C. 1691.  Regulation B is located at 12 C.F.R. Part 202.</w:t>
      </w:r>
    </w:p>
  </w:footnote>
  <w:footnote w:id="2">
    <w:p w:rsidR="00EF7393" w:rsidRPr="00034B31" w:rsidRDefault="00EF7393" w:rsidP="000210F2">
      <w:pPr>
        <w:pStyle w:val="FootnoteText"/>
        <w:spacing w:line="240" w:lineRule="auto"/>
        <w:jc w:val="left"/>
      </w:pPr>
      <w:r w:rsidRPr="00034B31">
        <w:rPr>
          <w:rStyle w:val="FootnoteReference"/>
        </w:rPr>
        <w:footnoteRef/>
      </w:r>
      <w:r w:rsidRPr="00034B31">
        <w:t xml:space="preserve"> Appendix B to Part 202--Model Application Forms and Appendix C to Part 202--Sample Notification Forms.</w:t>
      </w:r>
    </w:p>
  </w:footnote>
  <w:footnote w:id="3">
    <w:p w:rsidR="00EF7393" w:rsidRPr="00034B31" w:rsidRDefault="00EF7393" w:rsidP="000210F2">
      <w:pPr>
        <w:pStyle w:val="FootnoteText"/>
        <w:spacing w:line="240" w:lineRule="auto"/>
        <w:jc w:val="left"/>
      </w:pPr>
      <w:r w:rsidRPr="00034B31">
        <w:rPr>
          <w:rStyle w:val="FootnoteReference"/>
        </w:rPr>
        <w:footnoteRef/>
      </w:r>
      <w:r w:rsidRPr="00034B31">
        <w:t xml:space="preserve"> Pursuant to Section 704 of ECOA (15 U.S.C. 1691c) and Regulation B, § 202.16 and Appendix A (Federal Enforcement Agencies), the Federal Reserve enforces compliance with ECOA for the following institutions: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  </w:t>
      </w:r>
    </w:p>
  </w:footnote>
  <w:footnote w:id="4">
    <w:p w:rsidR="00EF7393" w:rsidRPr="00034B31" w:rsidRDefault="00EF7393" w:rsidP="00034B31">
      <w:pPr>
        <w:pStyle w:val="FootnoteText"/>
        <w:spacing w:line="240" w:lineRule="auto"/>
        <w:jc w:val="left"/>
      </w:pPr>
      <w:r w:rsidRPr="00034B31">
        <w:rPr>
          <w:rStyle w:val="FootnoteReference"/>
        </w:rPr>
        <w:footnoteRef/>
      </w:r>
      <w:r w:rsidRPr="00034B31">
        <w:t xml:space="preserve"> The number of Federal Reserve-supervised respondents was obtained from numbers published in the Board of Governors of the Federal Reserve System 96</w:t>
      </w:r>
      <w:r w:rsidRPr="00034B31">
        <w:rPr>
          <w:vertAlign w:val="superscript"/>
        </w:rPr>
        <w:t>th</w:t>
      </w:r>
      <w:r w:rsidRPr="00034B31">
        <w:t xml:space="preserve"> Annual Report 2009:  845 </w:t>
      </w:r>
      <w:r w:rsidRPr="00034B31">
        <w:rPr>
          <w:iCs/>
        </w:rPr>
        <w:t xml:space="preserve">State member banks, 204 Branches &amp; agencies of foreign banks, 3 </w:t>
      </w:r>
      <w:r w:rsidRPr="00034B31">
        <w:t>Commercial lending companies, and 55 Edge Act or agreement corporations.</w:t>
      </w:r>
    </w:p>
  </w:footnote>
  <w:footnote w:id="5">
    <w:p w:rsidR="00EF7393" w:rsidRPr="00034B31" w:rsidRDefault="00EF7393" w:rsidP="008063D1">
      <w:pPr>
        <w:pStyle w:val="FootnoteText"/>
        <w:spacing w:line="240" w:lineRule="auto"/>
        <w:jc w:val="left"/>
      </w:pPr>
      <w:r w:rsidRPr="00034B31">
        <w:rPr>
          <w:rStyle w:val="FootnoteReference"/>
        </w:rPr>
        <w:footnoteRef/>
      </w:r>
      <w:r w:rsidRPr="00034B31">
        <w:t xml:space="preserve">  </w:t>
      </w:r>
      <w:r w:rsidRPr="00034B31">
        <w:rPr>
          <w:color w:val="000000"/>
        </w:rPr>
        <w:t>72 FR 63445 (Nov. 9, 2007).</w:t>
      </w:r>
    </w:p>
  </w:footnote>
  <w:footnote w:id="6">
    <w:p w:rsidR="00EF7393" w:rsidRPr="00034B31" w:rsidRDefault="00EF7393" w:rsidP="008063D1">
      <w:pPr>
        <w:pStyle w:val="FootnoteText"/>
        <w:spacing w:line="240" w:lineRule="auto"/>
        <w:jc w:val="left"/>
      </w:pPr>
      <w:r w:rsidRPr="00034B31">
        <w:rPr>
          <w:rStyle w:val="FootnoteReference"/>
        </w:rPr>
        <w:footnoteRef/>
      </w:r>
      <w:r w:rsidRPr="00034B31">
        <w:t xml:space="preserve"> </w:t>
      </w:r>
      <w:r>
        <w:t xml:space="preserve"> </w:t>
      </w:r>
      <w:r w:rsidRPr="00034B31">
        <w:t>For purposes of the PRA, no paperwork burden is associated with the recordkeeping requirement for information about prescreened solicitations (§ 202.12(b</w:t>
      </w:r>
      <w:proofErr w:type="gramStart"/>
      <w:r w:rsidRPr="00034B31">
        <w:t>)(</w:t>
      </w:r>
      <w:proofErr w:type="gramEnd"/>
      <w:r w:rsidRPr="00034B31">
        <w:t xml:space="preserve">7)) because the regulation does not specify records to be retained as evidence of compliance.  </w:t>
      </w:r>
    </w:p>
  </w:footnote>
  <w:footnote w:id="7">
    <w:p w:rsidR="005A6742" w:rsidRPr="005A6742" w:rsidRDefault="005A6742" w:rsidP="005A6742">
      <w:pPr>
        <w:pStyle w:val="FootnoteText"/>
        <w:spacing w:line="240" w:lineRule="auto"/>
        <w:jc w:val="left"/>
      </w:pPr>
      <w:r w:rsidRPr="005A6742">
        <w:rPr>
          <w:rStyle w:val="FootnoteReference"/>
        </w:rPr>
        <w:footnoteRef/>
      </w:r>
      <w:r w:rsidRPr="005A6742">
        <w:t xml:space="preserve"> </w:t>
      </w:r>
      <w:r w:rsidRPr="005A6742">
        <w:t>Of the 1,1</w:t>
      </w:r>
      <w:r w:rsidRPr="005A6742">
        <w:t>07</w:t>
      </w:r>
      <w:r w:rsidRPr="005A6742">
        <w:t xml:space="preserve"> respondents, 400 are small entities as defined by the Small Business Administration (i.e., entities with less than $175 million in total assets) </w:t>
      </w:r>
      <w:hyperlink r:id="rId1" w:history="1">
        <w:r w:rsidRPr="005A6742">
          <w:rPr>
            <w:rStyle w:val="Hyperlink"/>
          </w:rPr>
          <w:t>www.sba.gov/contractingopportunities/officials/size/table/index.html</w:t>
        </w:r>
      </w:hyperlink>
      <w:r w:rsidRPr="005A6742">
        <w:t>.</w:t>
      </w:r>
    </w:p>
  </w:footnote>
  <w:footnote w:id="8">
    <w:p w:rsidR="00EF7393" w:rsidRPr="005A6742" w:rsidRDefault="00EF7393" w:rsidP="005A6742">
      <w:pPr>
        <w:pStyle w:val="FootnoteText"/>
        <w:spacing w:line="240" w:lineRule="auto"/>
        <w:jc w:val="left"/>
      </w:pPr>
      <w:r w:rsidRPr="005A6742">
        <w:rPr>
          <w:rStyle w:val="FootnoteReference"/>
        </w:rPr>
        <w:footnoteRef/>
      </w:r>
      <w:r w:rsidRPr="005A6742">
        <w:t xml:space="preserve"> For purposes of the PRA, no paperwork burden is associated with the recordkeeping requirement for information about prescreened solicitations (§ 202.12(b</w:t>
      </w:r>
      <w:proofErr w:type="gramStart"/>
      <w:r w:rsidRPr="005A6742">
        <w:t>)(</w:t>
      </w:r>
      <w:proofErr w:type="gramEnd"/>
      <w:r w:rsidRPr="005A6742">
        <w:t xml:space="preserve">7)) because the regulation does not specify records to be retained as evidence of compliance.  </w:t>
      </w:r>
    </w:p>
  </w:footnote>
  <w:footnote w:id="9">
    <w:p w:rsidR="00EF7393" w:rsidRPr="00034B31" w:rsidRDefault="00EF7393" w:rsidP="005A6742">
      <w:pPr>
        <w:pStyle w:val="FootnoteText"/>
        <w:spacing w:line="240" w:lineRule="auto"/>
        <w:jc w:val="left"/>
      </w:pPr>
      <w:r w:rsidRPr="005A6742">
        <w:rPr>
          <w:rStyle w:val="FootnoteReference"/>
        </w:rPr>
        <w:footnoteRef/>
      </w:r>
      <w:r w:rsidRPr="005A6742">
        <w:t xml:space="preserve"> 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w:t>
      </w:r>
      <w:r w:rsidRPr="00034B31">
        <w:t xml:space="preserve"> hourly wages (rounded up) from the Bureau of Labor and Statistics (BLS), Occupational Employment and Wages 2009, </w:t>
      </w:r>
      <w:hyperlink r:id="rId2" w:history="1">
        <w:r w:rsidRPr="00034B31">
          <w:rPr>
            <w:rStyle w:val="Hyperlink"/>
          </w:rPr>
          <w:t>www.bls.gov/news.release/ocwage.nr0.htm</w:t>
        </w:r>
      </w:hyperlink>
      <w:r w:rsidRPr="00034B31">
        <w:t xml:space="preserve">   Occupations are defined using the BLS Occupational Classification System,  </w:t>
      </w:r>
      <w:hyperlink r:id="rId3" w:history="1">
        <w:r w:rsidRPr="00034B31">
          <w:rPr>
            <w:rStyle w:val="Hyperlink"/>
          </w:rPr>
          <w:t>www.bls.gov/soc/</w:t>
        </w:r>
      </w:hyperlink>
      <w:r w:rsidRPr="00034B31">
        <w:t xml:space="preserve">      </w:t>
      </w:r>
    </w:p>
  </w:footnote>
  <w:footnote w:id="10">
    <w:p w:rsidR="00EF7393" w:rsidRPr="00034B31" w:rsidRDefault="00EF7393" w:rsidP="008063D1">
      <w:pPr>
        <w:pStyle w:val="FootnoteText"/>
        <w:spacing w:line="240" w:lineRule="auto"/>
        <w:jc w:val="left"/>
      </w:pPr>
      <w:r w:rsidRPr="00034B31">
        <w:rPr>
          <w:rStyle w:val="FootnoteReference"/>
        </w:rPr>
        <w:footnoteRef/>
      </w:r>
      <w:r w:rsidRPr="00034B31">
        <w:t xml:space="preserve"> Appendix A (Federal Enforcement Agencies) to Regulation B lists those federal agencies that enforce the regulation for particular classes of business pursuant to Section 704 of ECOA (15 U.S.C. 1691c) and Regulation B, § 226.16.  The federal financial agencies include: the Office of the Comptroller of the Currency, Federal Deposit Insurance Corporation, Office of Thrift Supervision, and National Credit Union Administration.  The federal non-financial agencies include: Department of Transportation, Packers and Stockyards Administration, U.S. Small Business Administration, Securities and Exchange Commission, Farm Credit Administration, and Federal Trade Commission.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15B"/>
    <w:multiLevelType w:val="hybridMultilevel"/>
    <w:tmpl w:val="3524EE6E"/>
    <w:lvl w:ilvl="0" w:tplc="4078AFFE">
      <w:numFmt w:val="bullet"/>
      <w:lvlText w:val=""/>
      <w:lvlJc w:val="left"/>
      <w:pPr>
        <w:tabs>
          <w:tab w:val="num" w:pos="720"/>
        </w:tabs>
        <w:ind w:left="720" w:hanging="360"/>
      </w:pPr>
      <w:rPr>
        <w:rFonts w:ascii="WP MathA" w:eastAsia="Times New Roman" w:hAnsi="WP MathA" w:cs="Times New Roman" w:hint="default"/>
      </w:rPr>
    </w:lvl>
    <w:lvl w:ilvl="1" w:tplc="273EC0AE" w:tentative="1">
      <w:start w:val="1"/>
      <w:numFmt w:val="bullet"/>
      <w:lvlText w:val="o"/>
      <w:lvlJc w:val="left"/>
      <w:pPr>
        <w:tabs>
          <w:tab w:val="num" w:pos="1440"/>
        </w:tabs>
        <w:ind w:left="1440" w:hanging="360"/>
      </w:pPr>
      <w:rPr>
        <w:rFonts w:ascii="Courier New" w:hAnsi="Courier New" w:hint="default"/>
      </w:rPr>
    </w:lvl>
    <w:lvl w:ilvl="2" w:tplc="6AA6EE00" w:tentative="1">
      <w:start w:val="1"/>
      <w:numFmt w:val="bullet"/>
      <w:lvlText w:val=""/>
      <w:lvlJc w:val="left"/>
      <w:pPr>
        <w:tabs>
          <w:tab w:val="num" w:pos="2160"/>
        </w:tabs>
        <w:ind w:left="2160" w:hanging="360"/>
      </w:pPr>
      <w:rPr>
        <w:rFonts w:ascii="Wingdings" w:hAnsi="Wingdings" w:hint="default"/>
      </w:rPr>
    </w:lvl>
    <w:lvl w:ilvl="3" w:tplc="167CD9A4" w:tentative="1">
      <w:start w:val="1"/>
      <w:numFmt w:val="bullet"/>
      <w:lvlText w:val=""/>
      <w:lvlJc w:val="left"/>
      <w:pPr>
        <w:tabs>
          <w:tab w:val="num" w:pos="2880"/>
        </w:tabs>
        <w:ind w:left="2880" w:hanging="360"/>
      </w:pPr>
      <w:rPr>
        <w:rFonts w:ascii="Symbol" w:hAnsi="Symbol" w:hint="default"/>
      </w:rPr>
    </w:lvl>
    <w:lvl w:ilvl="4" w:tplc="EA8E0C10" w:tentative="1">
      <w:start w:val="1"/>
      <w:numFmt w:val="bullet"/>
      <w:lvlText w:val="o"/>
      <w:lvlJc w:val="left"/>
      <w:pPr>
        <w:tabs>
          <w:tab w:val="num" w:pos="3600"/>
        </w:tabs>
        <w:ind w:left="3600" w:hanging="360"/>
      </w:pPr>
      <w:rPr>
        <w:rFonts w:ascii="Courier New" w:hAnsi="Courier New" w:hint="default"/>
      </w:rPr>
    </w:lvl>
    <w:lvl w:ilvl="5" w:tplc="2EB2CE3A" w:tentative="1">
      <w:start w:val="1"/>
      <w:numFmt w:val="bullet"/>
      <w:lvlText w:val=""/>
      <w:lvlJc w:val="left"/>
      <w:pPr>
        <w:tabs>
          <w:tab w:val="num" w:pos="4320"/>
        </w:tabs>
        <w:ind w:left="4320" w:hanging="360"/>
      </w:pPr>
      <w:rPr>
        <w:rFonts w:ascii="Wingdings" w:hAnsi="Wingdings" w:hint="default"/>
      </w:rPr>
    </w:lvl>
    <w:lvl w:ilvl="6" w:tplc="1B9C95E8" w:tentative="1">
      <w:start w:val="1"/>
      <w:numFmt w:val="bullet"/>
      <w:lvlText w:val=""/>
      <w:lvlJc w:val="left"/>
      <w:pPr>
        <w:tabs>
          <w:tab w:val="num" w:pos="5040"/>
        </w:tabs>
        <w:ind w:left="5040" w:hanging="360"/>
      </w:pPr>
      <w:rPr>
        <w:rFonts w:ascii="Symbol" w:hAnsi="Symbol" w:hint="default"/>
      </w:rPr>
    </w:lvl>
    <w:lvl w:ilvl="7" w:tplc="6428D4DA" w:tentative="1">
      <w:start w:val="1"/>
      <w:numFmt w:val="bullet"/>
      <w:lvlText w:val="o"/>
      <w:lvlJc w:val="left"/>
      <w:pPr>
        <w:tabs>
          <w:tab w:val="num" w:pos="5760"/>
        </w:tabs>
        <w:ind w:left="5760" w:hanging="360"/>
      </w:pPr>
      <w:rPr>
        <w:rFonts w:ascii="Courier New" w:hAnsi="Courier New" w:hint="default"/>
      </w:rPr>
    </w:lvl>
    <w:lvl w:ilvl="8" w:tplc="45543ED4" w:tentative="1">
      <w:start w:val="1"/>
      <w:numFmt w:val="bullet"/>
      <w:lvlText w:val=""/>
      <w:lvlJc w:val="left"/>
      <w:pPr>
        <w:tabs>
          <w:tab w:val="num" w:pos="6480"/>
        </w:tabs>
        <w:ind w:left="6480" w:hanging="360"/>
      </w:pPr>
      <w:rPr>
        <w:rFonts w:ascii="Wingdings" w:hAnsi="Wingdings" w:hint="default"/>
      </w:rPr>
    </w:lvl>
  </w:abstractNum>
  <w:abstractNum w:abstractNumId="1">
    <w:nsid w:val="20EB0A9D"/>
    <w:multiLevelType w:val="hybridMultilevel"/>
    <w:tmpl w:val="F8384748"/>
    <w:lvl w:ilvl="0" w:tplc="77CA18C6">
      <w:numFmt w:val="bullet"/>
      <w:lvlText w:val=""/>
      <w:lvlJc w:val="left"/>
      <w:pPr>
        <w:tabs>
          <w:tab w:val="num" w:pos="720"/>
        </w:tabs>
        <w:ind w:left="720" w:hanging="360"/>
      </w:pPr>
      <w:rPr>
        <w:rFonts w:ascii="WP MathA" w:eastAsia="Times New Roman" w:hAnsi="WP MathA" w:cs="Times New Roman" w:hint="default"/>
      </w:rPr>
    </w:lvl>
    <w:lvl w:ilvl="1" w:tplc="DE3889D8" w:tentative="1">
      <w:start w:val="1"/>
      <w:numFmt w:val="bullet"/>
      <w:lvlText w:val="o"/>
      <w:lvlJc w:val="left"/>
      <w:pPr>
        <w:tabs>
          <w:tab w:val="num" w:pos="1440"/>
        </w:tabs>
        <w:ind w:left="1440" w:hanging="360"/>
      </w:pPr>
      <w:rPr>
        <w:rFonts w:ascii="Courier New" w:hAnsi="Courier New" w:hint="default"/>
      </w:rPr>
    </w:lvl>
    <w:lvl w:ilvl="2" w:tplc="B7828472" w:tentative="1">
      <w:start w:val="1"/>
      <w:numFmt w:val="bullet"/>
      <w:lvlText w:val=""/>
      <w:lvlJc w:val="left"/>
      <w:pPr>
        <w:tabs>
          <w:tab w:val="num" w:pos="2160"/>
        </w:tabs>
        <w:ind w:left="2160" w:hanging="360"/>
      </w:pPr>
      <w:rPr>
        <w:rFonts w:ascii="Wingdings" w:hAnsi="Wingdings" w:hint="default"/>
      </w:rPr>
    </w:lvl>
    <w:lvl w:ilvl="3" w:tplc="7A0A4E52" w:tentative="1">
      <w:start w:val="1"/>
      <w:numFmt w:val="bullet"/>
      <w:lvlText w:val=""/>
      <w:lvlJc w:val="left"/>
      <w:pPr>
        <w:tabs>
          <w:tab w:val="num" w:pos="2880"/>
        </w:tabs>
        <w:ind w:left="2880" w:hanging="360"/>
      </w:pPr>
      <w:rPr>
        <w:rFonts w:ascii="Symbol" w:hAnsi="Symbol" w:hint="default"/>
      </w:rPr>
    </w:lvl>
    <w:lvl w:ilvl="4" w:tplc="16A4FA94" w:tentative="1">
      <w:start w:val="1"/>
      <w:numFmt w:val="bullet"/>
      <w:lvlText w:val="o"/>
      <w:lvlJc w:val="left"/>
      <w:pPr>
        <w:tabs>
          <w:tab w:val="num" w:pos="3600"/>
        </w:tabs>
        <w:ind w:left="3600" w:hanging="360"/>
      </w:pPr>
      <w:rPr>
        <w:rFonts w:ascii="Courier New" w:hAnsi="Courier New" w:hint="default"/>
      </w:rPr>
    </w:lvl>
    <w:lvl w:ilvl="5" w:tplc="A2B20420" w:tentative="1">
      <w:start w:val="1"/>
      <w:numFmt w:val="bullet"/>
      <w:lvlText w:val=""/>
      <w:lvlJc w:val="left"/>
      <w:pPr>
        <w:tabs>
          <w:tab w:val="num" w:pos="4320"/>
        </w:tabs>
        <w:ind w:left="4320" w:hanging="360"/>
      </w:pPr>
      <w:rPr>
        <w:rFonts w:ascii="Wingdings" w:hAnsi="Wingdings" w:hint="default"/>
      </w:rPr>
    </w:lvl>
    <w:lvl w:ilvl="6" w:tplc="A70E6E2C" w:tentative="1">
      <w:start w:val="1"/>
      <w:numFmt w:val="bullet"/>
      <w:lvlText w:val=""/>
      <w:lvlJc w:val="left"/>
      <w:pPr>
        <w:tabs>
          <w:tab w:val="num" w:pos="5040"/>
        </w:tabs>
        <w:ind w:left="5040" w:hanging="360"/>
      </w:pPr>
      <w:rPr>
        <w:rFonts w:ascii="Symbol" w:hAnsi="Symbol" w:hint="default"/>
      </w:rPr>
    </w:lvl>
    <w:lvl w:ilvl="7" w:tplc="0C86EF66" w:tentative="1">
      <w:start w:val="1"/>
      <w:numFmt w:val="bullet"/>
      <w:lvlText w:val="o"/>
      <w:lvlJc w:val="left"/>
      <w:pPr>
        <w:tabs>
          <w:tab w:val="num" w:pos="5760"/>
        </w:tabs>
        <w:ind w:left="5760" w:hanging="360"/>
      </w:pPr>
      <w:rPr>
        <w:rFonts w:ascii="Courier New" w:hAnsi="Courier New" w:hint="default"/>
      </w:rPr>
    </w:lvl>
    <w:lvl w:ilvl="8" w:tplc="DC4A992E" w:tentative="1">
      <w:start w:val="1"/>
      <w:numFmt w:val="bullet"/>
      <w:lvlText w:val=""/>
      <w:lvlJc w:val="left"/>
      <w:pPr>
        <w:tabs>
          <w:tab w:val="num" w:pos="6480"/>
        </w:tabs>
        <w:ind w:left="6480" w:hanging="360"/>
      </w:pPr>
      <w:rPr>
        <w:rFonts w:ascii="Wingdings" w:hAnsi="Wingdings" w:hint="default"/>
      </w:rPr>
    </w:lvl>
  </w:abstractNum>
  <w:abstractNum w:abstractNumId="2">
    <w:nsid w:val="46392DD3"/>
    <w:multiLevelType w:val="hybridMultilevel"/>
    <w:tmpl w:val="6D76E6E4"/>
    <w:lvl w:ilvl="0" w:tplc="05C007FA">
      <w:numFmt w:val="bullet"/>
      <w:lvlText w:val=""/>
      <w:lvlJc w:val="left"/>
      <w:pPr>
        <w:tabs>
          <w:tab w:val="num" w:pos="1080"/>
        </w:tabs>
        <w:ind w:left="1080" w:hanging="720"/>
      </w:pPr>
      <w:rPr>
        <w:rFonts w:ascii="WP MathA" w:eastAsia="Times New Roman" w:hAnsi="WP MathA" w:cs="Times New Roman" w:hint="default"/>
      </w:rPr>
    </w:lvl>
    <w:lvl w:ilvl="1" w:tplc="6E6CAC36" w:tentative="1">
      <w:start w:val="1"/>
      <w:numFmt w:val="bullet"/>
      <w:lvlText w:val="o"/>
      <w:lvlJc w:val="left"/>
      <w:pPr>
        <w:tabs>
          <w:tab w:val="num" w:pos="1440"/>
        </w:tabs>
        <w:ind w:left="1440" w:hanging="360"/>
      </w:pPr>
      <w:rPr>
        <w:rFonts w:ascii="Courier New" w:hAnsi="Courier New" w:hint="default"/>
      </w:rPr>
    </w:lvl>
    <w:lvl w:ilvl="2" w:tplc="13C0061A" w:tentative="1">
      <w:start w:val="1"/>
      <w:numFmt w:val="bullet"/>
      <w:lvlText w:val=""/>
      <w:lvlJc w:val="left"/>
      <w:pPr>
        <w:tabs>
          <w:tab w:val="num" w:pos="2160"/>
        </w:tabs>
        <w:ind w:left="2160" w:hanging="360"/>
      </w:pPr>
      <w:rPr>
        <w:rFonts w:ascii="Wingdings" w:hAnsi="Wingdings" w:hint="default"/>
      </w:rPr>
    </w:lvl>
    <w:lvl w:ilvl="3" w:tplc="5FA836A6" w:tentative="1">
      <w:start w:val="1"/>
      <w:numFmt w:val="bullet"/>
      <w:lvlText w:val=""/>
      <w:lvlJc w:val="left"/>
      <w:pPr>
        <w:tabs>
          <w:tab w:val="num" w:pos="2880"/>
        </w:tabs>
        <w:ind w:left="2880" w:hanging="360"/>
      </w:pPr>
      <w:rPr>
        <w:rFonts w:ascii="Symbol" w:hAnsi="Symbol" w:hint="default"/>
      </w:rPr>
    </w:lvl>
    <w:lvl w:ilvl="4" w:tplc="FFF4CB34" w:tentative="1">
      <w:start w:val="1"/>
      <w:numFmt w:val="bullet"/>
      <w:lvlText w:val="o"/>
      <w:lvlJc w:val="left"/>
      <w:pPr>
        <w:tabs>
          <w:tab w:val="num" w:pos="3600"/>
        </w:tabs>
        <w:ind w:left="3600" w:hanging="360"/>
      </w:pPr>
      <w:rPr>
        <w:rFonts w:ascii="Courier New" w:hAnsi="Courier New" w:hint="default"/>
      </w:rPr>
    </w:lvl>
    <w:lvl w:ilvl="5" w:tplc="19CC2DDE" w:tentative="1">
      <w:start w:val="1"/>
      <w:numFmt w:val="bullet"/>
      <w:lvlText w:val=""/>
      <w:lvlJc w:val="left"/>
      <w:pPr>
        <w:tabs>
          <w:tab w:val="num" w:pos="4320"/>
        </w:tabs>
        <w:ind w:left="4320" w:hanging="360"/>
      </w:pPr>
      <w:rPr>
        <w:rFonts w:ascii="Wingdings" w:hAnsi="Wingdings" w:hint="default"/>
      </w:rPr>
    </w:lvl>
    <w:lvl w:ilvl="6" w:tplc="E59067B2" w:tentative="1">
      <w:start w:val="1"/>
      <w:numFmt w:val="bullet"/>
      <w:lvlText w:val=""/>
      <w:lvlJc w:val="left"/>
      <w:pPr>
        <w:tabs>
          <w:tab w:val="num" w:pos="5040"/>
        </w:tabs>
        <w:ind w:left="5040" w:hanging="360"/>
      </w:pPr>
      <w:rPr>
        <w:rFonts w:ascii="Symbol" w:hAnsi="Symbol" w:hint="default"/>
      </w:rPr>
    </w:lvl>
    <w:lvl w:ilvl="7" w:tplc="6D0A877C" w:tentative="1">
      <w:start w:val="1"/>
      <w:numFmt w:val="bullet"/>
      <w:lvlText w:val="o"/>
      <w:lvlJc w:val="left"/>
      <w:pPr>
        <w:tabs>
          <w:tab w:val="num" w:pos="5760"/>
        </w:tabs>
        <w:ind w:left="5760" w:hanging="360"/>
      </w:pPr>
      <w:rPr>
        <w:rFonts w:ascii="Courier New" w:hAnsi="Courier New" w:hint="default"/>
      </w:rPr>
    </w:lvl>
    <w:lvl w:ilvl="8" w:tplc="30709B0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7406E"/>
    <w:rsid w:val="00002580"/>
    <w:rsid w:val="00010F66"/>
    <w:rsid w:val="00012E75"/>
    <w:rsid w:val="00017DDB"/>
    <w:rsid w:val="000210F2"/>
    <w:rsid w:val="000324F5"/>
    <w:rsid w:val="00034B31"/>
    <w:rsid w:val="0003674F"/>
    <w:rsid w:val="00042F77"/>
    <w:rsid w:val="0004443A"/>
    <w:rsid w:val="00054580"/>
    <w:rsid w:val="000630B3"/>
    <w:rsid w:val="00066975"/>
    <w:rsid w:val="0008032E"/>
    <w:rsid w:val="00084BA0"/>
    <w:rsid w:val="00097F8C"/>
    <w:rsid w:val="000A0DD0"/>
    <w:rsid w:val="000A7BCF"/>
    <w:rsid w:val="000B5DC4"/>
    <w:rsid w:val="000D4008"/>
    <w:rsid w:val="000D5D2A"/>
    <w:rsid w:val="000F2375"/>
    <w:rsid w:val="000F4A07"/>
    <w:rsid w:val="000F741E"/>
    <w:rsid w:val="001025DD"/>
    <w:rsid w:val="00122402"/>
    <w:rsid w:val="00141214"/>
    <w:rsid w:val="00144E8C"/>
    <w:rsid w:val="00146E1F"/>
    <w:rsid w:val="00147279"/>
    <w:rsid w:val="001505CE"/>
    <w:rsid w:val="00163AD5"/>
    <w:rsid w:val="00165851"/>
    <w:rsid w:val="0016625B"/>
    <w:rsid w:val="001746CF"/>
    <w:rsid w:val="00174DB3"/>
    <w:rsid w:val="001846F3"/>
    <w:rsid w:val="00187F49"/>
    <w:rsid w:val="0019597D"/>
    <w:rsid w:val="00197CC9"/>
    <w:rsid w:val="001A1673"/>
    <w:rsid w:val="001B1C9C"/>
    <w:rsid w:val="001B559A"/>
    <w:rsid w:val="001B6824"/>
    <w:rsid w:val="001C0848"/>
    <w:rsid w:val="001C0879"/>
    <w:rsid w:val="001C1321"/>
    <w:rsid w:val="001C7970"/>
    <w:rsid w:val="001E56B1"/>
    <w:rsid w:val="001F0032"/>
    <w:rsid w:val="002044BF"/>
    <w:rsid w:val="002115D9"/>
    <w:rsid w:val="00213CF2"/>
    <w:rsid w:val="002269A5"/>
    <w:rsid w:val="00227EFD"/>
    <w:rsid w:val="002329A7"/>
    <w:rsid w:val="00235A44"/>
    <w:rsid w:val="00244E3B"/>
    <w:rsid w:val="00245398"/>
    <w:rsid w:val="00254557"/>
    <w:rsid w:val="002658F3"/>
    <w:rsid w:val="00270B05"/>
    <w:rsid w:val="0027750D"/>
    <w:rsid w:val="0027757E"/>
    <w:rsid w:val="00284C9D"/>
    <w:rsid w:val="00287E3E"/>
    <w:rsid w:val="00293AA7"/>
    <w:rsid w:val="002A27B0"/>
    <w:rsid w:val="002A65E8"/>
    <w:rsid w:val="002A7BFF"/>
    <w:rsid w:val="002F4464"/>
    <w:rsid w:val="00303BC9"/>
    <w:rsid w:val="00305334"/>
    <w:rsid w:val="00305C21"/>
    <w:rsid w:val="003120DC"/>
    <w:rsid w:val="00313573"/>
    <w:rsid w:val="00315315"/>
    <w:rsid w:val="003172C9"/>
    <w:rsid w:val="003204D2"/>
    <w:rsid w:val="00322646"/>
    <w:rsid w:val="00333A92"/>
    <w:rsid w:val="00342B2C"/>
    <w:rsid w:val="0034448E"/>
    <w:rsid w:val="00347B2D"/>
    <w:rsid w:val="00350041"/>
    <w:rsid w:val="00350C24"/>
    <w:rsid w:val="00353F9B"/>
    <w:rsid w:val="00375BE9"/>
    <w:rsid w:val="00376202"/>
    <w:rsid w:val="0037694A"/>
    <w:rsid w:val="00382B5A"/>
    <w:rsid w:val="00383C24"/>
    <w:rsid w:val="003A1708"/>
    <w:rsid w:val="003B1258"/>
    <w:rsid w:val="003B1B62"/>
    <w:rsid w:val="003B41F2"/>
    <w:rsid w:val="003E708E"/>
    <w:rsid w:val="003F6E76"/>
    <w:rsid w:val="004116CA"/>
    <w:rsid w:val="00411B27"/>
    <w:rsid w:val="00412FDE"/>
    <w:rsid w:val="004305E5"/>
    <w:rsid w:val="004335FB"/>
    <w:rsid w:val="00437D8E"/>
    <w:rsid w:val="004552E4"/>
    <w:rsid w:val="00460632"/>
    <w:rsid w:val="00481299"/>
    <w:rsid w:val="00482287"/>
    <w:rsid w:val="00484A11"/>
    <w:rsid w:val="0048651D"/>
    <w:rsid w:val="00487144"/>
    <w:rsid w:val="00491BD3"/>
    <w:rsid w:val="0049450C"/>
    <w:rsid w:val="004A07DC"/>
    <w:rsid w:val="004C074E"/>
    <w:rsid w:val="004D706C"/>
    <w:rsid w:val="004E1FF1"/>
    <w:rsid w:val="004F19AC"/>
    <w:rsid w:val="004F3131"/>
    <w:rsid w:val="004F375D"/>
    <w:rsid w:val="004F3900"/>
    <w:rsid w:val="004F5108"/>
    <w:rsid w:val="0050231B"/>
    <w:rsid w:val="00507074"/>
    <w:rsid w:val="0051232C"/>
    <w:rsid w:val="00512B7A"/>
    <w:rsid w:val="00512F22"/>
    <w:rsid w:val="00517079"/>
    <w:rsid w:val="00523013"/>
    <w:rsid w:val="00523538"/>
    <w:rsid w:val="00527D5E"/>
    <w:rsid w:val="00534849"/>
    <w:rsid w:val="00541630"/>
    <w:rsid w:val="00544C57"/>
    <w:rsid w:val="00552233"/>
    <w:rsid w:val="00566CB9"/>
    <w:rsid w:val="00573824"/>
    <w:rsid w:val="005A6742"/>
    <w:rsid w:val="005B3389"/>
    <w:rsid w:val="005B73BB"/>
    <w:rsid w:val="005C1113"/>
    <w:rsid w:val="005C2DB6"/>
    <w:rsid w:val="005D2D67"/>
    <w:rsid w:val="005E05F7"/>
    <w:rsid w:val="005E587A"/>
    <w:rsid w:val="005F4094"/>
    <w:rsid w:val="00605B2D"/>
    <w:rsid w:val="00605ECA"/>
    <w:rsid w:val="00607498"/>
    <w:rsid w:val="00611398"/>
    <w:rsid w:val="00611D75"/>
    <w:rsid w:val="00616291"/>
    <w:rsid w:val="00630CB0"/>
    <w:rsid w:val="006318E4"/>
    <w:rsid w:val="00635394"/>
    <w:rsid w:val="0064247B"/>
    <w:rsid w:val="00646FA8"/>
    <w:rsid w:val="006521B6"/>
    <w:rsid w:val="00672006"/>
    <w:rsid w:val="00672228"/>
    <w:rsid w:val="0067359F"/>
    <w:rsid w:val="00674417"/>
    <w:rsid w:val="00675501"/>
    <w:rsid w:val="006767F1"/>
    <w:rsid w:val="0068426B"/>
    <w:rsid w:val="006865D6"/>
    <w:rsid w:val="006A13C0"/>
    <w:rsid w:val="006B36E7"/>
    <w:rsid w:val="006B3B48"/>
    <w:rsid w:val="006C1C21"/>
    <w:rsid w:val="006D1B79"/>
    <w:rsid w:val="006D28C8"/>
    <w:rsid w:val="006D411C"/>
    <w:rsid w:val="006D4AC8"/>
    <w:rsid w:val="006E4D7C"/>
    <w:rsid w:val="006F43C1"/>
    <w:rsid w:val="00703F52"/>
    <w:rsid w:val="007048E2"/>
    <w:rsid w:val="00706F92"/>
    <w:rsid w:val="0070757E"/>
    <w:rsid w:val="007105B3"/>
    <w:rsid w:val="007145DE"/>
    <w:rsid w:val="007165E5"/>
    <w:rsid w:val="00720CB3"/>
    <w:rsid w:val="007241EF"/>
    <w:rsid w:val="007250E5"/>
    <w:rsid w:val="0073000F"/>
    <w:rsid w:val="00737841"/>
    <w:rsid w:val="00742C94"/>
    <w:rsid w:val="00745024"/>
    <w:rsid w:val="00752041"/>
    <w:rsid w:val="00762552"/>
    <w:rsid w:val="0076594E"/>
    <w:rsid w:val="00774ECB"/>
    <w:rsid w:val="00776F37"/>
    <w:rsid w:val="00777B39"/>
    <w:rsid w:val="00786435"/>
    <w:rsid w:val="007963AB"/>
    <w:rsid w:val="007B5424"/>
    <w:rsid w:val="007B7D9A"/>
    <w:rsid w:val="007C1053"/>
    <w:rsid w:val="007C2EFE"/>
    <w:rsid w:val="007C3592"/>
    <w:rsid w:val="007C41ED"/>
    <w:rsid w:val="007C49D1"/>
    <w:rsid w:val="007D32EF"/>
    <w:rsid w:val="007D3982"/>
    <w:rsid w:val="007E1A68"/>
    <w:rsid w:val="007E2359"/>
    <w:rsid w:val="007F125A"/>
    <w:rsid w:val="007F1E78"/>
    <w:rsid w:val="007F505A"/>
    <w:rsid w:val="008063D1"/>
    <w:rsid w:val="00812773"/>
    <w:rsid w:val="008131E8"/>
    <w:rsid w:val="008139EA"/>
    <w:rsid w:val="008179EE"/>
    <w:rsid w:val="00830019"/>
    <w:rsid w:val="00831DD5"/>
    <w:rsid w:val="00833A33"/>
    <w:rsid w:val="0083669B"/>
    <w:rsid w:val="008401A9"/>
    <w:rsid w:val="008462F9"/>
    <w:rsid w:val="008470C4"/>
    <w:rsid w:val="0086792D"/>
    <w:rsid w:val="008737B8"/>
    <w:rsid w:val="00877C8D"/>
    <w:rsid w:val="0088373A"/>
    <w:rsid w:val="00886010"/>
    <w:rsid w:val="00894444"/>
    <w:rsid w:val="008A061F"/>
    <w:rsid w:val="008A0A3E"/>
    <w:rsid w:val="008A1A4F"/>
    <w:rsid w:val="008B0FF0"/>
    <w:rsid w:val="008B4DF1"/>
    <w:rsid w:val="008C4D81"/>
    <w:rsid w:val="008E072A"/>
    <w:rsid w:val="008E3FC9"/>
    <w:rsid w:val="008F64D1"/>
    <w:rsid w:val="008F7B6F"/>
    <w:rsid w:val="0090134B"/>
    <w:rsid w:val="009113C7"/>
    <w:rsid w:val="009117C4"/>
    <w:rsid w:val="009224E2"/>
    <w:rsid w:val="009232E1"/>
    <w:rsid w:val="00924B0B"/>
    <w:rsid w:val="00925BE3"/>
    <w:rsid w:val="00937DE8"/>
    <w:rsid w:val="0094243D"/>
    <w:rsid w:val="00944BBB"/>
    <w:rsid w:val="00945EBA"/>
    <w:rsid w:val="00946F50"/>
    <w:rsid w:val="00950CBD"/>
    <w:rsid w:val="009532A3"/>
    <w:rsid w:val="009547D6"/>
    <w:rsid w:val="00970A81"/>
    <w:rsid w:val="00972742"/>
    <w:rsid w:val="00983612"/>
    <w:rsid w:val="00984611"/>
    <w:rsid w:val="009909F3"/>
    <w:rsid w:val="0099189E"/>
    <w:rsid w:val="00992729"/>
    <w:rsid w:val="00993AF5"/>
    <w:rsid w:val="009B7344"/>
    <w:rsid w:val="009B7BC0"/>
    <w:rsid w:val="009C100D"/>
    <w:rsid w:val="009C57ED"/>
    <w:rsid w:val="009D7B4B"/>
    <w:rsid w:val="009F7BC1"/>
    <w:rsid w:val="00A02ABA"/>
    <w:rsid w:val="00A04496"/>
    <w:rsid w:val="00A12DB0"/>
    <w:rsid w:val="00A14C30"/>
    <w:rsid w:val="00A15024"/>
    <w:rsid w:val="00A158BB"/>
    <w:rsid w:val="00A1640B"/>
    <w:rsid w:val="00A30058"/>
    <w:rsid w:val="00A3018C"/>
    <w:rsid w:val="00A3631E"/>
    <w:rsid w:val="00A4511D"/>
    <w:rsid w:val="00A470F5"/>
    <w:rsid w:val="00A53697"/>
    <w:rsid w:val="00A57E2A"/>
    <w:rsid w:val="00A60246"/>
    <w:rsid w:val="00A6260B"/>
    <w:rsid w:val="00A65096"/>
    <w:rsid w:val="00A7051F"/>
    <w:rsid w:val="00A868DC"/>
    <w:rsid w:val="00A8750D"/>
    <w:rsid w:val="00AA3882"/>
    <w:rsid w:val="00AB14D0"/>
    <w:rsid w:val="00AE2A5F"/>
    <w:rsid w:val="00AF0F1D"/>
    <w:rsid w:val="00B07B93"/>
    <w:rsid w:val="00B10B44"/>
    <w:rsid w:val="00B14B40"/>
    <w:rsid w:val="00B14F2F"/>
    <w:rsid w:val="00B16A15"/>
    <w:rsid w:val="00B22B3E"/>
    <w:rsid w:val="00B2455B"/>
    <w:rsid w:val="00B2735A"/>
    <w:rsid w:val="00B32A3E"/>
    <w:rsid w:val="00B56BAF"/>
    <w:rsid w:val="00B65609"/>
    <w:rsid w:val="00B71575"/>
    <w:rsid w:val="00B73826"/>
    <w:rsid w:val="00B9702D"/>
    <w:rsid w:val="00BA01E5"/>
    <w:rsid w:val="00BA1DD1"/>
    <w:rsid w:val="00BA58EF"/>
    <w:rsid w:val="00BB1F95"/>
    <w:rsid w:val="00BC0065"/>
    <w:rsid w:val="00BC1D3C"/>
    <w:rsid w:val="00BC3441"/>
    <w:rsid w:val="00BC6E91"/>
    <w:rsid w:val="00BC7A3B"/>
    <w:rsid w:val="00BD134B"/>
    <w:rsid w:val="00BD2E72"/>
    <w:rsid w:val="00BD4801"/>
    <w:rsid w:val="00BD6546"/>
    <w:rsid w:val="00BF42E4"/>
    <w:rsid w:val="00C01E80"/>
    <w:rsid w:val="00C04547"/>
    <w:rsid w:val="00C2009A"/>
    <w:rsid w:val="00C2299D"/>
    <w:rsid w:val="00C260D3"/>
    <w:rsid w:val="00C309F9"/>
    <w:rsid w:val="00C4704C"/>
    <w:rsid w:val="00C5457A"/>
    <w:rsid w:val="00C55697"/>
    <w:rsid w:val="00C57BD6"/>
    <w:rsid w:val="00C611A7"/>
    <w:rsid w:val="00C6134A"/>
    <w:rsid w:val="00C61B8C"/>
    <w:rsid w:val="00C632E6"/>
    <w:rsid w:val="00C64F51"/>
    <w:rsid w:val="00C71563"/>
    <w:rsid w:val="00C722D2"/>
    <w:rsid w:val="00C7406E"/>
    <w:rsid w:val="00C8071B"/>
    <w:rsid w:val="00C80B9B"/>
    <w:rsid w:val="00C80DC9"/>
    <w:rsid w:val="00C91577"/>
    <w:rsid w:val="00C944E1"/>
    <w:rsid w:val="00CA2627"/>
    <w:rsid w:val="00CA4181"/>
    <w:rsid w:val="00CC4E0F"/>
    <w:rsid w:val="00CD2837"/>
    <w:rsid w:val="00CD48CA"/>
    <w:rsid w:val="00CD54F6"/>
    <w:rsid w:val="00CD79FD"/>
    <w:rsid w:val="00CF24F3"/>
    <w:rsid w:val="00CF443C"/>
    <w:rsid w:val="00CF63A5"/>
    <w:rsid w:val="00CF7B95"/>
    <w:rsid w:val="00D0056D"/>
    <w:rsid w:val="00D00916"/>
    <w:rsid w:val="00D06485"/>
    <w:rsid w:val="00D13374"/>
    <w:rsid w:val="00D20382"/>
    <w:rsid w:val="00D400CC"/>
    <w:rsid w:val="00D40BD9"/>
    <w:rsid w:val="00D55CF9"/>
    <w:rsid w:val="00D5666C"/>
    <w:rsid w:val="00D60809"/>
    <w:rsid w:val="00D6771E"/>
    <w:rsid w:val="00D8475B"/>
    <w:rsid w:val="00D94CF7"/>
    <w:rsid w:val="00D9778C"/>
    <w:rsid w:val="00DA09F3"/>
    <w:rsid w:val="00DA0AB0"/>
    <w:rsid w:val="00DB0598"/>
    <w:rsid w:val="00DC01E6"/>
    <w:rsid w:val="00DC0776"/>
    <w:rsid w:val="00DC3F69"/>
    <w:rsid w:val="00DD225B"/>
    <w:rsid w:val="00DF44D2"/>
    <w:rsid w:val="00E05995"/>
    <w:rsid w:val="00E06F76"/>
    <w:rsid w:val="00E14D88"/>
    <w:rsid w:val="00E231FD"/>
    <w:rsid w:val="00E27FB1"/>
    <w:rsid w:val="00E4228D"/>
    <w:rsid w:val="00E4723E"/>
    <w:rsid w:val="00E504B3"/>
    <w:rsid w:val="00E5399F"/>
    <w:rsid w:val="00E61A2B"/>
    <w:rsid w:val="00E628B4"/>
    <w:rsid w:val="00E83810"/>
    <w:rsid w:val="00E83ED6"/>
    <w:rsid w:val="00E93560"/>
    <w:rsid w:val="00EA656A"/>
    <w:rsid w:val="00EA7806"/>
    <w:rsid w:val="00EB77FA"/>
    <w:rsid w:val="00EB7D1B"/>
    <w:rsid w:val="00EC1C1C"/>
    <w:rsid w:val="00EC27BA"/>
    <w:rsid w:val="00ED46B6"/>
    <w:rsid w:val="00EE5E38"/>
    <w:rsid w:val="00EE704B"/>
    <w:rsid w:val="00EF0848"/>
    <w:rsid w:val="00EF1DD8"/>
    <w:rsid w:val="00EF500D"/>
    <w:rsid w:val="00EF7393"/>
    <w:rsid w:val="00EF7F13"/>
    <w:rsid w:val="00F04EA2"/>
    <w:rsid w:val="00F073DA"/>
    <w:rsid w:val="00F17164"/>
    <w:rsid w:val="00F20BC8"/>
    <w:rsid w:val="00F32BE1"/>
    <w:rsid w:val="00F33176"/>
    <w:rsid w:val="00F36C35"/>
    <w:rsid w:val="00F40BE6"/>
    <w:rsid w:val="00F42860"/>
    <w:rsid w:val="00F4414C"/>
    <w:rsid w:val="00F56C06"/>
    <w:rsid w:val="00F6160D"/>
    <w:rsid w:val="00F6446B"/>
    <w:rsid w:val="00F674EA"/>
    <w:rsid w:val="00F82B18"/>
    <w:rsid w:val="00F8323C"/>
    <w:rsid w:val="00F858B3"/>
    <w:rsid w:val="00F86274"/>
    <w:rsid w:val="00F91B94"/>
    <w:rsid w:val="00FA00DB"/>
    <w:rsid w:val="00FA11D4"/>
    <w:rsid w:val="00FA66CB"/>
    <w:rsid w:val="00FD4265"/>
    <w:rsid w:val="00FF0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FD"/>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E231FD"/>
    <w:pPr>
      <w:keepNext/>
      <w:keepLines/>
      <w:tabs>
        <w:tab w:val="left" w:pos="-1080"/>
        <w:tab w:val="left" w:pos="-360"/>
        <w:tab w:val="left" w:pos="361"/>
        <w:tab w:val="left" w:pos="600"/>
        <w:tab w:val="left" w:pos="870"/>
        <w:tab w:val="left" w:pos="1800"/>
        <w:tab w:val="left" w:pos="2520"/>
        <w:tab w:val="left" w:pos="3240"/>
      </w:tabs>
      <w:spacing w:before="163" w:after="19"/>
      <w:ind w:left="360"/>
      <w:jc w:val="right"/>
      <w:outlineLvl w:val="0"/>
    </w:pPr>
    <w:rPr>
      <w:rFonts w:ascii="Times" w:hAnsi="Times"/>
      <w:i/>
      <w:iCs/>
      <w:color w:val="000000"/>
    </w:rPr>
  </w:style>
  <w:style w:type="paragraph" w:styleId="Heading2">
    <w:name w:val="heading 2"/>
    <w:basedOn w:val="Normal"/>
    <w:next w:val="Normal"/>
    <w:qFormat/>
    <w:rsid w:val="00E231FD"/>
    <w:pPr>
      <w:keepNext/>
      <w:jc w:val="center"/>
      <w:outlineLvl w:val="1"/>
    </w:pPr>
    <w:rPr>
      <w:rFonts w:ascii="Times" w:hAnsi="Times"/>
      <w:color w:val="000000"/>
      <w:sz w:val="28"/>
      <w:szCs w:val="28"/>
    </w:rPr>
  </w:style>
  <w:style w:type="paragraph" w:styleId="Heading3">
    <w:name w:val="heading 3"/>
    <w:basedOn w:val="Normal"/>
    <w:next w:val="Normal"/>
    <w:qFormat/>
    <w:rsid w:val="00E231FD"/>
    <w:pPr>
      <w:keepNext/>
      <w:jc w:val="center"/>
      <w:outlineLvl w:val="2"/>
    </w:pPr>
    <w:rPr>
      <w:b/>
      <w:bCs/>
    </w:rPr>
  </w:style>
  <w:style w:type="paragraph" w:styleId="Heading4">
    <w:name w:val="heading 4"/>
    <w:basedOn w:val="Normal"/>
    <w:next w:val="Normal"/>
    <w:qFormat/>
    <w:rsid w:val="00E231FD"/>
    <w:pPr>
      <w:keepNext/>
      <w:outlineLvl w:val="3"/>
    </w:pPr>
    <w:rPr>
      <w:rFonts w:ascii="Times" w:hAnsi="Times"/>
      <w:color w:val="000000"/>
      <w:sz w:val="28"/>
      <w:szCs w:val="28"/>
    </w:rPr>
  </w:style>
  <w:style w:type="paragraph" w:styleId="Heading6">
    <w:name w:val="heading 6"/>
    <w:basedOn w:val="Normal"/>
    <w:next w:val="Normal"/>
    <w:qFormat/>
    <w:rsid w:val="004E1FF1"/>
    <w:pPr>
      <w:keepNext/>
      <w:outlineLvl w:val="5"/>
    </w:pPr>
    <w:rPr>
      <w:rFonts w:ascii="Times" w:hAnsi="Times"/>
      <w:b/>
      <w:color w:val="000000"/>
    </w:rPr>
  </w:style>
  <w:style w:type="paragraph" w:styleId="Heading7">
    <w:name w:val="heading 7"/>
    <w:basedOn w:val="Normal"/>
    <w:next w:val="Normal"/>
    <w:qFormat/>
    <w:rsid w:val="004E1FF1"/>
    <w:pPr>
      <w:keepNext/>
      <w:jc w:val="center"/>
      <w:outlineLvl w:val="6"/>
    </w:pPr>
    <w:rPr>
      <w:rFonts w:ascii="Times" w:hAnsi="Times"/>
      <w:i/>
      <w:iCs/>
      <w:color w:val="000000"/>
    </w:rPr>
  </w:style>
  <w:style w:type="paragraph" w:styleId="Heading8">
    <w:name w:val="heading 8"/>
    <w:basedOn w:val="Normal"/>
    <w:next w:val="Normal"/>
    <w:qFormat/>
    <w:rsid w:val="004E1FF1"/>
    <w:pPr>
      <w:keepNext/>
      <w:keepLines/>
      <w:tabs>
        <w:tab w:val="left" w:pos="-1440"/>
        <w:tab w:val="left" w:pos="-720"/>
        <w:tab w:val="left" w:pos="0"/>
        <w:tab w:val="left" w:pos="240"/>
        <w:tab w:val="left" w:pos="510"/>
        <w:tab w:val="left" w:pos="1440"/>
        <w:tab w:val="left" w:pos="2160"/>
        <w:tab w:val="left" w:pos="2880"/>
      </w:tabs>
      <w:spacing w:before="163" w:after="19"/>
      <w:outlineLvl w:val="7"/>
    </w:pPr>
    <w:rPr>
      <w:rFonts w:ascii="Times" w:hAnsi="Time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231FD"/>
    <w:rPr>
      <w:rFonts w:ascii="Courier New" w:hAnsi="Courier New" w:cs="Courier New"/>
      <w:sz w:val="20"/>
      <w:szCs w:val="20"/>
    </w:rPr>
  </w:style>
  <w:style w:type="paragraph" w:styleId="BodyTextIndent">
    <w:name w:val="Body Text Indent"/>
    <w:basedOn w:val="Normal"/>
    <w:link w:val="BodyTextIndentChar"/>
    <w:rsid w:val="00E231FD"/>
    <w:pPr>
      <w:ind w:firstLine="720"/>
    </w:pPr>
    <w:rPr>
      <w:rFonts w:ascii="Times" w:hAnsi="Times"/>
      <w:color w:val="000000"/>
    </w:rPr>
  </w:style>
  <w:style w:type="paragraph" w:styleId="BodyText">
    <w:name w:val="Body Text"/>
    <w:basedOn w:val="Normal"/>
    <w:rsid w:val="00E231FD"/>
    <w:rPr>
      <w:rFonts w:ascii="Times" w:hAnsi="Times"/>
      <w:color w:val="000000"/>
    </w:rPr>
  </w:style>
  <w:style w:type="paragraph" w:styleId="Footer">
    <w:name w:val="footer"/>
    <w:basedOn w:val="Normal"/>
    <w:rsid w:val="00E231FD"/>
    <w:pPr>
      <w:tabs>
        <w:tab w:val="center" w:pos="4320"/>
        <w:tab w:val="right" w:pos="8640"/>
      </w:tabs>
    </w:pPr>
  </w:style>
  <w:style w:type="character" w:styleId="PageNumber">
    <w:name w:val="page number"/>
    <w:basedOn w:val="DefaultParagraphFont"/>
    <w:rsid w:val="00E231FD"/>
  </w:style>
  <w:style w:type="paragraph" w:styleId="FootnoteText">
    <w:name w:val="footnote text"/>
    <w:aliases w:val="Footnote Text Char1,Footnote Text Char Char,ft"/>
    <w:basedOn w:val="Normal"/>
    <w:link w:val="FootnoteTextChar2"/>
    <w:rsid w:val="00E231FD"/>
    <w:rPr>
      <w:sz w:val="20"/>
      <w:szCs w:val="20"/>
    </w:rPr>
  </w:style>
  <w:style w:type="character" w:styleId="FootnoteReference">
    <w:name w:val="footnote reference"/>
    <w:basedOn w:val="DefaultParagraphFont"/>
    <w:semiHidden/>
    <w:rsid w:val="00E231FD"/>
    <w:rPr>
      <w:vertAlign w:val="superscript"/>
    </w:rPr>
  </w:style>
  <w:style w:type="paragraph" w:styleId="BodyText2">
    <w:name w:val="Body Text 2"/>
    <w:basedOn w:val="Normal"/>
    <w:rsid w:val="00E231FD"/>
    <w:rPr>
      <w:rFonts w:ascii="Times" w:hAnsi="Times"/>
      <w:color w:val="000000"/>
    </w:rPr>
  </w:style>
  <w:style w:type="paragraph" w:styleId="BodyTextIndent2">
    <w:name w:val="Body Text Indent 2"/>
    <w:basedOn w:val="Normal"/>
    <w:rsid w:val="00E231FD"/>
    <w:pPr>
      <w:ind w:left="720"/>
    </w:pPr>
    <w:rPr>
      <w:rFonts w:ascii="Times" w:hAnsi="Times"/>
      <w:b/>
      <w:color w:val="000000"/>
    </w:rPr>
  </w:style>
  <w:style w:type="paragraph" w:styleId="BodyTextIndent3">
    <w:name w:val="Body Text Indent 3"/>
    <w:basedOn w:val="Normal"/>
    <w:rsid w:val="004E1FF1"/>
    <w:pPr>
      <w:keepLines/>
      <w:ind w:firstLine="360"/>
    </w:pPr>
    <w:rPr>
      <w:rFonts w:ascii="Times" w:hAnsi="Times"/>
      <w:color w:val="000000"/>
    </w:rPr>
  </w:style>
  <w:style w:type="paragraph" w:styleId="Header">
    <w:name w:val="header"/>
    <w:basedOn w:val="Normal"/>
    <w:link w:val="HeaderChar"/>
    <w:uiPriority w:val="99"/>
    <w:rsid w:val="005E587A"/>
    <w:pPr>
      <w:tabs>
        <w:tab w:val="center" w:pos="4320"/>
        <w:tab w:val="right" w:pos="8640"/>
      </w:tabs>
    </w:pPr>
  </w:style>
  <w:style w:type="character" w:styleId="CommentReference">
    <w:name w:val="annotation reference"/>
    <w:basedOn w:val="DefaultParagraphFont"/>
    <w:semiHidden/>
    <w:rsid w:val="00481299"/>
    <w:rPr>
      <w:sz w:val="16"/>
      <w:szCs w:val="16"/>
    </w:rPr>
  </w:style>
  <w:style w:type="paragraph" w:styleId="CommentText">
    <w:name w:val="annotation text"/>
    <w:basedOn w:val="Normal"/>
    <w:semiHidden/>
    <w:rsid w:val="00481299"/>
    <w:rPr>
      <w:sz w:val="20"/>
      <w:szCs w:val="20"/>
    </w:rPr>
  </w:style>
  <w:style w:type="paragraph" w:styleId="CommentSubject">
    <w:name w:val="annotation subject"/>
    <w:basedOn w:val="CommentText"/>
    <w:next w:val="CommentText"/>
    <w:semiHidden/>
    <w:rsid w:val="00481299"/>
    <w:rPr>
      <w:b/>
      <w:bCs/>
    </w:rPr>
  </w:style>
  <w:style w:type="paragraph" w:styleId="BalloonText">
    <w:name w:val="Balloon Text"/>
    <w:basedOn w:val="Normal"/>
    <w:semiHidden/>
    <w:rsid w:val="00481299"/>
    <w:rPr>
      <w:rFonts w:ascii="Tahoma" w:hAnsi="Tahoma" w:cs="Tahoma"/>
      <w:sz w:val="16"/>
      <w:szCs w:val="16"/>
    </w:rPr>
  </w:style>
  <w:style w:type="character" w:customStyle="1" w:styleId="FootnoteTextChar2">
    <w:name w:val="Footnote Text Char2"/>
    <w:aliases w:val="Footnote Text Char1 Char,Footnote Text Char Char Char"/>
    <w:basedOn w:val="DefaultParagraphFont"/>
    <w:link w:val="FootnoteText"/>
    <w:locked/>
    <w:rsid w:val="00EE5E38"/>
  </w:style>
  <w:style w:type="character" w:customStyle="1" w:styleId="HeaderChar">
    <w:name w:val="Header Char"/>
    <w:basedOn w:val="DefaultParagraphFont"/>
    <w:link w:val="Header"/>
    <w:uiPriority w:val="99"/>
    <w:rsid w:val="00EE5E38"/>
    <w:rPr>
      <w:sz w:val="24"/>
      <w:szCs w:val="24"/>
    </w:rPr>
  </w:style>
  <w:style w:type="character" w:customStyle="1" w:styleId="BodyTextIndentChar">
    <w:name w:val="Body Text Indent Char"/>
    <w:basedOn w:val="DefaultParagraphFont"/>
    <w:link w:val="BodyTextIndent"/>
    <w:rsid w:val="006D411C"/>
    <w:rPr>
      <w:rFonts w:ascii="Times" w:hAnsi="Times"/>
      <w:color w:val="000000"/>
      <w:sz w:val="24"/>
      <w:szCs w:val="24"/>
    </w:rPr>
  </w:style>
  <w:style w:type="character" w:customStyle="1" w:styleId="FootnoteTextChar">
    <w:name w:val="Footnote Text Char"/>
    <w:aliases w:val="ft Char,Footnote Text Char1 Char1,Footnote Text Char Char Char1"/>
    <w:basedOn w:val="DefaultParagraphFont"/>
    <w:semiHidden/>
    <w:rsid w:val="00D5666C"/>
    <w:rPr>
      <w:rFonts w:ascii="Courier" w:eastAsia="Times New Roman" w:hAnsi="Courier" w:cs="Times New Roman"/>
      <w:snapToGrid w:val="0"/>
      <w:sz w:val="20"/>
      <w:szCs w:val="20"/>
    </w:rPr>
  </w:style>
  <w:style w:type="character" w:styleId="Hyperlink">
    <w:name w:val="Hyperlink"/>
    <w:basedOn w:val="DefaultParagraphFont"/>
    <w:uiPriority w:val="99"/>
    <w:rsid w:val="00D5666C"/>
    <w:rPr>
      <w:color w:val="0000FF"/>
      <w:u w:val="single"/>
    </w:rPr>
  </w:style>
  <w:style w:type="paragraph" w:styleId="Revision">
    <w:name w:val="Revision"/>
    <w:hidden/>
    <w:uiPriority w:val="99"/>
    <w:semiHidden/>
    <w:rsid w:val="0086792D"/>
    <w:rPr>
      <w:sz w:val="24"/>
      <w:szCs w:val="24"/>
    </w:rPr>
  </w:style>
  <w:style w:type="character" w:customStyle="1" w:styleId="documentbody1">
    <w:name w:val="documentbody1"/>
    <w:basedOn w:val="DefaultParagraphFont"/>
    <w:rsid w:val="00C55697"/>
    <w:rPr>
      <w:rFonts w:ascii="Verdana" w:hAnsi="Verdana" w:hint="default"/>
      <w:sz w:val="19"/>
      <w:szCs w:val="19"/>
    </w:rPr>
  </w:style>
  <w:style w:type="paragraph" w:customStyle="1" w:styleId="Default">
    <w:name w:val="Default"/>
    <w:rsid w:val="00EF739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1E09-39E7-4CE2-953F-36F2617B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3248</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21484</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Administrator</dc:creator>
  <cp:keywords/>
  <dc:description/>
  <cp:lastModifiedBy>m1jas00</cp:lastModifiedBy>
  <cp:revision>3</cp:revision>
  <cp:lastPrinted>2011-03-24T13:20:00Z</cp:lastPrinted>
  <dcterms:created xsi:type="dcterms:W3CDTF">2011-08-02T12:15:00Z</dcterms:created>
  <dcterms:modified xsi:type="dcterms:W3CDTF">2011-08-02T12:22:00Z</dcterms:modified>
</cp:coreProperties>
</file>