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46C" w:rsidRDefault="0056146C" w:rsidP="0056146C">
      <w:pPr>
        <w:jc w:val="center"/>
        <w:rPr>
          <w:rFonts w:ascii="Times New Roman" w:hAnsi="Times New Roman"/>
          <w:color w:val="000000"/>
          <w:sz w:val="24"/>
        </w:rPr>
      </w:pPr>
      <w:r w:rsidRPr="0056146C">
        <w:rPr>
          <w:rFonts w:ascii="Times New Roman" w:hAnsi="Times New Roman"/>
          <w:b/>
          <w:bCs/>
          <w:sz w:val="24"/>
        </w:rPr>
        <w:t xml:space="preserve">Supporting Statement for </w:t>
      </w:r>
      <w:r w:rsidRPr="0056146C">
        <w:rPr>
          <w:rFonts w:ascii="Times New Roman" w:hAnsi="Times New Roman"/>
          <w:b/>
          <w:bCs/>
          <w:color w:val="000000"/>
          <w:sz w:val="24"/>
        </w:rPr>
        <w:t>the</w:t>
      </w:r>
      <w:r w:rsidRPr="0056146C">
        <w:rPr>
          <w:rFonts w:ascii="Times New Roman" w:hAnsi="Times New Roman"/>
          <w:color w:val="000000"/>
          <w:sz w:val="24"/>
        </w:rPr>
        <w:t xml:space="preserve"> </w:t>
      </w:r>
    </w:p>
    <w:p w:rsidR="0056146C" w:rsidRDefault="0056146C" w:rsidP="0056146C">
      <w:pPr>
        <w:jc w:val="center"/>
        <w:rPr>
          <w:rFonts w:ascii="Times New Roman" w:hAnsi="Times New Roman"/>
          <w:b/>
          <w:color w:val="000000"/>
          <w:sz w:val="24"/>
        </w:rPr>
      </w:pPr>
      <w:r w:rsidRPr="0056146C">
        <w:rPr>
          <w:rFonts w:ascii="Times New Roman" w:hAnsi="Times New Roman"/>
          <w:b/>
          <w:color w:val="000000"/>
          <w:sz w:val="24"/>
        </w:rPr>
        <w:t xml:space="preserve">Recordkeeping and Disclosure Requirements Associated with the Guidance on Response Programs for Unauthorized Access to Customer Information </w:t>
      </w:r>
    </w:p>
    <w:p w:rsidR="0056146C" w:rsidRPr="0056146C" w:rsidRDefault="0056146C" w:rsidP="0056146C">
      <w:pPr>
        <w:jc w:val="center"/>
        <w:rPr>
          <w:rFonts w:ascii="Times New Roman" w:hAnsi="Times New Roman"/>
          <w:b/>
          <w:color w:val="000000"/>
          <w:sz w:val="24"/>
        </w:rPr>
      </w:pPr>
      <w:r w:rsidRPr="0056146C">
        <w:rPr>
          <w:rFonts w:ascii="Times New Roman" w:hAnsi="Times New Roman"/>
          <w:b/>
          <w:color w:val="000000"/>
          <w:sz w:val="24"/>
        </w:rPr>
        <w:t>(FR 4100; OMB No. 7100-0309)</w:t>
      </w:r>
    </w:p>
    <w:p w:rsidR="0056146C" w:rsidRPr="0056146C" w:rsidRDefault="0056146C" w:rsidP="0056146C">
      <w:pPr>
        <w:rPr>
          <w:rFonts w:ascii="Times New Roman" w:hAnsi="Times New Roman"/>
          <w:color w:val="000000"/>
          <w:sz w:val="24"/>
        </w:rPr>
      </w:pPr>
    </w:p>
    <w:p w:rsidR="00EE7CDB" w:rsidRPr="00B73C83" w:rsidRDefault="00EE7CDB">
      <w:pPr>
        <w:jc w:val="both"/>
        <w:rPr>
          <w:rFonts w:ascii="Times New Roman" w:hAnsi="Times New Roman"/>
          <w:color w:val="000000"/>
          <w:sz w:val="24"/>
        </w:rPr>
      </w:pPr>
      <w:r w:rsidRPr="00B73C83">
        <w:rPr>
          <w:rFonts w:ascii="Times New Roman" w:hAnsi="Times New Roman"/>
          <w:b/>
          <w:bCs/>
          <w:color w:val="000000"/>
          <w:sz w:val="24"/>
        </w:rPr>
        <w:t>Summary</w:t>
      </w:r>
    </w:p>
    <w:p w:rsidR="00EE7CDB" w:rsidRPr="00B73C83" w:rsidRDefault="00EE7CDB">
      <w:pPr>
        <w:jc w:val="both"/>
        <w:rPr>
          <w:rFonts w:ascii="Times New Roman" w:hAnsi="Times New Roman"/>
          <w:color w:val="000000"/>
          <w:sz w:val="24"/>
        </w:rPr>
      </w:pPr>
    </w:p>
    <w:p w:rsidR="00875F13" w:rsidRPr="00B73C83" w:rsidRDefault="0056146C" w:rsidP="00875F13">
      <w:pPr>
        <w:ind w:firstLine="720"/>
        <w:rPr>
          <w:rFonts w:ascii="Times New Roman" w:hAnsi="Times New Roman"/>
          <w:sz w:val="24"/>
        </w:rPr>
      </w:pPr>
      <w:r w:rsidRPr="0056146C">
        <w:rPr>
          <w:rFonts w:ascii="Times New Roman" w:hAnsi="Times New Roman"/>
          <w:sz w:val="24"/>
        </w:rPr>
        <w:t xml:space="preserve">The Board of Governors of the Federal Reserve System, under delegated authority from the Office of Management and Budget (OMB), </w:t>
      </w:r>
      <w:r w:rsidR="00875F13" w:rsidRPr="00B73C83">
        <w:rPr>
          <w:rFonts w:ascii="Times New Roman" w:hAnsi="Times New Roman"/>
          <w:color w:val="000000"/>
          <w:sz w:val="24"/>
        </w:rPr>
        <w:t xml:space="preserve">proposes to extend for three years, </w:t>
      </w:r>
      <w:r w:rsidR="00875F13" w:rsidRPr="006C7B93">
        <w:rPr>
          <w:rFonts w:ascii="Times New Roman" w:hAnsi="Times New Roman"/>
          <w:sz w:val="24"/>
        </w:rPr>
        <w:t>without</w:t>
      </w:r>
      <w:r w:rsidR="00875F13" w:rsidRPr="006C7B93">
        <w:rPr>
          <w:rFonts w:ascii="Times New Roman" w:hAnsi="Times New Roman"/>
          <w:color w:val="000000"/>
          <w:sz w:val="24"/>
        </w:rPr>
        <w:t xml:space="preserve"> revision,</w:t>
      </w:r>
      <w:r w:rsidR="00875F13" w:rsidRPr="00B73C83">
        <w:rPr>
          <w:rFonts w:ascii="Times New Roman" w:hAnsi="Times New Roman"/>
          <w:color w:val="000000"/>
          <w:sz w:val="24"/>
        </w:rPr>
        <w:t xml:space="preserve"> the Recordkeeping and Disclosure Requirements Associated with the Guidance on Response Programs for Unauthorized Access to Customer Information (ID-Theft Guidance; FR</w:t>
      </w:r>
      <w:r w:rsidR="00875F13">
        <w:rPr>
          <w:rFonts w:ascii="Times New Roman" w:hAnsi="Times New Roman"/>
          <w:color w:val="000000"/>
          <w:sz w:val="24"/>
        </w:rPr>
        <w:t> </w:t>
      </w:r>
      <w:r w:rsidR="00875F13" w:rsidRPr="00B73C83">
        <w:rPr>
          <w:rFonts w:ascii="Times New Roman" w:hAnsi="Times New Roman"/>
          <w:color w:val="000000"/>
          <w:sz w:val="24"/>
        </w:rPr>
        <w:t>4100; OMB No. 7100-0309)</w:t>
      </w:r>
      <w:r w:rsidR="00875F13" w:rsidRPr="00B73C83">
        <w:rPr>
          <w:rFonts w:ascii="Times New Roman" w:hAnsi="Times New Roman"/>
          <w:sz w:val="24"/>
        </w:rPr>
        <w:t>.</w:t>
      </w:r>
      <w:r w:rsidR="00875F13" w:rsidRPr="00B73C83">
        <w:rPr>
          <w:rFonts w:ascii="Times New Roman" w:hAnsi="Times New Roman"/>
          <w:sz w:val="24"/>
          <w:vertAlign w:val="superscript"/>
        </w:rPr>
        <w:t xml:space="preserve"> </w:t>
      </w:r>
      <w:r w:rsidR="00875F13" w:rsidRPr="00B73C83">
        <w:rPr>
          <w:rFonts w:ascii="Times New Roman" w:hAnsi="Times New Roman"/>
          <w:color w:val="000000"/>
          <w:sz w:val="24"/>
        </w:rPr>
        <w:t xml:space="preserve">  </w:t>
      </w:r>
      <w:r w:rsidR="00875F13" w:rsidRPr="00875C7D">
        <w:rPr>
          <w:rFonts w:ascii="Times New Roman" w:hAnsi="Times New Roman"/>
          <w:sz w:val="24"/>
        </w:rPr>
        <w:t xml:space="preserve">The ID-Theft Guidance </w:t>
      </w:r>
      <w:r w:rsidR="00875F13">
        <w:rPr>
          <w:rFonts w:ascii="Times New Roman" w:hAnsi="Times New Roman"/>
          <w:sz w:val="24"/>
        </w:rPr>
        <w:t>is the information collection associated with</w:t>
      </w:r>
      <w:r w:rsidR="00875F13" w:rsidRPr="00875C7D">
        <w:rPr>
          <w:rFonts w:ascii="Times New Roman" w:hAnsi="Times New Roman"/>
          <w:sz w:val="24"/>
        </w:rPr>
        <w:t xml:space="preserve"> the </w:t>
      </w:r>
      <w:r w:rsidR="00875F13" w:rsidRPr="00875C7D">
        <w:rPr>
          <w:rFonts w:ascii="Times New Roman" w:hAnsi="Times New Roman"/>
          <w:i/>
          <w:color w:val="000000"/>
          <w:sz w:val="24"/>
        </w:rPr>
        <w:t xml:space="preserve">Interagency Guidance on Response Programs for Unauthorized Access to Customer Information and Customer Notice </w:t>
      </w:r>
      <w:r w:rsidR="00875F13" w:rsidRPr="00875C7D">
        <w:rPr>
          <w:rFonts w:ascii="Times New Roman" w:hAnsi="Times New Roman"/>
          <w:sz w:val="24"/>
        </w:rPr>
        <w:t>(security guidelines)</w:t>
      </w:r>
      <w:r w:rsidR="00875F13" w:rsidRPr="001811A8">
        <w:rPr>
          <w:rFonts w:ascii="Times New Roman" w:hAnsi="Times New Roman"/>
          <w:sz w:val="24"/>
        </w:rPr>
        <w:t xml:space="preserve">, which was published in the </w:t>
      </w:r>
      <w:r w:rsidR="00875F13" w:rsidRPr="001811A8">
        <w:rPr>
          <w:rFonts w:ascii="Times New Roman" w:hAnsi="Times New Roman"/>
          <w:i/>
          <w:sz w:val="24"/>
        </w:rPr>
        <w:t>Federal Register</w:t>
      </w:r>
      <w:r w:rsidR="00875F13" w:rsidRPr="001811A8">
        <w:rPr>
          <w:rFonts w:ascii="Times New Roman" w:hAnsi="Times New Roman"/>
          <w:sz w:val="24"/>
        </w:rPr>
        <w:t xml:space="preserve"> </w:t>
      </w:r>
      <w:r w:rsidR="00875F13">
        <w:rPr>
          <w:rFonts w:ascii="Times New Roman" w:hAnsi="Times New Roman"/>
          <w:sz w:val="24"/>
        </w:rPr>
        <w:t>in March</w:t>
      </w:r>
      <w:r w:rsidR="00875F13" w:rsidRPr="001811A8">
        <w:rPr>
          <w:rFonts w:ascii="Times New Roman" w:hAnsi="Times New Roman"/>
          <w:sz w:val="24"/>
        </w:rPr>
        <w:t xml:space="preserve"> 2005.</w:t>
      </w:r>
      <w:r w:rsidR="00875F13">
        <w:rPr>
          <w:rFonts w:ascii="Times New Roman" w:hAnsi="Times New Roman"/>
          <w:sz w:val="24"/>
        </w:rPr>
        <w:t xml:space="preserve"> </w:t>
      </w:r>
      <w:r w:rsidR="002E542C" w:rsidRPr="00DC0917">
        <w:rPr>
          <w:rStyle w:val="FootnoteReference"/>
          <w:rFonts w:ascii="Times New Roman" w:hAnsi="Times New Roman"/>
          <w:sz w:val="24"/>
          <w:vertAlign w:val="superscript"/>
        </w:rPr>
        <w:footnoteReference w:id="1"/>
      </w:r>
      <w:r w:rsidR="00875F13">
        <w:rPr>
          <w:rFonts w:ascii="Times New Roman" w:hAnsi="Times New Roman"/>
          <w:sz w:val="24"/>
        </w:rPr>
        <w:t xml:space="preserve"> Tr</w:t>
      </w:r>
      <w:r w:rsidR="00875F13" w:rsidRPr="00B73C83">
        <w:rPr>
          <w:rFonts w:ascii="Times New Roman" w:hAnsi="Times New Roman"/>
          <w:sz w:val="24"/>
        </w:rPr>
        <w:t xml:space="preserve">ends in customer information theft and the accompanying misuse of that information led to the issuance of </w:t>
      </w:r>
      <w:r w:rsidR="00875F13">
        <w:rPr>
          <w:rFonts w:ascii="Times New Roman" w:hAnsi="Times New Roman"/>
          <w:sz w:val="24"/>
        </w:rPr>
        <w:t>these</w:t>
      </w:r>
      <w:r w:rsidR="00875F13" w:rsidRPr="00B73C83">
        <w:rPr>
          <w:rFonts w:ascii="Times New Roman" w:hAnsi="Times New Roman"/>
          <w:sz w:val="24"/>
        </w:rPr>
        <w:t xml:space="preserve"> security guidelines applicable to financial institutions.  The </w:t>
      </w:r>
      <w:r w:rsidR="00875F13">
        <w:rPr>
          <w:rFonts w:ascii="Times New Roman" w:hAnsi="Times New Roman"/>
          <w:sz w:val="24"/>
        </w:rPr>
        <w:t>security</w:t>
      </w:r>
      <w:r w:rsidR="00875F13" w:rsidRPr="00B73C83">
        <w:rPr>
          <w:rFonts w:ascii="Times New Roman" w:hAnsi="Times New Roman"/>
          <w:sz w:val="24"/>
        </w:rPr>
        <w:t xml:space="preserve"> guidelines are designed to facilitate timely and relevant notification </w:t>
      </w:r>
      <w:r w:rsidR="00875F13">
        <w:rPr>
          <w:rFonts w:ascii="Times New Roman" w:hAnsi="Times New Roman"/>
          <w:sz w:val="24"/>
        </w:rPr>
        <w:t>to</w:t>
      </w:r>
      <w:r w:rsidR="00875F13" w:rsidRPr="00B73C83">
        <w:rPr>
          <w:rFonts w:ascii="Times New Roman" w:hAnsi="Times New Roman"/>
          <w:sz w:val="24"/>
        </w:rPr>
        <w:t xml:space="preserve"> affected customers and the appropriate regulatory authority (ARA) of the financial institutions.  The </w:t>
      </w:r>
      <w:r w:rsidR="00875F13">
        <w:rPr>
          <w:rFonts w:ascii="Times New Roman" w:hAnsi="Times New Roman"/>
          <w:sz w:val="24"/>
        </w:rPr>
        <w:t xml:space="preserve">security </w:t>
      </w:r>
      <w:r w:rsidR="00875F13" w:rsidRPr="00B73C83">
        <w:rPr>
          <w:rFonts w:ascii="Times New Roman" w:hAnsi="Times New Roman"/>
          <w:sz w:val="24"/>
        </w:rPr>
        <w:t xml:space="preserve">guidelines provide specific direction regarding the </w:t>
      </w:r>
      <w:r w:rsidR="00875F13">
        <w:rPr>
          <w:rFonts w:ascii="Times New Roman" w:hAnsi="Times New Roman"/>
          <w:sz w:val="24"/>
        </w:rPr>
        <w:t>development of response programs and</w:t>
      </w:r>
      <w:r w:rsidR="00875F13" w:rsidRPr="00B73C83">
        <w:rPr>
          <w:rFonts w:ascii="Times New Roman" w:hAnsi="Times New Roman"/>
          <w:sz w:val="24"/>
        </w:rPr>
        <w:t xml:space="preserve"> customer noti</w:t>
      </w:r>
      <w:r w:rsidR="00875F13">
        <w:rPr>
          <w:rFonts w:ascii="Times New Roman" w:hAnsi="Times New Roman"/>
          <w:sz w:val="24"/>
        </w:rPr>
        <w:t>fications</w:t>
      </w:r>
      <w:r w:rsidR="00875F13" w:rsidRPr="00B73C83">
        <w:rPr>
          <w:rFonts w:ascii="Times New Roman" w:hAnsi="Times New Roman"/>
          <w:sz w:val="24"/>
        </w:rPr>
        <w:t>.</w:t>
      </w:r>
      <w:r w:rsidR="00875F13">
        <w:rPr>
          <w:rFonts w:ascii="Times New Roman" w:hAnsi="Times New Roman"/>
          <w:sz w:val="24"/>
        </w:rPr>
        <w:t xml:space="preserve">  </w:t>
      </w:r>
      <w:r w:rsidR="00875F13" w:rsidRPr="00B73C83">
        <w:rPr>
          <w:rFonts w:ascii="Times New Roman" w:hAnsi="Times New Roman"/>
          <w:sz w:val="24"/>
        </w:rPr>
        <w:t xml:space="preserve">The </w:t>
      </w:r>
      <w:r w:rsidR="00875F13">
        <w:rPr>
          <w:rFonts w:ascii="Times New Roman" w:hAnsi="Times New Roman"/>
          <w:sz w:val="24"/>
        </w:rPr>
        <w:t xml:space="preserve">annual </w:t>
      </w:r>
      <w:r w:rsidR="00875F13" w:rsidRPr="00B73C83">
        <w:rPr>
          <w:rFonts w:ascii="Times New Roman" w:hAnsi="Times New Roman"/>
          <w:sz w:val="24"/>
        </w:rPr>
        <w:t>burden for the</w:t>
      </w:r>
      <w:r w:rsidR="00875F13">
        <w:rPr>
          <w:rFonts w:ascii="Times New Roman" w:hAnsi="Times New Roman"/>
          <w:sz w:val="24"/>
        </w:rPr>
        <w:t xml:space="preserve"> </w:t>
      </w:r>
      <w:r w:rsidR="00875F13" w:rsidRPr="00B73C83">
        <w:rPr>
          <w:rFonts w:ascii="Times New Roman" w:hAnsi="Times New Roman"/>
          <w:color w:val="000000"/>
          <w:sz w:val="24"/>
        </w:rPr>
        <w:t>ID-Theft Guidance</w:t>
      </w:r>
      <w:r w:rsidR="00875F13" w:rsidRPr="00B73C83">
        <w:rPr>
          <w:rFonts w:ascii="Times New Roman" w:hAnsi="Times New Roman"/>
          <w:sz w:val="24"/>
        </w:rPr>
        <w:t xml:space="preserve"> is estimated </w:t>
      </w:r>
      <w:r w:rsidR="00875F13">
        <w:rPr>
          <w:rFonts w:ascii="Times New Roman" w:hAnsi="Times New Roman"/>
          <w:sz w:val="24"/>
        </w:rPr>
        <w:t>to be 5,496</w:t>
      </w:r>
      <w:r w:rsidR="00875F13" w:rsidRPr="00A96B7C">
        <w:rPr>
          <w:rFonts w:ascii="Times New Roman" w:hAnsi="Times New Roman"/>
          <w:sz w:val="24"/>
        </w:rPr>
        <w:t xml:space="preserve"> </w:t>
      </w:r>
      <w:r w:rsidR="00875F13" w:rsidRPr="00B73C83">
        <w:rPr>
          <w:rFonts w:ascii="Times New Roman" w:hAnsi="Times New Roman"/>
          <w:sz w:val="24"/>
        </w:rPr>
        <w:t>hours.</w:t>
      </w:r>
    </w:p>
    <w:p w:rsidR="00875F13" w:rsidRDefault="00875F13" w:rsidP="00875F13">
      <w:pPr>
        <w:ind w:firstLine="720"/>
        <w:rPr>
          <w:bCs/>
        </w:rPr>
      </w:pPr>
    </w:p>
    <w:p w:rsidR="00875F13" w:rsidRPr="00B73C83" w:rsidRDefault="00875F13" w:rsidP="00875F13">
      <w:pPr>
        <w:rPr>
          <w:rFonts w:ascii="Times New Roman" w:hAnsi="Times New Roman"/>
          <w:b/>
          <w:i/>
          <w:color w:val="3366FF"/>
          <w:sz w:val="24"/>
        </w:rPr>
      </w:pPr>
      <w:r w:rsidRPr="00B73C83">
        <w:rPr>
          <w:rFonts w:ascii="Times New Roman" w:hAnsi="Times New Roman"/>
          <w:b/>
          <w:bCs/>
          <w:color w:val="000000"/>
          <w:sz w:val="24"/>
        </w:rPr>
        <w:t>Background and Justification</w:t>
      </w:r>
    </w:p>
    <w:p w:rsidR="00875F13" w:rsidRPr="00B73C83" w:rsidRDefault="00875F13" w:rsidP="00875F13">
      <w:pPr>
        <w:jc w:val="both"/>
        <w:rPr>
          <w:rFonts w:ascii="Times New Roman" w:hAnsi="Times New Roman"/>
          <w:b/>
          <w:bCs/>
          <w:color w:val="000000"/>
          <w:sz w:val="24"/>
        </w:rPr>
      </w:pPr>
    </w:p>
    <w:p w:rsidR="00875F13" w:rsidRDefault="00875F13" w:rsidP="00875F13">
      <w:pPr>
        <w:pStyle w:val="FootnoteText"/>
        <w:ind w:firstLine="720"/>
        <w:rPr>
          <w:rFonts w:ascii="Times New Roman" w:hAnsi="Times New Roman"/>
          <w:sz w:val="24"/>
          <w:szCs w:val="24"/>
        </w:rPr>
      </w:pPr>
      <w:r>
        <w:rPr>
          <w:rFonts w:ascii="Times New Roman" w:hAnsi="Times New Roman"/>
          <w:color w:val="000000"/>
          <w:sz w:val="24"/>
        </w:rPr>
        <w:t>On March 29, 2005</w:t>
      </w:r>
      <w:r w:rsidRPr="00B73C83">
        <w:rPr>
          <w:rFonts w:ascii="Times New Roman" w:hAnsi="Times New Roman"/>
          <w:sz w:val="24"/>
          <w:szCs w:val="24"/>
        </w:rPr>
        <w:t xml:space="preserve">, the Board of Governors of the Federal Reserve System, the Federal Deposit Insurance Corporation, the Office of the Comptroller of the Currency, the Office of Thrift Supervision, and National Credit Union Administration (collectively, the agencies), </w:t>
      </w:r>
      <w:r>
        <w:rPr>
          <w:rFonts w:ascii="Times New Roman" w:hAnsi="Times New Roman"/>
          <w:color w:val="000000"/>
          <w:sz w:val="24"/>
        </w:rPr>
        <w:t xml:space="preserve">published the </w:t>
      </w:r>
      <w:r w:rsidRPr="00B73C83">
        <w:rPr>
          <w:rFonts w:ascii="Times New Roman" w:hAnsi="Times New Roman"/>
          <w:sz w:val="24"/>
          <w:szCs w:val="24"/>
        </w:rPr>
        <w:t>security guidelines</w:t>
      </w:r>
      <w:r>
        <w:rPr>
          <w:rFonts w:ascii="Times New Roman" w:hAnsi="Times New Roman"/>
          <w:i/>
          <w:color w:val="000000"/>
          <w:sz w:val="24"/>
        </w:rPr>
        <w:t xml:space="preserve"> </w:t>
      </w:r>
      <w:r>
        <w:rPr>
          <w:rFonts w:ascii="Times New Roman" w:hAnsi="Times New Roman"/>
          <w:color w:val="000000"/>
          <w:sz w:val="24"/>
        </w:rPr>
        <w:t xml:space="preserve">in the </w:t>
      </w:r>
      <w:r w:rsidRPr="00133DBC">
        <w:rPr>
          <w:rFonts w:ascii="Times New Roman" w:hAnsi="Times New Roman"/>
          <w:i/>
          <w:color w:val="000000"/>
          <w:sz w:val="24"/>
        </w:rPr>
        <w:t>Federal Register</w:t>
      </w:r>
      <w:r w:rsidRPr="00B73C83">
        <w:rPr>
          <w:rFonts w:ascii="Times New Roman" w:hAnsi="Times New Roman"/>
          <w:sz w:val="24"/>
          <w:szCs w:val="24"/>
        </w:rPr>
        <w:t>.  These security guidelines were published to fulfill a requirement in section 501(b) of the Gramm-Leach-Bliley Act (GLBA) that require</w:t>
      </w:r>
      <w:r>
        <w:rPr>
          <w:rFonts w:ascii="Times New Roman" w:hAnsi="Times New Roman"/>
          <w:sz w:val="24"/>
          <w:szCs w:val="24"/>
        </w:rPr>
        <w:t>s</w:t>
      </w:r>
      <w:r w:rsidRPr="00B73C83">
        <w:rPr>
          <w:rFonts w:ascii="Times New Roman" w:hAnsi="Times New Roman"/>
          <w:sz w:val="24"/>
          <w:szCs w:val="24"/>
        </w:rPr>
        <w:t xml:space="preserve"> financial institutions</w:t>
      </w:r>
      <w:r w:rsidRPr="00987070">
        <w:rPr>
          <w:rStyle w:val="FootnoteReference"/>
          <w:rFonts w:ascii="Times New Roman" w:hAnsi="Times New Roman"/>
          <w:sz w:val="24"/>
          <w:szCs w:val="24"/>
          <w:vertAlign w:val="superscript"/>
        </w:rPr>
        <w:footnoteReference w:id="2"/>
      </w:r>
      <w:r w:rsidRPr="00987070">
        <w:rPr>
          <w:rFonts w:ascii="Times New Roman" w:hAnsi="Times New Roman"/>
          <w:sz w:val="24"/>
          <w:szCs w:val="24"/>
          <w:vertAlign w:val="superscript"/>
        </w:rPr>
        <w:t xml:space="preserve"> </w:t>
      </w:r>
      <w:r w:rsidRPr="00B73C83">
        <w:rPr>
          <w:rFonts w:ascii="Times New Roman" w:hAnsi="Times New Roman"/>
          <w:sz w:val="24"/>
          <w:szCs w:val="24"/>
        </w:rPr>
        <w:t xml:space="preserve">to develop and implement </w:t>
      </w:r>
      <w:r>
        <w:rPr>
          <w:rFonts w:ascii="Times New Roman" w:hAnsi="Times New Roman"/>
          <w:sz w:val="24"/>
          <w:szCs w:val="24"/>
        </w:rPr>
        <w:t xml:space="preserve">an </w:t>
      </w:r>
      <w:r w:rsidRPr="00B73C83">
        <w:rPr>
          <w:rFonts w:ascii="Times New Roman" w:hAnsi="Times New Roman"/>
          <w:sz w:val="24"/>
          <w:szCs w:val="24"/>
        </w:rPr>
        <w:t>information security program designed to protect their customers’ information.</w:t>
      </w:r>
      <w:r w:rsidRPr="00B73C83">
        <w:rPr>
          <w:rStyle w:val="FootnoteReference"/>
          <w:rFonts w:ascii="Times New Roman" w:hAnsi="Times New Roman"/>
          <w:sz w:val="24"/>
          <w:szCs w:val="24"/>
          <w:vertAlign w:val="superscript"/>
        </w:rPr>
        <w:footnoteReference w:id="3"/>
      </w:r>
      <w:r w:rsidRPr="00B73C83">
        <w:rPr>
          <w:rFonts w:ascii="Times New Roman" w:hAnsi="Times New Roman"/>
          <w:sz w:val="24"/>
          <w:szCs w:val="24"/>
        </w:rPr>
        <w:t xml:space="preserve">  The ID-Theft </w:t>
      </w:r>
      <w:r>
        <w:rPr>
          <w:rFonts w:ascii="Times New Roman" w:hAnsi="Times New Roman"/>
          <w:color w:val="000000"/>
          <w:sz w:val="24"/>
        </w:rPr>
        <w:t xml:space="preserve"> G</w:t>
      </w:r>
      <w:r w:rsidRPr="00B73C83">
        <w:rPr>
          <w:rFonts w:ascii="Times New Roman" w:hAnsi="Times New Roman"/>
          <w:sz w:val="24"/>
          <w:szCs w:val="24"/>
        </w:rPr>
        <w:t xml:space="preserve">uidance describes the </w:t>
      </w:r>
      <w:r>
        <w:rPr>
          <w:rFonts w:ascii="Times New Roman" w:hAnsi="Times New Roman"/>
          <w:sz w:val="24"/>
          <w:szCs w:val="24"/>
        </w:rPr>
        <w:t xml:space="preserve">required </w:t>
      </w:r>
      <w:r w:rsidRPr="00B73C83">
        <w:rPr>
          <w:rFonts w:ascii="Times New Roman" w:hAnsi="Times New Roman"/>
          <w:sz w:val="24"/>
          <w:szCs w:val="24"/>
        </w:rPr>
        <w:t xml:space="preserve">components of a response program and sets a standard for providing notice to customers affected by unauthorized access to or use of customer information that could result in substantial harm or inconvenience to those customers.  </w:t>
      </w:r>
    </w:p>
    <w:p w:rsidR="00875F13" w:rsidRDefault="00875F13" w:rsidP="00875F13">
      <w:pPr>
        <w:pStyle w:val="FootnoteText"/>
        <w:ind w:firstLine="720"/>
        <w:rPr>
          <w:rFonts w:ascii="Times New Roman" w:hAnsi="Times New Roman"/>
          <w:sz w:val="24"/>
          <w:szCs w:val="24"/>
        </w:rPr>
      </w:pPr>
    </w:p>
    <w:p w:rsidR="00875F13" w:rsidRDefault="00875F13">
      <w:pPr>
        <w:widowControl/>
        <w:autoSpaceDE/>
        <w:autoSpaceDN/>
        <w:adjustRightInd/>
        <w:rPr>
          <w:rFonts w:ascii="Times New Roman" w:hAnsi="Times New Roman"/>
          <w:sz w:val="24"/>
        </w:rPr>
      </w:pPr>
      <w:r>
        <w:rPr>
          <w:rFonts w:ascii="Times New Roman" w:hAnsi="Times New Roman"/>
          <w:sz w:val="24"/>
        </w:rPr>
        <w:br w:type="page"/>
      </w:r>
    </w:p>
    <w:p w:rsidR="00875F13" w:rsidRDefault="00875F13" w:rsidP="00875F13">
      <w:pPr>
        <w:pStyle w:val="FootnoteText"/>
        <w:ind w:firstLine="720"/>
        <w:rPr>
          <w:rFonts w:ascii="Times New Roman" w:hAnsi="Times New Roman"/>
          <w:sz w:val="24"/>
          <w:szCs w:val="24"/>
        </w:rPr>
      </w:pPr>
      <w:r w:rsidRPr="00B73C83">
        <w:rPr>
          <w:rFonts w:ascii="Times New Roman" w:hAnsi="Times New Roman"/>
          <w:sz w:val="24"/>
          <w:szCs w:val="24"/>
        </w:rPr>
        <w:lastRenderedPageBreak/>
        <w:t xml:space="preserve">The ID-Theft </w:t>
      </w:r>
      <w:r>
        <w:rPr>
          <w:rFonts w:ascii="Times New Roman" w:hAnsi="Times New Roman"/>
          <w:sz w:val="24"/>
          <w:szCs w:val="24"/>
        </w:rPr>
        <w:t>G</w:t>
      </w:r>
      <w:r w:rsidRPr="00B73C83">
        <w:rPr>
          <w:rFonts w:ascii="Times New Roman" w:hAnsi="Times New Roman"/>
          <w:sz w:val="24"/>
          <w:szCs w:val="24"/>
        </w:rPr>
        <w:t xml:space="preserve">uidance states that: </w:t>
      </w:r>
    </w:p>
    <w:p w:rsidR="00875F13" w:rsidRPr="00B73C83" w:rsidRDefault="00875F13" w:rsidP="00875F13">
      <w:pPr>
        <w:pStyle w:val="FootnoteText"/>
        <w:ind w:firstLine="720"/>
        <w:rPr>
          <w:rFonts w:ascii="Times New Roman" w:hAnsi="Times New Roman"/>
          <w:sz w:val="24"/>
          <w:szCs w:val="24"/>
        </w:rPr>
      </w:pPr>
    </w:p>
    <w:p w:rsidR="00875F13" w:rsidRPr="00B73C83" w:rsidRDefault="00875F13" w:rsidP="00875F13">
      <w:pPr>
        <w:pStyle w:val="FootnoteText"/>
        <w:ind w:firstLine="720"/>
        <w:rPr>
          <w:rFonts w:ascii="Times New Roman" w:hAnsi="Times New Roman"/>
          <w:sz w:val="24"/>
          <w:szCs w:val="24"/>
        </w:rPr>
      </w:pPr>
      <w:proofErr w:type="gramStart"/>
      <w:r w:rsidRPr="00B73C83">
        <w:rPr>
          <w:rFonts w:ascii="Times New Roman" w:hAnsi="Times New Roman"/>
          <w:sz w:val="24"/>
          <w:szCs w:val="24"/>
        </w:rPr>
        <w:t>an</w:t>
      </w:r>
      <w:proofErr w:type="gramEnd"/>
      <w:r w:rsidRPr="00B73C83">
        <w:rPr>
          <w:rFonts w:ascii="Times New Roman" w:hAnsi="Times New Roman"/>
          <w:sz w:val="24"/>
          <w:szCs w:val="24"/>
        </w:rPr>
        <w:t xml:space="preserve"> institution should notify affected customers when it becomes aware of unauthorized </w:t>
      </w:r>
      <w:r w:rsidRPr="00B73C83">
        <w:rPr>
          <w:rFonts w:ascii="Times New Roman" w:hAnsi="Times New Roman"/>
          <w:sz w:val="24"/>
          <w:szCs w:val="24"/>
        </w:rPr>
        <w:tab/>
        <w:t>access to “</w:t>
      </w:r>
      <w:r w:rsidRPr="00B73C83">
        <w:rPr>
          <w:rFonts w:ascii="Times New Roman" w:hAnsi="Times New Roman"/>
          <w:iCs/>
          <w:sz w:val="24"/>
          <w:szCs w:val="24"/>
        </w:rPr>
        <w:t>sensitive customer information”</w:t>
      </w:r>
      <w:r w:rsidRPr="00B73C83">
        <w:rPr>
          <w:rFonts w:ascii="Times New Roman" w:hAnsi="Times New Roman"/>
          <w:sz w:val="24"/>
          <w:szCs w:val="24"/>
        </w:rPr>
        <w:t xml:space="preserve"> unless the institution, after an appropriate </w:t>
      </w:r>
      <w:r w:rsidRPr="00B73C83">
        <w:rPr>
          <w:rFonts w:ascii="Times New Roman" w:hAnsi="Times New Roman"/>
          <w:sz w:val="24"/>
          <w:szCs w:val="24"/>
        </w:rPr>
        <w:tab/>
        <w:t xml:space="preserve">investigation, reasonably concludes that misuse is unlikely to occur and takes appropriate </w:t>
      </w:r>
      <w:r w:rsidRPr="00B73C83">
        <w:rPr>
          <w:rFonts w:ascii="Times New Roman" w:hAnsi="Times New Roman"/>
          <w:sz w:val="24"/>
          <w:szCs w:val="24"/>
        </w:rPr>
        <w:tab/>
        <w:t xml:space="preserve">steps to safeguard the interests of affected customers, including monitoring affected </w:t>
      </w:r>
      <w:r w:rsidRPr="00B73C83">
        <w:rPr>
          <w:rFonts w:ascii="Times New Roman" w:hAnsi="Times New Roman"/>
          <w:sz w:val="24"/>
          <w:szCs w:val="24"/>
        </w:rPr>
        <w:tab/>
        <w:t xml:space="preserve">customers’ accounts for unusual or suspicious activity. </w:t>
      </w:r>
    </w:p>
    <w:p w:rsidR="00875F13" w:rsidRPr="00B73C83" w:rsidRDefault="00875F13" w:rsidP="00875F13">
      <w:pPr>
        <w:pStyle w:val="FootnoteText"/>
        <w:ind w:firstLine="720"/>
        <w:rPr>
          <w:rFonts w:ascii="Times New Roman" w:hAnsi="Times New Roman"/>
          <w:sz w:val="24"/>
          <w:szCs w:val="24"/>
        </w:rPr>
      </w:pPr>
    </w:p>
    <w:p w:rsidR="00875F13" w:rsidRPr="00B73C83" w:rsidRDefault="00875F13" w:rsidP="00875F13">
      <w:pPr>
        <w:pStyle w:val="FootnoteText"/>
        <w:rPr>
          <w:rFonts w:ascii="Times New Roman" w:hAnsi="Times New Roman"/>
          <w:sz w:val="24"/>
          <w:szCs w:val="24"/>
        </w:rPr>
      </w:pPr>
      <w:r w:rsidRPr="00B73C83">
        <w:rPr>
          <w:rFonts w:ascii="Times New Roman" w:hAnsi="Times New Roman"/>
          <w:sz w:val="24"/>
          <w:szCs w:val="24"/>
        </w:rPr>
        <w:t xml:space="preserve">For the purposes of the ID-Theft </w:t>
      </w:r>
      <w:r>
        <w:rPr>
          <w:rFonts w:ascii="Times New Roman" w:hAnsi="Times New Roman"/>
          <w:sz w:val="24"/>
          <w:szCs w:val="24"/>
        </w:rPr>
        <w:t>G</w:t>
      </w:r>
      <w:r w:rsidRPr="00B73C83">
        <w:rPr>
          <w:rFonts w:ascii="Times New Roman" w:hAnsi="Times New Roman"/>
          <w:sz w:val="24"/>
          <w:szCs w:val="24"/>
        </w:rPr>
        <w:t>uidance, the agencies define</w:t>
      </w:r>
      <w:r w:rsidRPr="00B73C83">
        <w:rPr>
          <w:rFonts w:ascii="Times New Roman" w:hAnsi="Times New Roman"/>
          <w:i/>
          <w:sz w:val="24"/>
          <w:szCs w:val="24"/>
        </w:rPr>
        <w:t xml:space="preserve"> </w:t>
      </w:r>
      <w:r w:rsidRPr="00B73C83">
        <w:rPr>
          <w:rFonts w:ascii="Times New Roman" w:hAnsi="Times New Roman"/>
          <w:sz w:val="24"/>
          <w:szCs w:val="24"/>
        </w:rPr>
        <w:t>sensitive customer information to mean a customer’s social security number, personal identification number, or account number, in conjunction with a personal identifier, such as the individual’s name, address, or telephone number.  Sensitive customer information also includes any combination of components of customer information that would allow someone to log onto or access another person’s account, such as user name and password.</w:t>
      </w:r>
    </w:p>
    <w:p w:rsidR="00875F13" w:rsidRPr="00B73C83" w:rsidRDefault="00875F13" w:rsidP="00875F13">
      <w:pPr>
        <w:pStyle w:val="NormalWeb"/>
        <w:ind w:firstLine="720"/>
        <w:rPr>
          <w:rFonts w:ascii="Times New Roman" w:hAnsi="Times New Roman"/>
          <w:b/>
          <w:bCs/>
          <w:color w:val="000000"/>
        </w:rPr>
      </w:pPr>
      <w:r w:rsidRPr="00B73C83">
        <w:rPr>
          <w:rFonts w:ascii="Times New Roman" w:hAnsi="Times New Roman" w:cs="Times New Roman"/>
        </w:rPr>
        <w:t xml:space="preserve">The ID-Theft </w:t>
      </w:r>
      <w:r>
        <w:rPr>
          <w:rFonts w:ascii="Times New Roman" w:hAnsi="Times New Roman" w:cs="Times New Roman"/>
        </w:rPr>
        <w:t>G</w:t>
      </w:r>
      <w:r w:rsidRPr="00B73C83">
        <w:rPr>
          <w:rFonts w:ascii="Times New Roman" w:hAnsi="Times New Roman" w:cs="Times New Roman"/>
        </w:rPr>
        <w:t xml:space="preserve">uidance provides that an expected component of a financial institution’s incident response program is notifying its ARA upon becoming aware of an incident of unauthorized access to </w:t>
      </w:r>
      <w:r w:rsidRPr="00B73C83">
        <w:rPr>
          <w:rFonts w:ascii="Times New Roman" w:hAnsi="Times New Roman" w:cs="Times New Roman"/>
          <w:bCs/>
        </w:rPr>
        <w:t xml:space="preserve">sensitive customer information.  The </w:t>
      </w:r>
      <w:r w:rsidRPr="00B73C83">
        <w:rPr>
          <w:rFonts w:ascii="Times New Roman" w:hAnsi="Times New Roman" w:cs="Times New Roman"/>
        </w:rPr>
        <w:t xml:space="preserve">ID-Theft </w:t>
      </w:r>
      <w:r>
        <w:rPr>
          <w:rFonts w:ascii="Times New Roman" w:hAnsi="Times New Roman" w:cs="Times New Roman"/>
          <w:bCs/>
        </w:rPr>
        <w:t>G</w:t>
      </w:r>
      <w:r w:rsidRPr="00B73C83">
        <w:rPr>
          <w:rFonts w:ascii="Times New Roman" w:hAnsi="Times New Roman" w:cs="Times New Roman"/>
          <w:bCs/>
        </w:rPr>
        <w:t xml:space="preserve">uidance leaves the form and content of regulatory notice to the discretion of the subject financial institution.  Reserve Banks use such notifications to monitor the institution’s implementation of the </w:t>
      </w:r>
      <w:r w:rsidRPr="00B73C83">
        <w:rPr>
          <w:rFonts w:ascii="Times New Roman" w:hAnsi="Times New Roman" w:cs="Times New Roman"/>
        </w:rPr>
        <w:t xml:space="preserve">ID-Theft </w:t>
      </w:r>
      <w:r>
        <w:rPr>
          <w:rFonts w:ascii="Times New Roman" w:hAnsi="Times New Roman" w:cs="Times New Roman"/>
          <w:bCs/>
        </w:rPr>
        <w:t>G</w:t>
      </w:r>
      <w:r w:rsidRPr="00B73C83">
        <w:rPr>
          <w:rFonts w:ascii="Times New Roman" w:hAnsi="Times New Roman" w:cs="Times New Roman"/>
          <w:bCs/>
        </w:rPr>
        <w:t xml:space="preserve">uidance, and thus, enhance the supervision of individual institutions.  Further, information collected from notices permit improved monitoring of security and ID-theft related trends in the industry, and thus, enhance the development of future supervisory guidance.  While each </w:t>
      </w:r>
      <w:r>
        <w:rPr>
          <w:rFonts w:ascii="Times New Roman" w:hAnsi="Times New Roman" w:cs="Times New Roman"/>
          <w:bCs/>
        </w:rPr>
        <w:t xml:space="preserve">agency </w:t>
      </w:r>
      <w:r w:rsidRPr="00B73C83">
        <w:rPr>
          <w:rFonts w:ascii="Times New Roman" w:hAnsi="Times New Roman" w:cs="Times New Roman"/>
          <w:bCs/>
        </w:rPr>
        <w:t xml:space="preserve">participated in the issuance of the ID-Theft </w:t>
      </w:r>
      <w:r>
        <w:rPr>
          <w:rFonts w:ascii="Times New Roman" w:hAnsi="Times New Roman" w:cs="Times New Roman"/>
          <w:bCs/>
        </w:rPr>
        <w:t>G</w:t>
      </w:r>
      <w:r w:rsidRPr="00B73C83">
        <w:rPr>
          <w:rFonts w:ascii="Times New Roman" w:hAnsi="Times New Roman" w:cs="Times New Roman"/>
          <w:bCs/>
        </w:rPr>
        <w:t>uidance, each agency independently implement</w:t>
      </w:r>
      <w:r>
        <w:rPr>
          <w:rFonts w:ascii="Times New Roman" w:hAnsi="Times New Roman" w:cs="Times New Roman"/>
          <w:bCs/>
        </w:rPr>
        <w:t>ed</w:t>
      </w:r>
      <w:r w:rsidRPr="00B73C83">
        <w:rPr>
          <w:rFonts w:ascii="Times New Roman" w:hAnsi="Times New Roman" w:cs="Times New Roman"/>
          <w:bCs/>
        </w:rPr>
        <w:t xml:space="preserve"> the guidance and communicat</w:t>
      </w:r>
      <w:r>
        <w:rPr>
          <w:rFonts w:ascii="Times New Roman" w:hAnsi="Times New Roman" w:cs="Times New Roman"/>
          <w:bCs/>
        </w:rPr>
        <w:t>ed</w:t>
      </w:r>
      <w:r w:rsidRPr="00B73C83">
        <w:rPr>
          <w:rFonts w:ascii="Times New Roman" w:hAnsi="Times New Roman" w:cs="Times New Roman"/>
          <w:bCs/>
        </w:rPr>
        <w:t xml:space="preserve"> that implementation with the institutions under their respective primary jurisdiction.</w:t>
      </w:r>
    </w:p>
    <w:p w:rsidR="00875F13" w:rsidRPr="00B73C83" w:rsidRDefault="00875F13" w:rsidP="00875F13">
      <w:pPr>
        <w:jc w:val="both"/>
        <w:rPr>
          <w:rFonts w:ascii="Times New Roman" w:hAnsi="Times New Roman"/>
          <w:b/>
          <w:bCs/>
          <w:color w:val="000000"/>
          <w:sz w:val="24"/>
        </w:rPr>
      </w:pPr>
      <w:r w:rsidRPr="00B73C83">
        <w:rPr>
          <w:rFonts w:ascii="Times New Roman" w:hAnsi="Times New Roman"/>
          <w:b/>
          <w:bCs/>
          <w:color w:val="000000"/>
          <w:sz w:val="24"/>
        </w:rPr>
        <w:t>Description of Information Collection</w:t>
      </w:r>
    </w:p>
    <w:p w:rsidR="00875F13" w:rsidRDefault="00875F13" w:rsidP="00875F13">
      <w:pPr>
        <w:spacing w:before="240"/>
        <w:rPr>
          <w:rFonts w:ascii="Times New Roman" w:hAnsi="Times New Roman"/>
          <w:sz w:val="24"/>
        </w:rPr>
      </w:pPr>
      <w:r>
        <w:rPr>
          <w:rFonts w:ascii="Times New Roman" w:hAnsi="Times New Roman"/>
          <w:b/>
          <w:bCs/>
          <w:color w:val="000000"/>
          <w:sz w:val="24"/>
        </w:rPr>
        <w:tab/>
      </w:r>
      <w:r w:rsidRPr="00B73C83">
        <w:rPr>
          <w:rFonts w:ascii="Times New Roman" w:hAnsi="Times New Roman"/>
          <w:b/>
          <w:bCs/>
          <w:sz w:val="24"/>
        </w:rPr>
        <w:t>Response Program</w:t>
      </w:r>
      <w:r w:rsidRPr="00B73C83">
        <w:rPr>
          <w:rFonts w:ascii="Times New Roman" w:hAnsi="Times New Roman"/>
          <w:sz w:val="24"/>
        </w:rPr>
        <w:t xml:space="preserve">  </w:t>
      </w:r>
    </w:p>
    <w:p w:rsidR="00875F13" w:rsidRPr="00B73C83" w:rsidRDefault="00875F13" w:rsidP="00875F13">
      <w:pPr>
        <w:spacing w:before="240"/>
        <w:ind w:firstLine="720"/>
        <w:rPr>
          <w:rFonts w:ascii="Times New Roman" w:hAnsi="Times New Roman"/>
          <w:sz w:val="24"/>
        </w:rPr>
      </w:pPr>
      <w:r w:rsidRPr="00B73C83">
        <w:rPr>
          <w:rFonts w:ascii="Times New Roman" w:hAnsi="Times New Roman"/>
          <w:sz w:val="24"/>
        </w:rPr>
        <w:t>The I</w:t>
      </w:r>
      <w:r>
        <w:rPr>
          <w:rFonts w:ascii="Times New Roman" w:hAnsi="Times New Roman"/>
          <w:sz w:val="24"/>
        </w:rPr>
        <w:t xml:space="preserve">D-Theft Guidance states </w:t>
      </w:r>
      <w:r w:rsidRPr="00B73C83">
        <w:rPr>
          <w:rFonts w:ascii="Times New Roman" w:hAnsi="Times New Roman"/>
          <w:sz w:val="24"/>
        </w:rPr>
        <w:t xml:space="preserve">that every financial institution develop a response program to protect against and address reasonably foreseeable risks associated with internal and external threats to the security of customer information.  The ID-Theft </w:t>
      </w:r>
      <w:r>
        <w:rPr>
          <w:rFonts w:ascii="Times New Roman" w:hAnsi="Times New Roman"/>
          <w:sz w:val="24"/>
        </w:rPr>
        <w:t>G</w:t>
      </w:r>
      <w:r w:rsidRPr="00B73C83">
        <w:rPr>
          <w:rFonts w:ascii="Times New Roman" w:hAnsi="Times New Roman"/>
          <w:sz w:val="24"/>
        </w:rPr>
        <w:t xml:space="preserve">uidance further describes the components of a response program, which includes procedures for notifying customers about incidents of unauthorized access to or use of customer information that could result in substantial harm or inconvenience to the customer.  It also provides that a financial institution is expected to expeditiously implement its response program to address incidents of unauthorized access to customer information.  </w:t>
      </w:r>
    </w:p>
    <w:p w:rsidR="00875F13" w:rsidRPr="00B73C83" w:rsidRDefault="00875F13" w:rsidP="00875F13">
      <w:pPr>
        <w:widowControl/>
        <w:spacing w:before="240"/>
        <w:ind w:firstLine="720"/>
        <w:rPr>
          <w:rFonts w:ascii="Times New Roman" w:hAnsi="Times New Roman"/>
          <w:sz w:val="24"/>
        </w:rPr>
      </w:pPr>
      <w:r w:rsidRPr="00B73C83">
        <w:rPr>
          <w:rFonts w:ascii="Times New Roman" w:hAnsi="Times New Roman"/>
          <w:sz w:val="24"/>
        </w:rPr>
        <w:t xml:space="preserve">A response program should contain policies and procedures that enable the financial institution to: </w:t>
      </w:r>
    </w:p>
    <w:p w:rsidR="00875F13" w:rsidRPr="00CF7D21" w:rsidRDefault="00875F13" w:rsidP="00875F13">
      <w:pPr>
        <w:numPr>
          <w:ilvl w:val="0"/>
          <w:numId w:val="6"/>
        </w:numPr>
        <w:rPr>
          <w:rFonts w:ascii="Times New Roman" w:hAnsi="Times New Roman"/>
          <w:sz w:val="24"/>
        </w:rPr>
      </w:pPr>
      <w:r w:rsidRPr="00CF7D21">
        <w:rPr>
          <w:rFonts w:ascii="Times New Roman" w:hAnsi="Times New Roman"/>
          <w:sz w:val="24"/>
        </w:rPr>
        <w:t>Assess the situation to determine the nature and scope of the incident, and identify the information systems and types of customer information affected;</w:t>
      </w:r>
    </w:p>
    <w:p w:rsidR="00875F13" w:rsidRPr="00CF7D21" w:rsidRDefault="00875F13" w:rsidP="00875F13">
      <w:pPr>
        <w:numPr>
          <w:ilvl w:val="0"/>
          <w:numId w:val="6"/>
        </w:numPr>
        <w:rPr>
          <w:rFonts w:ascii="Times New Roman" w:hAnsi="Times New Roman"/>
          <w:sz w:val="24"/>
        </w:rPr>
      </w:pPr>
      <w:r w:rsidRPr="00CF7D21">
        <w:rPr>
          <w:rFonts w:ascii="Times New Roman" w:hAnsi="Times New Roman"/>
          <w:sz w:val="24"/>
        </w:rPr>
        <w:t xml:space="preserve">Notify the institution’s ARA and, in accordance with applicable regulations and </w:t>
      </w:r>
      <w:r w:rsidRPr="00CF7D21">
        <w:rPr>
          <w:rFonts w:ascii="Times New Roman" w:hAnsi="Times New Roman"/>
          <w:sz w:val="24"/>
        </w:rPr>
        <w:lastRenderedPageBreak/>
        <w:t>guidance, file a Suspicious Activity Report (SAR; FR 2230; OMB No. 7100-0212) and notify appropriate law enforcement agencies;</w:t>
      </w:r>
    </w:p>
    <w:p w:rsidR="00875F13" w:rsidRPr="00CF7D21" w:rsidRDefault="00875F13" w:rsidP="00875F13">
      <w:pPr>
        <w:numPr>
          <w:ilvl w:val="0"/>
          <w:numId w:val="6"/>
        </w:numPr>
        <w:rPr>
          <w:rFonts w:ascii="Times New Roman" w:hAnsi="Times New Roman"/>
          <w:sz w:val="24"/>
        </w:rPr>
      </w:pPr>
      <w:r w:rsidRPr="00CF7D21">
        <w:rPr>
          <w:rFonts w:ascii="Times New Roman" w:hAnsi="Times New Roman"/>
          <w:sz w:val="24"/>
        </w:rPr>
        <w:t>Take measures to contain and control the incident to prevent further unauthorized access to or misuse of customer information, including shutting down particular applications or third party connections, reconfiguring firewalls, changing computer access codes, and modifying physical access controls; and</w:t>
      </w:r>
    </w:p>
    <w:p w:rsidR="00875F13" w:rsidRPr="00CF7D21" w:rsidRDefault="00875F13" w:rsidP="00875F13">
      <w:pPr>
        <w:numPr>
          <w:ilvl w:val="0"/>
          <w:numId w:val="6"/>
        </w:numPr>
        <w:rPr>
          <w:rFonts w:ascii="Times New Roman" w:hAnsi="Times New Roman"/>
          <w:sz w:val="24"/>
        </w:rPr>
      </w:pPr>
      <w:r w:rsidRPr="00CF7D21">
        <w:rPr>
          <w:rFonts w:ascii="Times New Roman" w:hAnsi="Times New Roman"/>
          <w:sz w:val="24"/>
        </w:rPr>
        <w:t>Notify customers when warranted.</w:t>
      </w:r>
    </w:p>
    <w:p w:rsidR="00875F13" w:rsidRPr="00B73C83" w:rsidRDefault="00875F13" w:rsidP="00875F13">
      <w:pPr>
        <w:pStyle w:val="HTMLPreformatted"/>
        <w:rPr>
          <w:rFonts w:ascii="Times New Roman" w:hAnsi="Times New Roman" w:cs="Times New Roman"/>
          <w:sz w:val="24"/>
          <w:szCs w:val="24"/>
        </w:rPr>
      </w:pPr>
    </w:p>
    <w:p w:rsidR="00875F13" w:rsidRPr="00B73C83" w:rsidRDefault="00875F13" w:rsidP="00875F13">
      <w:pPr>
        <w:pStyle w:val="HTMLPreformatted"/>
        <w:ind w:firstLine="720"/>
        <w:rPr>
          <w:rFonts w:ascii="Times New Roman" w:hAnsi="Times New Roman" w:cs="Times New Roman"/>
          <w:sz w:val="24"/>
          <w:szCs w:val="24"/>
        </w:rPr>
      </w:pPr>
      <w:r w:rsidRPr="00B73C83">
        <w:rPr>
          <w:rFonts w:ascii="Times New Roman" w:hAnsi="Times New Roman" w:cs="Times New Roman"/>
          <w:sz w:val="24"/>
          <w:szCs w:val="24"/>
        </w:rPr>
        <w:t xml:space="preserve">Where an incident of unauthorized access to customer information involves customer information systems maintained by an institution's service providers, it is the responsibility of the financial institution to notify the institution's customers and regulator. </w:t>
      </w:r>
      <w:r>
        <w:rPr>
          <w:rFonts w:ascii="Times New Roman" w:hAnsi="Times New Roman" w:cs="Times New Roman"/>
          <w:sz w:val="24"/>
          <w:szCs w:val="24"/>
        </w:rPr>
        <w:t xml:space="preserve"> </w:t>
      </w:r>
      <w:r w:rsidRPr="00B73C83">
        <w:rPr>
          <w:rFonts w:ascii="Times New Roman" w:hAnsi="Times New Roman" w:cs="Times New Roman"/>
          <w:sz w:val="24"/>
          <w:szCs w:val="24"/>
        </w:rPr>
        <w:t>However, an institution may authorize or contract with its service provider to notify the institution's customers or regulator on its behalf.</w:t>
      </w:r>
    </w:p>
    <w:p w:rsidR="00875F13" w:rsidRDefault="00875F13" w:rsidP="00875F13">
      <w:pPr>
        <w:spacing w:before="240"/>
        <w:rPr>
          <w:rFonts w:ascii="Times New Roman" w:hAnsi="Times New Roman"/>
          <w:sz w:val="24"/>
        </w:rPr>
      </w:pPr>
      <w:r>
        <w:rPr>
          <w:rFonts w:ascii="Times New Roman" w:hAnsi="Times New Roman"/>
          <w:b/>
          <w:bCs/>
          <w:sz w:val="24"/>
        </w:rPr>
        <w:tab/>
      </w:r>
      <w:r w:rsidRPr="00B73C83">
        <w:rPr>
          <w:rFonts w:ascii="Times New Roman" w:hAnsi="Times New Roman"/>
          <w:b/>
          <w:bCs/>
          <w:sz w:val="24"/>
        </w:rPr>
        <w:t>Notification Requirements</w:t>
      </w:r>
      <w:r w:rsidRPr="00B73C83">
        <w:rPr>
          <w:rFonts w:ascii="Times New Roman" w:hAnsi="Times New Roman"/>
          <w:sz w:val="24"/>
        </w:rPr>
        <w:t xml:space="preserve"> </w:t>
      </w:r>
    </w:p>
    <w:p w:rsidR="00875F13" w:rsidRPr="00B73C83" w:rsidRDefault="00875F13" w:rsidP="00875F13">
      <w:pPr>
        <w:spacing w:before="240"/>
        <w:ind w:firstLine="720"/>
        <w:rPr>
          <w:rFonts w:ascii="Times New Roman" w:hAnsi="Times New Roman"/>
          <w:sz w:val="24"/>
        </w:rPr>
      </w:pPr>
      <w:r w:rsidRPr="00B73C83">
        <w:rPr>
          <w:rFonts w:ascii="Times New Roman" w:hAnsi="Times New Roman"/>
          <w:sz w:val="24"/>
        </w:rPr>
        <w:t xml:space="preserve">The ID-Theft </w:t>
      </w:r>
      <w:r>
        <w:rPr>
          <w:rFonts w:ascii="Times New Roman" w:hAnsi="Times New Roman"/>
          <w:sz w:val="24"/>
        </w:rPr>
        <w:t>G</w:t>
      </w:r>
      <w:r w:rsidRPr="00B73C83">
        <w:rPr>
          <w:rFonts w:ascii="Times New Roman" w:hAnsi="Times New Roman"/>
          <w:sz w:val="24"/>
        </w:rPr>
        <w:t xml:space="preserve">uidance provides that a financial institution should notify each affected customer when it becomes aware of an incident of unauthorized access to sensitive customer information, unless the institution can reasonably conclude that the information will not be misused.  </w:t>
      </w:r>
    </w:p>
    <w:p w:rsidR="00875F13" w:rsidRPr="00B73C83" w:rsidRDefault="00875F13" w:rsidP="00875F13">
      <w:pPr>
        <w:pStyle w:val="HTMLPreformatted"/>
        <w:rPr>
          <w:rFonts w:ascii="Times New Roman" w:hAnsi="Times New Roman" w:cs="Times New Roman"/>
          <w:sz w:val="24"/>
          <w:szCs w:val="24"/>
        </w:rPr>
      </w:pPr>
    </w:p>
    <w:p w:rsidR="00875F13" w:rsidRPr="00B73C83" w:rsidRDefault="00875F13" w:rsidP="00875F13">
      <w:pPr>
        <w:pStyle w:val="HTMLPreformatted"/>
        <w:ind w:firstLine="720"/>
        <w:rPr>
          <w:rFonts w:ascii="Times New Roman" w:hAnsi="Times New Roman" w:cs="Times New Roman"/>
          <w:sz w:val="24"/>
          <w:szCs w:val="24"/>
        </w:rPr>
      </w:pPr>
      <w:r w:rsidRPr="00B73C83">
        <w:rPr>
          <w:rFonts w:ascii="Times New Roman" w:hAnsi="Times New Roman" w:cs="Times New Roman"/>
          <w:sz w:val="24"/>
          <w:szCs w:val="24"/>
        </w:rPr>
        <w:t xml:space="preserve">Customer notice should be given in a clear and conspicuous manner. </w:t>
      </w:r>
      <w:r>
        <w:rPr>
          <w:rFonts w:ascii="Times New Roman" w:hAnsi="Times New Roman" w:cs="Times New Roman"/>
          <w:sz w:val="24"/>
          <w:szCs w:val="24"/>
        </w:rPr>
        <w:t xml:space="preserve"> </w:t>
      </w:r>
      <w:r w:rsidRPr="00B73C83">
        <w:rPr>
          <w:rFonts w:ascii="Times New Roman" w:hAnsi="Times New Roman" w:cs="Times New Roman"/>
          <w:sz w:val="24"/>
          <w:szCs w:val="24"/>
        </w:rPr>
        <w:t xml:space="preserve">The notice should describe the incident in general terms and the type of customer information that was the subject of unauthorized access or use.  It also should generally describe what the institution has done to protect the customers' information from further unauthorized access.  In addition, it should include a telephone number that customers can call for further information and assistance.  The notice also should remind customers of the need to remain vigilant over the next </w:t>
      </w:r>
      <w:r>
        <w:rPr>
          <w:rFonts w:ascii="Times New Roman" w:hAnsi="Times New Roman" w:cs="Times New Roman"/>
          <w:sz w:val="24"/>
          <w:szCs w:val="24"/>
        </w:rPr>
        <w:t>12</w:t>
      </w:r>
      <w:r w:rsidRPr="00B73C83">
        <w:rPr>
          <w:rFonts w:ascii="Times New Roman" w:hAnsi="Times New Roman" w:cs="Times New Roman"/>
          <w:sz w:val="24"/>
          <w:szCs w:val="24"/>
        </w:rPr>
        <w:t xml:space="preserve"> to </w:t>
      </w:r>
      <w:r>
        <w:rPr>
          <w:rFonts w:ascii="Times New Roman" w:hAnsi="Times New Roman" w:cs="Times New Roman"/>
          <w:sz w:val="24"/>
          <w:szCs w:val="24"/>
        </w:rPr>
        <w:t>24</w:t>
      </w:r>
      <w:r w:rsidRPr="00B73C83">
        <w:rPr>
          <w:rFonts w:ascii="Times New Roman" w:hAnsi="Times New Roman" w:cs="Times New Roman"/>
          <w:sz w:val="24"/>
          <w:szCs w:val="24"/>
        </w:rPr>
        <w:t xml:space="preserve"> months and to promptly report incidents of suspected identity theft to the institution. The notice should include the following additional items, when appropriate: </w:t>
      </w:r>
    </w:p>
    <w:p w:rsidR="00875F13" w:rsidRPr="00B73C83" w:rsidRDefault="00875F13" w:rsidP="00875F13">
      <w:pPr>
        <w:pStyle w:val="HTMLPreformatted"/>
        <w:numPr>
          <w:ilvl w:val="0"/>
          <w:numId w:val="4"/>
        </w:numPr>
        <w:rPr>
          <w:rFonts w:ascii="Times New Roman" w:hAnsi="Times New Roman" w:cs="Times New Roman"/>
          <w:sz w:val="24"/>
          <w:szCs w:val="24"/>
        </w:rPr>
      </w:pPr>
      <w:r w:rsidRPr="00B73C83">
        <w:rPr>
          <w:rFonts w:ascii="Times New Roman" w:hAnsi="Times New Roman" w:cs="Times New Roman"/>
          <w:sz w:val="24"/>
          <w:szCs w:val="24"/>
        </w:rPr>
        <w:t>A recommendation that the customer review account statements and immediately report any suspicious activity to the institution;</w:t>
      </w:r>
    </w:p>
    <w:p w:rsidR="00875F13" w:rsidRPr="00B73C83" w:rsidRDefault="00875F13" w:rsidP="00875F13">
      <w:pPr>
        <w:pStyle w:val="HTMLPreformatted"/>
        <w:numPr>
          <w:ilvl w:val="0"/>
          <w:numId w:val="4"/>
        </w:numPr>
        <w:rPr>
          <w:rFonts w:ascii="Times New Roman" w:hAnsi="Times New Roman" w:cs="Times New Roman"/>
          <w:sz w:val="24"/>
          <w:szCs w:val="24"/>
        </w:rPr>
      </w:pPr>
      <w:r w:rsidRPr="00B73C83">
        <w:rPr>
          <w:rFonts w:ascii="Times New Roman" w:hAnsi="Times New Roman" w:cs="Times New Roman"/>
          <w:sz w:val="24"/>
          <w:szCs w:val="24"/>
        </w:rPr>
        <w:t>A description of fraud alerts and an explanation of how the customer may place a fraud alert in the customer's consumer reports to put the customer's creditors on notice that the customer may be a victim of fraud;</w:t>
      </w:r>
    </w:p>
    <w:p w:rsidR="00875F13" w:rsidRPr="00B73C83" w:rsidRDefault="00875F13" w:rsidP="00875F13">
      <w:pPr>
        <w:pStyle w:val="HTMLPreformatted"/>
        <w:numPr>
          <w:ilvl w:val="0"/>
          <w:numId w:val="4"/>
        </w:numPr>
        <w:rPr>
          <w:rFonts w:ascii="Times New Roman" w:hAnsi="Times New Roman" w:cs="Times New Roman"/>
          <w:sz w:val="24"/>
          <w:szCs w:val="24"/>
        </w:rPr>
      </w:pPr>
      <w:r w:rsidRPr="00B73C83">
        <w:rPr>
          <w:rFonts w:ascii="Times New Roman" w:hAnsi="Times New Roman" w:cs="Times New Roman"/>
          <w:sz w:val="24"/>
          <w:szCs w:val="24"/>
        </w:rPr>
        <w:t>A recommendation that the customer periodically obtain credit reports from each nationwide credit reporting agency and have information relating to fraudulent transactions deleted;</w:t>
      </w:r>
    </w:p>
    <w:p w:rsidR="00875F13" w:rsidRPr="00B73C83" w:rsidRDefault="00875F13" w:rsidP="00875F13">
      <w:pPr>
        <w:pStyle w:val="HTMLPreformatted"/>
        <w:numPr>
          <w:ilvl w:val="0"/>
          <w:numId w:val="4"/>
        </w:numPr>
        <w:rPr>
          <w:rFonts w:ascii="Times New Roman" w:hAnsi="Times New Roman" w:cs="Times New Roman"/>
          <w:sz w:val="24"/>
          <w:szCs w:val="24"/>
        </w:rPr>
      </w:pPr>
      <w:r w:rsidRPr="00B73C83">
        <w:rPr>
          <w:rFonts w:ascii="Times New Roman" w:hAnsi="Times New Roman" w:cs="Times New Roman"/>
          <w:sz w:val="24"/>
          <w:szCs w:val="24"/>
        </w:rPr>
        <w:t>An explanation of how the customer may obtain a credit report free of charge; and</w:t>
      </w:r>
    </w:p>
    <w:p w:rsidR="00875F13" w:rsidRPr="00B73C83" w:rsidRDefault="00875F13" w:rsidP="00875F13">
      <w:pPr>
        <w:pStyle w:val="HTMLPreformatted"/>
        <w:numPr>
          <w:ilvl w:val="0"/>
          <w:numId w:val="4"/>
        </w:numPr>
        <w:rPr>
          <w:rFonts w:ascii="Times New Roman" w:hAnsi="Times New Roman" w:cs="Times New Roman"/>
          <w:sz w:val="24"/>
          <w:szCs w:val="24"/>
        </w:rPr>
      </w:pPr>
      <w:r w:rsidRPr="00B73C83">
        <w:rPr>
          <w:rFonts w:ascii="Times New Roman" w:hAnsi="Times New Roman" w:cs="Times New Roman"/>
          <w:sz w:val="24"/>
          <w:szCs w:val="24"/>
        </w:rPr>
        <w:t xml:space="preserve">Information about the availability of the Federal Trade Commission’s (FTC's) online guidance regarding steps a consumer can take to protect against identity theft. The notice should encourage the customer to report any incidents of identity theft to the FTC and should provide the FTC's Web site address and toll-free telephone number that customers </w:t>
      </w:r>
      <w:r w:rsidRPr="00B73C83">
        <w:rPr>
          <w:rFonts w:ascii="Times New Roman" w:hAnsi="Times New Roman" w:cs="Times New Roman"/>
          <w:sz w:val="24"/>
          <w:szCs w:val="24"/>
        </w:rPr>
        <w:lastRenderedPageBreak/>
        <w:t>may use to obtain the identity theft guidance and report suspected incidents of identity theft.</w:t>
      </w:r>
      <w:r w:rsidRPr="00B73C83">
        <w:rPr>
          <w:rStyle w:val="FootnoteReference"/>
          <w:rFonts w:ascii="Times New Roman" w:hAnsi="Times New Roman" w:cs="Times New Roman"/>
          <w:sz w:val="24"/>
          <w:szCs w:val="24"/>
          <w:vertAlign w:val="superscript"/>
        </w:rPr>
        <w:footnoteReference w:id="4"/>
      </w:r>
    </w:p>
    <w:p w:rsidR="00875F13" w:rsidRPr="00B73C83" w:rsidRDefault="00875F13" w:rsidP="00875F13">
      <w:pPr>
        <w:ind w:left="360"/>
        <w:rPr>
          <w:rFonts w:ascii="Times New Roman" w:hAnsi="Times New Roman"/>
          <w:bCs/>
          <w:sz w:val="24"/>
        </w:rPr>
      </w:pPr>
    </w:p>
    <w:p w:rsidR="00875F13" w:rsidRPr="00B73C83" w:rsidRDefault="00875F13" w:rsidP="00875F13">
      <w:pPr>
        <w:jc w:val="both"/>
        <w:rPr>
          <w:rFonts w:ascii="Times New Roman" w:hAnsi="Times New Roman"/>
          <w:color w:val="000000"/>
          <w:sz w:val="24"/>
        </w:rPr>
      </w:pPr>
      <w:r w:rsidRPr="00B73C83">
        <w:rPr>
          <w:rFonts w:ascii="Times New Roman" w:hAnsi="Times New Roman"/>
          <w:b/>
          <w:bCs/>
          <w:color w:val="000000"/>
          <w:sz w:val="24"/>
        </w:rPr>
        <w:t>Time Schedule for Information Collection</w:t>
      </w:r>
    </w:p>
    <w:p w:rsidR="00875F13" w:rsidRPr="00B73C83" w:rsidRDefault="00875F13" w:rsidP="00875F13">
      <w:pPr>
        <w:jc w:val="both"/>
        <w:rPr>
          <w:rFonts w:ascii="Times New Roman" w:hAnsi="Times New Roman"/>
          <w:color w:val="000000"/>
          <w:sz w:val="24"/>
        </w:rPr>
      </w:pPr>
    </w:p>
    <w:p w:rsidR="00875F13" w:rsidRPr="00B73C83" w:rsidRDefault="00875F13" w:rsidP="00875F13">
      <w:pPr>
        <w:ind w:firstLine="720"/>
        <w:rPr>
          <w:rFonts w:ascii="Times New Roman" w:hAnsi="Times New Roman"/>
          <w:b/>
          <w:color w:val="3366FF"/>
          <w:sz w:val="24"/>
        </w:rPr>
      </w:pPr>
      <w:r w:rsidRPr="00B73C83">
        <w:rPr>
          <w:rFonts w:ascii="Times New Roman" w:hAnsi="Times New Roman"/>
          <w:sz w:val="24"/>
        </w:rPr>
        <w:t xml:space="preserve">The ID-Theft </w:t>
      </w:r>
      <w:r>
        <w:rPr>
          <w:rFonts w:ascii="Times New Roman" w:hAnsi="Times New Roman"/>
          <w:sz w:val="24"/>
        </w:rPr>
        <w:t>G</w:t>
      </w:r>
      <w:r w:rsidRPr="00B73C83">
        <w:rPr>
          <w:rFonts w:ascii="Times New Roman" w:hAnsi="Times New Roman"/>
          <w:sz w:val="24"/>
        </w:rPr>
        <w:t>uidance provides that a financial institution is expected to expeditiously implement its response program to address incidents of unauthorized access to customer information.  The</w:t>
      </w:r>
      <w:r>
        <w:rPr>
          <w:rFonts w:ascii="Times New Roman" w:hAnsi="Times New Roman"/>
          <w:color w:val="000000"/>
          <w:sz w:val="24"/>
        </w:rPr>
        <w:t xml:space="preserve"> </w:t>
      </w:r>
      <w:r w:rsidRPr="00B73C83">
        <w:rPr>
          <w:rFonts w:ascii="Times New Roman" w:hAnsi="Times New Roman"/>
          <w:sz w:val="24"/>
        </w:rPr>
        <w:t>guidance provides that a financial institution should notify its designated Reserve Bank upon becoming aware of an incident of unauthorized access to sensitive customer information.  It also provides that a financial institution should notify each affected customer of an incident of unauthorized access to sensitive customer information</w:t>
      </w:r>
      <w:r w:rsidRPr="00B73C83">
        <w:rPr>
          <w:rFonts w:ascii="Times New Roman" w:hAnsi="Times New Roman"/>
          <w:i/>
          <w:sz w:val="24"/>
        </w:rPr>
        <w:t xml:space="preserve"> </w:t>
      </w:r>
      <w:r w:rsidRPr="00B73C83">
        <w:rPr>
          <w:rFonts w:ascii="Times New Roman" w:hAnsi="Times New Roman"/>
          <w:sz w:val="24"/>
        </w:rPr>
        <w:t>when the institution determines that misuse of such information has occurred or that misuse is reasonably possible</w:t>
      </w:r>
      <w:r w:rsidRPr="00B73C83">
        <w:rPr>
          <w:rFonts w:ascii="Times New Roman" w:hAnsi="Times New Roman"/>
          <w:i/>
          <w:sz w:val="24"/>
        </w:rPr>
        <w:t>.</w:t>
      </w:r>
    </w:p>
    <w:p w:rsidR="00875F13" w:rsidRPr="00B73C83" w:rsidRDefault="00875F13" w:rsidP="00875F1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color w:val="000000"/>
          <w:sz w:val="24"/>
        </w:rPr>
      </w:pPr>
    </w:p>
    <w:p w:rsidR="00875F13" w:rsidRPr="00B73C83" w:rsidRDefault="00875F13" w:rsidP="00875F1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B73C83">
        <w:rPr>
          <w:rFonts w:ascii="Times New Roman" w:hAnsi="Times New Roman"/>
          <w:b/>
          <w:bCs/>
          <w:color w:val="000000"/>
          <w:sz w:val="24"/>
        </w:rPr>
        <w:t>Sensitive Questions</w:t>
      </w:r>
    </w:p>
    <w:p w:rsidR="00875F13" w:rsidRPr="00B73C83" w:rsidRDefault="00875F13" w:rsidP="00875F1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rsidR="00875F13" w:rsidRPr="00B73C83" w:rsidRDefault="00875F13" w:rsidP="00875F1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Times New Roman" w:hAnsi="Times New Roman"/>
          <w:color w:val="000000"/>
          <w:sz w:val="24"/>
        </w:rPr>
      </w:pPr>
      <w:r w:rsidRPr="00B73C83">
        <w:rPr>
          <w:rFonts w:ascii="Times New Roman" w:hAnsi="Times New Roman"/>
          <w:color w:val="000000"/>
          <w:sz w:val="24"/>
        </w:rPr>
        <w:t>This collection of information contains no questions of a sensitive nature, as defined by OMB guidelines.</w:t>
      </w:r>
    </w:p>
    <w:p w:rsidR="00875F13" w:rsidRPr="00B73C83" w:rsidRDefault="00875F13" w:rsidP="00875F13">
      <w:pPr>
        <w:ind w:firstLine="720"/>
        <w:rPr>
          <w:rFonts w:ascii="Times New Roman" w:hAnsi="Times New Roman"/>
          <w:color w:val="000000"/>
          <w:sz w:val="24"/>
        </w:rPr>
      </w:pPr>
    </w:p>
    <w:p w:rsidR="00875F13" w:rsidRPr="00B73C83" w:rsidRDefault="00875F13" w:rsidP="00875F13">
      <w:pPr>
        <w:rPr>
          <w:rFonts w:ascii="Times New Roman" w:hAnsi="Times New Roman"/>
          <w:color w:val="000000"/>
          <w:sz w:val="24"/>
        </w:rPr>
      </w:pPr>
      <w:r w:rsidRPr="00B73C83">
        <w:rPr>
          <w:rFonts w:ascii="Times New Roman" w:hAnsi="Times New Roman"/>
          <w:b/>
          <w:bCs/>
          <w:color w:val="000000"/>
          <w:sz w:val="24"/>
        </w:rPr>
        <w:t xml:space="preserve">Consultation </w:t>
      </w:r>
      <w:proofErr w:type="gramStart"/>
      <w:r w:rsidRPr="00B73C83">
        <w:rPr>
          <w:rFonts w:ascii="Times New Roman" w:hAnsi="Times New Roman"/>
          <w:b/>
          <w:bCs/>
          <w:color w:val="000000"/>
          <w:sz w:val="24"/>
        </w:rPr>
        <w:t>Outside</w:t>
      </w:r>
      <w:proofErr w:type="gramEnd"/>
      <w:r w:rsidRPr="00B73C83">
        <w:rPr>
          <w:rFonts w:ascii="Times New Roman" w:hAnsi="Times New Roman"/>
          <w:b/>
          <w:bCs/>
          <w:color w:val="000000"/>
          <w:sz w:val="24"/>
        </w:rPr>
        <w:t xml:space="preserve"> the Agency </w:t>
      </w:r>
    </w:p>
    <w:p w:rsidR="00875F13" w:rsidRPr="00B73C83" w:rsidRDefault="00875F13" w:rsidP="00875F13">
      <w:pPr>
        <w:rPr>
          <w:rFonts w:ascii="Times New Roman" w:hAnsi="Times New Roman"/>
          <w:color w:val="000000"/>
          <w:sz w:val="24"/>
        </w:rPr>
      </w:pPr>
    </w:p>
    <w:p w:rsidR="00875F13" w:rsidRPr="00CB7997" w:rsidRDefault="00875F13" w:rsidP="00CB7997">
      <w:pPr>
        <w:widowControl/>
        <w:tabs>
          <w:tab w:val="left" w:pos="450"/>
        </w:tabs>
        <w:ind w:firstLine="720"/>
        <w:rPr>
          <w:rFonts w:ascii="Times New Roman" w:hAnsi="Times New Roman"/>
          <w:sz w:val="24"/>
        </w:rPr>
      </w:pPr>
      <w:r w:rsidRPr="008C4455">
        <w:rPr>
          <w:rFonts w:ascii="Times New Roman" w:hAnsi="Times New Roman"/>
          <w:sz w:val="24"/>
        </w:rPr>
        <w:t>Representatives from the agencies responsible for the r</w:t>
      </w:r>
      <w:r w:rsidRPr="008C4455">
        <w:rPr>
          <w:rFonts w:ascii="Times New Roman" w:hAnsi="Times New Roman"/>
          <w:color w:val="000000"/>
          <w:sz w:val="24"/>
        </w:rPr>
        <w:t xml:space="preserve">ecordkeeping and disclosure requirements associated with the </w:t>
      </w:r>
      <w:r w:rsidRPr="008C4455">
        <w:rPr>
          <w:rFonts w:ascii="Times New Roman" w:hAnsi="Times New Roman"/>
          <w:sz w:val="24"/>
        </w:rPr>
        <w:t xml:space="preserve">ID-Theft </w:t>
      </w:r>
      <w:r w:rsidRPr="008C4455">
        <w:rPr>
          <w:rFonts w:ascii="Times New Roman" w:hAnsi="Times New Roman"/>
          <w:color w:val="000000"/>
          <w:sz w:val="24"/>
        </w:rPr>
        <w:t>Guidance have reviewed their respective information collections and agreed that revisions to the collections are not necessary at this time.</w:t>
      </w:r>
      <w:r w:rsidR="001B7841" w:rsidRPr="008C4455">
        <w:rPr>
          <w:rFonts w:ascii="Times New Roman" w:hAnsi="Times New Roman"/>
          <w:color w:val="000000"/>
          <w:sz w:val="24"/>
        </w:rPr>
        <w:t xml:space="preserve">  </w:t>
      </w:r>
      <w:r w:rsidR="001B7841" w:rsidRPr="008C4455">
        <w:rPr>
          <w:rFonts w:ascii="Times New Roman" w:hAnsi="Times New Roman"/>
          <w:sz w:val="24"/>
        </w:rPr>
        <w:t xml:space="preserve">On March 18, 2011, the Federal Reserve published a notice in the </w:t>
      </w:r>
      <w:r w:rsidR="001B7841" w:rsidRPr="008C4455">
        <w:rPr>
          <w:rFonts w:ascii="Times New Roman" w:hAnsi="Times New Roman"/>
          <w:i/>
          <w:sz w:val="24"/>
        </w:rPr>
        <w:t>Federal Register</w:t>
      </w:r>
      <w:r w:rsidR="001B7841" w:rsidRPr="008C4455">
        <w:rPr>
          <w:rFonts w:ascii="Times New Roman" w:hAnsi="Times New Roman"/>
          <w:sz w:val="24"/>
        </w:rPr>
        <w:t xml:space="preserve"> (76 FR 14971) requesting public comment for 60 days on the extension, without revision, of the FR 4100.  The comment period for this notice expire</w:t>
      </w:r>
      <w:r w:rsidR="008C4455" w:rsidRPr="008C4455">
        <w:rPr>
          <w:rFonts w:ascii="Times New Roman" w:hAnsi="Times New Roman"/>
          <w:sz w:val="24"/>
        </w:rPr>
        <w:t>d</w:t>
      </w:r>
      <w:r w:rsidR="001B7841" w:rsidRPr="008C4455">
        <w:rPr>
          <w:rFonts w:ascii="Times New Roman" w:hAnsi="Times New Roman"/>
          <w:sz w:val="24"/>
        </w:rPr>
        <w:t xml:space="preserve"> on May 17, 2011.</w:t>
      </w:r>
      <w:r w:rsidR="008C4455" w:rsidRPr="008C4455">
        <w:rPr>
          <w:rFonts w:ascii="Times New Roman" w:hAnsi="Times New Roman"/>
          <w:sz w:val="24"/>
        </w:rPr>
        <w:t xml:space="preserve"> </w:t>
      </w:r>
      <w:r w:rsidR="008C4455">
        <w:rPr>
          <w:rFonts w:ascii="Times New Roman" w:hAnsi="Times New Roman"/>
          <w:sz w:val="24"/>
        </w:rPr>
        <w:t xml:space="preserve"> </w:t>
      </w:r>
      <w:r w:rsidR="008C4455" w:rsidRPr="008C4455">
        <w:rPr>
          <w:rFonts w:ascii="Times New Roman" w:hAnsi="Times New Roman"/>
          <w:sz w:val="24"/>
        </w:rPr>
        <w:t xml:space="preserve">The Federal Reserve did not receive any comments. </w:t>
      </w:r>
      <w:r w:rsidR="00CB7997">
        <w:rPr>
          <w:rFonts w:ascii="Times New Roman" w:hAnsi="Times New Roman"/>
          <w:sz w:val="24"/>
        </w:rPr>
        <w:t xml:space="preserve"> </w:t>
      </w:r>
      <w:r w:rsidR="00CB7997" w:rsidRPr="00A728C8">
        <w:rPr>
          <w:rFonts w:ascii="Times New Roman" w:hAnsi="Times New Roman"/>
          <w:sz w:val="24"/>
        </w:rPr>
        <w:t xml:space="preserve">On </w:t>
      </w:r>
      <w:r w:rsidR="00CB7997">
        <w:rPr>
          <w:rFonts w:ascii="Times New Roman" w:hAnsi="Times New Roman"/>
          <w:sz w:val="24"/>
        </w:rPr>
        <w:t>May 31</w:t>
      </w:r>
      <w:r w:rsidR="00CB7997" w:rsidRPr="00A728C8">
        <w:rPr>
          <w:rFonts w:ascii="Times New Roman" w:hAnsi="Times New Roman"/>
          <w:sz w:val="24"/>
        </w:rPr>
        <w:t xml:space="preserve">, 2011, the Federal Reserve published a final notice in the </w:t>
      </w:r>
      <w:r w:rsidR="00CB7997" w:rsidRPr="00A728C8">
        <w:rPr>
          <w:rFonts w:ascii="Times New Roman" w:hAnsi="Times New Roman"/>
          <w:i/>
          <w:sz w:val="24"/>
        </w:rPr>
        <w:t>Federal Register</w:t>
      </w:r>
      <w:r w:rsidR="00CB7997" w:rsidRPr="00A728C8">
        <w:rPr>
          <w:rFonts w:ascii="Times New Roman" w:hAnsi="Times New Roman"/>
          <w:sz w:val="24"/>
        </w:rPr>
        <w:t xml:space="preserve"> (76 FR </w:t>
      </w:r>
      <w:r w:rsidR="00CB7997">
        <w:rPr>
          <w:rFonts w:ascii="Times New Roman" w:hAnsi="Times New Roman"/>
          <w:sz w:val="24"/>
        </w:rPr>
        <w:t>31334</w:t>
      </w:r>
      <w:r w:rsidR="00CB7997" w:rsidRPr="00A728C8">
        <w:rPr>
          <w:rFonts w:ascii="Times New Roman" w:hAnsi="Times New Roman"/>
          <w:sz w:val="24"/>
        </w:rPr>
        <w:t>)</w:t>
      </w:r>
      <w:r w:rsidR="00CB7997">
        <w:rPr>
          <w:rFonts w:ascii="Times New Roman" w:hAnsi="Times New Roman"/>
          <w:sz w:val="24"/>
        </w:rPr>
        <w:t>.</w:t>
      </w:r>
    </w:p>
    <w:p w:rsidR="00875F13" w:rsidRDefault="00875F13" w:rsidP="00875F13">
      <w:pPr>
        <w:jc w:val="both"/>
        <w:rPr>
          <w:rFonts w:ascii="Times New Roman" w:hAnsi="Times New Roman"/>
          <w:b/>
          <w:bCs/>
          <w:color w:val="000000"/>
          <w:sz w:val="24"/>
        </w:rPr>
      </w:pPr>
    </w:p>
    <w:p w:rsidR="00875F13" w:rsidRPr="00B73C83" w:rsidRDefault="00875F13" w:rsidP="00875F13">
      <w:pPr>
        <w:jc w:val="both"/>
        <w:rPr>
          <w:rFonts w:ascii="Times New Roman" w:hAnsi="Times New Roman"/>
          <w:color w:val="000000"/>
          <w:sz w:val="24"/>
        </w:rPr>
      </w:pPr>
      <w:r w:rsidRPr="00B73C83">
        <w:rPr>
          <w:rFonts w:ascii="Times New Roman" w:hAnsi="Times New Roman"/>
          <w:b/>
          <w:bCs/>
          <w:color w:val="000000"/>
          <w:sz w:val="24"/>
        </w:rPr>
        <w:t xml:space="preserve">Legal Status </w:t>
      </w:r>
    </w:p>
    <w:p w:rsidR="00875F13" w:rsidRPr="00B73C83" w:rsidRDefault="00875F13" w:rsidP="00875F13">
      <w:pPr>
        <w:jc w:val="both"/>
        <w:rPr>
          <w:rFonts w:ascii="Times New Roman" w:hAnsi="Times New Roman"/>
          <w:color w:val="000000"/>
          <w:sz w:val="24"/>
        </w:rPr>
      </w:pPr>
    </w:p>
    <w:p w:rsidR="00875F13" w:rsidRPr="00A96B7C" w:rsidRDefault="00875F13" w:rsidP="00875F13">
      <w:pPr>
        <w:ind w:firstLine="720"/>
        <w:rPr>
          <w:rFonts w:ascii="Times New Roman" w:hAnsi="Times New Roman"/>
          <w:sz w:val="24"/>
        </w:rPr>
      </w:pPr>
      <w:r w:rsidRPr="00B73C83">
        <w:rPr>
          <w:rFonts w:ascii="Times New Roman" w:hAnsi="Times New Roman"/>
          <w:sz w:val="24"/>
        </w:rPr>
        <w:t>The Board's Legal Division has determined that the recordkeeping and disclosure requirements associated with the FR 4100 are authorized by</w:t>
      </w:r>
      <w:r>
        <w:rPr>
          <w:rFonts w:ascii="Times New Roman" w:hAnsi="Times New Roman"/>
          <w:sz w:val="24"/>
        </w:rPr>
        <w:t xml:space="preserve"> the GLBA and are mandatory (15 </w:t>
      </w:r>
      <w:r w:rsidRPr="00B73C83">
        <w:rPr>
          <w:rFonts w:ascii="Times New Roman" w:hAnsi="Times New Roman"/>
          <w:sz w:val="24"/>
        </w:rPr>
        <w:t xml:space="preserve">U.S.C. </w:t>
      </w:r>
      <w:r>
        <w:rPr>
          <w:rFonts w:ascii="Times New Roman" w:hAnsi="Times New Roman"/>
          <w:sz w:val="24"/>
        </w:rPr>
        <w:t xml:space="preserve">§ </w:t>
      </w:r>
      <w:r w:rsidRPr="00B73C83">
        <w:rPr>
          <w:rFonts w:ascii="Times New Roman" w:hAnsi="Times New Roman"/>
          <w:sz w:val="24"/>
        </w:rPr>
        <w:t>6801</w:t>
      </w:r>
      <w:r>
        <w:rPr>
          <w:rFonts w:ascii="Times New Roman" w:hAnsi="Times New Roman"/>
          <w:sz w:val="24"/>
        </w:rPr>
        <w:t>(b)</w:t>
      </w:r>
      <w:r w:rsidRPr="00B73C83">
        <w:rPr>
          <w:rFonts w:ascii="Times New Roman" w:hAnsi="Times New Roman"/>
          <w:sz w:val="24"/>
        </w:rPr>
        <w:t xml:space="preserve">).  Since the </w:t>
      </w:r>
      <w:r w:rsidR="00AC1466">
        <w:rPr>
          <w:rFonts w:ascii="Times New Roman" w:hAnsi="Times New Roman"/>
          <w:sz w:val="24"/>
        </w:rPr>
        <w:t>Federal Reserve</w:t>
      </w:r>
      <w:r w:rsidRPr="00B73C83">
        <w:rPr>
          <w:rFonts w:ascii="Times New Roman" w:hAnsi="Times New Roman"/>
          <w:sz w:val="24"/>
        </w:rPr>
        <w:t xml:space="preserve"> does not collect information associated with the FR</w:t>
      </w:r>
      <w:r>
        <w:rPr>
          <w:rFonts w:ascii="Times New Roman" w:hAnsi="Times New Roman"/>
          <w:sz w:val="24"/>
        </w:rPr>
        <w:t> </w:t>
      </w:r>
      <w:r w:rsidRPr="00B73C83">
        <w:rPr>
          <w:rFonts w:ascii="Times New Roman" w:hAnsi="Times New Roman"/>
          <w:sz w:val="24"/>
        </w:rPr>
        <w:t xml:space="preserve">4100, confidentiality would not generally be an issue.  However, confidentiality </w:t>
      </w:r>
      <w:r w:rsidR="002E542C">
        <w:rPr>
          <w:rFonts w:ascii="Times New Roman" w:hAnsi="Times New Roman"/>
          <w:sz w:val="24"/>
        </w:rPr>
        <w:t xml:space="preserve">issues </w:t>
      </w:r>
      <w:r w:rsidRPr="00B73C83">
        <w:rPr>
          <w:rFonts w:ascii="Times New Roman" w:hAnsi="Times New Roman"/>
          <w:sz w:val="24"/>
        </w:rPr>
        <w:t xml:space="preserve">may arise if </w:t>
      </w:r>
      <w:r w:rsidRPr="00A96B7C">
        <w:rPr>
          <w:rFonts w:ascii="Times New Roman" w:hAnsi="Times New Roman"/>
          <w:sz w:val="24"/>
        </w:rPr>
        <w:t xml:space="preserve">the </w:t>
      </w:r>
      <w:r w:rsidR="00AC1466">
        <w:rPr>
          <w:rFonts w:ascii="Times New Roman" w:hAnsi="Times New Roman"/>
          <w:sz w:val="24"/>
        </w:rPr>
        <w:t>Federal Reserve</w:t>
      </w:r>
      <w:r w:rsidR="00AC1466" w:rsidRPr="00B73C83">
        <w:rPr>
          <w:rFonts w:ascii="Times New Roman" w:hAnsi="Times New Roman"/>
          <w:sz w:val="24"/>
        </w:rPr>
        <w:t xml:space="preserve"> </w:t>
      </w:r>
      <w:r w:rsidRPr="00A96B7C">
        <w:rPr>
          <w:rFonts w:ascii="Times New Roman" w:hAnsi="Times New Roman"/>
          <w:sz w:val="24"/>
        </w:rPr>
        <w:t>were to obtain a copy of a customer notice during the course of an examination or were to receive a copy of a SAR.  In such cases the information would be exempt from disclosure to the public under the Freedom of Information Act (5 U.S.C 552(b</w:t>
      </w:r>
      <w:proofErr w:type="gramStart"/>
      <w:r w:rsidRPr="00A96B7C">
        <w:rPr>
          <w:rFonts w:ascii="Times New Roman" w:hAnsi="Times New Roman"/>
          <w:sz w:val="24"/>
        </w:rPr>
        <w:t>)(</w:t>
      </w:r>
      <w:proofErr w:type="gramEnd"/>
      <w:r w:rsidRPr="00A96B7C">
        <w:rPr>
          <w:rFonts w:ascii="Times New Roman" w:hAnsi="Times New Roman"/>
          <w:sz w:val="24"/>
        </w:rPr>
        <w:t xml:space="preserve">3), (4), and (8)).  Also, a federal employee is prohibited by law from disclosing a SAR or the existence of a SAR (31 U.S.C. 5318(g)).  </w:t>
      </w:r>
    </w:p>
    <w:p w:rsidR="001B7841" w:rsidRDefault="001B7841">
      <w:pPr>
        <w:widowControl/>
        <w:autoSpaceDE/>
        <w:autoSpaceDN/>
        <w:adjustRightInd/>
        <w:rPr>
          <w:rFonts w:ascii="Times New Roman" w:hAnsi="Times New Roman"/>
          <w:b/>
          <w:bCs/>
          <w:color w:val="000000"/>
          <w:sz w:val="24"/>
        </w:rPr>
      </w:pPr>
    </w:p>
    <w:p w:rsidR="00875F13" w:rsidRPr="00A96B7C" w:rsidRDefault="00875F13" w:rsidP="00875F13">
      <w:pPr>
        <w:jc w:val="both"/>
        <w:rPr>
          <w:rFonts w:ascii="Times New Roman" w:hAnsi="Times New Roman"/>
          <w:color w:val="000000"/>
          <w:sz w:val="24"/>
        </w:rPr>
      </w:pPr>
      <w:r w:rsidRPr="00A96B7C">
        <w:rPr>
          <w:rFonts w:ascii="Times New Roman" w:hAnsi="Times New Roman"/>
          <w:b/>
          <w:bCs/>
          <w:color w:val="000000"/>
          <w:sz w:val="24"/>
        </w:rPr>
        <w:lastRenderedPageBreak/>
        <w:t>Estimate of Respondent Burden</w:t>
      </w:r>
    </w:p>
    <w:p w:rsidR="00875F13" w:rsidRPr="00A96B7C" w:rsidRDefault="00875F13" w:rsidP="00875F13">
      <w:pPr>
        <w:jc w:val="both"/>
        <w:rPr>
          <w:rFonts w:ascii="Times New Roman" w:hAnsi="Times New Roman"/>
          <w:color w:val="000000"/>
          <w:sz w:val="24"/>
        </w:rPr>
      </w:pPr>
      <w:r w:rsidRPr="00A96B7C">
        <w:rPr>
          <w:rFonts w:ascii="Times New Roman" w:hAnsi="Times New Roman"/>
          <w:color w:val="000000"/>
          <w:sz w:val="24"/>
        </w:rPr>
        <w:tab/>
      </w:r>
    </w:p>
    <w:p w:rsidR="00875F13" w:rsidRDefault="00875F13" w:rsidP="00875F13">
      <w:pPr>
        <w:ind w:firstLine="720"/>
        <w:rPr>
          <w:rFonts w:ascii="Times New Roman" w:hAnsi="Times New Roman"/>
          <w:sz w:val="24"/>
        </w:rPr>
      </w:pPr>
      <w:r w:rsidRPr="00A96B7C">
        <w:rPr>
          <w:rFonts w:ascii="Times New Roman" w:hAnsi="Times New Roman"/>
          <w:sz w:val="24"/>
        </w:rPr>
        <w:t>The total annual burden</w:t>
      </w:r>
      <w:r>
        <w:rPr>
          <w:rFonts w:ascii="Times New Roman" w:hAnsi="Times New Roman"/>
          <w:sz w:val="24"/>
        </w:rPr>
        <w:t xml:space="preserve"> for the FR 4100</w:t>
      </w:r>
      <w:r w:rsidRPr="00A96B7C">
        <w:rPr>
          <w:rFonts w:ascii="Times New Roman" w:hAnsi="Times New Roman"/>
          <w:sz w:val="24"/>
        </w:rPr>
        <w:t xml:space="preserve"> is estimated to be </w:t>
      </w:r>
      <w:r>
        <w:rPr>
          <w:rFonts w:ascii="Times New Roman" w:hAnsi="Times New Roman"/>
          <w:sz w:val="24"/>
        </w:rPr>
        <w:t>5,496</w:t>
      </w:r>
      <w:r w:rsidRPr="00A96B7C">
        <w:rPr>
          <w:rFonts w:ascii="Times New Roman" w:hAnsi="Times New Roman"/>
          <w:sz w:val="24"/>
        </w:rPr>
        <w:t xml:space="preserve"> hours, as shown in the table</w:t>
      </w:r>
      <w:r>
        <w:rPr>
          <w:rFonts w:ascii="Times New Roman" w:hAnsi="Times New Roman"/>
          <w:sz w:val="24"/>
        </w:rPr>
        <w:t xml:space="preserve"> below</w:t>
      </w:r>
      <w:r w:rsidRPr="00A96B7C">
        <w:rPr>
          <w:rFonts w:ascii="Times New Roman" w:hAnsi="Times New Roman"/>
          <w:sz w:val="24"/>
        </w:rPr>
        <w:t xml:space="preserve">.  </w:t>
      </w:r>
      <w:r w:rsidRPr="00A96B7C">
        <w:rPr>
          <w:rFonts w:ascii="Times New Roman" w:hAnsi="Times New Roman"/>
          <w:color w:val="000000"/>
          <w:sz w:val="24"/>
        </w:rPr>
        <w:t xml:space="preserve">The ID-Theft </w:t>
      </w:r>
      <w:r>
        <w:rPr>
          <w:rFonts w:ascii="Times New Roman" w:hAnsi="Times New Roman"/>
          <w:color w:val="000000"/>
          <w:sz w:val="24"/>
        </w:rPr>
        <w:t>G</w:t>
      </w:r>
      <w:r w:rsidRPr="00A96B7C">
        <w:rPr>
          <w:rFonts w:ascii="Times New Roman" w:hAnsi="Times New Roman"/>
          <w:color w:val="000000"/>
          <w:sz w:val="24"/>
        </w:rPr>
        <w:t xml:space="preserve">uidance requires </w:t>
      </w:r>
      <w:r w:rsidRPr="00A96B7C">
        <w:rPr>
          <w:rFonts w:ascii="Times New Roman" w:hAnsi="Times New Roman"/>
          <w:sz w:val="24"/>
        </w:rPr>
        <w:t>financial institution</w:t>
      </w:r>
      <w:r>
        <w:rPr>
          <w:rFonts w:ascii="Times New Roman" w:hAnsi="Times New Roman"/>
          <w:sz w:val="24"/>
        </w:rPr>
        <w:t>s</w:t>
      </w:r>
      <w:r w:rsidRPr="00A96B7C">
        <w:rPr>
          <w:rFonts w:ascii="Times New Roman" w:hAnsi="Times New Roman"/>
          <w:sz w:val="24"/>
        </w:rPr>
        <w:t xml:space="preserve"> to </w:t>
      </w:r>
      <w:r>
        <w:rPr>
          <w:rFonts w:ascii="Times New Roman" w:hAnsi="Times New Roman"/>
          <w:sz w:val="24"/>
        </w:rPr>
        <w:t>develop and maintain</w:t>
      </w:r>
      <w:r w:rsidRPr="00A96B7C">
        <w:rPr>
          <w:rFonts w:ascii="Times New Roman" w:hAnsi="Times New Roman"/>
          <w:sz w:val="24"/>
        </w:rPr>
        <w:t xml:space="preserve"> a response program to</w:t>
      </w:r>
      <w:r>
        <w:rPr>
          <w:rFonts w:ascii="Times New Roman" w:hAnsi="Times New Roman"/>
          <w:sz w:val="24"/>
        </w:rPr>
        <w:t xml:space="preserve"> </w:t>
      </w:r>
      <w:r w:rsidRPr="00A96B7C">
        <w:rPr>
          <w:rFonts w:ascii="Times New Roman" w:hAnsi="Times New Roman"/>
          <w:sz w:val="24"/>
        </w:rPr>
        <w:t xml:space="preserve">address unauthorized access to customer information maintained by the institution or its service providers. </w:t>
      </w:r>
      <w:r>
        <w:rPr>
          <w:rFonts w:ascii="Times New Roman" w:hAnsi="Times New Roman"/>
          <w:sz w:val="24"/>
        </w:rPr>
        <w:t xml:space="preserve"> Based on 2010 data, </w:t>
      </w:r>
      <w:r w:rsidR="00AC1466">
        <w:rPr>
          <w:rFonts w:ascii="Times New Roman" w:hAnsi="Times New Roman"/>
          <w:sz w:val="24"/>
        </w:rPr>
        <w:t>the Federal Reserve</w:t>
      </w:r>
      <w:r w:rsidR="00AC1466" w:rsidRPr="00B73C83">
        <w:rPr>
          <w:rFonts w:ascii="Times New Roman" w:hAnsi="Times New Roman"/>
          <w:sz w:val="24"/>
        </w:rPr>
        <w:t xml:space="preserve"> </w:t>
      </w:r>
      <w:r>
        <w:rPr>
          <w:rFonts w:ascii="Times New Roman" w:hAnsi="Times New Roman"/>
          <w:sz w:val="24"/>
        </w:rPr>
        <w:t>estimates that 106 new institutions</w:t>
      </w:r>
      <w:r>
        <w:rPr>
          <w:rFonts w:ascii="Times New Roman" w:hAnsi="Times New Roman"/>
          <w:color w:val="000000"/>
          <w:sz w:val="24"/>
        </w:rPr>
        <w:t xml:space="preserve"> </w:t>
      </w:r>
      <w:r>
        <w:rPr>
          <w:rFonts w:ascii="Times New Roman" w:hAnsi="Times New Roman"/>
          <w:sz w:val="24"/>
        </w:rPr>
        <w:t xml:space="preserve">would take, on average, </w:t>
      </w:r>
      <w:r>
        <w:rPr>
          <w:rFonts w:ascii="Times New Roman" w:hAnsi="Times New Roman"/>
          <w:color w:val="000000"/>
          <w:sz w:val="24"/>
        </w:rPr>
        <w:t xml:space="preserve">24 hours (3 business days) to implement its response program.  On a continuing basis, burden associated with maintenance of the response program is considered negligible.  </w:t>
      </w:r>
      <w:r>
        <w:rPr>
          <w:rFonts w:ascii="Times New Roman" w:hAnsi="Times New Roman"/>
          <w:sz w:val="24"/>
        </w:rPr>
        <w:t>F</w:t>
      </w:r>
      <w:r w:rsidRPr="00A96B7C">
        <w:rPr>
          <w:rFonts w:ascii="Times New Roman" w:hAnsi="Times New Roman"/>
          <w:sz w:val="24"/>
        </w:rPr>
        <w:t>or each</w:t>
      </w:r>
      <w:r w:rsidRPr="00A96B7C">
        <w:rPr>
          <w:rFonts w:ascii="Times New Roman" w:hAnsi="Times New Roman"/>
          <w:color w:val="000000"/>
          <w:sz w:val="24"/>
        </w:rPr>
        <w:t xml:space="preserve"> qualifying incident </w:t>
      </w:r>
      <w:r>
        <w:rPr>
          <w:rFonts w:ascii="Times New Roman" w:hAnsi="Times New Roman"/>
          <w:color w:val="000000"/>
          <w:sz w:val="24"/>
        </w:rPr>
        <w:t xml:space="preserve">the </w:t>
      </w:r>
      <w:r w:rsidRPr="00A96B7C">
        <w:rPr>
          <w:rFonts w:ascii="Times New Roman" w:hAnsi="Times New Roman"/>
          <w:color w:val="000000"/>
          <w:sz w:val="24"/>
        </w:rPr>
        <w:t xml:space="preserve">ID-Theft </w:t>
      </w:r>
      <w:r>
        <w:rPr>
          <w:rFonts w:ascii="Times New Roman" w:hAnsi="Times New Roman"/>
          <w:color w:val="000000"/>
          <w:sz w:val="24"/>
        </w:rPr>
        <w:t>G</w:t>
      </w:r>
      <w:r w:rsidRPr="00A96B7C">
        <w:rPr>
          <w:rFonts w:ascii="Times New Roman" w:hAnsi="Times New Roman"/>
          <w:color w:val="000000"/>
          <w:sz w:val="24"/>
        </w:rPr>
        <w:t xml:space="preserve">uidance </w:t>
      </w:r>
      <w:r>
        <w:rPr>
          <w:rFonts w:ascii="Times New Roman" w:hAnsi="Times New Roman"/>
          <w:color w:val="000000"/>
          <w:sz w:val="24"/>
        </w:rPr>
        <w:t xml:space="preserve">requires </w:t>
      </w:r>
      <w:r w:rsidRPr="00A96B7C">
        <w:rPr>
          <w:rFonts w:ascii="Times New Roman" w:hAnsi="Times New Roman"/>
          <w:color w:val="000000"/>
          <w:sz w:val="24"/>
        </w:rPr>
        <w:t>financi</w:t>
      </w:r>
      <w:r>
        <w:rPr>
          <w:rFonts w:ascii="Times New Roman" w:hAnsi="Times New Roman"/>
          <w:color w:val="000000"/>
          <w:sz w:val="24"/>
        </w:rPr>
        <w:t>al institutions to prepare</w:t>
      </w:r>
      <w:r w:rsidRPr="00A96B7C">
        <w:rPr>
          <w:rFonts w:ascii="Times New Roman" w:hAnsi="Times New Roman"/>
          <w:color w:val="000000"/>
          <w:sz w:val="24"/>
        </w:rPr>
        <w:t xml:space="preserve"> </w:t>
      </w:r>
      <w:r>
        <w:rPr>
          <w:rFonts w:ascii="Times New Roman" w:hAnsi="Times New Roman"/>
          <w:color w:val="000000"/>
          <w:sz w:val="24"/>
        </w:rPr>
        <w:t xml:space="preserve">and send </w:t>
      </w:r>
      <w:r w:rsidRPr="00A96B7C">
        <w:rPr>
          <w:rFonts w:ascii="Times New Roman" w:hAnsi="Times New Roman"/>
          <w:color w:val="000000"/>
          <w:sz w:val="24"/>
        </w:rPr>
        <w:t xml:space="preserve">notices </w:t>
      </w:r>
      <w:r>
        <w:rPr>
          <w:rFonts w:ascii="Times New Roman" w:hAnsi="Times New Roman"/>
          <w:color w:val="000000"/>
          <w:sz w:val="24"/>
        </w:rPr>
        <w:t xml:space="preserve">to its federal regulator, </w:t>
      </w:r>
      <w:r w:rsidRPr="00A96B7C">
        <w:rPr>
          <w:rFonts w:ascii="Times New Roman" w:hAnsi="Times New Roman"/>
          <w:color w:val="000000"/>
          <w:sz w:val="24"/>
        </w:rPr>
        <w:t>affected customers</w:t>
      </w:r>
      <w:r>
        <w:rPr>
          <w:rFonts w:ascii="Times New Roman" w:hAnsi="Times New Roman"/>
          <w:color w:val="000000"/>
          <w:sz w:val="24"/>
        </w:rPr>
        <w:t xml:space="preserve">, </w:t>
      </w:r>
      <w:r w:rsidRPr="00A96B7C">
        <w:rPr>
          <w:rFonts w:ascii="Times New Roman" w:hAnsi="Times New Roman"/>
          <w:color w:val="000000"/>
          <w:sz w:val="24"/>
        </w:rPr>
        <w:t>and service providers.</w:t>
      </w:r>
      <w:r>
        <w:rPr>
          <w:rFonts w:ascii="Times New Roman" w:hAnsi="Times New Roman"/>
          <w:color w:val="000000"/>
          <w:sz w:val="24"/>
        </w:rPr>
        <w:t xml:space="preserve">  </w:t>
      </w:r>
      <w:r w:rsidRPr="00B73C83">
        <w:rPr>
          <w:rFonts w:ascii="Times New Roman" w:hAnsi="Times New Roman"/>
          <w:sz w:val="24"/>
        </w:rPr>
        <w:t xml:space="preserve">The </w:t>
      </w:r>
      <w:r>
        <w:rPr>
          <w:rFonts w:ascii="Times New Roman" w:hAnsi="Times New Roman"/>
          <w:sz w:val="24"/>
        </w:rPr>
        <w:t xml:space="preserve">Federal Reserve </w:t>
      </w:r>
      <w:r w:rsidRPr="00B73C83">
        <w:rPr>
          <w:rFonts w:ascii="Times New Roman" w:hAnsi="Times New Roman"/>
          <w:sz w:val="24"/>
        </w:rPr>
        <w:t>estimate</w:t>
      </w:r>
      <w:r>
        <w:rPr>
          <w:rFonts w:ascii="Times New Roman" w:hAnsi="Times New Roman"/>
          <w:sz w:val="24"/>
        </w:rPr>
        <w:t>s</w:t>
      </w:r>
      <w:r w:rsidRPr="00B73C83">
        <w:rPr>
          <w:rFonts w:ascii="Times New Roman" w:hAnsi="Times New Roman"/>
          <w:sz w:val="24"/>
        </w:rPr>
        <w:t xml:space="preserve"> </w:t>
      </w:r>
      <w:r>
        <w:rPr>
          <w:rFonts w:ascii="Times New Roman" w:hAnsi="Times New Roman"/>
          <w:sz w:val="24"/>
        </w:rPr>
        <w:t>that 82 financial institutions</w:t>
      </w:r>
      <w:r w:rsidRPr="0093648B">
        <w:rPr>
          <w:rFonts w:ascii="Times New Roman" w:hAnsi="Times New Roman"/>
          <w:sz w:val="24"/>
          <w:vertAlign w:val="superscript"/>
        </w:rPr>
        <w:t xml:space="preserve"> </w:t>
      </w:r>
      <w:r>
        <w:rPr>
          <w:rFonts w:ascii="Times New Roman" w:hAnsi="Times New Roman"/>
          <w:sz w:val="24"/>
        </w:rPr>
        <w:t>would take on average 36</w:t>
      </w:r>
      <w:r w:rsidRPr="00B73C83">
        <w:rPr>
          <w:rFonts w:ascii="Times New Roman" w:hAnsi="Times New Roman"/>
          <w:sz w:val="24"/>
        </w:rPr>
        <w:t xml:space="preserve"> hours (</w:t>
      </w:r>
      <w:r>
        <w:rPr>
          <w:rFonts w:ascii="Times New Roman" w:hAnsi="Times New Roman"/>
          <w:sz w:val="24"/>
        </w:rPr>
        <w:t xml:space="preserve">4.5 </w:t>
      </w:r>
      <w:r w:rsidRPr="00B73C83">
        <w:rPr>
          <w:rFonts w:ascii="Times New Roman" w:hAnsi="Times New Roman"/>
          <w:sz w:val="24"/>
        </w:rPr>
        <w:t xml:space="preserve">business days) </w:t>
      </w:r>
      <w:r>
        <w:rPr>
          <w:rFonts w:ascii="Times New Roman" w:hAnsi="Times New Roman"/>
          <w:sz w:val="24"/>
        </w:rPr>
        <w:t xml:space="preserve">per incident to prepare and send </w:t>
      </w:r>
      <w:r w:rsidRPr="00B73C83">
        <w:rPr>
          <w:rFonts w:ascii="Times New Roman" w:hAnsi="Times New Roman"/>
          <w:sz w:val="24"/>
        </w:rPr>
        <w:t>notif</w:t>
      </w:r>
      <w:r>
        <w:rPr>
          <w:rFonts w:ascii="Times New Roman" w:hAnsi="Times New Roman"/>
          <w:sz w:val="24"/>
        </w:rPr>
        <w:t xml:space="preserve">ications.  </w:t>
      </w:r>
    </w:p>
    <w:p w:rsidR="00875F13" w:rsidRDefault="00875F13" w:rsidP="00875F13">
      <w:pPr>
        <w:ind w:firstLine="720"/>
        <w:rPr>
          <w:rFonts w:ascii="Times New Roman" w:hAnsi="Times New Roman"/>
          <w:sz w:val="24"/>
        </w:rPr>
      </w:pPr>
    </w:p>
    <w:p w:rsidR="00875F13" w:rsidRDefault="00875F13" w:rsidP="00875F13">
      <w:pPr>
        <w:ind w:firstLine="720"/>
        <w:rPr>
          <w:rFonts w:ascii="Times New Roman" w:hAnsi="Times New Roman"/>
          <w:sz w:val="24"/>
        </w:rPr>
      </w:pPr>
      <w:r w:rsidRPr="00923F13">
        <w:rPr>
          <w:rFonts w:ascii="Times New Roman" w:hAnsi="Times New Roman"/>
          <w:sz w:val="24"/>
        </w:rPr>
        <w:t xml:space="preserve">The burden estimate does not include time for financial institutions to adjust their contracts with service providers, if needed; nor for service providers to disclose information pursuant to the ID-Theft </w:t>
      </w:r>
      <w:r>
        <w:rPr>
          <w:rFonts w:ascii="Times New Roman" w:hAnsi="Times New Roman"/>
          <w:sz w:val="24"/>
        </w:rPr>
        <w:t>G</w:t>
      </w:r>
      <w:r w:rsidRPr="00923F13">
        <w:rPr>
          <w:rFonts w:ascii="Times New Roman" w:hAnsi="Times New Roman"/>
          <w:sz w:val="24"/>
        </w:rPr>
        <w:t xml:space="preserve">uidance.  The recordkeeping </w:t>
      </w:r>
      <w:r>
        <w:rPr>
          <w:rFonts w:ascii="Times New Roman" w:hAnsi="Times New Roman"/>
          <w:sz w:val="24"/>
        </w:rPr>
        <w:t>and disclosure requirements</w:t>
      </w:r>
      <w:r w:rsidRPr="00923F13">
        <w:rPr>
          <w:rFonts w:ascii="Times New Roman" w:hAnsi="Times New Roman"/>
          <w:sz w:val="24"/>
        </w:rPr>
        <w:t xml:space="preserve"> represent less than 1 percent of total Federal Reserve System </w:t>
      </w:r>
      <w:r>
        <w:rPr>
          <w:rFonts w:ascii="Times New Roman" w:hAnsi="Times New Roman"/>
          <w:sz w:val="24"/>
        </w:rPr>
        <w:t>paperwork burden</w:t>
      </w:r>
      <w:r w:rsidRPr="00923F13">
        <w:rPr>
          <w:rFonts w:ascii="Times New Roman" w:hAnsi="Times New Roman"/>
          <w:sz w:val="24"/>
        </w:rPr>
        <w:t>.</w:t>
      </w:r>
    </w:p>
    <w:p w:rsidR="00875F13" w:rsidRPr="00923F13" w:rsidRDefault="00875F13" w:rsidP="00875F13">
      <w:pPr>
        <w:ind w:firstLine="720"/>
        <w:rPr>
          <w:rFonts w:ascii="Times New Roman" w:hAnsi="Times New Roman"/>
          <w:sz w:val="24"/>
        </w:rPr>
      </w:pPr>
    </w:p>
    <w:tbl>
      <w:tblPr>
        <w:tblW w:w="8779" w:type="dxa"/>
        <w:jc w:val="center"/>
        <w:tblBorders>
          <w:top w:val="single" w:sz="6" w:space="0" w:color="000000"/>
          <w:bottom w:val="single" w:sz="6" w:space="0" w:color="000000"/>
        </w:tblBorders>
        <w:tblLayout w:type="fixed"/>
        <w:tblCellMar>
          <w:left w:w="139" w:type="dxa"/>
          <w:right w:w="139" w:type="dxa"/>
        </w:tblCellMar>
        <w:tblLook w:val="0000"/>
      </w:tblPr>
      <w:tblGrid>
        <w:gridCol w:w="3040"/>
        <w:gridCol w:w="1502"/>
        <w:gridCol w:w="1412"/>
        <w:gridCol w:w="1412"/>
        <w:gridCol w:w="1413"/>
      </w:tblGrid>
      <w:tr w:rsidR="00875F13" w:rsidRPr="001719C9" w:rsidTr="007A72D5">
        <w:trPr>
          <w:cantSplit/>
          <w:jc w:val="center"/>
        </w:trPr>
        <w:tc>
          <w:tcPr>
            <w:tcW w:w="3040" w:type="dxa"/>
            <w:vAlign w:val="center"/>
          </w:tcPr>
          <w:p w:rsidR="00875F13" w:rsidRPr="000E605B" w:rsidRDefault="00875F13" w:rsidP="007A72D5">
            <w:pPr>
              <w:jc w:val="center"/>
              <w:rPr>
                <w:rFonts w:ascii="Times New Roman" w:hAnsi="Times New Roman"/>
                <w:i/>
                <w:sz w:val="24"/>
              </w:rPr>
            </w:pPr>
            <w:bookmarkStart w:id="0" w:name="OLE_LINK1"/>
            <w:r>
              <w:rPr>
                <w:rFonts w:ascii="Times New Roman" w:hAnsi="Times New Roman"/>
                <w:color w:val="000000"/>
                <w:sz w:val="24"/>
              </w:rPr>
              <w:br w:type="page"/>
            </w:r>
          </w:p>
        </w:tc>
        <w:tc>
          <w:tcPr>
            <w:tcW w:w="1502" w:type="dxa"/>
            <w:vAlign w:val="center"/>
          </w:tcPr>
          <w:p w:rsidR="00875F13" w:rsidRDefault="00875F13" w:rsidP="007A72D5">
            <w:pPr>
              <w:jc w:val="center"/>
              <w:rPr>
                <w:rFonts w:ascii="Times New Roman" w:hAnsi="Times New Roman"/>
                <w:i/>
                <w:iCs/>
                <w:color w:val="000000"/>
                <w:sz w:val="24"/>
              </w:rPr>
            </w:pPr>
            <w:r w:rsidRPr="001719C9">
              <w:rPr>
                <w:rFonts w:ascii="Times New Roman" w:hAnsi="Times New Roman"/>
                <w:i/>
                <w:iCs/>
                <w:color w:val="000000"/>
                <w:sz w:val="24"/>
              </w:rPr>
              <w:t>Number</w:t>
            </w:r>
          </w:p>
          <w:p w:rsidR="00875F13" w:rsidRPr="001719C9" w:rsidRDefault="00875F13" w:rsidP="007A72D5">
            <w:pPr>
              <w:jc w:val="center"/>
              <w:rPr>
                <w:rFonts w:ascii="Times New Roman" w:hAnsi="Times New Roman"/>
                <w:sz w:val="24"/>
              </w:rPr>
            </w:pPr>
            <w:r w:rsidRPr="001719C9">
              <w:rPr>
                <w:rFonts w:ascii="Times New Roman" w:hAnsi="Times New Roman"/>
                <w:i/>
                <w:iCs/>
                <w:color w:val="000000"/>
                <w:sz w:val="24"/>
              </w:rPr>
              <w:t>of respondents</w:t>
            </w:r>
          </w:p>
        </w:tc>
        <w:tc>
          <w:tcPr>
            <w:tcW w:w="1412" w:type="dxa"/>
            <w:vAlign w:val="center"/>
          </w:tcPr>
          <w:p w:rsidR="00875F13" w:rsidRPr="001719C9" w:rsidRDefault="00875F13" w:rsidP="007A72D5">
            <w:pPr>
              <w:jc w:val="center"/>
              <w:rPr>
                <w:rFonts w:ascii="Times New Roman" w:hAnsi="Times New Roman"/>
                <w:sz w:val="24"/>
              </w:rPr>
            </w:pPr>
            <w:r w:rsidRPr="001719C9">
              <w:rPr>
                <w:rFonts w:ascii="Times New Roman" w:hAnsi="Times New Roman"/>
                <w:i/>
                <w:iCs/>
                <w:color w:val="000000"/>
                <w:sz w:val="24"/>
              </w:rPr>
              <w:t>Estimated annual frequency</w:t>
            </w:r>
          </w:p>
        </w:tc>
        <w:tc>
          <w:tcPr>
            <w:tcW w:w="1412" w:type="dxa"/>
            <w:vAlign w:val="center"/>
          </w:tcPr>
          <w:p w:rsidR="00875F13" w:rsidRPr="001719C9" w:rsidRDefault="00875F13" w:rsidP="007A72D5">
            <w:pPr>
              <w:jc w:val="center"/>
              <w:rPr>
                <w:rFonts w:ascii="Times New Roman" w:hAnsi="Times New Roman"/>
                <w:color w:val="000000"/>
                <w:sz w:val="24"/>
              </w:rPr>
            </w:pPr>
            <w:r w:rsidRPr="001719C9">
              <w:rPr>
                <w:rFonts w:ascii="Times New Roman" w:hAnsi="Times New Roman"/>
                <w:i/>
                <w:iCs/>
                <w:color w:val="000000"/>
                <w:sz w:val="24"/>
              </w:rPr>
              <w:t xml:space="preserve">Estimated average </w:t>
            </w:r>
            <w:r>
              <w:rPr>
                <w:rFonts w:ascii="Times New Roman" w:hAnsi="Times New Roman"/>
                <w:i/>
                <w:iCs/>
                <w:color w:val="000000"/>
                <w:sz w:val="24"/>
              </w:rPr>
              <w:t>time</w:t>
            </w:r>
            <w:r w:rsidRPr="001719C9">
              <w:rPr>
                <w:rFonts w:ascii="Times New Roman" w:hAnsi="Times New Roman"/>
                <w:i/>
                <w:iCs/>
                <w:color w:val="000000"/>
                <w:sz w:val="24"/>
              </w:rPr>
              <w:t xml:space="preserve"> per response</w:t>
            </w:r>
          </w:p>
        </w:tc>
        <w:tc>
          <w:tcPr>
            <w:tcW w:w="1413" w:type="dxa"/>
            <w:vAlign w:val="center"/>
          </w:tcPr>
          <w:p w:rsidR="00875F13" w:rsidRPr="001719C9" w:rsidRDefault="00875F13" w:rsidP="007A72D5">
            <w:pPr>
              <w:jc w:val="center"/>
              <w:rPr>
                <w:rFonts w:ascii="Times New Roman" w:hAnsi="Times New Roman"/>
                <w:sz w:val="24"/>
              </w:rPr>
            </w:pPr>
            <w:r w:rsidRPr="001719C9">
              <w:rPr>
                <w:rFonts w:ascii="Times New Roman" w:hAnsi="Times New Roman"/>
                <w:i/>
                <w:iCs/>
                <w:color w:val="000000"/>
                <w:sz w:val="24"/>
              </w:rPr>
              <w:t>Estimated annual burden hours</w:t>
            </w:r>
          </w:p>
        </w:tc>
      </w:tr>
      <w:tr w:rsidR="00875F13" w:rsidRPr="00B73C83" w:rsidTr="007A72D5">
        <w:trPr>
          <w:cantSplit/>
          <w:trHeight w:val="897"/>
          <w:jc w:val="center"/>
        </w:trPr>
        <w:tc>
          <w:tcPr>
            <w:tcW w:w="3040" w:type="dxa"/>
            <w:vAlign w:val="bottom"/>
          </w:tcPr>
          <w:p w:rsidR="00875F13" w:rsidRPr="00490E9B" w:rsidRDefault="00875F13" w:rsidP="007A72D5">
            <w:pPr>
              <w:tabs>
                <w:tab w:val="left" w:pos="-1440"/>
                <w:tab w:val="left" w:pos="-720"/>
                <w:tab w:val="left" w:pos="0"/>
                <w:tab w:val="left" w:pos="240"/>
                <w:tab w:val="left" w:pos="720"/>
                <w:tab w:val="left" w:pos="1440"/>
                <w:tab w:val="left" w:pos="2160"/>
                <w:tab w:val="left" w:pos="2880"/>
              </w:tabs>
              <w:spacing w:before="163" w:after="19"/>
              <w:rPr>
                <w:rFonts w:ascii="Times New Roman" w:hAnsi="Times New Roman"/>
                <w:i/>
                <w:sz w:val="24"/>
              </w:rPr>
            </w:pPr>
            <w:r w:rsidRPr="00490E9B">
              <w:rPr>
                <w:rFonts w:ascii="Times New Roman" w:hAnsi="Times New Roman"/>
                <w:i/>
                <w:sz w:val="24"/>
                <w:u w:val="single"/>
              </w:rPr>
              <w:t>Recordkeeping</w:t>
            </w:r>
            <w:r w:rsidRPr="00490E9B">
              <w:rPr>
                <w:rFonts w:ascii="Times New Roman" w:hAnsi="Times New Roman"/>
                <w:i/>
                <w:sz w:val="24"/>
              </w:rPr>
              <w:t>:</w:t>
            </w:r>
          </w:p>
          <w:p w:rsidR="00875F13" w:rsidRDefault="00875F13" w:rsidP="007A72D5">
            <w:pPr>
              <w:tabs>
                <w:tab w:val="left" w:pos="-1440"/>
                <w:tab w:val="left" w:pos="-720"/>
                <w:tab w:val="left" w:pos="0"/>
                <w:tab w:val="left" w:pos="240"/>
                <w:tab w:val="left" w:pos="720"/>
                <w:tab w:val="left" w:pos="1440"/>
                <w:tab w:val="left" w:pos="2160"/>
                <w:tab w:val="left" w:pos="2880"/>
              </w:tabs>
              <w:spacing w:before="163" w:after="19"/>
              <w:rPr>
                <w:rFonts w:ascii="Times New Roman" w:hAnsi="Times New Roman"/>
                <w:sz w:val="24"/>
              </w:rPr>
            </w:pPr>
            <w:r>
              <w:rPr>
                <w:rFonts w:ascii="Times New Roman" w:hAnsi="Times New Roman"/>
                <w:sz w:val="24"/>
              </w:rPr>
              <w:t>Develop response program</w:t>
            </w:r>
          </w:p>
        </w:tc>
        <w:tc>
          <w:tcPr>
            <w:tcW w:w="1502" w:type="dxa"/>
            <w:vAlign w:val="bottom"/>
          </w:tcPr>
          <w:p w:rsidR="00875F13" w:rsidRDefault="00875F13" w:rsidP="007A72D5">
            <w:pPr>
              <w:tabs>
                <w:tab w:val="left" w:pos="-1440"/>
                <w:tab w:val="left" w:pos="-720"/>
                <w:tab w:val="left" w:pos="0"/>
                <w:tab w:val="left" w:pos="240"/>
                <w:tab w:val="left" w:pos="720"/>
                <w:tab w:val="left" w:pos="1440"/>
              </w:tabs>
              <w:spacing w:before="163" w:after="19"/>
              <w:jc w:val="center"/>
              <w:rPr>
                <w:rFonts w:ascii="Times New Roman" w:hAnsi="Times New Roman"/>
                <w:sz w:val="24"/>
              </w:rPr>
            </w:pPr>
            <w:r>
              <w:rPr>
                <w:rFonts w:ascii="Times New Roman" w:hAnsi="Times New Roman"/>
                <w:sz w:val="24"/>
              </w:rPr>
              <w:t>106</w:t>
            </w:r>
          </w:p>
        </w:tc>
        <w:tc>
          <w:tcPr>
            <w:tcW w:w="1412" w:type="dxa"/>
            <w:vAlign w:val="bottom"/>
          </w:tcPr>
          <w:p w:rsidR="00875F13" w:rsidRDefault="00875F13" w:rsidP="007A72D5">
            <w:pPr>
              <w:tabs>
                <w:tab w:val="left" w:pos="-1440"/>
                <w:tab w:val="left" w:pos="-720"/>
                <w:tab w:val="left" w:pos="0"/>
                <w:tab w:val="left" w:pos="240"/>
                <w:tab w:val="left" w:pos="720"/>
              </w:tabs>
              <w:spacing w:before="163" w:after="19"/>
              <w:jc w:val="center"/>
              <w:rPr>
                <w:rFonts w:ascii="Times New Roman" w:hAnsi="Times New Roman"/>
                <w:sz w:val="24"/>
              </w:rPr>
            </w:pPr>
            <w:r>
              <w:rPr>
                <w:rFonts w:ascii="Times New Roman" w:hAnsi="Times New Roman"/>
                <w:sz w:val="24"/>
              </w:rPr>
              <w:t>1</w:t>
            </w:r>
          </w:p>
        </w:tc>
        <w:tc>
          <w:tcPr>
            <w:tcW w:w="1412" w:type="dxa"/>
            <w:vAlign w:val="bottom"/>
          </w:tcPr>
          <w:p w:rsidR="00875F13" w:rsidRDefault="00875F13" w:rsidP="007A72D5">
            <w:pPr>
              <w:tabs>
                <w:tab w:val="left" w:pos="-1440"/>
                <w:tab w:val="left" w:pos="-720"/>
                <w:tab w:val="left" w:pos="0"/>
                <w:tab w:val="left" w:pos="240"/>
                <w:tab w:val="left" w:pos="720"/>
              </w:tabs>
              <w:spacing w:before="163" w:after="19"/>
              <w:jc w:val="center"/>
              <w:rPr>
                <w:rFonts w:ascii="Times New Roman" w:hAnsi="Times New Roman"/>
                <w:sz w:val="24"/>
              </w:rPr>
            </w:pPr>
            <w:r>
              <w:rPr>
                <w:rFonts w:ascii="Times New Roman" w:hAnsi="Times New Roman"/>
                <w:sz w:val="24"/>
              </w:rPr>
              <w:t>24 hours</w:t>
            </w:r>
          </w:p>
        </w:tc>
        <w:tc>
          <w:tcPr>
            <w:tcW w:w="1413" w:type="dxa"/>
            <w:vAlign w:val="bottom"/>
          </w:tcPr>
          <w:p w:rsidR="00875F13" w:rsidRDefault="00875F13" w:rsidP="007A72D5">
            <w:pPr>
              <w:tabs>
                <w:tab w:val="left" w:pos="-1440"/>
                <w:tab w:val="left" w:pos="-720"/>
                <w:tab w:val="left" w:pos="0"/>
                <w:tab w:val="left" w:pos="240"/>
                <w:tab w:val="left" w:pos="720"/>
                <w:tab w:val="left" w:pos="1440"/>
              </w:tabs>
              <w:spacing w:before="163" w:after="19"/>
              <w:jc w:val="center"/>
              <w:rPr>
                <w:rFonts w:ascii="Times New Roman" w:hAnsi="Times New Roman"/>
                <w:sz w:val="24"/>
              </w:rPr>
            </w:pPr>
            <w:r>
              <w:rPr>
                <w:rFonts w:ascii="Times New Roman" w:hAnsi="Times New Roman"/>
                <w:sz w:val="24"/>
              </w:rPr>
              <w:t>2,544</w:t>
            </w:r>
          </w:p>
        </w:tc>
      </w:tr>
      <w:tr w:rsidR="00875F13" w:rsidRPr="00B73C83" w:rsidTr="007A72D5">
        <w:trPr>
          <w:cantSplit/>
          <w:trHeight w:val="897"/>
          <w:jc w:val="center"/>
        </w:trPr>
        <w:tc>
          <w:tcPr>
            <w:tcW w:w="3040" w:type="dxa"/>
            <w:vAlign w:val="bottom"/>
          </w:tcPr>
          <w:p w:rsidR="00875F13" w:rsidRPr="00490E9B" w:rsidRDefault="00875F13" w:rsidP="007A72D5">
            <w:pPr>
              <w:tabs>
                <w:tab w:val="left" w:pos="-1440"/>
                <w:tab w:val="left" w:pos="-720"/>
                <w:tab w:val="left" w:pos="0"/>
                <w:tab w:val="left" w:pos="240"/>
                <w:tab w:val="left" w:pos="720"/>
                <w:tab w:val="left" w:pos="1440"/>
                <w:tab w:val="left" w:pos="2160"/>
                <w:tab w:val="left" w:pos="2880"/>
              </w:tabs>
              <w:spacing w:before="163" w:after="19"/>
              <w:rPr>
                <w:rFonts w:ascii="Times New Roman" w:hAnsi="Times New Roman"/>
                <w:i/>
                <w:sz w:val="24"/>
              </w:rPr>
            </w:pPr>
            <w:r w:rsidRPr="00490E9B">
              <w:rPr>
                <w:rFonts w:ascii="Times New Roman" w:hAnsi="Times New Roman"/>
                <w:i/>
                <w:sz w:val="24"/>
                <w:u w:val="single"/>
              </w:rPr>
              <w:t>Disclosure</w:t>
            </w:r>
            <w:r w:rsidRPr="00490E9B">
              <w:rPr>
                <w:rFonts w:ascii="Times New Roman" w:hAnsi="Times New Roman"/>
                <w:i/>
                <w:sz w:val="24"/>
              </w:rPr>
              <w:t>:</w:t>
            </w:r>
          </w:p>
          <w:p w:rsidR="00875F13" w:rsidRPr="00B73C83" w:rsidRDefault="00875F13" w:rsidP="007A72D5">
            <w:pPr>
              <w:tabs>
                <w:tab w:val="left" w:pos="-1440"/>
                <w:tab w:val="left" w:pos="-720"/>
                <w:tab w:val="left" w:pos="0"/>
                <w:tab w:val="left" w:pos="240"/>
                <w:tab w:val="left" w:pos="720"/>
                <w:tab w:val="left" w:pos="1440"/>
                <w:tab w:val="left" w:pos="2160"/>
                <w:tab w:val="left" w:pos="2880"/>
              </w:tabs>
              <w:spacing w:before="163" w:after="19"/>
              <w:rPr>
                <w:rFonts w:ascii="Times New Roman" w:hAnsi="Times New Roman"/>
                <w:sz w:val="24"/>
              </w:rPr>
            </w:pPr>
            <w:r>
              <w:rPr>
                <w:rFonts w:ascii="Times New Roman" w:hAnsi="Times New Roman"/>
                <w:sz w:val="24"/>
              </w:rPr>
              <w:t>Incident notification</w:t>
            </w:r>
          </w:p>
        </w:tc>
        <w:tc>
          <w:tcPr>
            <w:tcW w:w="1502" w:type="dxa"/>
            <w:vAlign w:val="bottom"/>
          </w:tcPr>
          <w:p w:rsidR="00875F13" w:rsidRDefault="00875F13" w:rsidP="007A72D5">
            <w:pPr>
              <w:tabs>
                <w:tab w:val="left" w:pos="-1440"/>
                <w:tab w:val="left" w:pos="-720"/>
                <w:tab w:val="left" w:pos="0"/>
                <w:tab w:val="left" w:pos="240"/>
                <w:tab w:val="left" w:pos="720"/>
                <w:tab w:val="left" w:pos="1440"/>
              </w:tabs>
              <w:spacing w:before="163" w:after="19"/>
              <w:jc w:val="center"/>
              <w:rPr>
                <w:rFonts w:ascii="Times New Roman" w:hAnsi="Times New Roman"/>
                <w:sz w:val="24"/>
              </w:rPr>
            </w:pPr>
            <w:r>
              <w:rPr>
                <w:rFonts w:ascii="Times New Roman" w:hAnsi="Times New Roman"/>
                <w:sz w:val="24"/>
              </w:rPr>
              <w:t>82</w:t>
            </w:r>
          </w:p>
        </w:tc>
        <w:tc>
          <w:tcPr>
            <w:tcW w:w="1412" w:type="dxa"/>
            <w:vAlign w:val="bottom"/>
          </w:tcPr>
          <w:p w:rsidR="00875F13" w:rsidRDefault="00875F13" w:rsidP="007A72D5">
            <w:pPr>
              <w:tabs>
                <w:tab w:val="left" w:pos="-1440"/>
                <w:tab w:val="left" w:pos="-720"/>
                <w:tab w:val="left" w:pos="0"/>
                <w:tab w:val="left" w:pos="240"/>
                <w:tab w:val="left" w:pos="720"/>
              </w:tabs>
              <w:spacing w:before="163" w:after="19"/>
              <w:jc w:val="center"/>
              <w:rPr>
                <w:rFonts w:ascii="Times New Roman" w:hAnsi="Times New Roman"/>
                <w:sz w:val="24"/>
              </w:rPr>
            </w:pPr>
            <w:r>
              <w:rPr>
                <w:rFonts w:ascii="Times New Roman" w:hAnsi="Times New Roman"/>
                <w:sz w:val="24"/>
              </w:rPr>
              <w:t>1</w:t>
            </w:r>
          </w:p>
        </w:tc>
        <w:tc>
          <w:tcPr>
            <w:tcW w:w="1412" w:type="dxa"/>
            <w:vAlign w:val="bottom"/>
          </w:tcPr>
          <w:p w:rsidR="00875F13" w:rsidRDefault="00875F13" w:rsidP="007A72D5">
            <w:pPr>
              <w:tabs>
                <w:tab w:val="left" w:pos="-1440"/>
                <w:tab w:val="left" w:pos="-720"/>
                <w:tab w:val="left" w:pos="0"/>
                <w:tab w:val="left" w:pos="240"/>
                <w:tab w:val="left" w:pos="720"/>
              </w:tabs>
              <w:spacing w:before="163" w:after="19"/>
              <w:jc w:val="center"/>
              <w:rPr>
                <w:rFonts w:ascii="Times New Roman" w:hAnsi="Times New Roman"/>
                <w:sz w:val="24"/>
              </w:rPr>
            </w:pPr>
            <w:r>
              <w:rPr>
                <w:rFonts w:ascii="Times New Roman" w:hAnsi="Times New Roman"/>
                <w:sz w:val="24"/>
              </w:rPr>
              <w:t>36 hours</w:t>
            </w:r>
          </w:p>
        </w:tc>
        <w:tc>
          <w:tcPr>
            <w:tcW w:w="1413" w:type="dxa"/>
            <w:vAlign w:val="bottom"/>
          </w:tcPr>
          <w:p w:rsidR="00875F13" w:rsidRPr="00272033" w:rsidRDefault="00875F13" w:rsidP="007A72D5">
            <w:pPr>
              <w:tabs>
                <w:tab w:val="left" w:pos="-1440"/>
                <w:tab w:val="left" w:pos="-720"/>
                <w:tab w:val="left" w:pos="0"/>
                <w:tab w:val="left" w:pos="240"/>
                <w:tab w:val="left" w:pos="720"/>
                <w:tab w:val="left" w:pos="1440"/>
              </w:tabs>
              <w:spacing w:before="163" w:after="19"/>
              <w:jc w:val="center"/>
              <w:rPr>
                <w:rFonts w:ascii="Times New Roman" w:hAnsi="Times New Roman"/>
                <w:sz w:val="24"/>
                <w:u w:val="single"/>
              </w:rPr>
            </w:pPr>
            <w:r>
              <w:rPr>
                <w:rFonts w:ascii="Times New Roman" w:hAnsi="Times New Roman"/>
                <w:sz w:val="24"/>
                <w:u w:val="single"/>
              </w:rPr>
              <w:t>2,952</w:t>
            </w:r>
          </w:p>
        </w:tc>
      </w:tr>
      <w:tr w:rsidR="00875F13" w:rsidRPr="00B73C83" w:rsidTr="007A72D5">
        <w:trPr>
          <w:cantSplit/>
          <w:trHeight w:val="543"/>
          <w:jc w:val="center"/>
        </w:trPr>
        <w:tc>
          <w:tcPr>
            <w:tcW w:w="3040" w:type="dxa"/>
            <w:vAlign w:val="bottom"/>
          </w:tcPr>
          <w:p w:rsidR="00875F13" w:rsidRPr="00B73C83" w:rsidRDefault="00875F13" w:rsidP="007A72D5">
            <w:pPr>
              <w:tabs>
                <w:tab w:val="left" w:pos="-1440"/>
                <w:tab w:val="left" w:pos="-720"/>
                <w:tab w:val="left" w:pos="0"/>
                <w:tab w:val="left" w:pos="240"/>
                <w:tab w:val="left" w:pos="720"/>
                <w:tab w:val="left" w:pos="1440"/>
                <w:tab w:val="left" w:pos="2160"/>
                <w:tab w:val="left" w:pos="2880"/>
              </w:tabs>
              <w:spacing w:before="163" w:after="19"/>
              <w:jc w:val="right"/>
              <w:rPr>
                <w:rFonts w:ascii="Times New Roman" w:hAnsi="Times New Roman"/>
                <w:sz w:val="24"/>
              </w:rPr>
            </w:pPr>
            <w:r w:rsidRPr="00B73C83">
              <w:rPr>
                <w:rFonts w:ascii="Times New Roman" w:hAnsi="Times New Roman"/>
                <w:i/>
                <w:iCs/>
                <w:color w:val="000000"/>
                <w:sz w:val="24"/>
              </w:rPr>
              <w:t>Total</w:t>
            </w:r>
          </w:p>
        </w:tc>
        <w:tc>
          <w:tcPr>
            <w:tcW w:w="1502" w:type="dxa"/>
            <w:vAlign w:val="bottom"/>
          </w:tcPr>
          <w:p w:rsidR="00875F13" w:rsidRPr="00B73C83" w:rsidRDefault="00875F13" w:rsidP="007A72D5">
            <w:pPr>
              <w:tabs>
                <w:tab w:val="left" w:pos="-1440"/>
                <w:tab w:val="left" w:pos="-720"/>
                <w:tab w:val="left" w:pos="0"/>
                <w:tab w:val="left" w:pos="240"/>
                <w:tab w:val="left" w:pos="720"/>
                <w:tab w:val="left" w:pos="1440"/>
              </w:tabs>
              <w:spacing w:before="163" w:after="19"/>
              <w:jc w:val="center"/>
              <w:rPr>
                <w:rFonts w:ascii="Times New Roman" w:hAnsi="Times New Roman"/>
                <w:sz w:val="24"/>
              </w:rPr>
            </w:pPr>
          </w:p>
        </w:tc>
        <w:tc>
          <w:tcPr>
            <w:tcW w:w="1412" w:type="dxa"/>
            <w:vAlign w:val="bottom"/>
          </w:tcPr>
          <w:p w:rsidR="00875F13" w:rsidRPr="00B73C83" w:rsidRDefault="00875F13" w:rsidP="007A72D5">
            <w:pPr>
              <w:tabs>
                <w:tab w:val="left" w:pos="-1440"/>
                <w:tab w:val="left" w:pos="-720"/>
                <w:tab w:val="left" w:pos="0"/>
                <w:tab w:val="left" w:pos="240"/>
                <w:tab w:val="left" w:pos="720"/>
              </w:tabs>
              <w:spacing w:before="163" w:after="19"/>
              <w:jc w:val="center"/>
              <w:rPr>
                <w:rFonts w:ascii="Times New Roman" w:hAnsi="Times New Roman"/>
                <w:sz w:val="24"/>
              </w:rPr>
            </w:pPr>
          </w:p>
        </w:tc>
        <w:tc>
          <w:tcPr>
            <w:tcW w:w="1412" w:type="dxa"/>
            <w:vAlign w:val="bottom"/>
          </w:tcPr>
          <w:p w:rsidR="00875F13" w:rsidRPr="00B73C83" w:rsidRDefault="00875F13" w:rsidP="007A72D5">
            <w:pPr>
              <w:tabs>
                <w:tab w:val="left" w:pos="-1440"/>
                <w:tab w:val="left" w:pos="-720"/>
                <w:tab w:val="left" w:pos="0"/>
                <w:tab w:val="left" w:pos="240"/>
                <w:tab w:val="left" w:pos="720"/>
              </w:tabs>
              <w:spacing w:before="163" w:after="19"/>
              <w:jc w:val="center"/>
              <w:rPr>
                <w:rFonts w:ascii="Times New Roman" w:hAnsi="Times New Roman"/>
                <w:sz w:val="24"/>
              </w:rPr>
            </w:pPr>
          </w:p>
        </w:tc>
        <w:tc>
          <w:tcPr>
            <w:tcW w:w="1413" w:type="dxa"/>
            <w:vAlign w:val="bottom"/>
          </w:tcPr>
          <w:p w:rsidR="00875F13" w:rsidRPr="00B73C83" w:rsidRDefault="00875F13" w:rsidP="007A72D5">
            <w:pPr>
              <w:tabs>
                <w:tab w:val="left" w:pos="-1440"/>
                <w:tab w:val="left" w:pos="-720"/>
                <w:tab w:val="left" w:pos="0"/>
                <w:tab w:val="left" w:pos="240"/>
                <w:tab w:val="left" w:pos="720"/>
                <w:tab w:val="left" w:pos="1440"/>
              </w:tabs>
              <w:spacing w:before="163" w:after="19"/>
              <w:jc w:val="center"/>
              <w:rPr>
                <w:rFonts w:ascii="Times New Roman" w:hAnsi="Times New Roman"/>
                <w:sz w:val="24"/>
              </w:rPr>
            </w:pPr>
            <w:r>
              <w:rPr>
                <w:rFonts w:ascii="Times New Roman" w:hAnsi="Times New Roman"/>
                <w:sz w:val="24"/>
              </w:rPr>
              <w:t>5,496</w:t>
            </w:r>
          </w:p>
        </w:tc>
      </w:tr>
    </w:tbl>
    <w:p w:rsidR="00875F13" w:rsidRDefault="00875F13" w:rsidP="00875F1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875F13" w:rsidRPr="00B73C83" w:rsidRDefault="00875F13" w:rsidP="00875F1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FF0000"/>
          <w:sz w:val="24"/>
          <w:vertAlign w:val="superscript"/>
        </w:rPr>
      </w:pPr>
      <w:r w:rsidRPr="00B73C83">
        <w:rPr>
          <w:rFonts w:ascii="Times New Roman" w:hAnsi="Times New Roman"/>
          <w:sz w:val="24"/>
        </w:rPr>
        <w:t>The total cost to the public is estimated to be $</w:t>
      </w:r>
      <w:r>
        <w:rPr>
          <w:rFonts w:ascii="Times New Roman" w:hAnsi="Times New Roman"/>
          <w:sz w:val="24"/>
        </w:rPr>
        <w:t>234,404.</w:t>
      </w:r>
      <w:r w:rsidRPr="00A43129">
        <w:rPr>
          <w:rStyle w:val="FootnoteReference"/>
          <w:rFonts w:ascii="Times New Roman" w:hAnsi="Times New Roman"/>
          <w:sz w:val="24"/>
          <w:vertAlign w:val="superscript"/>
        </w:rPr>
        <w:footnoteReference w:id="5"/>
      </w:r>
    </w:p>
    <w:p w:rsidR="00875F13" w:rsidRPr="00B73C83" w:rsidRDefault="00875F13" w:rsidP="00875F1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olor w:val="000000"/>
          <w:sz w:val="24"/>
        </w:rPr>
      </w:pPr>
    </w:p>
    <w:bookmarkEnd w:id="0"/>
    <w:p w:rsidR="00875F13" w:rsidRPr="00B73C83" w:rsidRDefault="00875F13" w:rsidP="00875F1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B73C83">
        <w:rPr>
          <w:rFonts w:ascii="Times New Roman" w:hAnsi="Times New Roman"/>
          <w:b/>
          <w:bCs/>
          <w:color w:val="000000"/>
          <w:sz w:val="24"/>
        </w:rPr>
        <w:t>Estimate of Cost to the Federal Reserve System</w:t>
      </w:r>
    </w:p>
    <w:p w:rsidR="00875F13" w:rsidRPr="00B73C83" w:rsidRDefault="00875F13" w:rsidP="00875F1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rsidR="00875F13" w:rsidRPr="00B73C83" w:rsidRDefault="00875F13" w:rsidP="00875F13">
      <w:pPr>
        <w:rPr>
          <w:rFonts w:ascii="Times New Roman" w:hAnsi="Times New Roman"/>
          <w:sz w:val="24"/>
        </w:rPr>
      </w:pPr>
      <w:r w:rsidRPr="00B73C83">
        <w:rPr>
          <w:rFonts w:ascii="Times New Roman" w:hAnsi="Times New Roman"/>
          <w:sz w:val="24"/>
        </w:rPr>
        <w:tab/>
      </w:r>
      <w:r>
        <w:rPr>
          <w:rFonts w:ascii="Times New Roman" w:hAnsi="Times New Roman"/>
          <w:sz w:val="24"/>
        </w:rPr>
        <w:t>The annual cost to the Federal Reserve System for processing this information collection is negligible.</w:t>
      </w:r>
    </w:p>
    <w:p w:rsidR="00EE7CDB" w:rsidRPr="00B73C83" w:rsidRDefault="00EE7CDB" w:rsidP="00875F13">
      <w:pPr>
        <w:ind w:firstLine="720"/>
        <w:rPr>
          <w:rFonts w:ascii="Times New Roman" w:hAnsi="Times New Roman"/>
          <w:sz w:val="24"/>
        </w:rPr>
      </w:pPr>
    </w:p>
    <w:sectPr w:rsidR="00EE7CDB" w:rsidRPr="00B73C83" w:rsidSect="00AE091F">
      <w:headerReference w:type="default" r:id="rId7"/>
      <w:footerReference w:type="even" r:id="rId8"/>
      <w:footerReference w:type="default" r:id="rId9"/>
      <w:headerReference w:type="first" r:id="rId10"/>
      <w:endnotePr>
        <w:numFmt w:val="decimal"/>
      </w:endnotePr>
      <w:pgSz w:w="12240" w:h="15840"/>
      <w:pgMar w:top="1440" w:right="1440" w:bottom="864"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86B" w:rsidRDefault="00C9386B">
      <w:r>
        <w:separator/>
      </w:r>
    </w:p>
  </w:endnote>
  <w:endnote w:type="continuationSeparator" w:id="0">
    <w:p w:rsidR="00C9386B" w:rsidRDefault="00C938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EFE" w:rsidRDefault="00A25D90">
    <w:pPr>
      <w:pStyle w:val="Footer"/>
      <w:framePr w:wrap="around" w:vAnchor="text" w:hAnchor="margin" w:xAlign="center" w:y="1"/>
      <w:rPr>
        <w:rStyle w:val="PageNumber"/>
      </w:rPr>
    </w:pPr>
    <w:r>
      <w:rPr>
        <w:rStyle w:val="PageNumber"/>
      </w:rPr>
      <w:fldChar w:fldCharType="begin"/>
    </w:r>
    <w:r w:rsidR="00E37EFE">
      <w:rPr>
        <w:rStyle w:val="PageNumber"/>
      </w:rPr>
      <w:instrText xml:space="preserve">PAGE  </w:instrText>
    </w:r>
    <w:r>
      <w:rPr>
        <w:rStyle w:val="PageNumber"/>
      </w:rPr>
      <w:fldChar w:fldCharType="end"/>
    </w:r>
  </w:p>
  <w:p w:rsidR="00E37EFE" w:rsidRDefault="00E37E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EFE" w:rsidRDefault="00A25D90">
    <w:pPr>
      <w:pStyle w:val="Footer"/>
      <w:framePr w:wrap="around" w:vAnchor="text" w:hAnchor="margin" w:xAlign="center" w:y="1"/>
      <w:rPr>
        <w:rStyle w:val="PageNumber"/>
      </w:rPr>
    </w:pPr>
    <w:r>
      <w:rPr>
        <w:rStyle w:val="PageNumber"/>
      </w:rPr>
      <w:fldChar w:fldCharType="begin"/>
    </w:r>
    <w:r w:rsidR="00E37EFE">
      <w:rPr>
        <w:rStyle w:val="PageNumber"/>
      </w:rPr>
      <w:instrText xml:space="preserve">PAGE  </w:instrText>
    </w:r>
    <w:r>
      <w:rPr>
        <w:rStyle w:val="PageNumber"/>
      </w:rPr>
      <w:fldChar w:fldCharType="separate"/>
    </w:r>
    <w:r w:rsidR="001277F8">
      <w:rPr>
        <w:rStyle w:val="PageNumber"/>
        <w:noProof/>
      </w:rPr>
      <w:t>4</w:t>
    </w:r>
    <w:r>
      <w:rPr>
        <w:rStyle w:val="PageNumber"/>
      </w:rPr>
      <w:fldChar w:fldCharType="end"/>
    </w:r>
  </w:p>
  <w:p w:rsidR="00E37EFE" w:rsidRDefault="00E37E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86B" w:rsidRDefault="00C9386B">
      <w:r>
        <w:separator/>
      </w:r>
    </w:p>
  </w:footnote>
  <w:footnote w:type="continuationSeparator" w:id="0">
    <w:p w:rsidR="00C9386B" w:rsidRDefault="00C9386B">
      <w:r>
        <w:continuationSeparator/>
      </w:r>
    </w:p>
  </w:footnote>
  <w:footnote w:id="1">
    <w:p w:rsidR="002E542C" w:rsidRDefault="002E542C" w:rsidP="002E542C">
      <w:pPr>
        <w:pStyle w:val="FootnoteText"/>
      </w:pPr>
      <w:r w:rsidRPr="00DC0917">
        <w:rPr>
          <w:rStyle w:val="FootnoteReference"/>
          <w:vertAlign w:val="superscript"/>
        </w:rPr>
        <w:footnoteRef/>
      </w:r>
      <w:r>
        <w:t xml:space="preserve"> </w:t>
      </w:r>
      <w:r w:rsidRPr="00CD354E">
        <w:rPr>
          <w:rFonts w:ascii="Times New Roman" w:hAnsi="Times New Roman"/>
          <w:color w:val="000000"/>
        </w:rPr>
        <w:t>(70 FR 15736)</w:t>
      </w:r>
    </w:p>
  </w:footnote>
  <w:footnote w:id="2">
    <w:p w:rsidR="00875F13" w:rsidRPr="00A43129" w:rsidRDefault="00875F13" w:rsidP="00875F13">
      <w:pPr>
        <w:pStyle w:val="FootnoteText"/>
        <w:rPr>
          <w:rFonts w:ascii="Times New Roman" w:hAnsi="Times New Roman"/>
        </w:rPr>
      </w:pPr>
      <w:r w:rsidRPr="00A43129">
        <w:rPr>
          <w:rStyle w:val="FootnoteReference"/>
          <w:rFonts w:ascii="Times New Roman" w:hAnsi="Times New Roman"/>
          <w:vertAlign w:val="superscript"/>
        </w:rPr>
        <w:footnoteRef/>
      </w:r>
      <w:r w:rsidRPr="00A43129">
        <w:rPr>
          <w:rFonts w:ascii="Times New Roman" w:hAnsi="Times New Roman"/>
        </w:rPr>
        <w:t xml:space="preserve"> </w:t>
      </w:r>
      <w:r w:rsidRPr="00A43129">
        <w:rPr>
          <w:rFonts w:ascii="Times New Roman" w:hAnsi="Times New Roman"/>
          <w:color w:val="000000"/>
        </w:rPr>
        <w:t xml:space="preserve">GLBA defines </w:t>
      </w:r>
      <w:r w:rsidRPr="00A43129">
        <w:rPr>
          <w:rFonts w:ascii="Times New Roman" w:hAnsi="Times New Roman"/>
        </w:rPr>
        <w:t>Federal Reserve-regulated institutions as: State member banks (SMBs), bank holding companies (BHCs), affiliates and certain non-bank subsidiaries of bank holding companies, uninsured state agencies and branches of foreign banks, commercial lending companies owned or controlled by foreign banks, and Edge and agreement corporations.  Based on the Board of Governors of the Federal Reserve System 96</w:t>
      </w:r>
      <w:r w:rsidRPr="00A43129">
        <w:rPr>
          <w:rFonts w:ascii="Times New Roman" w:hAnsi="Times New Roman"/>
          <w:vertAlign w:val="superscript"/>
        </w:rPr>
        <w:t>th</w:t>
      </w:r>
      <w:r w:rsidRPr="00A43129">
        <w:rPr>
          <w:rFonts w:ascii="Times New Roman" w:hAnsi="Times New Roman"/>
        </w:rPr>
        <w:t xml:space="preserve"> Annual Report 2009there are:  5,634.U.S. BHCs, 878 </w:t>
      </w:r>
      <w:r w:rsidRPr="00A43129">
        <w:rPr>
          <w:rFonts w:ascii="Times New Roman" w:hAnsi="Times New Roman"/>
          <w:iCs/>
        </w:rPr>
        <w:t xml:space="preserve">State member banks, 225 Branches &amp; agencies of foreign banks, 2 </w:t>
      </w:r>
      <w:r w:rsidRPr="00A43129">
        <w:rPr>
          <w:rFonts w:ascii="Times New Roman" w:hAnsi="Times New Roman"/>
        </w:rPr>
        <w:t>Commercial lending companies, and 67 Edge and agreement corporations.</w:t>
      </w:r>
    </w:p>
  </w:footnote>
  <w:footnote w:id="3">
    <w:p w:rsidR="00875F13" w:rsidRPr="00987070" w:rsidRDefault="00875F13" w:rsidP="00875F13">
      <w:pPr>
        <w:pStyle w:val="FootnoteText"/>
        <w:rPr>
          <w:rFonts w:ascii="Times New Roman" w:hAnsi="Times New Roman"/>
        </w:rPr>
      </w:pPr>
      <w:r w:rsidRPr="00987070">
        <w:rPr>
          <w:rStyle w:val="FootnoteReference"/>
          <w:rFonts w:ascii="Times New Roman" w:hAnsi="Times New Roman"/>
          <w:vertAlign w:val="superscript"/>
        </w:rPr>
        <w:footnoteRef/>
      </w:r>
      <w:r w:rsidRPr="00987070">
        <w:rPr>
          <w:rFonts w:ascii="Times New Roman" w:hAnsi="Times New Roman"/>
        </w:rPr>
        <w:t xml:space="preserve">  The agencies may treat an institution’s failure to implement the requirements in the ID-Theft guidance as a violation of the § 501(b) guidelines or as an unsafe or unsound practice within the meaning of 12 U.S.C. 1786 or 1818.  </w:t>
      </w:r>
    </w:p>
    <w:p w:rsidR="00875F13" w:rsidRDefault="00875F13" w:rsidP="00875F13">
      <w:pPr>
        <w:pStyle w:val="FootnoteText"/>
      </w:pPr>
    </w:p>
  </w:footnote>
  <w:footnote w:id="4">
    <w:p w:rsidR="00875F13" w:rsidRPr="00C135FF" w:rsidRDefault="00875F13" w:rsidP="00875F13">
      <w:pPr>
        <w:pStyle w:val="HTMLPreformatted"/>
        <w:rPr>
          <w:rFonts w:ascii="Times New Roman" w:hAnsi="Times New Roman" w:cs="Times New Roman"/>
          <w:sz w:val="18"/>
          <w:szCs w:val="18"/>
        </w:rPr>
      </w:pPr>
      <w:r w:rsidRPr="00C135FF">
        <w:rPr>
          <w:rStyle w:val="FootnoteReference"/>
          <w:rFonts w:ascii="Times New Roman" w:hAnsi="Times New Roman" w:cs="Times New Roman"/>
          <w:sz w:val="18"/>
          <w:szCs w:val="18"/>
          <w:vertAlign w:val="superscript"/>
        </w:rPr>
        <w:footnoteRef/>
      </w:r>
      <w:r w:rsidRPr="00C135FF">
        <w:rPr>
          <w:rFonts w:ascii="Times New Roman" w:hAnsi="Times New Roman" w:cs="Times New Roman"/>
          <w:sz w:val="18"/>
          <w:szCs w:val="18"/>
        </w:rPr>
        <w:t xml:space="preserve">  Currently, the FTC Web site for the ID Theft brochure and the FTC Hotline phone number are </w:t>
      </w:r>
      <w:hyperlink r:id="rId1" w:history="1">
        <w:r w:rsidRPr="00C135FF">
          <w:rPr>
            <w:rStyle w:val="Hyperlink"/>
            <w:rFonts w:ascii="Times New Roman" w:hAnsi="Times New Roman"/>
            <w:sz w:val="18"/>
            <w:szCs w:val="18"/>
          </w:rPr>
          <w:t>http://www.ftc.gov/bcp/edu/microsites/idtheft/</w:t>
        </w:r>
      </w:hyperlink>
      <w:r w:rsidRPr="00C135FF">
        <w:rPr>
          <w:rFonts w:ascii="Times New Roman" w:hAnsi="Times New Roman" w:cs="Times New Roman"/>
          <w:sz w:val="18"/>
          <w:szCs w:val="18"/>
        </w:rPr>
        <w:t xml:space="preserve"> and 1-877-IDTHEFT, respectively. The institution may also refer customers to any materials developed pursuant to section 151(b) of the FACT Act (educational materials developed by the FTC to teach the public how to prevent identity theft).</w:t>
      </w:r>
    </w:p>
  </w:footnote>
  <w:footnote w:id="5">
    <w:p w:rsidR="00875F13" w:rsidRDefault="00875F13" w:rsidP="00875F13">
      <w:pPr>
        <w:pStyle w:val="FootnoteText"/>
      </w:pPr>
      <w:r w:rsidRPr="00A43129">
        <w:rPr>
          <w:rStyle w:val="FootnoteReference"/>
          <w:vertAlign w:val="superscript"/>
        </w:rPr>
        <w:footnoteRef/>
      </w:r>
      <w:r w:rsidRPr="00A43129">
        <w:rPr>
          <w:vertAlign w:val="superscript"/>
        </w:rPr>
        <w:t xml:space="preserve"> </w:t>
      </w:r>
      <w:r w:rsidRPr="00A43129">
        <w:t>Total cost to the public was estimated using the following formula: percent of staff time, multiplied by annual burden hours, multiplied by hourly rate (30% Office &amp; Administrative Support @ $16, 45% Financial Managers @ $49, 15% Legal Counsel @ $54, and 10% Chief Executives @ $77).  Hourly rate for each occupational group are the median hourly wages (rounded up) from the Bureau of Labor and Statistics (BLS), Occupational Employment and Wages 2009, www.bls.gov/news.release/ocwage.nr0.htm  Occupations are defined using the BLS Occupational Classification System,  www.bls.gov/soc/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EFE" w:rsidRPr="000D12EF" w:rsidRDefault="00E37EFE" w:rsidP="000D12EF">
    <w:pPr>
      <w:pStyle w:val="Header"/>
      <w:rPr>
        <w:rFonts w:ascii="Times" w:hAnsi="Times"/>
        <w:sz w:val="24"/>
      </w:rPr>
    </w:pPr>
    <w:r>
      <w:rPr>
        <w:rFonts w:ascii="Times" w:hAnsi="Times"/>
        <w:sz w:val="24"/>
      </w:rPr>
      <w:tab/>
    </w:r>
    <w:r>
      <w:rPr>
        <w:rFonts w:ascii="Times" w:hAnsi="Times"/>
        <w:sz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EFE" w:rsidRPr="00B00041" w:rsidRDefault="00E37EFE" w:rsidP="00C15960">
    <w:pPr>
      <w:pStyle w:val="Header"/>
      <w:jc w:val="both"/>
      <w:rPr>
        <w:rFonts w:ascii="Times" w:hAnsi="Times"/>
        <w:sz w:val="24"/>
      </w:rPr>
    </w:pPr>
    <w:r>
      <w:rPr>
        <w:rFonts w:ascii="Times" w:hAnsi="Times"/>
        <w:sz w:val="24"/>
      </w:rPr>
      <w:tab/>
    </w:r>
    <w:r>
      <w:rPr>
        <w:rFonts w:ascii="Times" w:hAnsi="Times"/>
        <w:sz w:val="24"/>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1C09"/>
    <w:multiLevelType w:val="hybridMultilevel"/>
    <w:tmpl w:val="7D9C60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9823EFA"/>
    <w:multiLevelType w:val="hybridMultilevel"/>
    <w:tmpl w:val="93163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BB85F08"/>
    <w:multiLevelType w:val="hybridMultilevel"/>
    <w:tmpl w:val="DD0A5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D7C1ACF"/>
    <w:multiLevelType w:val="hybridMultilevel"/>
    <w:tmpl w:val="466CF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E3F6B37"/>
    <w:multiLevelType w:val="hybridMultilevel"/>
    <w:tmpl w:val="F8EC1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ED77E59"/>
    <w:multiLevelType w:val="hybridMultilevel"/>
    <w:tmpl w:val="BE3A3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5D4D15"/>
    <w:rsid w:val="00012BC8"/>
    <w:rsid w:val="00042E56"/>
    <w:rsid w:val="00072840"/>
    <w:rsid w:val="0008292A"/>
    <w:rsid w:val="000D12EF"/>
    <w:rsid w:val="001277F8"/>
    <w:rsid w:val="00133DBC"/>
    <w:rsid w:val="001650D9"/>
    <w:rsid w:val="00172C4D"/>
    <w:rsid w:val="001B39F7"/>
    <w:rsid w:val="001B7841"/>
    <w:rsid w:val="002566F8"/>
    <w:rsid w:val="002B6818"/>
    <w:rsid w:val="002E542C"/>
    <w:rsid w:val="002F6518"/>
    <w:rsid w:val="00320B12"/>
    <w:rsid w:val="00322553"/>
    <w:rsid w:val="0036790F"/>
    <w:rsid w:val="00377BF1"/>
    <w:rsid w:val="00396E44"/>
    <w:rsid w:val="003B4C15"/>
    <w:rsid w:val="003C1628"/>
    <w:rsid w:val="003C55DD"/>
    <w:rsid w:val="00444446"/>
    <w:rsid w:val="00447513"/>
    <w:rsid w:val="00462A7E"/>
    <w:rsid w:val="004C6A4D"/>
    <w:rsid w:val="004D041B"/>
    <w:rsid w:val="004E5FDC"/>
    <w:rsid w:val="004F48AA"/>
    <w:rsid w:val="005053CF"/>
    <w:rsid w:val="005268DE"/>
    <w:rsid w:val="005538B2"/>
    <w:rsid w:val="0056146C"/>
    <w:rsid w:val="00570223"/>
    <w:rsid w:val="005853C0"/>
    <w:rsid w:val="005A0E36"/>
    <w:rsid w:val="005A5C32"/>
    <w:rsid w:val="005D4D15"/>
    <w:rsid w:val="005D68E1"/>
    <w:rsid w:val="006362A2"/>
    <w:rsid w:val="0064394D"/>
    <w:rsid w:val="00673CC0"/>
    <w:rsid w:val="006B44E6"/>
    <w:rsid w:val="006E26AA"/>
    <w:rsid w:val="00713988"/>
    <w:rsid w:val="00726FDB"/>
    <w:rsid w:val="0073183D"/>
    <w:rsid w:val="0075084A"/>
    <w:rsid w:val="007C54B9"/>
    <w:rsid w:val="007F2E6B"/>
    <w:rsid w:val="008706FA"/>
    <w:rsid w:val="00875F13"/>
    <w:rsid w:val="008A381F"/>
    <w:rsid w:val="008C4455"/>
    <w:rsid w:val="008E62D6"/>
    <w:rsid w:val="009043B2"/>
    <w:rsid w:val="0096108F"/>
    <w:rsid w:val="009626CB"/>
    <w:rsid w:val="00982633"/>
    <w:rsid w:val="00997C80"/>
    <w:rsid w:val="009C2C90"/>
    <w:rsid w:val="009C6EF1"/>
    <w:rsid w:val="009E0BD2"/>
    <w:rsid w:val="00A20052"/>
    <w:rsid w:val="00A25D90"/>
    <w:rsid w:val="00A755A8"/>
    <w:rsid w:val="00A870A0"/>
    <w:rsid w:val="00A978A3"/>
    <w:rsid w:val="00AC1466"/>
    <w:rsid w:val="00AD351A"/>
    <w:rsid w:val="00AE091F"/>
    <w:rsid w:val="00B0427E"/>
    <w:rsid w:val="00B11B09"/>
    <w:rsid w:val="00B73C83"/>
    <w:rsid w:val="00BD4332"/>
    <w:rsid w:val="00C135FF"/>
    <w:rsid w:val="00C15960"/>
    <w:rsid w:val="00C22B03"/>
    <w:rsid w:val="00C76B09"/>
    <w:rsid w:val="00C9386B"/>
    <w:rsid w:val="00CA7CC8"/>
    <w:rsid w:val="00CB7997"/>
    <w:rsid w:val="00CB7FF8"/>
    <w:rsid w:val="00CC7DC5"/>
    <w:rsid w:val="00CE7840"/>
    <w:rsid w:val="00CF7D21"/>
    <w:rsid w:val="00D2603D"/>
    <w:rsid w:val="00D46735"/>
    <w:rsid w:val="00D9565E"/>
    <w:rsid w:val="00DA3551"/>
    <w:rsid w:val="00E33AE2"/>
    <w:rsid w:val="00E37EFE"/>
    <w:rsid w:val="00E63CD1"/>
    <w:rsid w:val="00E83665"/>
    <w:rsid w:val="00E84F58"/>
    <w:rsid w:val="00E85320"/>
    <w:rsid w:val="00E94720"/>
    <w:rsid w:val="00EB444E"/>
    <w:rsid w:val="00EE7CDB"/>
    <w:rsid w:val="00F440E1"/>
    <w:rsid w:val="00F4571F"/>
    <w:rsid w:val="00F77A65"/>
    <w:rsid w:val="00F80FEF"/>
    <w:rsid w:val="00F814BB"/>
    <w:rsid w:val="00F96D14"/>
    <w:rsid w:val="00FA2224"/>
    <w:rsid w:val="00FB69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C80"/>
    <w:pPr>
      <w:widowControl w:val="0"/>
      <w:autoSpaceDE w:val="0"/>
      <w:autoSpaceDN w:val="0"/>
      <w:adjustRightInd w:val="0"/>
    </w:pPr>
    <w:rPr>
      <w:rFonts w:ascii="Courier" w:hAnsi="Courier"/>
      <w:szCs w:val="24"/>
    </w:rPr>
  </w:style>
  <w:style w:type="paragraph" w:styleId="Heading1">
    <w:name w:val="heading 1"/>
    <w:basedOn w:val="Normal"/>
    <w:next w:val="Normal"/>
    <w:qFormat/>
    <w:rsid w:val="00997C80"/>
    <w:pPr>
      <w:keepNext/>
      <w:widowControl/>
      <w:ind w:firstLine="360"/>
      <w:outlineLvl w:val="0"/>
    </w:pPr>
    <w:rPr>
      <w:rFonts w:ascii="Times" w:hAnsi="Times" w:cs="Times"/>
      <w:sz w:val="24"/>
    </w:rPr>
  </w:style>
  <w:style w:type="paragraph" w:styleId="Heading2">
    <w:name w:val="heading 2"/>
    <w:basedOn w:val="Normal"/>
    <w:next w:val="Normal"/>
    <w:qFormat/>
    <w:rsid w:val="00997C80"/>
    <w:pPr>
      <w:keepNext/>
      <w:widowControl/>
      <w:outlineLvl w:val="1"/>
    </w:pPr>
    <w:rPr>
      <w:rFonts w:ascii="Times" w:hAnsi="Times"/>
      <w:sz w:val="24"/>
    </w:rPr>
  </w:style>
  <w:style w:type="paragraph" w:styleId="Heading3">
    <w:name w:val="heading 3"/>
    <w:basedOn w:val="Normal"/>
    <w:next w:val="Normal"/>
    <w:qFormat/>
    <w:rsid w:val="00997C80"/>
    <w:pPr>
      <w:keepNext/>
      <w:widowControl/>
      <w:ind w:firstLine="360"/>
      <w:outlineLvl w:val="2"/>
    </w:pPr>
    <w:rPr>
      <w:rFonts w:ascii="Times" w:hAnsi="Times"/>
      <w:b/>
      <w:bCs/>
      <w:sz w:val="24"/>
      <w:u w:val="single"/>
    </w:rPr>
  </w:style>
  <w:style w:type="paragraph" w:styleId="Heading4">
    <w:name w:val="heading 4"/>
    <w:basedOn w:val="Normal"/>
    <w:next w:val="Normal"/>
    <w:qFormat/>
    <w:rsid w:val="00997C80"/>
    <w:pPr>
      <w:keepNext/>
      <w:widowControl/>
      <w:ind w:left="360"/>
      <w:outlineLvl w:val="3"/>
    </w:pPr>
    <w:rPr>
      <w:rFonts w:ascii="Times" w:hAnsi="Times"/>
      <w:b/>
      <w:bCs/>
      <w:sz w:val="24"/>
      <w:u w:val="single"/>
    </w:rPr>
  </w:style>
  <w:style w:type="paragraph" w:styleId="Heading5">
    <w:name w:val="heading 5"/>
    <w:basedOn w:val="Normal"/>
    <w:next w:val="Normal"/>
    <w:qFormat/>
    <w:rsid w:val="00997C80"/>
    <w:pPr>
      <w:keepNext/>
      <w:widowControl/>
      <w:ind w:left="360"/>
      <w:outlineLvl w:val="4"/>
    </w:pPr>
    <w:rPr>
      <w:rFonts w:ascii="Times" w:hAnsi="Times"/>
      <w:sz w:val="24"/>
    </w:rPr>
  </w:style>
  <w:style w:type="paragraph" w:styleId="Heading6">
    <w:name w:val="heading 6"/>
    <w:basedOn w:val="Normal"/>
    <w:next w:val="Normal"/>
    <w:qFormat/>
    <w:rsid w:val="00997C80"/>
    <w:pPr>
      <w:keepNext/>
      <w:widowControl/>
      <w:jc w:val="center"/>
      <w:outlineLvl w:val="5"/>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97C80"/>
  </w:style>
  <w:style w:type="paragraph" w:styleId="Header">
    <w:name w:val="header"/>
    <w:basedOn w:val="Normal"/>
    <w:rsid w:val="00997C80"/>
    <w:pPr>
      <w:tabs>
        <w:tab w:val="center" w:pos="4320"/>
        <w:tab w:val="right" w:pos="8640"/>
      </w:tabs>
    </w:pPr>
  </w:style>
  <w:style w:type="paragraph" w:styleId="Footer">
    <w:name w:val="footer"/>
    <w:basedOn w:val="Normal"/>
    <w:rsid w:val="00997C80"/>
    <w:pPr>
      <w:tabs>
        <w:tab w:val="center" w:pos="4320"/>
        <w:tab w:val="right" w:pos="8640"/>
      </w:tabs>
    </w:pPr>
  </w:style>
  <w:style w:type="paragraph" w:styleId="BodyTextIndent">
    <w:name w:val="Body Text Indent"/>
    <w:basedOn w:val="Normal"/>
    <w:rsid w:val="00997C80"/>
    <w:pPr>
      <w:widowControl/>
      <w:ind w:firstLine="360"/>
    </w:pPr>
    <w:rPr>
      <w:rFonts w:ascii="Times" w:hAnsi="Times" w:cs="Times"/>
      <w:sz w:val="24"/>
    </w:rPr>
  </w:style>
  <w:style w:type="character" w:styleId="Hyperlink">
    <w:name w:val="Hyperlink"/>
    <w:basedOn w:val="DefaultParagraphFont"/>
    <w:rsid w:val="00997C80"/>
    <w:rPr>
      <w:color w:val="0000FF"/>
      <w:u w:val="single"/>
    </w:rPr>
  </w:style>
  <w:style w:type="paragraph" w:customStyle="1" w:styleId="MemoAddress">
    <w:name w:val="Memo Address"/>
    <w:basedOn w:val="Normal"/>
    <w:next w:val="Normal"/>
    <w:rsid w:val="00997C80"/>
    <w:pPr>
      <w:widowControl/>
      <w:autoSpaceDE/>
      <w:autoSpaceDN/>
      <w:adjustRightInd/>
      <w:spacing w:line="220" w:lineRule="exact"/>
      <w:ind w:left="1152" w:hanging="1152"/>
    </w:pPr>
    <w:rPr>
      <w:rFonts w:ascii="Arial" w:hAnsi="Arial"/>
      <w:sz w:val="24"/>
      <w:szCs w:val="20"/>
    </w:rPr>
  </w:style>
  <w:style w:type="character" w:styleId="PageNumber">
    <w:name w:val="page number"/>
    <w:basedOn w:val="DefaultParagraphFont"/>
    <w:rsid w:val="00997C80"/>
  </w:style>
  <w:style w:type="paragraph" w:styleId="FootnoteText">
    <w:name w:val="footnote text"/>
    <w:basedOn w:val="Normal"/>
    <w:semiHidden/>
    <w:rsid w:val="00997C80"/>
    <w:pPr>
      <w:widowControl/>
      <w:autoSpaceDE/>
      <w:autoSpaceDN/>
      <w:adjustRightInd/>
    </w:pPr>
    <w:rPr>
      <w:rFonts w:ascii="CG Times" w:hAnsi="CG Times"/>
      <w:szCs w:val="20"/>
    </w:rPr>
  </w:style>
  <w:style w:type="paragraph" w:styleId="NormalWeb">
    <w:name w:val="Normal (Web)"/>
    <w:basedOn w:val="Normal"/>
    <w:rsid w:val="00997C80"/>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styleId="HTMLPreformatted">
    <w:name w:val="HTML Preformatted"/>
    <w:basedOn w:val="Normal"/>
    <w:rsid w:val="00997C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paragraph" w:styleId="BalloonText">
    <w:name w:val="Balloon Text"/>
    <w:basedOn w:val="Normal"/>
    <w:semiHidden/>
    <w:rsid w:val="00997C80"/>
    <w:rPr>
      <w:rFonts w:ascii="Tahoma" w:hAnsi="Tahoma" w:cs="Tahoma"/>
      <w:sz w:val="16"/>
      <w:szCs w:val="16"/>
    </w:rPr>
  </w:style>
  <w:style w:type="character" w:styleId="CommentReference">
    <w:name w:val="annotation reference"/>
    <w:basedOn w:val="DefaultParagraphFont"/>
    <w:semiHidden/>
    <w:rsid w:val="00133DBC"/>
    <w:rPr>
      <w:sz w:val="16"/>
      <w:szCs w:val="16"/>
    </w:rPr>
  </w:style>
  <w:style w:type="paragraph" w:styleId="CommentText">
    <w:name w:val="annotation text"/>
    <w:basedOn w:val="Normal"/>
    <w:semiHidden/>
    <w:rsid w:val="00133DBC"/>
    <w:rPr>
      <w:szCs w:val="20"/>
    </w:rPr>
  </w:style>
  <w:style w:type="paragraph" w:styleId="CommentSubject">
    <w:name w:val="annotation subject"/>
    <w:basedOn w:val="CommentText"/>
    <w:next w:val="CommentText"/>
    <w:semiHidden/>
    <w:rsid w:val="00133DBC"/>
    <w:rPr>
      <w:b/>
      <w:bCs/>
    </w:rPr>
  </w:style>
  <w:style w:type="character" w:styleId="FollowedHyperlink">
    <w:name w:val="FollowedHyperlink"/>
    <w:basedOn w:val="DefaultParagraphFont"/>
    <w:rsid w:val="003C1628"/>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ftc.gov/bcp/edu/microsites/idthe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1774</Words>
  <Characters>10559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12309</CharactersWithSpaces>
  <SharedDoc>false</SharedDoc>
  <HLinks>
    <vt:vector size="6" baseType="variant">
      <vt:variant>
        <vt:i4>3801134</vt:i4>
      </vt:variant>
      <vt:variant>
        <vt:i4>0</vt:i4>
      </vt:variant>
      <vt:variant>
        <vt:i4>0</vt:i4>
      </vt:variant>
      <vt:variant>
        <vt:i4>5</vt:i4>
      </vt:variant>
      <vt:variant>
        <vt:lpwstr>http://www.ftc.gov/bcp/edu/microsites/idtheft/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m1mel00</dc:creator>
  <cp:keywords/>
  <dc:description/>
  <cp:lastModifiedBy>Scott William Farmer</cp:lastModifiedBy>
  <cp:revision>10</cp:revision>
  <cp:lastPrinted>2008-03-12T16:59:00Z</cp:lastPrinted>
  <dcterms:created xsi:type="dcterms:W3CDTF">2011-03-15T18:15:00Z</dcterms:created>
  <dcterms:modified xsi:type="dcterms:W3CDTF">2011-05-31T17:25:00Z</dcterms:modified>
</cp:coreProperties>
</file>