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Default="00854015">
      <w:pPr>
        <w:keepLines/>
        <w:tabs>
          <w:tab w:val="left" w:pos="360"/>
        </w:tabs>
        <w:spacing w:after="80"/>
        <w:ind w:left="360" w:hanging="360"/>
        <w:rPr>
          <w:b/>
          <w:sz w:val="18"/>
        </w:rPr>
      </w:pPr>
      <w:r>
        <w:rPr>
          <w:b/>
          <w:sz w:val="18"/>
        </w:rPr>
        <w:t>1.</w:t>
      </w:r>
      <w:r>
        <w:rPr>
          <w:sz w:val="18"/>
        </w:rPr>
        <w:tab/>
      </w: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F3546" w:rsidRDefault="009F3546" w:rsidP="00C15AEB">
      <w:pPr>
        <w:tabs>
          <w:tab w:val="left" w:pos="-720"/>
        </w:tabs>
        <w:suppressAutoHyphens/>
        <w:ind w:left="360"/>
        <w:rPr>
          <w:sz w:val="24"/>
          <w:szCs w:val="24"/>
        </w:rPr>
      </w:pPr>
      <w:r w:rsidRPr="00F44E2F">
        <w:rPr>
          <w:sz w:val="22"/>
          <w:szCs w:val="22"/>
        </w:rPr>
        <w:t>The Consolidated Appropriations Act, 2010 (Public Law 111-117, approved December 16, 2009, 123 Stat. 3034) (2010 Appropriations Act), which appropriated fiscal year 2010 funds for HUD, among other agencies,</w:t>
      </w:r>
      <w:r w:rsidR="00670938">
        <w:rPr>
          <w:sz w:val="22"/>
          <w:szCs w:val="22"/>
        </w:rPr>
        <w:t xml:space="preserve"> </w:t>
      </w:r>
      <w:r w:rsidRPr="00F44E2F">
        <w:rPr>
          <w:sz w:val="22"/>
          <w:szCs w:val="22"/>
        </w:rPr>
        <w:t xml:space="preserve">appropriated $50 million for an Energy Innovation Fund to enable HUD to catalyze innovations in the residential energy efficiency sector that have the promise of </w:t>
      </w:r>
      <w:r w:rsidR="005F694B" w:rsidRPr="00F44E2F">
        <w:rPr>
          <w:sz w:val="22"/>
          <w:szCs w:val="22"/>
        </w:rPr>
        <w:t>reliability</w:t>
      </w:r>
      <w:r w:rsidRPr="00F44E2F">
        <w:rPr>
          <w:sz w:val="22"/>
          <w:szCs w:val="22"/>
        </w:rPr>
        <w:t xml:space="preserve"> and help create a standardized home energy efficient retrofit market.  Of the $50 million appropriated for the Energy Innovation Fund, the 2010 Appropriations Act stated that “$25,000,000 shall be for the Energy Efficient Mortgage Innovation pilot program directed at the single family housing market.” (See Public Law 111-117, at 123 Stat. 3089).  The </w:t>
      </w:r>
      <w:r>
        <w:rPr>
          <w:sz w:val="22"/>
          <w:szCs w:val="22"/>
        </w:rPr>
        <w:t xml:space="preserve">FHA Home Energy </w:t>
      </w:r>
      <w:r w:rsidRPr="00F44E2F">
        <w:rPr>
          <w:sz w:val="22"/>
          <w:szCs w:val="22"/>
        </w:rPr>
        <w:t xml:space="preserve">Retrofit </w:t>
      </w:r>
      <w:r>
        <w:rPr>
          <w:sz w:val="22"/>
          <w:szCs w:val="22"/>
        </w:rPr>
        <w:t xml:space="preserve">Loan </w:t>
      </w:r>
      <w:r w:rsidRPr="00F44E2F">
        <w:rPr>
          <w:sz w:val="22"/>
          <w:szCs w:val="22"/>
        </w:rPr>
        <w:t>Pilot Program is designed by HUD to meet this statutory directive and provides funding to support that effort.</w:t>
      </w:r>
      <w:r w:rsidRPr="009F3546">
        <w:rPr>
          <w:sz w:val="24"/>
          <w:szCs w:val="24"/>
        </w:rPr>
        <w:t xml:space="preserve"> </w:t>
      </w:r>
    </w:p>
    <w:p w:rsidR="009F3546" w:rsidRDefault="009F3546" w:rsidP="009F3546">
      <w:pPr>
        <w:tabs>
          <w:tab w:val="left" w:pos="-720"/>
        </w:tabs>
        <w:suppressAutoHyphens/>
        <w:rPr>
          <w:sz w:val="24"/>
          <w:szCs w:val="24"/>
        </w:rPr>
      </w:pPr>
    </w:p>
    <w:p w:rsidR="00854015" w:rsidRDefault="00854015">
      <w:pPr>
        <w:keepLines/>
        <w:tabs>
          <w:tab w:val="left" w:pos="360"/>
        </w:tabs>
        <w:spacing w:after="80"/>
        <w:ind w:left="360" w:hanging="360"/>
        <w:rPr>
          <w:b/>
          <w:sz w:val="18"/>
        </w:rPr>
      </w:pPr>
      <w:r>
        <w:rPr>
          <w:b/>
          <w:sz w:val="18"/>
        </w:rPr>
        <w:t>2.</w:t>
      </w:r>
      <w:r>
        <w:rPr>
          <w:b/>
          <w:sz w:val="18"/>
        </w:rPr>
        <w:tab/>
        <w:t>Indicate how, by whom and for what purpose the information is to be used.  Except for a new collection, indicate the actual use the agency has made of the information received from the current collection.</w:t>
      </w:r>
    </w:p>
    <w:p w:rsidR="00DE4962" w:rsidRDefault="00AF0244" w:rsidP="00C15AEB">
      <w:pPr>
        <w:tabs>
          <w:tab w:val="left" w:pos="240"/>
        </w:tabs>
        <w:spacing w:after="60"/>
        <w:ind w:left="360" w:right="-120"/>
        <w:rPr>
          <w:rFonts w:ascii="Helvetica" w:hAnsi="Helvetica"/>
          <w:sz w:val="18"/>
        </w:rPr>
      </w:pPr>
      <w:r w:rsidRPr="005F694B">
        <w:rPr>
          <w:sz w:val="22"/>
          <w:szCs w:val="22"/>
        </w:rPr>
        <w:t xml:space="preserve">Lender participation in the FHA Home Energy Retrofit Loan Pilot Program is voluntary. </w:t>
      </w:r>
      <w:r w:rsidR="003C11E5">
        <w:rPr>
          <w:sz w:val="22"/>
          <w:szCs w:val="22"/>
        </w:rPr>
        <w:t xml:space="preserve">  </w:t>
      </w:r>
      <w:r w:rsidR="005F694B" w:rsidRPr="005F694B">
        <w:rPr>
          <w:sz w:val="22"/>
          <w:szCs w:val="22"/>
        </w:rPr>
        <w:t>Lenders selected to participate in the program will be required to enter into a pilot program agreement with HUD</w:t>
      </w:r>
      <w:r w:rsidR="005F694B">
        <w:rPr>
          <w:sz w:val="22"/>
          <w:szCs w:val="22"/>
        </w:rPr>
        <w:t xml:space="preserve">.  Lenders will also be required to </w:t>
      </w:r>
      <w:r w:rsidR="005F694B" w:rsidRPr="005F694B">
        <w:rPr>
          <w:sz w:val="22"/>
          <w:szCs w:val="22"/>
        </w:rPr>
        <w:t xml:space="preserve">report to HUD on their use of incentive payments funds.  </w:t>
      </w:r>
      <w:r w:rsidR="005F694B">
        <w:rPr>
          <w:sz w:val="22"/>
          <w:szCs w:val="22"/>
        </w:rPr>
        <w:t xml:space="preserve">The information collection requirements will </w:t>
      </w:r>
      <w:r w:rsidRPr="009F3546">
        <w:rPr>
          <w:sz w:val="22"/>
          <w:szCs w:val="22"/>
        </w:rPr>
        <w:t xml:space="preserve">facilitate HUD’s </w:t>
      </w:r>
      <w:r w:rsidR="003B434C">
        <w:rPr>
          <w:sz w:val="22"/>
          <w:szCs w:val="22"/>
        </w:rPr>
        <w:t xml:space="preserve">monitoring </w:t>
      </w:r>
      <w:r w:rsidRPr="009F3546">
        <w:rPr>
          <w:sz w:val="22"/>
          <w:szCs w:val="22"/>
        </w:rPr>
        <w:t xml:space="preserve">of </w:t>
      </w:r>
      <w:r w:rsidR="003B434C" w:rsidRPr="003B434C">
        <w:rPr>
          <w:sz w:val="22"/>
          <w:szCs w:val="22"/>
        </w:rPr>
        <w:t>use of incentive payments funds</w:t>
      </w:r>
      <w:r w:rsidR="00544012">
        <w:rPr>
          <w:sz w:val="22"/>
          <w:szCs w:val="22"/>
        </w:rPr>
        <w:t xml:space="preserve"> to ensure funds are used </w:t>
      </w:r>
      <w:r w:rsidR="00984C3D">
        <w:rPr>
          <w:sz w:val="22"/>
          <w:szCs w:val="22"/>
        </w:rPr>
        <w:t>accordingly</w:t>
      </w:r>
      <w:r w:rsidR="003B434C" w:rsidRPr="003B434C">
        <w:rPr>
          <w:sz w:val="22"/>
          <w:szCs w:val="22"/>
        </w:rPr>
        <w:t>.</w:t>
      </w:r>
      <w:r w:rsidR="005F694B">
        <w:rPr>
          <w:sz w:val="22"/>
          <w:szCs w:val="22"/>
        </w:rPr>
        <w:t xml:space="preserve"> </w:t>
      </w:r>
    </w:p>
    <w:p w:rsidR="00854015" w:rsidRDefault="00854015">
      <w:pPr>
        <w:tabs>
          <w:tab w:val="left" w:pos="360"/>
        </w:tabs>
        <w:rPr>
          <w:sz w:val="18"/>
        </w:rPr>
      </w:pPr>
    </w:p>
    <w:p w:rsidR="004313A0" w:rsidRDefault="00854015" w:rsidP="004313A0">
      <w:pPr>
        <w:keepLines/>
        <w:tabs>
          <w:tab w:val="left" w:pos="360"/>
        </w:tabs>
        <w:spacing w:after="80"/>
        <w:ind w:left="360" w:hanging="360"/>
        <w:rPr>
          <w:b/>
          <w:sz w:val="18"/>
        </w:rPr>
      </w:pPr>
      <w:r>
        <w:rPr>
          <w:b/>
          <w:sz w:val="18"/>
        </w:rPr>
        <w:t>3.</w:t>
      </w:r>
      <w:r>
        <w:rPr>
          <w:sz w:val="18"/>
        </w:rPr>
        <w:tab/>
      </w:r>
      <w:r>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4015" w:rsidRPr="004313A0" w:rsidRDefault="004313A0" w:rsidP="00C15AEB">
      <w:pPr>
        <w:keepLines/>
        <w:tabs>
          <w:tab w:val="left" w:pos="360"/>
        </w:tabs>
        <w:spacing w:after="80"/>
        <w:ind w:left="360"/>
        <w:rPr>
          <w:b/>
          <w:sz w:val="18"/>
        </w:rPr>
      </w:pPr>
      <w:r>
        <w:rPr>
          <w:sz w:val="22"/>
        </w:rPr>
        <w:t xml:space="preserve">In an effort to reduce the administrative burden associated with the mailing and processing of paper applications, lenders </w:t>
      </w:r>
      <w:r w:rsidR="009D1D46">
        <w:rPr>
          <w:sz w:val="22"/>
        </w:rPr>
        <w:t xml:space="preserve">will be permitted </w:t>
      </w:r>
      <w:r>
        <w:rPr>
          <w:sz w:val="22"/>
        </w:rPr>
        <w:t xml:space="preserve">to submit the </w:t>
      </w:r>
      <w:r w:rsidR="009D1D46">
        <w:rPr>
          <w:sz w:val="22"/>
        </w:rPr>
        <w:t xml:space="preserve">required information </w:t>
      </w:r>
      <w:r>
        <w:rPr>
          <w:sz w:val="22"/>
        </w:rPr>
        <w:t xml:space="preserve">electronically to </w:t>
      </w:r>
      <w:r w:rsidR="00B45F6E">
        <w:rPr>
          <w:sz w:val="22"/>
        </w:rPr>
        <w:t xml:space="preserve">FHAPowerSaver@hud.gov </w:t>
      </w:r>
      <w:r>
        <w:rPr>
          <w:sz w:val="22"/>
        </w:rPr>
        <w:t xml:space="preserve">specifically for this purpose.  </w:t>
      </w:r>
    </w:p>
    <w:p w:rsidR="00854015" w:rsidRDefault="00854015" w:rsidP="004313A0">
      <w:pPr>
        <w:tabs>
          <w:tab w:val="left" w:pos="360"/>
        </w:tabs>
        <w:ind w:left="936" w:hanging="360"/>
        <w:rPr>
          <w:sz w:val="18"/>
        </w:rPr>
      </w:pPr>
    </w:p>
    <w:p w:rsidR="00854015" w:rsidRDefault="00854015">
      <w:pPr>
        <w:keepLines/>
        <w:tabs>
          <w:tab w:val="left" w:pos="360"/>
        </w:tabs>
        <w:spacing w:after="80"/>
        <w:ind w:left="360" w:hanging="360"/>
        <w:rPr>
          <w:b/>
          <w:sz w:val="18"/>
        </w:rPr>
      </w:pPr>
      <w:r>
        <w:rPr>
          <w:b/>
          <w:sz w:val="18"/>
        </w:rPr>
        <w:t>4.</w:t>
      </w:r>
      <w:r>
        <w:rPr>
          <w:sz w:val="18"/>
        </w:rPr>
        <w:tab/>
      </w:r>
      <w:r>
        <w:rPr>
          <w:b/>
          <w:sz w:val="18"/>
        </w:rPr>
        <w:t>Describe efforts to identify duplication.  Show specifically why any similar information already available cannot be used or modified for use for the purposes described in Item 2 above.</w:t>
      </w:r>
    </w:p>
    <w:p w:rsidR="00854015" w:rsidRDefault="00D00136" w:rsidP="00C15AEB">
      <w:pPr>
        <w:keepLines/>
        <w:tabs>
          <w:tab w:val="left" w:pos="360"/>
        </w:tabs>
        <w:ind w:left="360"/>
        <w:rPr>
          <w:sz w:val="22"/>
        </w:rPr>
      </w:pPr>
      <w:r>
        <w:rPr>
          <w:sz w:val="22"/>
        </w:rPr>
        <w:t xml:space="preserve">There is no duplication of information.  </w:t>
      </w:r>
      <w:r w:rsidR="004313A0">
        <w:rPr>
          <w:sz w:val="22"/>
          <w:szCs w:val="22"/>
        </w:rPr>
        <w:t xml:space="preserve">The </w:t>
      </w:r>
      <w:r>
        <w:rPr>
          <w:sz w:val="22"/>
          <w:szCs w:val="22"/>
        </w:rPr>
        <w:t xml:space="preserve">information that must be included is necessary </w:t>
      </w:r>
      <w:r w:rsidR="004313A0">
        <w:rPr>
          <w:sz w:val="22"/>
          <w:szCs w:val="22"/>
        </w:rPr>
        <w:t xml:space="preserve">to ensure that lenders </w:t>
      </w:r>
      <w:r w:rsidR="009D1D46">
        <w:rPr>
          <w:sz w:val="22"/>
          <w:szCs w:val="22"/>
        </w:rPr>
        <w:t xml:space="preserve">are complying with the requirements </w:t>
      </w:r>
      <w:r w:rsidR="00D32927">
        <w:rPr>
          <w:sz w:val="22"/>
          <w:szCs w:val="22"/>
        </w:rPr>
        <w:t xml:space="preserve">to report </w:t>
      </w:r>
      <w:r w:rsidR="006B26AE">
        <w:rPr>
          <w:sz w:val="22"/>
          <w:szCs w:val="22"/>
        </w:rPr>
        <w:t>to</w:t>
      </w:r>
      <w:r w:rsidR="00D32927">
        <w:rPr>
          <w:sz w:val="22"/>
          <w:szCs w:val="22"/>
        </w:rPr>
        <w:t xml:space="preserve"> HUD their </w:t>
      </w:r>
      <w:r w:rsidR="00DD03AB">
        <w:rPr>
          <w:sz w:val="22"/>
          <w:szCs w:val="22"/>
        </w:rPr>
        <w:t>use of incentive payments</w:t>
      </w:r>
      <w:r w:rsidR="00D32927">
        <w:rPr>
          <w:sz w:val="22"/>
          <w:szCs w:val="22"/>
        </w:rPr>
        <w:t xml:space="preserve"> funds</w:t>
      </w:r>
      <w:r w:rsidR="009D1D46">
        <w:rPr>
          <w:sz w:val="22"/>
          <w:szCs w:val="22"/>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5.</w:t>
      </w:r>
      <w:r>
        <w:rPr>
          <w:b/>
          <w:sz w:val="18"/>
        </w:rPr>
        <w:tab/>
        <w:t>If the collection of information impacts small businesses or other small entities (Item 5 of OMB Form 83-I) describe any methods used to minimize burden.</w:t>
      </w:r>
    </w:p>
    <w:p w:rsidR="00854015" w:rsidRDefault="000A4C0D" w:rsidP="00C15AEB">
      <w:pPr>
        <w:keepLines/>
        <w:tabs>
          <w:tab w:val="left" w:pos="360"/>
          <w:tab w:val="left" w:pos="720"/>
        </w:tabs>
        <w:ind w:left="360"/>
        <w:rPr>
          <w:sz w:val="18"/>
        </w:rPr>
      </w:pPr>
      <w:r>
        <w:rPr>
          <w:sz w:val="22"/>
        </w:rPr>
        <w:t>L</w:t>
      </w:r>
      <w:r w:rsidR="00C8783E">
        <w:rPr>
          <w:sz w:val="22"/>
        </w:rPr>
        <w:t xml:space="preserve">ender participation in the FHA </w:t>
      </w:r>
      <w:r w:rsidR="00C8783E">
        <w:rPr>
          <w:sz w:val="22"/>
          <w:szCs w:val="22"/>
        </w:rPr>
        <w:t xml:space="preserve">Home Energy </w:t>
      </w:r>
      <w:r w:rsidR="00C8783E" w:rsidRPr="00F44E2F">
        <w:rPr>
          <w:sz w:val="22"/>
          <w:szCs w:val="22"/>
        </w:rPr>
        <w:t xml:space="preserve">Retrofit </w:t>
      </w:r>
      <w:r w:rsidR="00C8783E">
        <w:rPr>
          <w:sz w:val="22"/>
          <w:szCs w:val="22"/>
        </w:rPr>
        <w:t xml:space="preserve">Loan </w:t>
      </w:r>
      <w:r w:rsidR="00C8783E" w:rsidRPr="00F44E2F">
        <w:rPr>
          <w:sz w:val="22"/>
          <w:szCs w:val="22"/>
        </w:rPr>
        <w:t xml:space="preserve">Pilot Program </w:t>
      </w:r>
      <w:r w:rsidR="00C8783E">
        <w:rPr>
          <w:sz w:val="22"/>
          <w:szCs w:val="22"/>
        </w:rPr>
        <w:t>is voluntary</w:t>
      </w:r>
      <w:r w:rsidR="00BF2ED1">
        <w:rPr>
          <w:sz w:val="22"/>
          <w:szCs w:val="22"/>
        </w:rPr>
        <w:t xml:space="preserve"> and, therefore, any administrative burden associated with this collection of information is assumed at the choice of the lender.  </w:t>
      </w:r>
      <w:r w:rsidR="00C8783E">
        <w:rPr>
          <w:sz w:val="22"/>
          <w:szCs w:val="22"/>
        </w:rPr>
        <w:t xml:space="preserve"> </w:t>
      </w:r>
      <w:r w:rsidR="00BF2ED1">
        <w:rPr>
          <w:sz w:val="22"/>
          <w:szCs w:val="22"/>
        </w:rPr>
        <w:t>Moreover, t</w:t>
      </w:r>
      <w:r w:rsidR="00C8783E">
        <w:rPr>
          <w:sz w:val="22"/>
          <w:szCs w:val="22"/>
        </w:rPr>
        <w:t xml:space="preserve">he </w:t>
      </w:r>
      <w:r w:rsidR="00FF3A38">
        <w:rPr>
          <w:sz w:val="22"/>
          <w:szCs w:val="22"/>
        </w:rPr>
        <w:t xml:space="preserve">information that must be provided is readily available to lenders, and its collection does not impose any administrative or other burdens unique to small business lenders interested in participating in the pilot program.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proofErr w:type="gramStart"/>
      <w:r>
        <w:rPr>
          <w:b/>
          <w:sz w:val="18"/>
        </w:rPr>
        <w:t>6.</w:t>
      </w:r>
      <w:r>
        <w:rPr>
          <w:sz w:val="18"/>
        </w:rPr>
        <w:tab/>
      </w:r>
      <w:r>
        <w:rPr>
          <w:b/>
          <w:sz w:val="18"/>
        </w:rPr>
        <w:t>Describe the consequence to Federal program or policy activities if the collection is not conducted or is conducted less frequently, as well as any technical or legal obstacles to reducing burden.</w:t>
      </w:r>
      <w:proofErr w:type="gramEnd"/>
    </w:p>
    <w:p w:rsidR="00854015" w:rsidRDefault="00D00136" w:rsidP="00C15AEB">
      <w:pPr>
        <w:pStyle w:val="BodyTextIndent3"/>
        <w:spacing w:after="0"/>
      </w:pPr>
      <w:r>
        <w:rPr>
          <w:szCs w:val="22"/>
        </w:rPr>
        <w:t xml:space="preserve">Absent the information collection, the Department would have no way of </w:t>
      </w:r>
      <w:r w:rsidR="001D6DD2">
        <w:t xml:space="preserve">monitoring </w:t>
      </w:r>
      <w:r w:rsidR="000A4C0D" w:rsidRPr="002B5876">
        <w:t xml:space="preserve">lender </w:t>
      </w:r>
      <w:r w:rsidR="001D6DD2">
        <w:t xml:space="preserve">use of incentive funds for </w:t>
      </w:r>
      <w:r w:rsidR="000A4C0D" w:rsidRPr="002B5876">
        <w:t>the pilot program</w:t>
      </w:r>
      <w:r w:rsidR="000A4C0D">
        <w:t>.</w:t>
      </w:r>
    </w:p>
    <w:p w:rsidR="00D00136" w:rsidRDefault="00D00136">
      <w:pPr>
        <w:pStyle w:val="BodyTextIndent3"/>
        <w:spacing w:after="0"/>
      </w:pPr>
    </w:p>
    <w:p w:rsidR="001D6DD2" w:rsidRDefault="001D6DD2">
      <w:pPr>
        <w:overflowPunct/>
        <w:autoSpaceDE/>
        <w:autoSpaceDN/>
        <w:adjustRightInd/>
        <w:textAlignment w:val="auto"/>
        <w:rPr>
          <w:b/>
          <w:sz w:val="18"/>
        </w:rPr>
      </w:pPr>
      <w:r>
        <w:rPr>
          <w:b/>
          <w:sz w:val="18"/>
        </w:rPr>
        <w:br w:type="page"/>
      </w:r>
    </w:p>
    <w:p w:rsidR="00854015" w:rsidRDefault="00854015">
      <w:pPr>
        <w:numPr>
          <w:ilvl w:val="0"/>
          <w:numId w:val="13"/>
        </w:numPr>
        <w:tabs>
          <w:tab w:val="left" w:pos="360"/>
        </w:tabs>
        <w:rPr>
          <w:b/>
          <w:sz w:val="18"/>
        </w:rPr>
      </w:pPr>
      <w:r>
        <w:rPr>
          <w:b/>
          <w:sz w:val="18"/>
        </w:rPr>
        <w:lastRenderedPageBreak/>
        <w:t xml:space="preserve">Explain any special circumstances that would cause an information collection to be conducted in a manner: </w:t>
      </w:r>
    </w:p>
    <w:p w:rsidR="00854015" w:rsidRDefault="00854015">
      <w:pPr>
        <w:numPr>
          <w:ilvl w:val="0"/>
          <w:numId w:val="14"/>
        </w:numPr>
        <w:tabs>
          <w:tab w:val="left" w:pos="600"/>
        </w:tabs>
        <w:rPr>
          <w:b/>
          <w:sz w:val="18"/>
        </w:rPr>
      </w:pPr>
      <w:r>
        <w:rPr>
          <w:b/>
          <w:sz w:val="18"/>
        </w:rPr>
        <w:t xml:space="preserve">requiring respondents to report information to the agency more than quarterly; </w:t>
      </w:r>
    </w:p>
    <w:p w:rsidR="00854015" w:rsidRDefault="00854015">
      <w:pPr>
        <w:numPr>
          <w:ilvl w:val="0"/>
          <w:numId w:val="14"/>
        </w:numPr>
        <w:tabs>
          <w:tab w:val="left" w:pos="600"/>
        </w:tabs>
        <w:rPr>
          <w:b/>
          <w:sz w:val="18"/>
        </w:rPr>
      </w:pPr>
      <w:r>
        <w:rPr>
          <w:b/>
          <w:sz w:val="18"/>
        </w:rPr>
        <w:t xml:space="preserve">requiring respondents to prepare a written response to a collection of information in fewer than 30 days after receipt of it; </w:t>
      </w:r>
    </w:p>
    <w:p w:rsidR="00854015" w:rsidRDefault="00854015">
      <w:pPr>
        <w:numPr>
          <w:ilvl w:val="0"/>
          <w:numId w:val="14"/>
        </w:numPr>
        <w:tabs>
          <w:tab w:val="left" w:pos="600"/>
        </w:tabs>
        <w:rPr>
          <w:b/>
          <w:sz w:val="18"/>
        </w:rPr>
      </w:pPr>
      <w:r>
        <w:rPr>
          <w:b/>
          <w:sz w:val="18"/>
        </w:rPr>
        <w:t xml:space="preserve">requiring respondents to submit more than an original and two copies of any document; </w:t>
      </w:r>
    </w:p>
    <w:p w:rsidR="00854015" w:rsidRDefault="00854015">
      <w:pPr>
        <w:numPr>
          <w:ilvl w:val="0"/>
          <w:numId w:val="14"/>
        </w:numPr>
        <w:tabs>
          <w:tab w:val="left" w:pos="600"/>
        </w:tabs>
        <w:rPr>
          <w:b/>
          <w:sz w:val="18"/>
        </w:rPr>
      </w:pPr>
      <w:r>
        <w:rPr>
          <w:b/>
          <w:sz w:val="18"/>
        </w:rPr>
        <w:t xml:space="preserve">requiring respondents to retain records other than health, medical, government contract, grant-in-aid, or tax records for more than three years; </w:t>
      </w:r>
    </w:p>
    <w:p w:rsidR="00854015" w:rsidRDefault="00854015">
      <w:pPr>
        <w:numPr>
          <w:ilvl w:val="0"/>
          <w:numId w:val="14"/>
        </w:numPr>
        <w:tabs>
          <w:tab w:val="left" w:pos="600"/>
        </w:tabs>
        <w:rPr>
          <w:b/>
          <w:sz w:val="18"/>
        </w:rPr>
      </w:pPr>
      <w:r>
        <w:rPr>
          <w:b/>
          <w:sz w:val="18"/>
        </w:rPr>
        <w:t xml:space="preserve">in connection with a statistical survey, that is not designed to produce valid and reliable results than can be generalized to the universe of study; </w:t>
      </w:r>
    </w:p>
    <w:p w:rsidR="00854015" w:rsidRDefault="00854015">
      <w:pPr>
        <w:numPr>
          <w:ilvl w:val="0"/>
          <w:numId w:val="14"/>
        </w:numPr>
        <w:tabs>
          <w:tab w:val="left" w:pos="600"/>
        </w:tabs>
        <w:rPr>
          <w:b/>
          <w:sz w:val="18"/>
        </w:rPr>
      </w:pPr>
      <w:r>
        <w:rPr>
          <w:b/>
          <w:sz w:val="18"/>
        </w:rPr>
        <w:t xml:space="preserve">requiring the use of a statistical data classification that has not been reviewed and approved by OMB; </w:t>
      </w:r>
    </w:p>
    <w:p w:rsidR="00854015" w:rsidRDefault="00854015">
      <w:pPr>
        <w:numPr>
          <w:ilvl w:val="0"/>
          <w:numId w:val="14"/>
        </w:numPr>
        <w:tabs>
          <w:tab w:val="left" w:pos="600"/>
        </w:tabs>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Default="00854015">
      <w:pPr>
        <w:keepLines/>
        <w:numPr>
          <w:ilvl w:val="0"/>
          <w:numId w:val="14"/>
        </w:numPr>
        <w:tabs>
          <w:tab w:val="left" w:pos="600"/>
        </w:tabs>
        <w:spacing w:after="80"/>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854015" w:rsidRDefault="00854015" w:rsidP="00C15AEB">
      <w:pPr>
        <w:keepLines/>
        <w:tabs>
          <w:tab w:val="left" w:pos="360"/>
          <w:tab w:val="left" w:pos="720"/>
        </w:tabs>
        <w:ind w:left="360"/>
        <w:rPr>
          <w:sz w:val="18"/>
        </w:rPr>
      </w:pPr>
      <w:r>
        <w:rPr>
          <w:sz w:val="22"/>
        </w:rPr>
        <w:t>There are no special circumstances surrounding this collection of information.</w:t>
      </w:r>
      <w:r>
        <w:rPr>
          <w:sz w:val="18"/>
        </w:rPr>
        <w:t xml:space="preserve"> </w:t>
      </w:r>
    </w:p>
    <w:p w:rsidR="00854015" w:rsidRDefault="00854015">
      <w:pPr>
        <w:tabs>
          <w:tab w:val="left" w:pos="360"/>
        </w:tabs>
        <w:ind w:left="360" w:hanging="360"/>
        <w:rPr>
          <w:sz w:val="18"/>
        </w:rPr>
      </w:pPr>
    </w:p>
    <w:p w:rsidR="00854015" w:rsidRDefault="00854015">
      <w:pPr>
        <w:tabs>
          <w:tab w:val="left" w:pos="360"/>
        </w:tabs>
        <w:ind w:left="360" w:hanging="360"/>
        <w:rPr>
          <w:b/>
          <w:sz w:val="18"/>
        </w:rPr>
      </w:pPr>
      <w:r>
        <w:rPr>
          <w:b/>
          <w:sz w:val="18"/>
        </w:rPr>
        <w:t xml:space="preserve"> 8.</w:t>
      </w: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Default="00854015">
      <w:pPr>
        <w:numPr>
          <w:ilvl w:val="0"/>
          <w:numId w:val="14"/>
        </w:numPr>
        <w:tabs>
          <w:tab w:val="left" w:pos="360"/>
        </w:tabs>
        <w:ind w:left="480"/>
        <w:rPr>
          <w:b/>
          <w:sz w:val="18"/>
        </w:rPr>
      </w:pPr>
      <w:r>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Default="00854015">
      <w:pPr>
        <w:keepLines/>
        <w:numPr>
          <w:ilvl w:val="0"/>
          <w:numId w:val="14"/>
        </w:numPr>
        <w:tabs>
          <w:tab w:val="left" w:pos="360"/>
        </w:tabs>
        <w:spacing w:after="80"/>
        <w:ind w:left="480"/>
        <w:rPr>
          <w:b/>
          <w:sz w:val="18"/>
        </w:rPr>
      </w:pPr>
      <w:r>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C82A2E" w:rsidRPr="00C82A2E" w:rsidRDefault="0004179B" w:rsidP="00C82A2E">
      <w:pPr>
        <w:keepLines/>
        <w:numPr>
          <w:ilvl w:val="0"/>
          <w:numId w:val="17"/>
        </w:numPr>
        <w:tabs>
          <w:tab w:val="left" w:pos="360"/>
          <w:tab w:val="left" w:pos="720"/>
        </w:tabs>
        <w:rPr>
          <w:sz w:val="22"/>
        </w:rPr>
      </w:pPr>
      <w:r>
        <w:rPr>
          <w:sz w:val="22"/>
        </w:rPr>
        <w:t xml:space="preserve">Emergency approval is being requested for this information collection.  </w:t>
      </w:r>
      <w:r w:rsidR="00C82A2E" w:rsidRPr="00C82A2E">
        <w:rPr>
          <w:sz w:val="22"/>
        </w:rPr>
        <w:t xml:space="preserve">In accordance with 5 CFR 1320.8(d), this information collection soliciting public comments was announced in the </w:t>
      </w:r>
      <w:r w:rsidR="00C82A2E" w:rsidRPr="00C82A2E">
        <w:rPr>
          <w:i/>
          <w:iCs/>
          <w:sz w:val="22"/>
        </w:rPr>
        <w:t>Federal Register</w:t>
      </w:r>
      <w:r w:rsidR="00C82A2E">
        <w:rPr>
          <w:sz w:val="22"/>
        </w:rPr>
        <w:t xml:space="preserve"> on March 14, 2011</w:t>
      </w:r>
      <w:r w:rsidR="00C82A2E" w:rsidRPr="00C82A2E">
        <w:rPr>
          <w:sz w:val="22"/>
        </w:rPr>
        <w:t xml:space="preserve"> (Volume </w:t>
      </w:r>
      <w:r w:rsidR="009F3A67">
        <w:rPr>
          <w:sz w:val="22"/>
        </w:rPr>
        <w:t xml:space="preserve">68, Number 102, </w:t>
      </w:r>
      <w:proofErr w:type="gramStart"/>
      <w:r w:rsidR="009F3A67">
        <w:rPr>
          <w:sz w:val="22"/>
        </w:rPr>
        <w:t>Page</w:t>
      </w:r>
      <w:proofErr w:type="gramEnd"/>
      <w:r w:rsidR="009F3A67">
        <w:rPr>
          <w:sz w:val="22"/>
        </w:rPr>
        <w:t xml:space="preserve"> 31726). ...</w:t>
      </w:r>
      <w:r w:rsidR="00C82A2E" w:rsidRPr="00C82A2E">
        <w:rPr>
          <w:sz w:val="22"/>
        </w:rPr>
        <w:t xml:space="preserve"> </w:t>
      </w:r>
      <w:proofErr w:type="gramStart"/>
      <w:r w:rsidR="00C82A2E" w:rsidRPr="00C82A2E">
        <w:rPr>
          <w:sz w:val="22"/>
        </w:rPr>
        <w:t>comments</w:t>
      </w:r>
      <w:proofErr w:type="gramEnd"/>
      <w:r w:rsidR="00C82A2E" w:rsidRPr="00C82A2E">
        <w:rPr>
          <w:sz w:val="22"/>
        </w:rPr>
        <w:t xml:space="preserve"> were received.</w:t>
      </w:r>
    </w:p>
    <w:p w:rsidR="00854015" w:rsidRDefault="00854015" w:rsidP="00C15AEB">
      <w:pPr>
        <w:keepLines/>
        <w:tabs>
          <w:tab w:val="left" w:pos="360"/>
          <w:tab w:val="left" w:pos="720"/>
        </w:tabs>
        <w:ind w:left="336"/>
        <w:rPr>
          <w:sz w:val="18"/>
        </w:rPr>
      </w:pP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9.</w:t>
      </w:r>
      <w:r>
        <w:rPr>
          <w:b/>
          <w:sz w:val="18"/>
        </w:rPr>
        <w:tab/>
        <w:t>Explain any decision to provide any payment or gift to respondents, other than remuneration of contractors or grantees.</w:t>
      </w:r>
    </w:p>
    <w:p w:rsidR="00854015" w:rsidRPr="00C15AEB" w:rsidRDefault="00854015" w:rsidP="00C15AEB">
      <w:pPr>
        <w:keepLines/>
        <w:tabs>
          <w:tab w:val="left" w:pos="360"/>
          <w:tab w:val="left" w:pos="720"/>
        </w:tabs>
        <w:ind w:left="336"/>
        <w:rPr>
          <w:sz w:val="22"/>
        </w:rPr>
      </w:pPr>
      <w:r w:rsidRPr="00C15AEB">
        <w:rPr>
          <w:sz w:val="22"/>
        </w:rPr>
        <w:t xml:space="preserve">No gifts or payments </w:t>
      </w:r>
      <w:r w:rsidR="0004179B" w:rsidRPr="00C15AEB">
        <w:rPr>
          <w:sz w:val="22"/>
        </w:rPr>
        <w:t xml:space="preserve">will be provided </w:t>
      </w:r>
      <w:r w:rsidRPr="00C15AEB">
        <w:rPr>
          <w:sz w:val="22"/>
        </w:rPr>
        <w:t xml:space="preserve">other than the payment of </w:t>
      </w:r>
      <w:r w:rsidR="0004179B" w:rsidRPr="00C15AEB">
        <w:rPr>
          <w:sz w:val="22"/>
        </w:rPr>
        <w:t xml:space="preserve">FHA </w:t>
      </w:r>
      <w:r w:rsidRPr="00C15AEB">
        <w:rPr>
          <w:sz w:val="22"/>
        </w:rPr>
        <w:t xml:space="preserve">insurance claims </w:t>
      </w:r>
      <w:r w:rsidR="0004179B" w:rsidRPr="00C15AEB">
        <w:rPr>
          <w:sz w:val="22"/>
        </w:rPr>
        <w:t>and related lender incentive</w:t>
      </w:r>
      <w:r w:rsidR="00C15AEB" w:rsidRPr="00C15AEB">
        <w:rPr>
          <w:sz w:val="22"/>
        </w:rPr>
        <w:t xml:space="preserve"> </w:t>
      </w:r>
      <w:r w:rsidR="0004179B" w:rsidRPr="00C15AEB">
        <w:rPr>
          <w:sz w:val="22"/>
        </w:rPr>
        <w:t xml:space="preserve">payments to support activities that reduce costs to borrower, as described in the Federal Register notice establishing the pilot program.  </w:t>
      </w:r>
    </w:p>
    <w:p w:rsidR="00854015" w:rsidRDefault="00854015">
      <w:pPr>
        <w:keepLines/>
        <w:tabs>
          <w:tab w:val="left" w:pos="360"/>
          <w:tab w:val="left" w:pos="720"/>
        </w:tabs>
        <w:ind w:left="360"/>
        <w:rPr>
          <w:sz w:val="18"/>
        </w:rPr>
      </w:pPr>
    </w:p>
    <w:p w:rsidR="00C8783E" w:rsidRDefault="00854015">
      <w:pPr>
        <w:keepLines/>
        <w:tabs>
          <w:tab w:val="left" w:pos="360"/>
        </w:tabs>
        <w:spacing w:after="80"/>
        <w:ind w:left="360" w:hanging="360"/>
        <w:rPr>
          <w:b/>
          <w:sz w:val="18"/>
        </w:rPr>
      </w:pPr>
      <w:proofErr w:type="gramStart"/>
      <w:r>
        <w:rPr>
          <w:b/>
          <w:sz w:val="18"/>
        </w:rPr>
        <w:t>10.</w:t>
      </w:r>
      <w:r>
        <w:rPr>
          <w:b/>
          <w:sz w:val="18"/>
        </w:rPr>
        <w:tab/>
        <w:t>Describe any assurance of confidentiality provided to respondents and the basis for assurance in statute, regulation or agency policy.</w:t>
      </w:r>
      <w:proofErr w:type="gramEnd"/>
    </w:p>
    <w:p w:rsidR="00BF2ED1" w:rsidRPr="00BF2ED1" w:rsidRDefault="00BF2ED1">
      <w:pPr>
        <w:keepLines/>
        <w:tabs>
          <w:tab w:val="left" w:pos="360"/>
        </w:tabs>
        <w:spacing w:after="80"/>
        <w:ind w:left="360" w:hanging="360"/>
        <w:rPr>
          <w:sz w:val="22"/>
          <w:szCs w:val="22"/>
        </w:rPr>
      </w:pPr>
      <w:r>
        <w:rPr>
          <w:b/>
          <w:sz w:val="18"/>
        </w:rPr>
        <w:tab/>
      </w:r>
      <w:r w:rsidRPr="00BF2ED1">
        <w:rPr>
          <w:sz w:val="22"/>
          <w:szCs w:val="22"/>
        </w:rPr>
        <w:t xml:space="preserve">The </w:t>
      </w:r>
      <w:r>
        <w:rPr>
          <w:sz w:val="22"/>
          <w:szCs w:val="22"/>
        </w:rPr>
        <w:t xml:space="preserve">confidentiality of the information provided by lenders will be safeguarded, consistent with the assurances of confidentiality provided by the Department to </w:t>
      </w:r>
      <w:r w:rsidR="00EB421A">
        <w:rPr>
          <w:sz w:val="22"/>
          <w:szCs w:val="22"/>
        </w:rPr>
        <w:t xml:space="preserve">other </w:t>
      </w:r>
      <w:r>
        <w:rPr>
          <w:sz w:val="22"/>
          <w:szCs w:val="22"/>
        </w:rPr>
        <w:t xml:space="preserve">applicants </w:t>
      </w:r>
      <w:r w:rsidR="00B9789F">
        <w:rPr>
          <w:sz w:val="22"/>
          <w:szCs w:val="22"/>
        </w:rPr>
        <w:t xml:space="preserve">for assistance </w:t>
      </w:r>
      <w:r>
        <w:rPr>
          <w:sz w:val="22"/>
          <w:szCs w:val="22"/>
        </w:rPr>
        <w:t xml:space="preserve">under HUD </w:t>
      </w:r>
      <w:r w:rsidR="00B9789F">
        <w:rPr>
          <w:sz w:val="22"/>
          <w:szCs w:val="22"/>
        </w:rPr>
        <w:t xml:space="preserve">competitive funding </w:t>
      </w:r>
      <w:r>
        <w:rPr>
          <w:sz w:val="22"/>
          <w:szCs w:val="22"/>
        </w:rPr>
        <w:t>programs</w:t>
      </w:r>
      <w:r w:rsidR="00B9789F">
        <w:rPr>
          <w:sz w:val="22"/>
          <w:szCs w:val="22"/>
        </w:rPr>
        <w:t xml:space="preserve">.  </w:t>
      </w:r>
      <w:r>
        <w:rPr>
          <w:sz w:val="22"/>
          <w:szCs w:val="22"/>
        </w:rPr>
        <w:t xml:space="preserve"> </w:t>
      </w:r>
    </w:p>
    <w:p w:rsidR="00C8783E" w:rsidRDefault="00C8783E">
      <w:pPr>
        <w:keepLines/>
        <w:tabs>
          <w:tab w:val="left" w:pos="360"/>
        </w:tabs>
        <w:spacing w:after="80"/>
        <w:ind w:left="360" w:hanging="360"/>
        <w:rPr>
          <w:b/>
          <w:sz w:val="18"/>
        </w:rPr>
      </w:pPr>
    </w:p>
    <w:p w:rsidR="00854015" w:rsidRDefault="00854015">
      <w:pPr>
        <w:keepLines/>
        <w:tabs>
          <w:tab w:val="left" w:pos="360"/>
        </w:tabs>
        <w:spacing w:after="80"/>
        <w:ind w:left="360" w:hanging="360"/>
        <w:rPr>
          <w:b/>
          <w:sz w:val="18"/>
        </w:rPr>
      </w:pPr>
      <w:proofErr w:type="gramStart"/>
      <w:r>
        <w:rPr>
          <w:b/>
          <w:sz w:val="18"/>
        </w:rPr>
        <w:t>11.</w:t>
      </w:r>
      <w:r>
        <w:rPr>
          <w:b/>
          <w:sz w:val="18"/>
        </w:rPr>
        <w:tab/>
        <w:t>Provide additional justification for any questions of a sensitive nature, such as sexual behavior and attitudes, religious beliefs, and other matters that are commonly considered private.</w:t>
      </w:r>
      <w:proofErr w:type="gramEnd"/>
      <w:r>
        <w:rPr>
          <w:b/>
          <w:sz w:val="18"/>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Default="00854015" w:rsidP="00C15AEB">
      <w:pPr>
        <w:keepLines/>
        <w:tabs>
          <w:tab w:val="left" w:pos="360"/>
        </w:tabs>
        <w:ind w:left="360"/>
        <w:rPr>
          <w:sz w:val="22"/>
        </w:rPr>
      </w:pPr>
      <w:r>
        <w:rPr>
          <w:sz w:val="22"/>
        </w:rPr>
        <w:t>No questions of a sensitive nature are included in this request</w:t>
      </w:r>
    </w:p>
    <w:p w:rsidR="00854015" w:rsidRDefault="00854015">
      <w:pPr>
        <w:tabs>
          <w:tab w:val="left" w:pos="360"/>
        </w:tabs>
        <w:ind w:left="360" w:hanging="360"/>
        <w:rPr>
          <w:b/>
          <w:sz w:val="18"/>
        </w:rPr>
      </w:pPr>
    </w:p>
    <w:p w:rsidR="00854015" w:rsidRDefault="00854015">
      <w:pPr>
        <w:tabs>
          <w:tab w:val="left" w:pos="360"/>
        </w:tabs>
        <w:ind w:left="360" w:hanging="360"/>
        <w:rPr>
          <w:b/>
          <w:sz w:val="18"/>
        </w:rPr>
      </w:pPr>
      <w:r>
        <w:rPr>
          <w:b/>
          <w:sz w:val="18"/>
        </w:rPr>
        <w:t>12.</w:t>
      </w:r>
      <w:r>
        <w:rPr>
          <w:sz w:val="18"/>
        </w:rPr>
        <w:tab/>
      </w:r>
      <w:r>
        <w:rPr>
          <w:b/>
          <w:sz w:val="18"/>
        </w:rPr>
        <w:t xml:space="preserve">Provide estimates of the hour burden of the collection of information.  The statement should: </w:t>
      </w:r>
    </w:p>
    <w:p w:rsidR="00854015" w:rsidRDefault="00854015">
      <w:pPr>
        <w:numPr>
          <w:ilvl w:val="0"/>
          <w:numId w:val="14"/>
        </w:numPr>
        <w:tabs>
          <w:tab w:val="left" w:pos="480"/>
        </w:tabs>
        <w:ind w:left="480"/>
        <w:rPr>
          <w:b/>
          <w:sz w:val="18"/>
        </w:rPr>
      </w:pPr>
      <w:proofErr w:type="gramStart"/>
      <w:r>
        <w:rPr>
          <w:b/>
          <w:sz w:val="18"/>
        </w:rPr>
        <w:t>indicate</w:t>
      </w:r>
      <w:proofErr w:type="gramEnd"/>
      <w:r>
        <w:rPr>
          <w:b/>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4015" w:rsidRDefault="00854015">
      <w:pPr>
        <w:numPr>
          <w:ilvl w:val="0"/>
          <w:numId w:val="14"/>
        </w:numPr>
        <w:tabs>
          <w:tab w:val="left" w:pos="480"/>
        </w:tabs>
        <w:ind w:left="480"/>
        <w:rPr>
          <w:b/>
          <w:sz w:val="18"/>
        </w:rPr>
      </w:pPr>
      <w:r>
        <w:rPr>
          <w:b/>
          <w:sz w:val="18"/>
        </w:rPr>
        <w:t xml:space="preserve">if this request covers more than one form, provide separate hour burden estimates for each form and aggregate the hour burdens in Item 13 of OMB Form 83-I; and </w:t>
      </w:r>
    </w:p>
    <w:p w:rsidR="00854015" w:rsidRDefault="00854015">
      <w:pPr>
        <w:keepLines/>
        <w:numPr>
          <w:ilvl w:val="0"/>
          <w:numId w:val="14"/>
        </w:numPr>
        <w:tabs>
          <w:tab w:val="left" w:pos="480"/>
        </w:tabs>
        <w:spacing w:after="80"/>
        <w:ind w:left="480"/>
        <w:rPr>
          <w:b/>
          <w:sz w:val="18"/>
        </w:rPr>
      </w:pPr>
      <w:proofErr w:type="gramStart"/>
      <w:r>
        <w:rPr>
          <w:b/>
          <w:sz w:val="18"/>
        </w:rPr>
        <w:t>provide</w:t>
      </w:r>
      <w:proofErr w:type="gramEnd"/>
      <w:r>
        <w:rPr>
          <w:b/>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57"/>
        <w:gridCol w:w="1174"/>
        <w:gridCol w:w="1204"/>
        <w:gridCol w:w="1140"/>
        <w:gridCol w:w="981"/>
        <w:gridCol w:w="1140"/>
        <w:gridCol w:w="1017"/>
      </w:tblGrid>
      <w:tr w:rsidR="001D6DD2" w:rsidRPr="00E2322D" w:rsidTr="00DA327C">
        <w:tc>
          <w:tcPr>
            <w:tcW w:w="1440" w:type="dxa"/>
            <w:vAlign w:val="center"/>
          </w:tcPr>
          <w:p w:rsidR="001D6DD2" w:rsidRPr="00E2322D" w:rsidRDefault="001D6DD2" w:rsidP="00426C86">
            <w:pPr>
              <w:rPr>
                <w:b/>
                <w:sz w:val="18"/>
              </w:rPr>
            </w:pPr>
            <w:r w:rsidRPr="00E2322D">
              <w:rPr>
                <w:b/>
                <w:sz w:val="18"/>
              </w:rPr>
              <w:t>Information Collection</w:t>
            </w:r>
          </w:p>
        </w:tc>
        <w:tc>
          <w:tcPr>
            <w:tcW w:w="1357" w:type="dxa"/>
            <w:vAlign w:val="center"/>
          </w:tcPr>
          <w:p w:rsidR="001D6DD2" w:rsidRPr="00E2322D" w:rsidRDefault="001D6DD2" w:rsidP="00426C86">
            <w:pPr>
              <w:rPr>
                <w:b/>
                <w:sz w:val="18"/>
              </w:rPr>
            </w:pPr>
            <w:r w:rsidRPr="00E2322D">
              <w:rPr>
                <w:b/>
                <w:sz w:val="18"/>
              </w:rPr>
              <w:t>Number of Respondents</w:t>
            </w:r>
          </w:p>
        </w:tc>
        <w:tc>
          <w:tcPr>
            <w:tcW w:w="1174" w:type="dxa"/>
            <w:vAlign w:val="center"/>
          </w:tcPr>
          <w:p w:rsidR="001D6DD2" w:rsidRPr="00E2322D" w:rsidRDefault="001D6DD2" w:rsidP="00426C86">
            <w:pPr>
              <w:rPr>
                <w:b/>
                <w:sz w:val="18"/>
              </w:rPr>
            </w:pPr>
            <w:r w:rsidRPr="00E2322D">
              <w:rPr>
                <w:b/>
                <w:sz w:val="18"/>
              </w:rPr>
              <w:t>Frequency of Response</w:t>
            </w:r>
          </w:p>
        </w:tc>
        <w:tc>
          <w:tcPr>
            <w:tcW w:w="1204" w:type="dxa"/>
            <w:vAlign w:val="center"/>
          </w:tcPr>
          <w:p w:rsidR="001D6DD2" w:rsidRPr="00E2322D" w:rsidRDefault="001D6DD2" w:rsidP="00426C86">
            <w:pPr>
              <w:rPr>
                <w:b/>
                <w:sz w:val="18"/>
              </w:rPr>
            </w:pPr>
            <w:r w:rsidRPr="00E2322D">
              <w:rPr>
                <w:b/>
                <w:sz w:val="18"/>
              </w:rPr>
              <w:t>Responses</w:t>
            </w:r>
          </w:p>
          <w:p w:rsidR="001D6DD2" w:rsidRPr="00E2322D" w:rsidRDefault="001D6DD2" w:rsidP="00426C86">
            <w:pPr>
              <w:rPr>
                <w:b/>
                <w:sz w:val="18"/>
              </w:rPr>
            </w:pPr>
            <w:r w:rsidRPr="00E2322D">
              <w:rPr>
                <w:b/>
                <w:sz w:val="18"/>
              </w:rPr>
              <w:t>Per Annum</w:t>
            </w:r>
          </w:p>
        </w:tc>
        <w:tc>
          <w:tcPr>
            <w:tcW w:w="1140" w:type="dxa"/>
            <w:vAlign w:val="center"/>
          </w:tcPr>
          <w:p w:rsidR="001D6DD2" w:rsidRPr="00E2322D" w:rsidRDefault="001D6DD2" w:rsidP="00426C86">
            <w:pPr>
              <w:rPr>
                <w:b/>
                <w:sz w:val="18"/>
              </w:rPr>
            </w:pPr>
            <w:r w:rsidRPr="00E2322D">
              <w:rPr>
                <w:b/>
                <w:sz w:val="18"/>
              </w:rPr>
              <w:t>Burden Hour Per Response</w:t>
            </w:r>
          </w:p>
        </w:tc>
        <w:tc>
          <w:tcPr>
            <w:tcW w:w="981" w:type="dxa"/>
            <w:vAlign w:val="center"/>
          </w:tcPr>
          <w:p w:rsidR="001D6DD2" w:rsidRPr="00E2322D" w:rsidRDefault="001D6DD2" w:rsidP="00426C86">
            <w:pPr>
              <w:rPr>
                <w:b/>
                <w:sz w:val="18"/>
              </w:rPr>
            </w:pPr>
            <w:r w:rsidRPr="00E2322D">
              <w:rPr>
                <w:b/>
                <w:sz w:val="18"/>
              </w:rPr>
              <w:t>Annual Burden Hours</w:t>
            </w:r>
          </w:p>
        </w:tc>
        <w:tc>
          <w:tcPr>
            <w:tcW w:w="1140" w:type="dxa"/>
            <w:vAlign w:val="center"/>
          </w:tcPr>
          <w:p w:rsidR="001D6DD2" w:rsidRPr="00E2322D" w:rsidRDefault="001D6DD2" w:rsidP="00426C86">
            <w:pPr>
              <w:rPr>
                <w:b/>
                <w:sz w:val="18"/>
              </w:rPr>
            </w:pPr>
            <w:r w:rsidRPr="00E2322D">
              <w:rPr>
                <w:b/>
                <w:sz w:val="18"/>
              </w:rPr>
              <w:t>Hourly Cost Per Response</w:t>
            </w:r>
            <w:r>
              <w:rPr>
                <w:b/>
                <w:sz w:val="18"/>
              </w:rPr>
              <w:t>*</w:t>
            </w:r>
          </w:p>
        </w:tc>
        <w:tc>
          <w:tcPr>
            <w:tcW w:w="1017" w:type="dxa"/>
            <w:vAlign w:val="center"/>
          </w:tcPr>
          <w:p w:rsidR="001D6DD2" w:rsidRPr="00E2322D" w:rsidRDefault="001D6DD2" w:rsidP="00426C86">
            <w:pPr>
              <w:rPr>
                <w:b/>
                <w:sz w:val="18"/>
              </w:rPr>
            </w:pPr>
            <w:r w:rsidRPr="00E2322D">
              <w:rPr>
                <w:b/>
                <w:sz w:val="18"/>
              </w:rPr>
              <w:t>Annual Cost</w:t>
            </w:r>
          </w:p>
          <w:p w:rsidR="001D6DD2" w:rsidRPr="00E2322D" w:rsidRDefault="001D6DD2" w:rsidP="00426C86">
            <w:pPr>
              <w:rPr>
                <w:b/>
                <w:sz w:val="18"/>
              </w:rPr>
            </w:pPr>
          </w:p>
        </w:tc>
      </w:tr>
      <w:tr w:rsidR="001D6DD2" w:rsidRPr="00E2322D" w:rsidTr="00DA327C">
        <w:tc>
          <w:tcPr>
            <w:tcW w:w="1440" w:type="dxa"/>
          </w:tcPr>
          <w:p w:rsidR="001D6DD2" w:rsidRPr="00E2322D" w:rsidRDefault="001D6DD2" w:rsidP="00426C86">
            <w:pPr>
              <w:spacing w:before="60"/>
              <w:rPr>
                <w:sz w:val="18"/>
              </w:rPr>
            </w:pPr>
            <w:r w:rsidRPr="00E2322D">
              <w:rPr>
                <w:sz w:val="18"/>
              </w:rPr>
              <w:t xml:space="preserve">FHA </w:t>
            </w:r>
            <w:proofErr w:type="spellStart"/>
            <w:r w:rsidRPr="00E2322D">
              <w:rPr>
                <w:sz w:val="18"/>
              </w:rPr>
              <w:t>PowerSaver</w:t>
            </w:r>
            <w:proofErr w:type="spellEnd"/>
            <w:r w:rsidRPr="00E2322D">
              <w:rPr>
                <w:sz w:val="18"/>
              </w:rPr>
              <w:t xml:space="preserve"> Loan Pilot</w:t>
            </w:r>
          </w:p>
        </w:tc>
        <w:tc>
          <w:tcPr>
            <w:tcW w:w="1357" w:type="dxa"/>
            <w:vAlign w:val="center"/>
          </w:tcPr>
          <w:p w:rsidR="001D6DD2" w:rsidRPr="00E2322D" w:rsidRDefault="00D53086" w:rsidP="00426C86">
            <w:pPr>
              <w:spacing w:before="60"/>
              <w:jc w:val="center"/>
              <w:rPr>
                <w:sz w:val="18"/>
              </w:rPr>
            </w:pPr>
            <w:r>
              <w:rPr>
                <w:sz w:val="18"/>
              </w:rPr>
              <w:t>20</w:t>
            </w:r>
          </w:p>
        </w:tc>
        <w:tc>
          <w:tcPr>
            <w:tcW w:w="1174" w:type="dxa"/>
            <w:vAlign w:val="center"/>
          </w:tcPr>
          <w:p w:rsidR="001D6DD2" w:rsidRPr="00E2322D" w:rsidRDefault="00D71501" w:rsidP="00426C86">
            <w:pPr>
              <w:spacing w:before="60"/>
              <w:jc w:val="center"/>
              <w:rPr>
                <w:sz w:val="18"/>
              </w:rPr>
            </w:pPr>
            <w:r>
              <w:rPr>
                <w:sz w:val="18"/>
              </w:rPr>
              <w:t>1</w:t>
            </w:r>
          </w:p>
        </w:tc>
        <w:tc>
          <w:tcPr>
            <w:tcW w:w="1204" w:type="dxa"/>
            <w:vAlign w:val="center"/>
          </w:tcPr>
          <w:p w:rsidR="001D6DD2" w:rsidRPr="00E2322D" w:rsidRDefault="00D71501" w:rsidP="00426C86">
            <w:pPr>
              <w:spacing w:before="60"/>
              <w:jc w:val="center"/>
              <w:rPr>
                <w:sz w:val="18"/>
              </w:rPr>
            </w:pPr>
            <w:r>
              <w:rPr>
                <w:sz w:val="18"/>
              </w:rPr>
              <w:t>20</w:t>
            </w:r>
          </w:p>
        </w:tc>
        <w:tc>
          <w:tcPr>
            <w:tcW w:w="1140" w:type="dxa"/>
            <w:vAlign w:val="center"/>
          </w:tcPr>
          <w:p w:rsidR="001D6DD2" w:rsidRPr="00E2322D" w:rsidRDefault="00D71501" w:rsidP="00426C86">
            <w:pPr>
              <w:spacing w:before="60"/>
              <w:jc w:val="center"/>
              <w:rPr>
                <w:sz w:val="18"/>
              </w:rPr>
            </w:pPr>
            <w:r>
              <w:rPr>
                <w:sz w:val="18"/>
              </w:rPr>
              <w:t>16</w:t>
            </w:r>
          </w:p>
        </w:tc>
        <w:tc>
          <w:tcPr>
            <w:tcW w:w="981" w:type="dxa"/>
            <w:vAlign w:val="center"/>
          </w:tcPr>
          <w:p w:rsidR="001D6DD2" w:rsidRPr="00E2322D" w:rsidRDefault="00D71501" w:rsidP="00426C86">
            <w:pPr>
              <w:spacing w:before="60"/>
              <w:jc w:val="center"/>
              <w:rPr>
                <w:sz w:val="18"/>
              </w:rPr>
            </w:pPr>
            <w:r>
              <w:rPr>
                <w:sz w:val="18"/>
              </w:rPr>
              <w:t>320</w:t>
            </w:r>
          </w:p>
        </w:tc>
        <w:tc>
          <w:tcPr>
            <w:tcW w:w="1140" w:type="dxa"/>
            <w:vAlign w:val="center"/>
          </w:tcPr>
          <w:p w:rsidR="001D6DD2" w:rsidRPr="00E2322D" w:rsidRDefault="001D6DD2" w:rsidP="00426C86">
            <w:pPr>
              <w:spacing w:before="60"/>
              <w:jc w:val="center"/>
              <w:rPr>
                <w:sz w:val="18"/>
              </w:rPr>
            </w:pPr>
            <w:r w:rsidRPr="00E2322D">
              <w:rPr>
                <w:sz w:val="18"/>
              </w:rPr>
              <w:t>$48</w:t>
            </w:r>
          </w:p>
        </w:tc>
        <w:tc>
          <w:tcPr>
            <w:tcW w:w="1017" w:type="dxa"/>
            <w:vAlign w:val="center"/>
          </w:tcPr>
          <w:p w:rsidR="001D6DD2" w:rsidRPr="00E2322D" w:rsidRDefault="00AF2262" w:rsidP="00C7425C">
            <w:pPr>
              <w:spacing w:before="60"/>
              <w:jc w:val="center"/>
              <w:rPr>
                <w:sz w:val="18"/>
              </w:rPr>
            </w:pPr>
            <w:r>
              <w:rPr>
                <w:sz w:val="18"/>
              </w:rPr>
              <w:t>$</w:t>
            </w:r>
            <w:r w:rsidR="00D71501">
              <w:rPr>
                <w:sz w:val="18"/>
              </w:rPr>
              <w:t>15,360</w:t>
            </w:r>
          </w:p>
        </w:tc>
      </w:tr>
    </w:tbl>
    <w:p w:rsidR="00854015" w:rsidRDefault="001D6DD2" w:rsidP="001D6DD2">
      <w:pPr>
        <w:tabs>
          <w:tab w:val="left" w:pos="360"/>
        </w:tabs>
        <w:ind w:left="720" w:hanging="360"/>
      </w:pPr>
      <w:r>
        <w:rPr>
          <w:b/>
        </w:rPr>
        <w:tab/>
      </w:r>
      <w:r w:rsidRPr="00071BF2">
        <w:rPr>
          <w:b/>
        </w:rPr>
        <w:t>*</w:t>
      </w:r>
      <w:r w:rsidRPr="00071BF2">
        <w:t>The hourly cost is based on an estimate of the average annual salary of respondent staff at the equivalent of the Federal hourly rate of a GS-13 at the mid-point level.</w:t>
      </w:r>
    </w:p>
    <w:p w:rsidR="001D6DD2" w:rsidRPr="0004179B" w:rsidRDefault="001D6DD2" w:rsidP="001D6DD2">
      <w:pPr>
        <w:tabs>
          <w:tab w:val="left" w:pos="360"/>
        </w:tabs>
        <w:ind w:left="720" w:hanging="360"/>
        <w:rPr>
          <w:b/>
          <w:sz w:val="22"/>
        </w:rPr>
      </w:pPr>
    </w:p>
    <w:p w:rsidR="00854015" w:rsidRDefault="00854015">
      <w:pPr>
        <w:tabs>
          <w:tab w:val="left" w:pos="360"/>
        </w:tabs>
        <w:ind w:left="360" w:hanging="360"/>
        <w:rPr>
          <w:b/>
          <w:sz w:val="18"/>
        </w:rPr>
      </w:pPr>
      <w:r>
        <w:rPr>
          <w:b/>
          <w:sz w:val="18"/>
        </w:rPr>
        <w:t>13.</w:t>
      </w:r>
      <w:r>
        <w:rPr>
          <w:b/>
          <w:sz w:val="18"/>
        </w:rPr>
        <w:tab/>
        <w:t xml:space="preserve">Provide an estimate of the total annual cost burden to respondents or </w:t>
      </w:r>
      <w:proofErr w:type="spellStart"/>
      <w:r>
        <w:rPr>
          <w:b/>
          <w:sz w:val="18"/>
        </w:rPr>
        <w:t>recordkeepers</w:t>
      </w:r>
      <w:proofErr w:type="spellEnd"/>
      <w:r>
        <w:rPr>
          <w:b/>
          <w:sz w:val="18"/>
        </w:rPr>
        <w:t xml:space="preserve"> resulting from the collection of information (do not include the cost of any hour burden shown in Items 12 and 14). </w:t>
      </w:r>
    </w:p>
    <w:p w:rsidR="00854015" w:rsidRDefault="00854015">
      <w:pPr>
        <w:numPr>
          <w:ilvl w:val="0"/>
          <w:numId w:val="14"/>
        </w:numPr>
        <w:tabs>
          <w:tab w:val="left" w:pos="360"/>
        </w:tabs>
        <w:ind w:left="480"/>
        <w:rPr>
          <w:b/>
          <w:sz w:val="18"/>
        </w:rPr>
      </w:pPr>
      <w:r>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Default="00854015">
      <w:pPr>
        <w:numPr>
          <w:ilvl w:val="0"/>
          <w:numId w:val="14"/>
        </w:numPr>
        <w:tabs>
          <w:tab w:val="left" w:pos="360"/>
        </w:tabs>
        <w:ind w:left="480"/>
        <w:rPr>
          <w:b/>
          <w:sz w:val="18"/>
        </w:rPr>
      </w:pPr>
      <w:r>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Default="00854015">
      <w:pPr>
        <w:keepLines/>
        <w:numPr>
          <w:ilvl w:val="0"/>
          <w:numId w:val="14"/>
        </w:numPr>
        <w:tabs>
          <w:tab w:val="left" w:pos="360"/>
        </w:tabs>
        <w:spacing w:after="80"/>
        <w:ind w:left="480"/>
        <w:rPr>
          <w:b/>
          <w:sz w:val="18"/>
        </w:rPr>
      </w:pPr>
      <w:proofErr w:type="gramStart"/>
      <w:r>
        <w:rPr>
          <w:b/>
          <w:sz w:val="18"/>
        </w:rPr>
        <w:t>generally</w:t>
      </w:r>
      <w:proofErr w:type="gramEnd"/>
      <w:r>
        <w:rPr>
          <w:b/>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4015" w:rsidRDefault="00854015" w:rsidP="00C15AEB">
      <w:pPr>
        <w:keepLines/>
        <w:tabs>
          <w:tab w:val="left" w:pos="360"/>
          <w:tab w:val="left" w:pos="720"/>
        </w:tabs>
        <w:ind w:left="336"/>
        <w:rPr>
          <w:sz w:val="22"/>
        </w:rPr>
      </w:pPr>
      <w:r>
        <w:rPr>
          <w:sz w:val="22"/>
        </w:rPr>
        <w:t xml:space="preserve">There are no </w:t>
      </w:r>
      <w:r w:rsidR="0050215A">
        <w:rPr>
          <w:sz w:val="22"/>
        </w:rPr>
        <w:t xml:space="preserve">additional costs to respondent lenders.  </w:t>
      </w:r>
    </w:p>
    <w:p w:rsidR="00854015" w:rsidRDefault="00854015">
      <w:pPr>
        <w:tabs>
          <w:tab w:val="left" w:pos="360"/>
        </w:tabs>
        <w:ind w:left="360" w:hanging="360"/>
        <w:rPr>
          <w:sz w:val="22"/>
        </w:rPr>
      </w:pPr>
    </w:p>
    <w:p w:rsidR="00854015" w:rsidRDefault="00854015">
      <w:pPr>
        <w:pStyle w:val="BodyTextIndent"/>
        <w:rPr>
          <w:b/>
        </w:rPr>
      </w:pPr>
      <w:r>
        <w:rPr>
          <w:b/>
        </w:rPr>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50"/>
        <w:gridCol w:w="1112"/>
        <w:gridCol w:w="1204"/>
        <w:gridCol w:w="1140"/>
        <w:gridCol w:w="981"/>
        <w:gridCol w:w="1140"/>
        <w:gridCol w:w="1017"/>
      </w:tblGrid>
      <w:tr w:rsidR="001D6DD2" w:rsidRPr="00E2322D" w:rsidTr="001D6DD2">
        <w:tc>
          <w:tcPr>
            <w:tcW w:w="1440" w:type="dxa"/>
            <w:vAlign w:val="center"/>
          </w:tcPr>
          <w:p w:rsidR="001D6DD2" w:rsidRPr="00E2322D" w:rsidRDefault="001D6DD2" w:rsidP="001D6DD2">
            <w:pPr>
              <w:pStyle w:val="BodyTextIndent"/>
              <w:tabs>
                <w:tab w:val="clear" w:pos="360"/>
              </w:tabs>
              <w:ind w:left="0" w:firstLine="0"/>
              <w:rPr>
                <w:b/>
              </w:rPr>
            </w:pPr>
            <w:r w:rsidRPr="00E2322D">
              <w:rPr>
                <w:b/>
              </w:rPr>
              <w:t>Information Collection</w:t>
            </w:r>
          </w:p>
        </w:tc>
        <w:tc>
          <w:tcPr>
            <w:tcW w:w="1350" w:type="dxa"/>
            <w:vAlign w:val="center"/>
          </w:tcPr>
          <w:p w:rsidR="001D6DD2" w:rsidRPr="00E2322D" w:rsidRDefault="001D6DD2" w:rsidP="00426C86">
            <w:pPr>
              <w:pStyle w:val="BodyTextIndent"/>
              <w:tabs>
                <w:tab w:val="clear" w:pos="360"/>
              </w:tabs>
              <w:ind w:left="0" w:firstLine="0"/>
              <w:rPr>
                <w:b/>
              </w:rPr>
            </w:pPr>
            <w:r w:rsidRPr="00E2322D">
              <w:rPr>
                <w:b/>
              </w:rPr>
              <w:t>Number of Responses</w:t>
            </w:r>
          </w:p>
        </w:tc>
        <w:tc>
          <w:tcPr>
            <w:tcW w:w="1112" w:type="dxa"/>
            <w:vAlign w:val="center"/>
          </w:tcPr>
          <w:p w:rsidR="001D6DD2" w:rsidRPr="00E2322D" w:rsidRDefault="001D6DD2" w:rsidP="00426C86">
            <w:pPr>
              <w:pStyle w:val="BodyTextIndent"/>
              <w:tabs>
                <w:tab w:val="clear" w:pos="360"/>
              </w:tabs>
              <w:ind w:left="-18" w:firstLine="18"/>
              <w:rPr>
                <w:b/>
              </w:rPr>
            </w:pPr>
            <w:r w:rsidRPr="00E2322D">
              <w:rPr>
                <w:b/>
              </w:rPr>
              <w:t>Frequency of Response</w:t>
            </w:r>
          </w:p>
        </w:tc>
        <w:tc>
          <w:tcPr>
            <w:tcW w:w="1204" w:type="dxa"/>
            <w:vAlign w:val="center"/>
          </w:tcPr>
          <w:p w:rsidR="001D6DD2" w:rsidRPr="00E2322D" w:rsidRDefault="001D6DD2" w:rsidP="00426C86">
            <w:pPr>
              <w:pStyle w:val="BodyTextIndent"/>
              <w:rPr>
                <w:b/>
              </w:rPr>
            </w:pPr>
            <w:r w:rsidRPr="00E2322D">
              <w:rPr>
                <w:b/>
              </w:rPr>
              <w:t>Responses</w:t>
            </w:r>
          </w:p>
          <w:p w:rsidR="001D6DD2" w:rsidRPr="00E2322D" w:rsidRDefault="001D6DD2" w:rsidP="00426C86">
            <w:pPr>
              <w:pStyle w:val="BodyTextIndent"/>
              <w:rPr>
                <w:b/>
              </w:rPr>
            </w:pPr>
            <w:r w:rsidRPr="00E2322D">
              <w:rPr>
                <w:b/>
              </w:rPr>
              <w:t>Per Annum</w:t>
            </w:r>
          </w:p>
        </w:tc>
        <w:tc>
          <w:tcPr>
            <w:tcW w:w="1140" w:type="dxa"/>
            <w:vAlign w:val="center"/>
          </w:tcPr>
          <w:p w:rsidR="001D6DD2" w:rsidRPr="00E2322D" w:rsidRDefault="001D6DD2" w:rsidP="00426C86">
            <w:pPr>
              <w:pStyle w:val="BodyTextIndent"/>
              <w:tabs>
                <w:tab w:val="clear" w:pos="360"/>
              </w:tabs>
              <w:ind w:left="6" w:hanging="6"/>
              <w:rPr>
                <w:b/>
              </w:rPr>
            </w:pPr>
            <w:r w:rsidRPr="00E2322D">
              <w:rPr>
                <w:b/>
              </w:rPr>
              <w:t>Burden Hour Per Response</w:t>
            </w:r>
          </w:p>
        </w:tc>
        <w:tc>
          <w:tcPr>
            <w:tcW w:w="981" w:type="dxa"/>
            <w:vAlign w:val="center"/>
          </w:tcPr>
          <w:p w:rsidR="001D6DD2" w:rsidRPr="00E2322D" w:rsidRDefault="001D6DD2" w:rsidP="00426C86">
            <w:pPr>
              <w:pStyle w:val="BodyTextIndent"/>
              <w:tabs>
                <w:tab w:val="clear" w:pos="360"/>
              </w:tabs>
              <w:ind w:left="6" w:hanging="6"/>
              <w:rPr>
                <w:b/>
              </w:rPr>
            </w:pPr>
            <w:r w:rsidRPr="00E2322D">
              <w:rPr>
                <w:b/>
              </w:rPr>
              <w:t>Annual Burden Hours</w:t>
            </w:r>
          </w:p>
        </w:tc>
        <w:tc>
          <w:tcPr>
            <w:tcW w:w="1140" w:type="dxa"/>
            <w:vAlign w:val="center"/>
          </w:tcPr>
          <w:p w:rsidR="001D6DD2" w:rsidRPr="00E2322D" w:rsidRDefault="001D6DD2" w:rsidP="00426C86">
            <w:pPr>
              <w:pStyle w:val="BodyTextIndent"/>
              <w:tabs>
                <w:tab w:val="clear" w:pos="360"/>
              </w:tabs>
              <w:ind w:left="6" w:hanging="6"/>
              <w:rPr>
                <w:b/>
              </w:rPr>
            </w:pPr>
            <w:r w:rsidRPr="00E2322D">
              <w:rPr>
                <w:b/>
              </w:rPr>
              <w:t>Hourly Cost Per Response</w:t>
            </w:r>
          </w:p>
        </w:tc>
        <w:tc>
          <w:tcPr>
            <w:tcW w:w="1017" w:type="dxa"/>
            <w:vAlign w:val="center"/>
          </w:tcPr>
          <w:p w:rsidR="001D6DD2" w:rsidRPr="00E2322D" w:rsidRDefault="001D6DD2" w:rsidP="00426C86">
            <w:pPr>
              <w:pStyle w:val="BodyTextIndent"/>
              <w:tabs>
                <w:tab w:val="clear" w:pos="360"/>
              </w:tabs>
              <w:ind w:left="6" w:hanging="6"/>
              <w:rPr>
                <w:b/>
              </w:rPr>
            </w:pPr>
            <w:r w:rsidRPr="00E2322D">
              <w:rPr>
                <w:b/>
              </w:rPr>
              <w:t>Annual Cost</w:t>
            </w:r>
          </w:p>
          <w:p w:rsidR="001D6DD2" w:rsidRPr="00E2322D" w:rsidRDefault="001D6DD2" w:rsidP="00426C86">
            <w:pPr>
              <w:pStyle w:val="BodyTextIndent"/>
              <w:tabs>
                <w:tab w:val="clear" w:pos="360"/>
              </w:tabs>
              <w:ind w:left="6" w:hanging="6"/>
              <w:rPr>
                <w:b/>
              </w:rPr>
            </w:pPr>
          </w:p>
        </w:tc>
      </w:tr>
      <w:tr w:rsidR="001D6DD2" w:rsidRPr="00E2322D" w:rsidTr="001D6DD2">
        <w:tc>
          <w:tcPr>
            <w:tcW w:w="1440" w:type="dxa"/>
          </w:tcPr>
          <w:p w:rsidR="001D6DD2" w:rsidRPr="00E2322D" w:rsidRDefault="001D6DD2" w:rsidP="00426C86">
            <w:pPr>
              <w:spacing w:before="60"/>
              <w:rPr>
                <w:sz w:val="18"/>
              </w:rPr>
            </w:pPr>
            <w:r w:rsidRPr="00E2322D">
              <w:rPr>
                <w:sz w:val="18"/>
              </w:rPr>
              <w:t xml:space="preserve">FHA </w:t>
            </w:r>
            <w:proofErr w:type="spellStart"/>
            <w:r w:rsidRPr="00E2322D">
              <w:rPr>
                <w:sz w:val="18"/>
              </w:rPr>
              <w:t>PowerSaver</w:t>
            </w:r>
            <w:proofErr w:type="spellEnd"/>
            <w:r w:rsidRPr="00E2322D">
              <w:rPr>
                <w:sz w:val="18"/>
              </w:rPr>
              <w:t xml:space="preserve"> Loan Pilot</w:t>
            </w:r>
          </w:p>
        </w:tc>
        <w:tc>
          <w:tcPr>
            <w:tcW w:w="1350" w:type="dxa"/>
            <w:vAlign w:val="center"/>
          </w:tcPr>
          <w:p w:rsidR="001D6DD2" w:rsidRPr="00E2322D" w:rsidRDefault="00753D55" w:rsidP="00426C86">
            <w:pPr>
              <w:spacing w:before="60"/>
              <w:jc w:val="center"/>
              <w:rPr>
                <w:sz w:val="18"/>
              </w:rPr>
            </w:pPr>
            <w:r>
              <w:rPr>
                <w:sz w:val="18"/>
              </w:rPr>
              <w:t>20</w:t>
            </w:r>
          </w:p>
        </w:tc>
        <w:tc>
          <w:tcPr>
            <w:tcW w:w="1112" w:type="dxa"/>
            <w:vAlign w:val="center"/>
          </w:tcPr>
          <w:p w:rsidR="001D6DD2" w:rsidRPr="00E2322D" w:rsidRDefault="00D71501" w:rsidP="00426C86">
            <w:pPr>
              <w:spacing w:before="60"/>
              <w:jc w:val="center"/>
              <w:rPr>
                <w:sz w:val="18"/>
              </w:rPr>
            </w:pPr>
            <w:r>
              <w:rPr>
                <w:sz w:val="18"/>
              </w:rPr>
              <w:t>1</w:t>
            </w:r>
          </w:p>
        </w:tc>
        <w:tc>
          <w:tcPr>
            <w:tcW w:w="1204" w:type="dxa"/>
            <w:vAlign w:val="center"/>
          </w:tcPr>
          <w:p w:rsidR="001D6DD2" w:rsidRPr="00E2322D" w:rsidRDefault="00D71501" w:rsidP="00426C86">
            <w:pPr>
              <w:spacing w:before="60"/>
              <w:jc w:val="center"/>
              <w:rPr>
                <w:sz w:val="18"/>
              </w:rPr>
            </w:pPr>
            <w:r>
              <w:rPr>
                <w:sz w:val="18"/>
              </w:rPr>
              <w:t>20</w:t>
            </w:r>
          </w:p>
        </w:tc>
        <w:tc>
          <w:tcPr>
            <w:tcW w:w="1140" w:type="dxa"/>
            <w:vAlign w:val="center"/>
          </w:tcPr>
          <w:p w:rsidR="001D6DD2" w:rsidRPr="00E2322D" w:rsidRDefault="00D71501" w:rsidP="00426C86">
            <w:pPr>
              <w:spacing w:before="60"/>
              <w:jc w:val="center"/>
              <w:rPr>
                <w:sz w:val="18"/>
              </w:rPr>
            </w:pPr>
            <w:r>
              <w:rPr>
                <w:sz w:val="18"/>
              </w:rPr>
              <w:t>1</w:t>
            </w:r>
          </w:p>
        </w:tc>
        <w:tc>
          <w:tcPr>
            <w:tcW w:w="981" w:type="dxa"/>
            <w:vAlign w:val="center"/>
          </w:tcPr>
          <w:p w:rsidR="001D6DD2" w:rsidRPr="00E2322D" w:rsidRDefault="00D71501" w:rsidP="00426C86">
            <w:pPr>
              <w:spacing w:before="60"/>
              <w:jc w:val="center"/>
              <w:rPr>
                <w:sz w:val="18"/>
              </w:rPr>
            </w:pPr>
            <w:r>
              <w:rPr>
                <w:sz w:val="18"/>
              </w:rPr>
              <w:t>20</w:t>
            </w:r>
          </w:p>
        </w:tc>
        <w:tc>
          <w:tcPr>
            <w:tcW w:w="1140" w:type="dxa"/>
            <w:vAlign w:val="center"/>
          </w:tcPr>
          <w:p w:rsidR="001D6DD2" w:rsidRPr="00E2322D" w:rsidRDefault="00753D55" w:rsidP="00426C86">
            <w:pPr>
              <w:spacing w:before="60"/>
              <w:jc w:val="center"/>
              <w:rPr>
                <w:sz w:val="18"/>
              </w:rPr>
            </w:pPr>
            <w:r w:rsidRPr="00E2322D">
              <w:rPr>
                <w:sz w:val="18"/>
              </w:rPr>
              <w:t>$48</w:t>
            </w:r>
          </w:p>
        </w:tc>
        <w:tc>
          <w:tcPr>
            <w:tcW w:w="1017" w:type="dxa"/>
            <w:vAlign w:val="center"/>
          </w:tcPr>
          <w:p w:rsidR="001D6DD2" w:rsidRPr="00E2322D" w:rsidRDefault="00753D55" w:rsidP="00426C86">
            <w:pPr>
              <w:spacing w:before="60"/>
              <w:jc w:val="center"/>
              <w:rPr>
                <w:sz w:val="18"/>
              </w:rPr>
            </w:pPr>
            <w:r>
              <w:rPr>
                <w:sz w:val="18"/>
              </w:rPr>
              <w:t>$</w:t>
            </w:r>
            <w:r w:rsidR="000808BE">
              <w:rPr>
                <w:sz w:val="18"/>
              </w:rPr>
              <w:t>960</w:t>
            </w:r>
          </w:p>
        </w:tc>
      </w:tr>
    </w:tbl>
    <w:p w:rsidR="00753D55" w:rsidRDefault="00753D55" w:rsidP="00753D55">
      <w:pPr>
        <w:tabs>
          <w:tab w:val="left" w:pos="360"/>
        </w:tabs>
        <w:ind w:left="720" w:hanging="360"/>
      </w:pPr>
      <w:r>
        <w:rPr>
          <w:b/>
        </w:rPr>
        <w:tab/>
      </w:r>
      <w:r w:rsidRPr="00071BF2">
        <w:rPr>
          <w:b/>
        </w:rPr>
        <w:t>*</w:t>
      </w:r>
      <w:r w:rsidRPr="00071BF2">
        <w:t xml:space="preserve">The hourly cost is based on an annual salary of </w:t>
      </w:r>
      <w:r w:rsidR="00A34200">
        <w:t xml:space="preserve">a GS-13 </w:t>
      </w:r>
      <w:r w:rsidRPr="00071BF2">
        <w:t>at the mid-point level</w:t>
      </w:r>
      <w:r w:rsidR="00A34200">
        <w:t xml:space="preserve"> in the salary table for DC-MD-VA-WV-PA</w:t>
      </w:r>
      <w:r w:rsidRPr="00071BF2">
        <w:t>.</w:t>
      </w:r>
    </w:p>
    <w:p w:rsidR="00854015" w:rsidRDefault="00854015">
      <w:pPr>
        <w:tabs>
          <w:tab w:val="left" w:pos="360"/>
        </w:tabs>
        <w:ind w:left="360" w:hanging="360"/>
        <w:rPr>
          <w:b/>
          <w:sz w:val="18"/>
        </w:rPr>
      </w:pPr>
    </w:p>
    <w:p w:rsidR="00854015" w:rsidRDefault="00854015">
      <w:pPr>
        <w:keepLines/>
        <w:tabs>
          <w:tab w:val="left" w:pos="360"/>
        </w:tabs>
        <w:spacing w:after="80"/>
        <w:ind w:left="360" w:hanging="360"/>
        <w:rPr>
          <w:sz w:val="18"/>
        </w:rPr>
      </w:pPr>
      <w:r>
        <w:rPr>
          <w:b/>
          <w:sz w:val="18"/>
        </w:rPr>
        <w:t>15.</w:t>
      </w:r>
      <w:r>
        <w:rPr>
          <w:b/>
          <w:sz w:val="18"/>
        </w:rPr>
        <w:tab/>
        <w:t>Explain the reasons for any program changes or adjustments reported in Items 13 and 14 of the OMB Form 83-I.</w:t>
      </w:r>
    </w:p>
    <w:p w:rsidR="00854015" w:rsidRDefault="00D32927" w:rsidP="00C15AEB">
      <w:pPr>
        <w:keepLines/>
        <w:tabs>
          <w:tab w:val="left" w:pos="360"/>
          <w:tab w:val="left" w:pos="720"/>
        </w:tabs>
        <w:ind w:left="360"/>
        <w:rPr>
          <w:sz w:val="22"/>
        </w:rPr>
      </w:pPr>
      <w:r>
        <w:rPr>
          <w:sz w:val="22"/>
        </w:rPr>
        <w:t xml:space="preserve">This is a request for a </w:t>
      </w:r>
      <w:r w:rsidR="006E682B">
        <w:rPr>
          <w:sz w:val="22"/>
        </w:rPr>
        <w:t xml:space="preserve">revision of a currently approved </w:t>
      </w:r>
      <w:r>
        <w:rPr>
          <w:sz w:val="22"/>
        </w:rPr>
        <w:t xml:space="preserve">information collection. </w:t>
      </w:r>
      <w:r w:rsidR="00915C74">
        <w:rPr>
          <w:sz w:val="22"/>
        </w:rPr>
        <w:t xml:space="preserve">The previous collection covered the lenders participation and expression of interest.  Revision of the </w:t>
      </w:r>
      <w:r>
        <w:rPr>
          <w:sz w:val="22"/>
        </w:rPr>
        <w:t xml:space="preserve">collection </w:t>
      </w:r>
      <w:r w:rsidR="003C11E5">
        <w:rPr>
          <w:sz w:val="22"/>
        </w:rPr>
        <w:t xml:space="preserve">covers the requirement </w:t>
      </w:r>
      <w:r>
        <w:rPr>
          <w:sz w:val="22"/>
        </w:rPr>
        <w:t>for lenders to report on their use of incentive payments funds</w:t>
      </w:r>
      <w:r w:rsidR="003C11E5">
        <w:rPr>
          <w:sz w:val="22"/>
        </w:rPr>
        <w:t xml:space="preserve"> and </w:t>
      </w:r>
      <w:r w:rsidR="003C11E5" w:rsidRPr="003C11E5">
        <w:rPr>
          <w:sz w:val="22"/>
        </w:rPr>
        <w:t xml:space="preserve">HUD’s monitoring of </w:t>
      </w:r>
      <w:r w:rsidR="003C11E5">
        <w:rPr>
          <w:sz w:val="22"/>
        </w:rPr>
        <w:t xml:space="preserve">the </w:t>
      </w:r>
      <w:r w:rsidR="003C11E5" w:rsidRPr="003C11E5">
        <w:rPr>
          <w:sz w:val="22"/>
        </w:rPr>
        <w:t>use of incentive payments funds to ensure funds are used accordingly</w:t>
      </w:r>
      <w:r>
        <w:rPr>
          <w:sz w:val="22"/>
        </w:rPr>
        <w:t>.</w:t>
      </w:r>
      <w:r w:rsidR="00915C74">
        <w:rPr>
          <w:sz w:val="22"/>
        </w:rPr>
        <w:t xml:space="preserve">  </w:t>
      </w:r>
      <w:r w:rsidR="003C11E5">
        <w:rPr>
          <w:sz w:val="22"/>
        </w:rPr>
        <w:t>The change has resulted in a decrease in burden.</w:t>
      </w:r>
    </w:p>
    <w:p w:rsidR="006E0469" w:rsidRDefault="006E0469" w:rsidP="00D32927">
      <w:pPr>
        <w:keepLines/>
        <w:tabs>
          <w:tab w:val="left" w:pos="360"/>
          <w:tab w:val="left" w:pos="720"/>
        </w:tabs>
        <w:ind w:left="360"/>
        <w:rPr>
          <w:sz w:val="18"/>
        </w:rPr>
      </w:pPr>
    </w:p>
    <w:p w:rsidR="00854015" w:rsidRDefault="00854015">
      <w:pPr>
        <w:keepLines/>
        <w:tabs>
          <w:tab w:val="left" w:pos="360"/>
        </w:tabs>
        <w:spacing w:after="80"/>
        <w:ind w:left="360" w:hanging="360"/>
        <w:rPr>
          <w:b/>
          <w:sz w:val="18"/>
        </w:rPr>
      </w:pPr>
      <w:r>
        <w:rPr>
          <w:b/>
          <w:sz w:val="18"/>
        </w:rPr>
        <w:t>16.</w:t>
      </w:r>
      <w:r>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Default="00854015" w:rsidP="00C15AEB">
      <w:pPr>
        <w:keepLines/>
        <w:tabs>
          <w:tab w:val="left" w:pos="360"/>
          <w:tab w:val="left" w:pos="720"/>
        </w:tabs>
        <w:ind w:left="360"/>
        <w:rPr>
          <w:sz w:val="18"/>
        </w:rPr>
      </w:pPr>
      <w:r>
        <w:rPr>
          <w:sz w:val="22"/>
        </w:rPr>
        <w:t>The information will not be published.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17.</w:t>
      </w:r>
      <w:r>
        <w:rPr>
          <w:b/>
          <w:sz w:val="18"/>
        </w:rPr>
        <w:tab/>
      </w:r>
      <w:proofErr w:type="gramStart"/>
      <w:r>
        <w:rPr>
          <w:b/>
          <w:sz w:val="18"/>
        </w:rPr>
        <w:t>If</w:t>
      </w:r>
      <w:proofErr w:type="gramEnd"/>
      <w:r>
        <w:rPr>
          <w:b/>
          <w:sz w:val="18"/>
        </w:rPr>
        <w:t xml:space="preserve"> seeking approval to not display the expiration date for OMB approval of the information collection, explain the reasons that display would be inappropriate.</w:t>
      </w:r>
    </w:p>
    <w:p w:rsidR="00854015" w:rsidRDefault="00854015" w:rsidP="00C15AEB">
      <w:pPr>
        <w:keepLines/>
        <w:tabs>
          <w:tab w:val="left" w:pos="360"/>
          <w:tab w:val="left" w:pos="720"/>
        </w:tabs>
        <w:ind w:left="360"/>
        <w:rPr>
          <w:sz w:val="18"/>
        </w:rPr>
      </w:pPr>
      <w:r>
        <w:rPr>
          <w:sz w:val="22"/>
        </w:rPr>
        <w:t>There is no request to not display the expiration date.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rFonts w:ascii="Courier" w:hAnsi="Courier"/>
          <w:b/>
        </w:rPr>
      </w:pPr>
      <w:r>
        <w:rPr>
          <w:b/>
          <w:sz w:val="18"/>
        </w:rPr>
        <w:t>18.</w:t>
      </w:r>
      <w:r>
        <w:rPr>
          <w:b/>
          <w:sz w:val="18"/>
        </w:rPr>
        <w:tab/>
        <w:t>Explain each exception to the certification statement identified in item 19.</w:t>
      </w:r>
    </w:p>
    <w:p w:rsidR="00854015" w:rsidRDefault="00854015" w:rsidP="00C15AEB">
      <w:pPr>
        <w:keepLines/>
        <w:tabs>
          <w:tab w:val="left" w:pos="360"/>
          <w:tab w:val="left" w:pos="720"/>
        </w:tabs>
        <w:ind w:left="360"/>
      </w:pPr>
      <w:r>
        <w:rPr>
          <w:sz w:val="22"/>
        </w:rPr>
        <w:t>There are no exceptions to the certification statement identified in item 19.</w:t>
      </w:r>
      <w:r>
        <w:t xml:space="preserve"> </w:t>
      </w:r>
    </w:p>
    <w:p w:rsidR="00854015" w:rsidRDefault="00854015">
      <w:pPr>
        <w:tabs>
          <w:tab w:val="left" w:pos="360"/>
          <w:tab w:val="left" w:pos="720"/>
        </w:tabs>
      </w:pPr>
    </w:p>
    <w:p w:rsidR="00854015"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854015" w:rsidRDefault="0085401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854015" w:rsidRDefault="00854015">
      <w:pPr>
        <w:pStyle w:val="BodyTextIndent3"/>
        <w:tabs>
          <w:tab w:val="left" w:pos="720"/>
        </w:tabs>
        <w:spacing w:after="0"/>
        <w:ind w:left="576"/>
        <w:rPr>
          <w:sz w:val="18"/>
        </w:rPr>
      </w:pPr>
      <w:r>
        <w:t>This collection will not employ statistical methods.</w:t>
      </w:r>
    </w:p>
    <w:p w:rsidR="00854015" w:rsidRDefault="00854015">
      <w:pPr>
        <w:pBdr>
          <w:top w:val="single" w:sz="4" w:space="1" w:color="auto"/>
        </w:pBdr>
        <w:tabs>
          <w:tab w:val="left" w:pos="240"/>
        </w:tabs>
        <w:rPr>
          <w:rFonts w:ascii="Helvetica" w:hAnsi="Helvetica"/>
          <w:sz w:val="16"/>
        </w:rPr>
      </w:pPr>
    </w:p>
    <w:sectPr w:rsidR="00854015" w:rsidSect="0024537D">
      <w:headerReference w:type="default" r:id="rId8"/>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A2E" w:rsidRDefault="00C82A2E">
      <w:r>
        <w:separator/>
      </w:r>
    </w:p>
  </w:endnote>
  <w:endnote w:type="continuationSeparator" w:id="0">
    <w:p w:rsidR="00C82A2E" w:rsidRDefault="00C82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A2E" w:rsidRDefault="00C82A2E">
      <w:r>
        <w:separator/>
      </w:r>
    </w:p>
  </w:footnote>
  <w:footnote w:type="continuationSeparator" w:id="0">
    <w:p w:rsidR="00C82A2E" w:rsidRDefault="00C82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A2E" w:rsidRDefault="00C82A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10"/>
  </w:num>
  <w:num w:numId="4">
    <w:abstractNumId w:val="7"/>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3"/>
  </w:num>
  <w:num w:numId="9">
    <w:abstractNumId w:val="1"/>
  </w:num>
  <w:num w:numId="10">
    <w:abstractNumId w:val="12"/>
  </w:num>
  <w:num w:numId="11">
    <w:abstractNumId w:val="11"/>
  </w:num>
  <w:num w:numId="12">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9"/>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4"/>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C5F86"/>
    <w:rsid w:val="0004179B"/>
    <w:rsid w:val="000808BE"/>
    <w:rsid w:val="000A4C0D"/>
    <w:rsid w:val="000B42AC"/>
    <w:rsid w:val="000C66C8"/>
    <w:rsid w:val="000D6B69"/>
    <w:rsid w:val="000E5643"/>
    <w:rsid w:val="00111B6B"/>
    <w:rsid w:val="0018677A"/>
    <w:rsid w:val="001D6DD2"/>
    <w:rsid w:val="0024537D"/>
    <w:rsid w:val="0027107B"/>
    <w:rsid w:val="00294988"/>
    <w:rsid w:val="00296190"/>
    <w:rsid w:val="003012CB"/>
    <w:rsid w:val="00360BF3"/>
    <w:rsid w:val="0036388C"/>
    <w:rsid w:val="003B434C"/>
    <w:rsid w:val="003C11E5"/>
    <w:rsid w:val="004101A7"/>
    <w:rsid w:val="00426C86"/>
    <w:rsid w:val="004313A0"/>
    <w:rsid w:val="0047496F"/>
    <w:rsid w:val="0050215A"/>
    <w:rsid w:val="00544012"/>
    <w:rsid w:val="00581786"/>
    <w:rsid w:val="00595481"/>
    <w:rsid w:val="005A702C"/>
    <w:rsid w:val="005E5816"/>
    <w:rsid w:val="005F694B"/>
    <w:rsid w:val="00612CDF"/>
    <w:rsid w:val="0062097A"/>
    <w:rsid w:val="00670938"/>
    <w:rsid w:val="006B25FE"/>
    <w:rsid w:val="006B26AE"/>
    <w:rsid w:val="006C193A"/>
    <w:rsid w:val="006E0469"/>
    <w:rsid w:val="006E682B"/>
    <w:rsid w:val="00753D55"/>
    <w:rsid w:val="007D2671"/>
    <w:rsid w:val="007E3DD8"/>
    <w:rsid w:val="00854015"/>
    <w:rsid w:val="00874AE4"/>
    <w:rsid w:val="00894321"/>
    <w:rsid w:val="008A113C"/>
    <w:rsid w:val="008E4673"/>
    <w:rsid w:val="0090528C"/>
    <w:rsid w:val="00915C74"/>
    <w:rsid w:val="0097270C"/>
    <w:rsid w:val="00984C3D"/>
    <w:rsid w:val="009D1D46"/>
    <w:rsid w:val="009F3546"/>
    <w:rsid w:val="009F3A67"/>
    <w:rsid w:val="00A02E1E"/>
    <w:rsid w:val="00A03875"/>
    <w:rsid w:val="00A34200"/>
    <w:rsid w:val="00AF0244"/>
    <w:rsid w:val="00AF2262"/>
    <w:rsid w:val="00B06FC8"/>
    <w:rsid w:val="00B33BFC"/>
    <w:rsid w:val="00B45F6E"/>
    <w:rsid w:val="00B9789F"/>
    <w:rsid w:val="00BD7B62"/>
    <w:rsid w:val="00BE1147"/>
    <w:rsid w:val="00BE12A1"/>
    <w:rsid w:val="00BF2ED1"/>
    <w:rsid w:val="00C11B7B"/>
    <w:rsid w:val="00C15AEB"/>
    <w:rsid w:val="00C51C3C"/>
    <w:rsid w:val="00C7425C"/>
    <w:rsid w:val="00C82A2E"/>
    <w:rsid w:val="00C84A97"/>
    <w:rsid w:val="00C85502"/>
    <w:rsid w:val="00C8783E"/>
    <w:rsid w:val="00CA08AA"/>
    <w:rsid w:val="00CC5F86"/>
    <w:rsid w:val="00CD3B4A"/>
    <w:rsid w:val="00CF182A"/>
    <w:rsid w:val="00D00136"/>
    <w:rsid w:val="00D005FD"/>
    <w:rsid w:val="00D06C46"/>
    <w:rsid w:val="00D13119"/>
    <w:rsid w:val="00D32927"/>
    <w:rsid w:val="00D44EC1"/>
    <w:rsid w:val="00D53086"/>
    <w:rsid w:val="00D71501"/>
    <w:rsid w:val="00D901FF"/>
    <w:rsid w:val="00DA327C"/>
    <w:rsid w:val="00DC2572"/>
    <w:rsid w:val="00DD03AB"/>
    <w:rsid w:val="00DE4962"/>
    <w:rsid w:val="00DE564E"/>
    <w:rsid w:val="00E019C6"/>
    <w:rsid w:val="00E30C46"/>
    <w:rsid w:val="00E466CD"/>
    <w:rsid w:val="00E57397"/>
    <w:rsid w:val="00EB421A"/>
    <w:rsid w:val="00F175C7"/>
    <w:rsid w:val="00FB28FC"/>
    <w:rsid w:val="00FD3730"/>
    <w:rsid w:val="00FF3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2"/>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paragraph" w:styleId="BalloonText">
    <w:name w:val="Balloon Text"/>
    <w:basedOn w:val="Normal"/>
    <w:link w:val="BalloonTextChar"/>
    <w:uiPriority w:val="99"/>
    <w:semiHidden/>
    <w:unhideWhenUsed/>
    <w:rsid w:val="00DE564E"/>
    <w:rPr>
      <w:rFonts w:ascii="Tahoma" w:hAnsi="Tahoma" w:cs="Tahoma"/>
      <w:sz w:val="16"/>
      <w:szCs w:val="16"/>
    </w:rPr>
  </w:style>
  <w:style w:type="character" w:customStyle="1" w:styleId="BalloonTextChar">
    <w:name w:val="Balloon Text Char"/>
    <w:basedOn w:val="DefaultParagraphFont"/>
    <w:link w:val="BalloonText"/>
    <w:uiPriority w:val="99"/>
    <w:semiHidden/>
    <w:rsid w:val="00DE564E"/>
    <w:rPr>
      <w:rFonts w:ascii="Tahoma" w:hAnsi="Tahoma" w:cs="Tahoma"/>
      <w:sz w:val="16"/>
      <w:szCs w:val="16"/>
    </w:rPr>
  </w:style>
  <w:style w:type="character" w:styleId="CommentReference">
    <w:name w:val="annotation reference"/>
    <w:basedOn w:val="DefaultParagraphFont"/>
    <w:uiPriority w:val="99"/>
    <w:semiHidden/>
    <w:unhideWhenUsed/>
    <w:rsid w:val="001D6DD2"/>
    <w:rPr>
      <w:sz w:val="16"/>
      <w:szCs w:val="16"/>
    </w:rPr>
  </w:style>
  <w:style w:type="paragraph" w:styleId="CommentText">
    <w:name w:val="annotation text"/>
    <w:basedOn w:val="Normal"/>
    <w:link w:val="CommentTextChar"/>
    <w:uiPriority w:val="99"/>
    <w:semiHidden/>
    <w:unhideWhenUsed/>
    <w:rsid w:val="001D6DD2"/>
  </w:style>
  <w:style w:type="character" w:customStyle="1" w:styleId="CommentTextChar">
    <w:name w:val="Comment Text Char"/>
    <w:basedOn w:val="DefaultParagraphFont"/>
    <w:link w:val="CommentText"/>
    <w:uiPriority w:val="99"/>
    <w:semiHidden/>
    <w:rsid w:val="001D6DD2"/>
  </w:style>
  <w:style w:type="paragraph" w:styleId="CommentSubject">
    <w:name w:val="annotation subject"/>
    <w:basedOn w:val="CommentText"/>
    <w:next w:val="CommentText"/>
    <w:link w:val="CommentSubjectChar"/>
    <w:uiPriority w:val="99"/>
    <w:semiHidden/>
    <w:unhideWhenUsed/>
    <w:rsid w:val="001D6DD2"/>
    <w:rPr>
      <w:b/>
      <w:bCs/>
    </w:rPr>
  </w:style>
  <w:style w:type="character" w:customStyle="1" w:styleId="CommentSubjectChar">
    <w:name w:val="Comment Subject Char"/>
    <w:basedOn w:val="CommentTextChar"/>
    <w:link w:val="CommentSubject"/>
    <w:uiPriority w:val="99"/>
    <w:semiHidden/>
    <w:rsid w:val="001D6DD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59110-EE6D-418F-B46F-8397D48E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2117</Words>
  <Characters>11795</Characters>
  <Application>Microsoft Office Word</Application>
  <DocSecurity>2</DocSecurity>
  <Lines>98</Lines>
  <Paragraphs>27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13885</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h18889</cp:lastModifiedBy>
  <cp:revision>3</cp:revision>
  <cp:lastPrinted>2006-04-28T15:26:00Z</cp:lastPrinted>
  <dcterms:created xsi:type="dcterms:W3CDTF">2011-03-17T19:24:00Z</dcterms:created>
  <dcterms:modified xsi:type="dcterms:W3CDTF">2011-03-17T19:24:00Z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-444401475</vt:i4>
  </property>
  <property fmtid="{D5CDD505-2E9C-101B-9397-08002B2CF9AE}" pid="3" name="_NewReviewCycle">
    <vt:lpwstr/>
  </property>
  <property fmtid="{D5CDD505-2E9C-101B-9397-08002B2CF9AE}" pid="4" name="_EmailSubject">
    <vt:lpwstr>FHA PowerSaver PRA to Collect Information from Lenders on their use of Incentive Funds Payments</vt:lpwstr>
  </property>
  <property fmtid="{D5CDD505-2E9C-101B-9397-08002B2CF9AE}" pid="5" name="_AuthorEmail">
    <vt:lpwstr>Donny.M.Malles@hud.gov</vt:lpwstr>
  </property>
  <property fmtid="{D5CDD505-2E9C-101B-9397-08002B2CF9AE}" pid="6" name="_AuthorEmailDisplayName">
    <vt:lpwstr>Malles, Donny M</vt:lpwstr>
  </property>
  <property fmtid="{D5CDD505-2E9C-101B-9397-08002B2CF9AE}" pid="7" name="_PreviousAdHocReviewCycleID">
    <vt:i4>-164877757</vt:i4>
  </property>
  <property fmtid="{D5CDD505-2E9C-101B-9397-08002B2CF9AE}" pid="8" name="_ReviewingToolsShownOnce">
    <vt:lpwstr/>
  </property>
</Properties>
</file>