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CF" w:rsidRPr="00706582" w:rsidRDefault="00A633CF" w:rsidP="00A633CF">
      <w:pPr>
        <w:jc w:val="center"/>
        <w:rPr>
          <w:rFonts w:ascii="Calibri" w:hAnsi="Calibri"/>
          <w:b/>
          <w:sz w:val="22"/>
          <w:szCs w:val="22"/>
        </w:rPr>
      </w:pPr>
      <w:r w:rsidRPr="00706582">
        <w:rPr>
          <w:rFonts w:ascii="Calibri" w:hAnsi="Calibri"/>
          <w:b/>
          <w:sz w:val="22"/>
          <w:szCs w:val="22"/>
        </w:rPr>
        <w:t>PART B: COLLECTION OF INFORMATION EMPLOYING STATISTICAL METHODS</w:t>
      </w:r>
    </w:p>
    <w:p w:rsidR="00A633CF" w:rsidRPr="00706582" w:rsidRDefault="00A633CF" w:rsidP="00A633CF">
      <w:pPr>
        <w:jc w:val="both"/>
        <w:rPr>
          <w:rFonts w:ascii="Calibri" w:hAnsi="Calibri"/>
          <w:b/>
          <w:sz w:val="22"/>
          <w:szCs w:val="22"/>
        </w:rPr>
      </w:pPr>
    </w:p>
    <w:p w:rsidR="00A633CF" w:rsidRPr="00706582" w:rsidRDefault="00A633CF" w:rsidP="00A633CF">
      <w:pPr>
        <w:jc w:val="both"/>
        <w:rPr>
          <w:rFonts w:ascii="Calibri" w:hAnsi="Calibri"/>
          <w:b/>
          <w:sz w:val="22"/>
          <w:szCs w:val="22"/>
        </w:rPr>
      </w:pPr>
    </w:p>
    <w:p w:rsidR="00A633CF" w:rsidRDefault="00A633CF" w:rsidP="00A633CF">
      <w:pPr>
        <w:jc w:val="both"/>
        <w:outlineLvl w:val="0"/>
        <w:rPr>
          <w:rFonts w:ascii="Calibri" w:hAnsi="Calibri"/>
          <w:b/>
          <w:sz w:val="22"/>
          <w:szCs w:val="22"/>
        </w:rPr>
      </w:pPr>
      <w:r>
        <w:rPr>
          <w:rFonts w:ascii="Calibri" w:hAnsi="Calibri"/>
          <w:b/>
          <w:sz w:val="22"/>
          <w:szCs w:val="22"/>
        </w:rPr>
        <w:t>B</w:t>
      </w:r>
      <w:r w:rsidRPr="00706582">
        <w:rPr>
          <w:rFonts w:ascii="Calibri" w:hAnsi="Calibri"/>
          <w:b/>
          <w:sz w:val="22"/>
          <w:szCs w:val="22"/>
        </w:rPr>
        <w:t xml:space="preserve">1. </w:t>
      </w:r>
      <w:r>
        <w:rPr>
          <w:rFonts w:ascii="Calibri" w:hAnsi="Calibri"/>
          <w:b/>
          <w:sz w:val="22"/>
          <w:szCs w:val="22"/>
        </w:rPr>
        <w:t>Site Selection</w:t>
      </w:r>
      <w:r w:rsidRPr="00706582">
        <w:rPr>
          <w:rFonts w:ascii="Calibri" w:hAnsi="Calibri"/>
          <w:b/>
          <w:sz w:val="22"/>
          <w:szCs w:val="22"/>
        </w:rPr>
        <w:t xml:space="preserve"> Sampling Methods</w:t>
      </w:r>
    </w:p>
    <w:p w:rsidR="00A633CF" w:rsidRPr="00706582" w:rsidRDefault="00A633CF" w:rsidP="00A633CF">
      <w:pPr>
        <w:jc w:val="both"/>
        <w:outlineLvl w:val="0"/>
        <w:rPr>
          <w:rFonts w:ascii="Calibri" w:hAnsi="Calibri"/>
          <w:b/>
          <w:sz w:val="22"/>
          <w:szCs w:val="22"/>
        </w:rPr>
      </w:pPr>
    </w:p>
    <w:p w:rsidR="002B38DE" w:rsidRDefault="00A633CF" w:rsidP="00A633CF">
      <w:pPr>
        <w:rPr>
          <w:rFonts w:ascii="Calibri" w:hAnsi="Calibri"/>
          <w:sz w:val="22"/>
          <w:szCs w:val="22"/>
        </w:rPr>
      </w:pPr>
      <w:r>
        <w:rPr>
          <w:rFonts w:ascii="Calibri" w:hAnsi="Calibri"/>
          <w:sz w:val="22"/>
          <w:szCs w:val="22"/>
        </w:rPr>
        <w:t>A purposive pool of</w:t>
      </w:r>
      <w:r w:rsidRPr="007E1C45">
        <w:rPr>
          <w:rFonts w:ascii="Calibri" w:hAnsi="Calibri"/>
          <w:sz w:val="22"/>
          <w:szCs w:val="22"/>
        </w:rPr>
        <w:t xml:space="preserve"> </w:t>
      </w:r>
      <w:r>
        <w:rPr>
          <w:rFonts w:ascii="Calibri" w:hAnsi="Calibri"/>
          <w:sz w:val="22"/>
          <w:szCs w:val="22"/>
        </w:rPr>
        <w:t xml:space="preserve">37 </w:t>
      </w:r>
      <w:r w:rsidRPr="007E1C45">
        <w:rPr>
          <w:rFonts w:ascii="Calibri" w:hAnsi="Calibri"/>
          <w:sz w:val="22"/>
          <w:szCs w:val="22"/>
        </w:rPr>
        <w:t>promising schools and/or school districts</w:t>
      </w:r>
      <w:r>
        <w:rPr>
          <w:rFonts w:ascii="Calibri" w:hAnsi="Calibri"/>
          <w:sz w:val="22"/>
          <w:szCs w:val="22"/>
        </w:rPr>
        <w:t xml:space="preserve"> was assembled</w:t>
      </w:r>
      <w:r w:rsidRPr="007E1C45">
        <w:rPr>
          <w:rFonts w:ascii="Calibri" w:hAnsi="Calibri"/>
          <w:sz w:val="22"/>
          <w:szCs w:val="22"/>
        </w:rPr>
        <w:t xml:space="preserve"> </w:t>
      </w:r>
      <w:r>
        <w:rPr>
          <w:rFonts w:ascii="Calibri" w:hAnsi="Calibri"/>
          <w:sz w:val="22"/>
          <w:szCs w:val="22"/>
        </w:rPr>
        <w:t xml:space="preserve">in the first phase of the </w:t>
      </w:r>
      <w:r w:rsidR="00C901A1">
        <w:rPr>
          <w:rFonts w:ascii="Calibri" w:hAnsi="Calibri"/>
          <w:sz w:val="22"/>
          <w:szCs w:val="22"/>
        </w:rPr>
        <w:t>study</w:t>
      </w:r>
      <w:r>
        <w:rPr>
          <w:rFonts w:ascii="Calibri" w:hAnsi="Calibri"/>
          <w:sz w:val="22"/>
          <w:szCs w:val="22"/>
        </w:rPr>
        <w:t xml:space="preserve">. From this pool, </w:t>
      </w:r>
      <w:r w:rsidR="00376DA7">
        <w:rPr>
          <w:rFonts w:ascii="Calibri" w:hAnsi="Calibri"/>
          <w:sz w:val="22"/>
          <w:szCs w:val="22"/>
        </w:rPr>
        <w:t>20</w:t>
      </w:r>
      <w:r w:rsidR="00376DA7" w:rsidRPr="007E1C45">
        <w:rPr>
          <w:rFonts w:ascii="Calibri" w:hAnsi="Calibri"/>
          <w:sz w:val="22"/>
          <w:szCs w:val="22"/>
        </w:rPr>
        <w:t xml:space="preserve"> </w:t>
      </w:r>
      <w:r w:rsidRPr="007E1C45">
        <w:rPr>
          <w:rFonts w:ascii="Calibri" w:hAnsi="Calibri"/>
          <w:sz w:val="22"/>
          <w:szCs w:val="22"/>
        </w:rPr>
        <w:t>sites</w:t>
      </w:r>
      <w:r>
        <w:rPr>
          <w:rFonts w:ascii="Calibri" w:hAnsi="Calibri"/>
          <w:sz w:val="22"/>
          <w:szCs w:val="22"/>
        </w:rPr>
        <w:t xml:space="preserve"> will be selected for the second phase of the </w:t>
      </w:r>
      <w:r w:rsidR="00C901A1">
        <w:rPr>
          <w:rFonts w:ascii="Calibri" w:hAnsi="Calibri"/>
          <w:sz w:val="22"/>
          <w:szCs w:val="22"/>
        </w:rPr>
        <w:t>study</w:t>
      </w:r>
      <w:r>
        <w:rPr>
          <w:rFonts w:ascii="Calibri" w:hAnsi="Calibri"/>
          <w:sz w:val="22"/>
          <w:szCs w:val="22"/>
        </w:rPr>
        <w:t>.  The identification and selection</w:t>
      </w:r>
      <w:r w:rsidRPr="007E1C45">
        <w:rPr>
          <w:rFonts w:ascii="Calibri" w:hAnsi="Calibri"/>
          <w:sz w:val="22"/>
          <w:szCs w:val="22"/>
        </w:rPr>
        <w:t xml:space="preserve"> will be based on a two</w:t>
      </w:r>
      <w:r w:rsidR="009F70A8">
        <w:rPr>
          <w:rFonts w:ascii="Calibri" w:hAnsi="Calibri"/>
          <w:sz w:val="22"/>
          <w:szCs w:val="22"/>
        </w:rPr>
        <w:t>-</w:t>
      </w:r>
      <w:r w:rsidRPr="007E1C45">
        <w:rPr>
          <w:rFonts w:ascii="Calibri" w:hAnsi="Calibri"/>
          <w:sz w:val="22"/>
          <w:szCs w:val="22"/>
        </w:rPr>
        <w:t xml:space="preserve">tiered process.  The </w:t>
      </w:r>
      <w:r>
        <w:rPr>
          <w:rFonts w:ascii="Calibri" w:hAnsi="Calibri"/>
          <w:sz w:val="22"/>
          <w:szCs w:val="22"/>
        </w:rPr>
        <w:t>first tier consisted</w:t>
      </w:r>
      <w:r w:rsidRPr="007E1C45">
        <w:rPr>
          <w:rFonts w:ascii="Calibri" w:hAnsi="Calibri"/>
          <w:sz w:val="22"/>
          <w:szCs w:val="22"/>
        </w:rPr>
        <w:t xml:space="preserve"> of identifying </w:t>
      </w:r>
      <w:r>
        <w:rPr>
          <w:rFonts w:ascii="Calibri" w:hAnsi="Calibri"/>
          <w:sz w:val="22"/>
          <w:szCs w:val="22"/>
        </w:rPr>
        <w:t>schools and/or districts</w:t>
      </w:r>
      <w:r w:rsidRPr="007E1C45">
        <w:rPr>
          <w:rFonts w:ascii="Calibri" w:hAnsi="Calibri"/>
          <w:sz w:val="22"/>
          <w:szCs w:val="22"/>
        </w:rPr>
        <w:t xml:space="preserve"> </w:t>
      </w:r>
      <w:r>
        <w:rPr>
          <w:rFonts w:ascii="Calibri" w:hAnsi="Calibri"/>
          <w:sz w:val="22"/>
          <w:szCs w:val="22"/>
        </w:rPr>
        <w:t xml:space="preserve">(1) </w:t>
      </w:r>
      <w:r w:rsidRPr="007E1C45">
        <w:rPr>
          <w:rFonts w:ascii="Calibri" w:hAnsi="Calibri"/>
          <w:sz w:val="22"/>
          <w:szCs w:val="22"/>
        </w:rPr>
        <w:t xml:space="preserve">with </w:t>
      </w:r>
      <w:r>
        <w:rPr>
          <w:rFonts w:ascii="Calibri" w:hAnsi="Calibri"/>
          <w:sz w:val="22"/>
          <w:szCs w:val="22"/>
        </w:rPr>
        <w:t xml:space="preserve">existing LIEP </w:t>
      </w:r>
      <w:r w:rsidRPr="007E1C45">
        <w:rPr>
          <w:rFonts w:ascii="Calibri" w:hAnsi="Calibri"/>
          <w:sz w:val="22"/>
          <w:szCs w:val="22"/>
        </w:rPr>
        <w:t>programs that have already demonstra</w:t>
      </w:r>
      <w:r>
        <w:rPr>
          <w:rFonts w:ascii="Calibri" w:hAnsi="Calibri"/>
          <w:sz w:val="22"/>
          <w:szCs w:val="22"/>
        </w:rPr>
        <w:t>ted successful outcomes</w:t>
      </w:r>
      <w:r w:rsidR="00BE531F">
        <w:rPr>
          <w:rFonts w:ascii="Calibri" w:hAnsi="Calibri"/>
          <w:sz w:val="22"/>
          <w:szCs w:val="22"/>
        </w:rPr>
        <w:t>, including AYP for EL students</w:t>
      </w:r>
      <w:r w:rsidR="00B11AAB">
        <w:rPr>
          <w:rFonts w:ascii="Calibri" w:hAnsi="Calibri"/>
          <w:sz w:val="22"/>
          <w:szCs w:val="22"/>
        </w:rPr>
        <w:t xml:space="preserve"> or making substantial progress on AMAOs for ELs</w:t>
      </w:r>
      <w:r>
        <w:rPr>
          <w:rFonts w:ascii="Calibri" w:hAnsi="Calibri"/>
          <w:sz w:val="22"/>
          <w:szCs w:val="22"/>
        </w:rPr>
        <w:t xml:space="preserve">, (2) that qualify as Title III districts or schools, and (3) that have programs that have been in place for at least three years.  Identification of these </w:t>
      </w:r>
      <w:r w:rsidR="009F70A8">
        <w:rPr>
          <w:rFonts w:ascii="Calibri" w:hAnsi="Calibri"/>
          <w:sz w:val="22"/>
          <w:szCs w:val="22"/>
        </w:rPr>
        <w:t>schools and/or school districts</w:t>
      </w:r>
      <w:r>
        <w:rPr>
          <w:rFonts w:ascii="Calibri" w:hAnsi="Calibri"/>
          <w:sz w:val="22"/>
          <w:szCs w:val="22"/>
        </w:rPr>
        <w:t xml:space="preserve"> will come from existing, online data on outcomes from sources such as </w:t>
      </w:r>
      <w:proofErr w:type="spellStart"/>
      <w:r>
        <w:rPr>
          <w:rFonts w:ascii="Calibri" w:hAnsi="Calibri"/>
          <w:sz w:val="22"/>
          <w:szCs w:val="22"/>
        </w:rPr>
        <w:t>EDFacts</w:t>
      </w:r>
      <w:proofErr w:type="spellEnd"/>
      <w:r w:rsidR="00BE531F">
        <w:rPr>
          <w:rFonts w:ascii="Calibri" w:hAnsi="Calibri"/>
          <w:sz w:val="22"/>
          <w:szCs w:val="22"/>
        </w:rPr>
        <w:t>,</w:t>
      </w:r>
      <w:r>
        <w:rPr>
          <w:rFonts w:ascii="Calibri" w:hAnsi="Calibri"/>
          <w:sz w:val="22"/>
          <w:szCs w:val="22"/>
        </w:rPr>
        <w:t xml:space="preserve"> available data on progress toward achieving state or district goals for ELP and nominations from Title III State and District directors.  The request for nominations was </w:t>
      </w:r>
      <w:r w:rsidR="009F70A8">
        <w:rPr>
          <w:rFonts w:ascii="Calibri" w:hAnsi="Calibri"/>
          <w:sz w:val="22"/>
          <w:szCs w:val="22"/>
        </w:rPr>
        <w:t xml:space="preserve">made </w:t>
      </w:r>
      <w:r>
        <w:rPr>
          <w:rFonts w:ascii="Calibri" w:hAnsi="Calibri"/>
          <w:sz w:val="22"/>
          <w:szCs w:val="22"/>
        </w:rPr>
        <w:t xml:space="preserve">through </w:t>
      </w:r>
      <w:r w:rsidR="00376DA7">
        <w:rPr>
          <w:rFonts w:ascii="Calibri" w:hAnsi="Calibri"/>
          <w:sz w:val="22"/>
          <w:szCs w:val="22"/>
        </w:rPr>
        <w:t xml:space="preserve">informal </w:t>
      </w:r>
      <w:r>
        <w:rPr>
          <w:rFonts w:ascii="Calibri" w:hAnsi="Calibri"/>
          <w:sz w:val="22"/>
          <w:szCs w:val="22"/>
        </w:rPr>
        <w:t>outreach to State Title III officials via ED’s monthly Title III Directors webinar.</w:t>
      </w:r>
      <w:r w:rsidR="00376DA7">
        <w:rPr>
          <w:rFonts w:ascii="Calibri" w:hAnsi="Calibri"/>
          <w:sz w:val="22"/>
          <w:szCs w:val="22"/>
        </w:rPr>
        <w:t xml:space="preserve">  Specifically, the research team was invited by the ED Program Office to provide an overview of the study and its intended outcomes during an ED-sponsored monthly webinar with State Title III Directors.  The research team indicated that the nominated sites should r</w:t>
      </w:r>
      <w:r w:rsidR="00376DA7" w:rsidRPr="00F902D0">
        <w:rPr>
          <w:rFonts w:ascii="Calibri" w:hAnsi="Calibri"/>
          <w:sz w:val="22"/>
          <w:szCs w:val="22"/>
        </w:rPr>
        <w:t xml:space="preserve">epresent </w:t>
      </w:r>
      <w:r w:rsidR="00376DA7">
        <w:rPr>
          <w:rFonts w:ascii="Calibri" w:hAnsi="Calibri"/>
          <w:sz w:val="22"/>
          <w:szCs w:val="22"/>
        </w:rPr>
        <w:t>a range of</w:t>
      </w:r>
      <w:r w:rsidR="00376DA7" w:rsidRPr="00F902D0">
        <w:rPr>
          <w:rFonts w:ascii="Calibri" w:hAnsi="Calibri"/>
          <w:sz w:val="22"/>
          <w:szCs w:val="22"/>
        </w:rPr>
        <w:t xml:space="preserve"> LIEP types</w:t>
      </w:r>
      <w:r w:rsidR="00376DA7">
        <w:rPr>
          <w:rFonts w:ascii="Calibri" w:hAnsi="Calibri"/>
          <w:sz w:val="22"/>
          <w:szCs w:val="22"/>
        </w:rPr>
        <w:t xml:space="preserve"> (i.e., English immersion, bilingual, newcomer).  The sites should represent</w:t>
      </w:r>
      <w:r w:rsidR="00376DA7" w:rsidRPr="00F902D0">
        <w:rPr>
          <w:rFonts w:ascii="Calibri" w:hAnsi="Calibri"/>
          <w:sz w:val="22"/>
          <w:szCs w:val="22"/>
        </w:rPr>
        <w:t xml:space="preserve"> </w:t>
      </w:r>
      <w:r w:rsidR="00376DA7">
        <w:rPr>
          <w:rFonts w:ascii="Calibri" w:hAnsi="Calibri"/>
          <w:sz w:val="22"/>
          <w:szCs w:val="22"/>
        </w:rPr>
        <w:t xml:space="preserve">variations in </w:t>
      </w:r>
      <w:r w:rsidR="00376DA7" w:rsidRPr="00F902D0">
        <w:rPr>
          <w:rFonts w:ascii="Calibri" w:hAnsi="Calibri"/>
          <w:sz w:val="22"/>
          <w:szCs w:val="22"/>
        </w:rPr>
        <w:t>EL student diversity</w:t>
      </w:r>
      <w:r w:rsidR="00376DA7">
        <w:rPr>
          <w:rFonts w:ascii="Calibri" w:hAnsi="Calibri"/>
          <w:sz w:val="22"/>
          <w:szCs w:val="22"/>
        </w:rPr>
        <w:t xml:space="preserve"> (i.e., various language groups and countries)</w:t>
      </w:r>
      <w:r w:rsidR="00376DA7" w:rsidRPr="00F902D0">
        <w:rPr>
          <w:rFonts w:ascii="Calibri" w:hAnsi="Calibri"/>
          <w:sz w:val="22"/>
          <w:szCs w:val="22"/>
        </w:rPr>
        <w:t xml:space="preserve">, </w:t>
      </w:r>
      <w:r w:rsidR="00376DA7">
        <w:rPr>
          <w:rFonts w:ascii="Calibri" w:hAnsi="Calibri"/>
          <w:sz w:val="22"/>
          <w:szCs w:val="22"/>
        </w:rPr>
        <w:t>have a significant</w:t>
      </w:r>
      <w:r w:rsidR="00376DA7" w:rsidRPr="00F902D0">
        <w:rPr>
          <w:rFonts w:ascii="Calibri" w:hAnsi="Calibri"/>
          <w:sz w:val="22"/>
          <w:szCs w:val="22"/>
        </w:rPr>
        <w:t xml:space="preserve"> EL population, </w:t>
      </w:r>
      <w:r w:rsidR="00376DA7">
        <w:rPr>
          <w:rFonts w:ascii="Calibri" w:hAnsi="Calibri"/>
          <w:sz w:val="22"/>
          <w:szCs w:val="22"/>
        </w:rPr>
        <w:t xml:space="preserve">and include urban, rural, and suburban schools and varied </w:t>
      </w:r>
      <w:r w:rsidR="00376DA7" w:rsidRPr="00F902D0">
        <w:rPr>
          <w:rFonts w:ascii="Calibri" w:hAnsi="Calibri"/>
          <w:sz w:val="22"/>
          <w:szCs w:val="22"/>
        </w:rPr>
        <w:t>geographic locations</w:t>
      </w:r>
      <w:r w:rsidR="00376DA7">
        <w:rPr>
          <w:rFonts w:ascii="Calibri" w:hAnsi="Calibri"/>
          <w:sz w:val="22"/>
          <w:szCs w:val="22"/>
        </w:rPr>
        <w:t xml:space="preserve">.  Additionally, the nominated sites should be implementing a promising LIEP, have </w:t>
      </w:r>
      <w:r w:rsidR="00376DA7" w:rsidRPr="00F902D0">
        <w:rPr>
          <w:rFonts w:ascii="Calibri" w:hAnsi="Calibri"/>
          <w:sz w:val="22"/>
          <w:szCs w:val="22"/>
        </w:rPr>
        <w:t>adequate resources and supports in place to sustain their program</w:t>
      </w:r>
      <w:r w:rsidR="00376DA7">
        <w:rPr>
          <w:rFonts w:ascii="Calibri" w:hAnsi="Calibri"/>
          <w:sz w:val="22"/>
          <w:szCs w:val="22"/>
        </w:rPr>
        <w:t>, and ha</w:t>
      </w:r>
      <w:r w:rsidR="00376DA7" w:rsidRPr="00F902D0">
        <w:rPr>
          <w:rFonts w:ascii="Calibri" w:hAnsi="Calibri"/>
          <w:sz w:val="22"/>
          <w:szCs w:val="22"/>
        </w:rPr>
        <w:t>ve a system in place for evaluating program success</w:t>
      </w:r>
      <w:r w:rsidR="00376DA7">
        <w:rPr>
          <w:rFonts w:ascii="Calibri" w:hAnsi="Calibri"/>
          <w:sz w:val="22"/>
          <w:szCs w:val="22"/>
        </w:rPr>
        <w:t xml:space="preserve">. During the webinar, the research team requested that nominated districts/schools be communicated to the research team director or via the Program Office Listserv.   Once nominations were received, student outcome data were gathered by the research team to validate nominated sites. </w:t>
      </w:r>
    </w:p>
    <w:p w:rsidR="00A633CF" w:rsidRDefault="00376DA7" w:rsidP="00A633CF">
      <w:pPr>
        <w:rPr>
          <w:rFonts w:ascii="Calibri" w:hAnsi="Calibri"/>
          <w:sz w:val="22"/>
          <w:szCs w:val="22"/>
        </w:rPr>
      </w:pPr>
      <w:r>
        <w:rPr>
          <w:rFonts w:ascii="Calibri" w:hAnsi="Calibri"/>
          <w:sz w:val="22"/>
          <w:szCs w:val="22"/>
        </w:rPr>
        <w:t xml:space="preserve"> </w:t>
      </w:r>
    </w:p>
    <w:p w:rsidR="00A633CF" w:rsidRDefault="00A633CF" w:rsidP="00A633CF">
      <w:pPr>
        <w:rPr>
          <w:rFonts w:ascii="Calibri" w:hAnsi="Calibri"/>
          <w:sz w:val="22"/>
          <w:szCs w:val="22"/>
        </w:rPr>
      </w:pPr>
      <w:r>
        <w:rPr>
          <w:rFonts w:ascii="Calibri" w:hAnsi="Calibri"/>
          <w:sz w:val="22"/>
          <w:szCs w:val="22"/>
        </w:rPr>
        <w:t>In tier two, the overall population of schools identified will be reduced to</w:t>
      </w:r>
      <w:r w:rsidRPr="00C9288A">
        <w:rPr>
          <w:rFonts w:ascii="Calibri" w:hAnsi="Calibri"/>
          <w:sz w:val="22"/>
          <w:szCs w:val="22"/>
        </w:rPr>
        <w:t xml:space="preserve"> </w:t>
      </w:r>
      <w:r>
        <w:rPr>
          <w:rFonts w:ascii="Calibri" w:hAnsi="Calibri"/>
          <w:sz w:val="22"/>
          <w:szCs w:val="22"/>
        </w:rPr>
        <w:t xml:space="preserve">a sample of </w:t>
      </w:r>
      <w:r w:rsidRPr="00C9288A">
        <w:rPr>
          <w:rFonts w:ascii="Calibri" w:hAnsi="Calibri"/>
          <w:sz w:val="22"/>
          <w:szCs w:val="22"/>
        </w:rPr>
        <w:t xml:space="preserve">20 sites based on contextual factors </w:t>
      </w:r>
      <w:r>
        <w:rPr>
          <w:rFonts w:ascii="Calibri" w:hAnsi="Calibri"/>
          <w:sz w:val="22"/>
          <w:szCs w:val="22"/>
        </w:rPr>
        <w:t xml:space="preserve">applied </w:t>
      </w:r>
      <w:r w:rsidRPr="00C9288A">
        <w:rPr>
          <w:rFonts w:ascii="Calibri" w:hAnsi="Calibri"/>
          <w:sz w:val="22"/>
          <w:szCs w:val="22"/>
        </w:rPr>
        <w:t xml:space="preserve">to capture a representative sample. </w:t>
      </w:r>
      <w:r w:rsidR="00376DA7">
        <w:rPr>
          <w:rFonts w:ascii="Calibri" w:hAnsi="Calibri"/>
          <w:sz w:val="22"/>
          <w:szCs w:val="22"/>
        </w:rPr>
        <w:t xml:space="preserve">The scope of work developed by ED PPSS limits the number of sites to a maximum of 20.  </w:t>
      </w:r>
      <w:r w:rsidRPr="00C9288A">
        <w:rPr>
          <w:rFonts w:ascii="Calibri" w:hAnsi="Calibri"/>
          <w:sz w:val="22"/>
          <w:szCs w:val="22"/>
        </w:rPr>
        <w:t xml:space="preserve">Because the </w:t>
      </w:r>
      <w:r>
        <w:rPr>
          <w:rFonts w:ascii="Calibri" w:hAnsi="Calibri"/>
          <w:sz w:val="22"/>
          <w:szCs w:val="22"/>
        </w:rPr>
        <w:t xml:space="preserve">goal of the </w:t>
      </w:r>
      <w:r w:rsidR="00C901A1">
        <w:rPr>
          <w:rFonts w:ascii="Calibri" w:hAnsi="Calibri"/>
          <w:sz w:val="22"/>
          <w:szCs w:val="22"/>
        </w:rPr>
        <w:t>study</w:t>
      </w:r>
      <w:r>
        <w:rPr>
          <w:rFonts w:ascii="Calibri" w:hAnsi="Calibri"/>
          <w:sz w:val="22"/>
          <w:szCs w:val="22"/>
        </w:rPr>
        <w:t xml:space="preserve"> is to provide detailed information about the widest possible variety of successful EL programs, it is not necessary (nor possible based on the small sample size) to create a statistically representative sample based on a random sampling from the available pool. Rather, a purposive sample will be determined with the goal of having a variety of examples that demonstrate program components existing within the full range of demographic, programmatic, and external environments. Therefore, the 20 sites will be selected with the aim of having </w:t>
      </w:r>
      <w:r w:rsidRPr="00C9288A">
        <w:rPr>
          <w:rFonts w:ascii="Calibri" w:hAnsi="Calibri"/>
          <w:sz w:val="22"/>
          <w:szCs w:val="22"/>
        </w:rPr>
        <w:t>e</w:t>
      </w:r>
      <w:r>
        <w:rPr>
          <w:rFonts w:ascii="Calibri" w:hAnsi="Calibri"/>
          <w:sz w:val="22"/>
          <w:szCs w:val="22"/>
        </w:rPr>
        <w:t xml:space="preserve">xamples within each group for each of </w:t>
      </w:r>
      <w:r w:rsidRPr="00C9288A">
        <w:rPr>
          <w:rFonts w:ascii="Calibri" w:hAnsi="Calibri"/>
          <w:sz w:val="22"/>
          <w:szCs w:val="22"/>
        </w:rPr>
        <w:t>the relevant</w:t>
      </w:r>
      <w:r>
        <w:rPr>
          <w:rFonts w:ascii="Calibri" w:hAnsi="Calibri"/>
          <w:sz w:val="22"/>
          <w:szCs w:val="22"/>
        </w:rPr>
        <w:t xml:space="preserve"> contextual </w:t>
      </w:r>
      <w:r w:rsidRPr="00C9288A">
        <w:rPr>
          <w:rFonts w:ascii="Calibri" w:hAnsi="Calibri"/>
          <w:sz w:val="22"/>
          <w:szCs w:val="22"/>
        </w:rPr>
        <w:t>factors</w:t>
      </w:r>
      <w:r>
        <w:rPr>
          <w:rFonts w:ascii="Calibri" w:hAnsi="Calibri"/>
          <w:sz w:val="22"/>
          <w:szCs w:val="22"/>
        </w:rPr>
        <w:t xml:space="preserve"> where possible. Based on the existing literature on educational impact factors and the expert opinion of the Advisory Panel, the contextual factors determined are:</w:t>
      </w:r>
    </w:p>
    <w:p w:rsidR="00A633CF" w:rsidRPr="007E1C45" w:rsidRDefault="00A633CF" w:rsidP="00A633CF">
      <w:pPr>
        <w:rPr>
          <w:rFonts w:ascii="Calibri" w:hAnsi="Calibri"/>
          <w:sz w:val="22"/>
          <w:szCs w:val="22"/>
        </w:rPr>
      </w:pPr>
    </w:p>
    <w:p w:rsidR="00A633CF" w:rsidRPr="00EA4349" w:rsidRDefault="00A633CF" w:rsidP="00A633CF">
      <w:pPr>
        <w:numPr>
          <w:ilvl w:val="0"/>
          <w:numId w:val="2"/>
        </w:numPr>
        <w:rPr>
          <w:rFonts w:ascii="Calibri" w:hAnsi="Calibri"/>
          <w:sz w:val="22"/>
          <w:szCs w:val="22"/>
        </w:rPr>
      </w:pPr>
      <w:proofErr w:type="spellStart"/>
      <w:r w:rsidRPr="00EA4349">
        <w:rPr>
          <w:rFonts w:ascii="Calibri" w:hAnsi="Calibri"/>
          <w:sz w:val="22"/>
          <w:szCs w:val="22"/>
        </w:rPr>
        <w:t>Urbanicity</w:t>
      </w:r>
      <w:proofErr w:type="spellEnd"/>
      <w:r w:rsidRPr="00EA4349">
        <w:rPr>
          <w:rFonts w:ascii="Calibri" w:hAnsi="Calibri"/>
          <w:sz w:val="22"/>
          <w:szCs w:val="22"/>
        </w:rPr>
        <w:t xml:space="preserve"> (inner city, suburban, rural) </w:t>
      </w:r>
    </w:p>
    <w:p w:rsidR="00A633CF" w:rsidRDefault="00A633CF" w:rsidP="00A633CF">
      <w:pPr>
        <w:numPr>
          <w:ilvl w:val="0"/>
          <w:numId w:val="2"/>
        </w:numPr>
        <w:rPr>
          <w:rFonts w:ascii="Calibri" w:hAnsi="Calibri"/>
          <w:sz w:val="22"/>
          <w:szCs w:val="22"/>
        </w:rPr>
      </w:pPr>
      <w:r w:rsidRPr="00EA4349">
        <w:rPr>
          <w:rFonts w:ascii="Calibri" w:hAnsi="Calibri"/>
          <w:sz w:val="22"/>
          <w:szCs w:val="22"/>
        </w:rPr>
        <w:t>Grade</w:t>
      </w:r>
      <w:r w:rsidRPr="005E3E6A">
        <w:rPr>
          <w:rFonts w:ascii="Calibri" w:hAnsi="Calibri"/>
          <w:sz w:val="22"/>
          <w:szCs w:val="22"/>
        </w:rPr>
        <w:t xml:space="preserve"> Levels (Elementary, Middle, High School</w:t>
      </w:r>
      <w:r>
        <w:rPr>
          <w:rFonts w:ascii="Calibri" w:hAnsi="Calibri"/>
          <w:sz w:val="22"/>
          <w:szCs w:val="22"/>
        </w:rPr>
        <w:t>)</w:t>
      </w:r>
    </w:p>
    <w:p w:rsidR="00A633CF" w:rsidRPr="005E3E6A" w:rsidRDefault="00A633CF" w:rsidP="00A633CF">
      <w:pPr>
        <w:numPr>
          <w:ilvl w:val="0"/>
          <w:numId w:val="2"/>
        </w:numPr>
        <w:rPr>
          <w:rFonts w:ascii="Calibri" w:hAnsi="Calibri"/>
          <w:sz w:val="22"/>
          <w:szCs w:val="22"/>
        </w:rPr>
      </w:pPr>
      <w:r w:rsidRPr="005E3E6A">
        <w:rPr>
          <w:rFonts w:ascii="Calibri" w:hAnsi="Calibri"/>
          <w:sz w:val="22"/>
          <w:szCs w:val="22"/>
        </w:rPr>
        <w:t xml:space="preserve">Languages Served – some of </w:t>
      </w:r>
      <w:r w:rsidR="00B11AAB">
        <w:rPr>
          <w:rFonts w:ascii="Calibri" w:hAnsi="Calibri"/>
          <w:sz w:val="22"/>
          <w:szCs w:val="22"/>
        </w:rPr>
        <w:t xml:space="preserve">the </w:t>
      </w:r>
      <w:r w:rsidRPr="005E3E6A">
        <w:rPr>
          <w:rFonts w:ascii="Calibri" w:hAnsi="Calibri"/>
          <w:sz w:val="22"/>
          <w:szCs w:val="22"/>
        </w:rPr>
        <w:t xml:space="preserve">dominant languages </w:t>
      </w:r>
      <w:r>
        <w:rPr>
          <w:rFonts w:ascii="Calibri" w:hAnsi="Calibri"/>
          <w:sz w:val="22"/>
          <w:szCs w:val="22"/>
        </w:rPr>
        <w:t>as well as other l</w:t>
      </w:r>
      <w:r w:rsidRPr="005E3E6A">
        <w:rPr>
          <w:rFonts w:ascii="Calibri" w:hAnsi="Calibri"/>
          <w:sz w:val="22"/>
          <w:szCs w:val="22"/>
        </w:rPr>
        <w:t>anguages served (</w:t>
      </w:r>
      <w:r>
        <w:rPr>
          <w:rFonts w:ascii="Calibri" w:hAnsi="Calibri"/>
          <w:sz w:val="22"/>
          <w:szCs w:val="22"/>
        </w:rPr>
        <w:t xml:space="preserve">e.g., </w:t>
      </w:r>
      <w:r w:rsidRPr="005E3E6A">
        <w:rPr>
          <w:rFonts w:ascii="Calibri" w:hAnsi="Calibri"/>
          <w:sz w:val="22"/>
          <w:szCs w:val="22"/>
        </w:rPr>
        <w:t>Spanish, Asian</w:t>
      </w:r>
      <w:r>
        <w:rPr>
          <w:rFonts w:ascii="Calibri" w:hAnsi="Calibri"/>
          <w:sz w:val="22"/>
          <w:szCs w:val="22"/>
        </w:rPr>
        <w:t xml:space="preserve"> languages</w:t>
      </w:r>
      <w:r w:rsidRPr="005E3E6A">
        <w:rPr>
          <w:rFonts w:ascii="Calibri" w:hAnsi="Calibri"/>
          <w:sz w:val="22"/>
          <w:szCs w:val="22"/>
        </w:rPr>
        <w:t>, Native American</w:t>
      </w:r>
      <w:r>
        <w:rPr>
          <w:rFonts w:ascii="Calibri" w:hAnsi="Calibri"/>
          <w:sz w:val="22"/>
          <w:szCs w:val="22"/>
        </w:rPr>
        <w:t xml:space="preserve"> languages, Other European l</w:t>
      </w:r>
      <w:r w:rsidRPr="005E3E6A">
        <w:rPr>
          <w:rFonts w:ascii="Calibri" w:hAnsi="Calibri"/>
          <w:sz w:val="22"/>
          <w:szCs w:val="22"/>
        </w:rPr>
        <w:t>anguages, African</w:t>
      </w:r>
      <w:r>
        <w:rPr>
          <w:rFonts w:ascii="Calibri" w:hAnsi="Calibri"/>
          <w:sz w:val="22"/>
          <w:szCs w:val="22"/>
        </w:rPr>
        <w:t xml:space="preserve"> languages</w:t>
      </w:r>
      <w:r w:rsidRPr="005E3E6A">
        <w:rPr>
          <w:rFonts w:ascii="Calibri" w:hAnsi="Calibri"/>
          <w:sz w:val="22"/>
          <w:szCs w:val="22"/>
        </w:rPr>
        <w:t xml:space="preserve">) </w:t>
      </w:r>
    </w:p>
    <w:p w:rsidR="00A633CF" w:rsidRDefault="00A633CF" w:rsidP="00A633CF">
      <w:pPr>
        <w:numPr>
          <w:ilvl w:val="0"/>
          <w:numId w:val="2"/>
        </w:numPr>
        <w:rPr>
          <w:rFonts w:ascii="Calibri" w:hAnsi="Calibri"/>
          <w:sz w:val="22"/>
          <w:szCs w:val="22"/>
        </w:rPr>
      </w:pPr>
      <w:r>
        <w:rPr>
          <w:rFonts w:ascii="Calibri" w:hAnsi="Calibri"/>
          <w:sz w:val="22"/>
          <w:szCs w:val="22"/>
        </w:rPr>
        <w:t>Poverty level – variety of levels to include some with more than 50% and at least one or two with more than 75%</w:t>
      </w:r>
    </w:p>
    <w:p w:rsidR="00A633CF" w:rsidRDefault="00A633CF" w:rsidP="00A633CF">
      <w:pPr>
        <w:numPr>
          <w:ilvl w:val="0"/>
          <w:numId w:val="2"/>
        </w:numPr>
        <w:rPr>
          <w:rFonts w:ascii="Calibri" w:hAnsi="Calibri"/>
          <w:sz w:val="22"/>
          <w:szCs w:val="22"/>
        </w:rPr>
      </w:pPr>
      <w:r w:rsidRPr="00995C2E">
        <w:rPr>
          <w:rFonts w:ascii="Calibri" w:hAnsi="Calibri"/>
          <w:sz w:val="22"/>
          <w:szCs w:val="22"/>
        </w:rPr>
        <w:t xml:space="preserve">Minority percentages </w:t>
      </w:r>
    </w:p>
    <w:p w:rsidR="00A633CF" w:rsidRPr="00995C2E" w:rsidRDefault="00A633CF" w:rsidP="00A633CF">
      <w:pPr>
        <w:numPr>
          <w:ilvl w:val="0"/>
          <w:numId w:val="2"/>
        </w:numPr>
        <w:rPr>
          <w:rFonts w:ascii="Calibri" w:hAnsi="Calibri"/>
          <w:sz w:val="22"/>
          <w:szCs w:val="22"/>
        </w:rPr>
      </w:pPr>
      <w:r w:rsidRPr="00995C2E">
        <w:rPr>
          <w:rFonts w:ascii="Calibri" w:hAnsi="Calibri"/>
          <w:sz w:val="22"/>
          <w:szCs w:val="22"/>
        </w:rPr>
        <w:lastRenderedPageBreak/>
        <w:t xml:space="preserve">Consolidated State Performance Report (CSPR) Model Types – variety captured (major category such as Immersion, Bilingual, Newcomer as well as specific approaches – Sheltered Instruction, Transitional Bilingual Education, Developmental Bilingual Education, etc.) </w:t>
      </w:r>
    </w:p>
    <w:p w:rsidR="00A633CF" w:rsidRPr="00EA4349" w:rsidRDefault="00A633CF" w:rsidP="00A633CF">
      <w:pPr>
        <w:jc w:val="both"/>
        <w:rPr>
          <w:rFonts w:ascii="Calibri" w:hAnsi="Calibri"/>
          <w:sz w:val="22"/>
          <w:szCs w:val="22"/>
        </w:rPr>
      </w:pPr>
    </w:p>
    <w:p w:rsidR="00A633CF" w:rsidRDefault="00A633CF" w:rsidP="00A633CF">
      <w:pPr>
        <w:jc w:val="both"/>
        <w:outlineLvl w:val="0"/>
        <w:rPr>
          <w:rFonts w:ascii="Calibri" w:hAnsi="Calibri"/>
          <w:b/>
          <w:sz w:val="22"/>
          <w:szCs w:val="22"/>
        </w:rPr>
      </w:pPr>
      <w:r w:rsidRPr="00EA4349">
        <w:rPr>
          <w:rFonts w:ascii="Calibri" w:hAnsi="Calibri"/>
          <w:b/>
          <w:sz w:val="22"/>
          <w:szCs w:val="22"/>
        </w:rPr>
        <w:t>B2. Information Collection Procedures</w:t>
      </w:r>
    </w:p>
    <w:p w:rsidR="00A633CF" w:rsidRPr="00EA4349" w:rsidRDefault="00A633CF" w:rsidP="00A633CF">
      <w:pPr>
        <w:jc w:val="both"/>
        <w:outlineLvl w:val="0"/>
        <w:rPr>
          <w:rFonts w:ascii="Calibri" w:hAnsi="Calibri"/>
          <w:b/>
          <w:sz w:val="22"/>
          <w:szCs w:val="22"/>
        </w:rPr>
      </w:pPr>
    </w:p>
    <w:p w:rsidR="00A633CF" w:rsidRDefault="00A633CF" w:rsidP="00A633CF">
      <w:pPr>
        <w:rPr>
          <w:rFonts w:ascii="Calibri" w:hAnsi="Calibri"/>
          <w:sz w:val="22"/>
          <w:szCs w:val="22"/>
        </w:rPr>
      </w:pPr>
      <w:r w:rsidRPr="00EA4349">
        <w:rPr>
          <w:rFonts w:ascii="Calibri" w:hAnsi="Calibri"/>
          <w:sz w:val="22"/>
          <w:szCs w:val="22"/>
        </w:rPr>
        <w:t xml:space="preserve">For phase two, the LIEPs at the </w:t>
      </w:r>
      <w:r w:rsidR="00376DA7">
        <w:rPr>
          <w:rFonts w:ascii="Calibri" w:hAnsi="Calibri"/>
          <w:sz w:val="22"/>
          <w:szCs w:val="22"/>
        </w:rPr>
        <w:t>20</w:t>
      </w:r>
      <w:r w:rsidR="00376DA7" w:rsidRPr="00EA4349">
        <w:rPr>
          <w:rFonts w:ascii="Calibri" w:hAnsi="Calibri"/>
          <w:sz w:val="22"/>
          <w:szCs w:val="22"/>
        </w:rPr>
        <w:t xml:space="preserve"> </w:t>
      </w:r>
      <w:r w:rsidRPr="00EA4349">
        <w:rPr>
          <w:rFonts w:ascii="Calibri" w:hAnsi="Calibri"/>
          <w:sz w:val="22"/>
          <w:szCs w:val="22"/>
        </w:rPr>
        <w:t>sites selected will be fully described utilizing a proposed set of interview protocols and an observation instrument.</w:t>
      </w:r>
      <w:r>
        <w:rPr>
          <w:rFonts w:ascii="Calibri" w:hAnsi="Calibri"/>
          <w:sz w:val="22"/>
          <w:szCs w:val="22"/>
        </w:rPr>
        <w:t xml:space="preserve"> The site visit team</w:t>
      </w:r>
      <w:r w:rsidRPr="00EA4349">
        <w:rPr>
          <w:rFonts w:ascii="Calibri" w:hAnsi="Calibri"/>
          <w:sz w:val="22"/>
          <w:szCs w:val="22"/>
        </w:rPr>
        <w:t xml:space="preserve"> will be trained in observation techniques and interview and/</w:t>
      </w:r>
      <w:r>
        <w:rPr>
          <w:rFonts w:ascii="Calibri" w:hAnsi="Calibri"/>
          <w:sz w:val="22"/>
          <w:szCs w:val="22"/>
        </w:rPr>
        <w:t xml:space="preserve">or focus group facilitation. A </w:t>
      </w:r>
      <w:r w:rsidRPr="00EA4349">
        <w:rPr>
          <w:rFonts w:ascii="Calibri" w:hAnsi="Calibri"/>
          <w:sz w:val="22"/>
          <w:szCs w:val="22"/>
        </w:rPr>
        <w:t>team</w:t>
      </w:r>
      <w:r>
        <w:rPr>
          <w:rFonts w:ascii="Calibri" w:hAnsi="Calibri"/>
          <w:sz w:val="22"/>
          <w:szCs w:val="22"/>
        </w:rPr>
        <w:t xml:space="preserve">, </w:t>
      </w:r>
      <w:r w:rsidRPr="00EA4349">
        <w:rPr>
          <w:rFonts w:ascii="Calibri" w:hAnsi="Calibri"/>
          <w:sz w:val="22"/>
          <w:szCs w:val="22"/>
        </w:rPr>
        <w:t>consisting of two evaluators</w:t>
      </w:r>
      <w:r>
        <w:rPr>
          <w:rFonts w:ascii="Calibri" w:hAnsi="Calibri"/>
          <w:sz w:val="22"/>
          <w:szCs w:val="22"/>
        </w:rPr>
        <w:t>, will conduct each 4-day site visit</w:t>
      </w:r>
      <w:r w:rsidRPr="00EA4349">
        <w:rPr>
          <w:rFonts w:ascii="Calibri" w:hAnsi="Calibri"/>
          <w:sz w:val="22"/>
          <w:szCs w:val="22"/>
        </w:rPr>
        <w:t xml:space="preserve">. </w:t>
      </w:r>
      <w:r>
        <w:rPr>
          <w:rFonts w:ascii="Calibri" w:hAnsi="Calibri"/>
          <w:sz w:val="22"/>
          <w:szCs w:val="22"/>
        </w:rPr>
        <w:t>As part of the</w:t>
      </w:r>
      <w:r w:rsidRPr="00EA4349">
        <w:rPr>
          <w:rFonts w:ascii="Calibri" w:hAnsi="Calibri"/>
          <w:sz w:val="22"/>
          <w:szCs w:val="22"/>
        </w:rPr>
        <w:t xml:space="preserve"> </w:t>
      </w:r>
      <w:r>
        <w:rPr>
          <w:rFonts w:ascii="Calibri" w:hAnsi="Calibri"/>
          <w:sz w:val="22"/>
          <w:szCs w:val="22"/>
        </w:rPr>
        <w:t>event</w:t>
      </w:r>
      <w:r w:rsidRPr="00EA4349">
        <w:rPr>
          <w:rFonts w:ascii="Calibri" w:hAnsi="Calibri"/>
          <w:sz w:val="22"/>
          <w:szCs w:val="22"/>
        </w:rPr>
        <w:t xml:space="preserve">, they will </w:t>
      </w:r>
      <w:r>
        <w:rPr>
          <w:rFonts w:ascii="Calibri" w:hAnsi="Calibri"/>
          <w:sz w:val="22"/>
          <w:szCs w:val="22"/>
        </w:rPr>
        <w:t>visit</w:t>
      </w:r>
      <w:r w:rsidRPr="00EA4349">
        <w:rPr>
          <w:rFonts w:ascii="Calibri" w:hAnsi="Calibri"/>
          <w:sz w:val="22"/>
          <w:szCs w:val="22"/>
        </w:rPr>
        <w:t xml:space="preserve"> </w:t>
      </w:r>
      <w:r>
        <w:rPr>
          <w:rFonts w:ascii="Calibri" w:hAnsi="Calibri"/>
          <w:sz w:val="22"/>
          <w:szCs w:val="22"/>
        </w:rPr>
        <w:t>participating</w:t>
      </w:r>
      <w:r w:rsidRPr="00EA4349">
        <w:rPr>
          <w:rFonts w:ascii="Calibri" w:hAnsi="Calibri"/>
          <w:sz w:val="22"/>
          <w:szCs w:val="22"/>
        </w:rPr>
        <w:t xml:space="preserve"> school</w:t>
      </w:r>
      <w:r>
        <w:rPr>
          <w:rFonts w:ascii="Calibri" w:hAnsi="Calibri"/>
          <w:sz w:val="22"/>
          <w:szCs w:val="22"/>
        </w:rPr>
        <w:t>(s)</w:t>
      </w:r>
      <w:r w:rsidRPr="00EA4349">
        <w:rPr>
          <w:rFonts w:ascii="Calibri" w:hAnsi="Calibri"/>
          <w:sz w:val="22"/>
          <w:szCs w:val="22"/>
        </w:rPr>
        <w:t xml:space="preserve">.  At each school, they will observe up to </w:t>
      </w:r>
      <w:r>
        <w:rPr>
          <w:rFonts w:ascii="Calibri" w:hAnsi="Calibri"/>
          <w:sz w:val="22"/>
          <w:szCs w:val="22"/>
        </w:rPr>
        <w:t>six</w:t>
      </w:r>
      <w:r w:rsidRPr="00EA4349">
        <w:rPr>
          <w:rFonts w:ascii="Calibri" w:hAnsi="Calibri"/>
          <w:sz w:val="22"/>
          <w:szCs w:val="22"/>
        </w:rPr>
        <w:t xml:space="preserve"> activities</w:t>
      </w:r>
      <w:r>
        <w:rPr>
          <w:rFonts w:ascii="Calibri" w:hAnsi="Calibri"/>
          <w:sz w:val="22"/>
          <w:szCs w:val="22"/>
        </w:rPr>
        <w:t>.  Additionally, the team will</w:t>
      </w:r>
      <w:r w:rsidRPr="00EA4349">
        <w:rPr>
          <w:rFonts w:ascii="Calibri" w:hAnsi="Calibri"/>
          <w:sz w:val="22"/>
          <w:szCs w:val="22"/>
        </w:rPr>
        <w:t xml:space="preserve"> conduct interviews with each of the respondent groups</w:t>
      </w:r>
      <w:r>
        <w:rPr>
          <w:rFonts w:ascii="Calibri" w:hAnsi="Calibri"/>
          <w:sz w:val="22"/>
          <w:szCs w:val="22"/>
        </w:rPr>
        <w:t xml:space="preserve"> (except for State Title III interviews which will be conducted by phone prior to visits)</w:t>
      </w:r>
      <w:r w:rsidRPr="00EA4349">
        <w:rPr>
          <w:rFonts w:ascii="Calibri" w:hAnsi="Calibri"/>
          <w:sz w:val="22"/>
          <w:szCs w:val="22"/>
        </w:rPr>
        <w:t xml:space="preserve">. </w:t>
      </w:r>
      <w:r w:rsidR="00376DA7">
        <w:rPr>
          <w:rFonts w:ascii="Calibri" w:hAnsi="Calibri"/>
          <w:sz w:val="22"/>
          <w:szCs w:val="22"/>
        </w:rPr>
        <w:t xml:space="preserve"> At the start of each interview, all participating respondents will receive and will read the informed consent document.  The interviewer will review the form, pointing out the voluntary nature of their participation as well as confidentiality assurances.   Each respondent will sign the form and retain a blank copy for their reference.  </w:t>
      </w:r>
      <w:r w:rsidRPr="00EA4349">
        <w:rPr>
          <w:rFonts w:ascii="Calibri" w:hAnsi="Calibri"/>
          <w:sz w:val="22"/>
          <w:szCs w:val="22"/>
        </w:rPr>
        <w:t xml:space="preserve">All interviews will be recorded </w:t>
      </w:r>
      <w:r>
        <w:rPr>
          <w:rFonts w:ascii="Calibri" w:hAnsi="Calibri"/>
          <w:sz w:val="22"/>
          <w:szCs w:val="22"/>
        </w:rPr>
        <w:t>as back-up to researchers</w:t>
      </w:r>
      <w:r w:rsidR="009F70A8">
        <w:rPr>
          <w:rFonts w:ascii="Calibri" w:hAnsi="Calibri"/>
          <w:sz w:val="22"/>
          <w:szCs w:val="22"/>
        </w:rPr>
        <w:t>’</w:t>
      </w:r>
      <w:r>
        <w:rPr>
          <w:rFonts w:ascii="Calibri" w:hAnsi="Calibri"/>
          <w:sz w:val="22"/>
          <w:szCs w:val="22"/>
        </w:rPr>
        <w:t xml:space="preserve"> note-taking</w:t>
      </w:r>
      <w:r w:rsidRPr="00EA4349">
        <w:rPr>
          <w:rFonts w:ascii="Calibri" w:hAnsi="Calibri"/>
          <w:sz w:val="22"/>
          <w:szCs w:val="22"/>
        </w:rPr>
        <w:t>. Two evaluators will be present for all data gathering</w:t>
      </w:r>
      <w:r>
        <w:rPr>
          <w:rFonts w:ascii="Calibri" w:hAnsi="Calibri"/>
          <w:sz w:val="22"/>
          <w:szCs w:val="22"/>
        </w:rPr>
        <w:t xml:space="preserve"> activities to maximize the number of relevant data points observed and captured</w:t>
      </w:r>
      <w:r w:rsidRPr="00D30805">
        <w:rPr>
          <w:rFonts w:ascii="Calibri" w:hAnsi="Calibri"/>
          <w:sz w:val="22"/>
          <w:szCs w:val="22"/>
        </w:rPr>
        <w:t>.  Moreover, this approach supports achieving inter-rater reliability of data. All activity observations will be documented using the observation instrument, which is designed to capture descriptive</w:t>
      </w:r>
      <w:r>
        <w:rPr>
          <w:rFonts w:ascii="Calibri" w:hAnsi="Calibri"/>
          <w:sz w:val="22"/>
          <w:szCs w:val="22"/>
        </w:rPr>
        <w:t xml:space="preserve"> information on the practical application of the program parameters along</w:t>
      </w:r>
      <w:r w:rsidR="00673456">
        <w:rPr>
          <w:rFonts w:ascii="Calibri" w:hAnsi="Calibri"/>
          <w:sz w:val="22"/>
          <w:szCs w:val="22"/>
        </w:rPr>
        <w:t xml:space="preserve"> </w:t>
      </w:r>
      <w:r w:rsidR="00B11AAB">
        <w:rPr>
          <w:rFonts w:ascii="Calibri" w:hAnsi="Calibri"/>
          <w:sz w:val="22"/>
          <w:szCs w:val="22"/>
        </w:rPr>
        <w:t xml:space="preserve">5 </w:t>
      </w:r>
      <w:r w:rsidR="00673456">
        <w:rPr>
          <w:rFonts w:ascii="Calibri" w:hAnsi="Calibri"/>
          <w:sz w:val="22"/>
          <w:szCs w:val="22"/>
        </w:rPr>
        <w:t>of the 12 key</w:t>
      </w:r>
      <w:r>
        <w:rPr>
          <w:rFonts w:ascii="Calibri" w:hAnsi="Calibri"/>
          <w:sz w:val="22"/>
          <w:szCs w:val="22"/>
        </w:rPr>
        <w:t xml:space="preserve"> characteristics (e.g.,</w:t>
      </w:r>
      <w:r w:rsidR="00673456">
        <w:rPr>
          <w:rFonts w:ascii="Calibri" w:hAnsi="Calibri"/>
          <w:sz w:val="22"/>
          <w:szCs w:val="22"/>
        </w:rPr>
        <w:t xml:space="preserve"> </w:t>
      </w:r>
      <w:r>
        <w:rPr>
          <w:rFonts w:ascii="Calibri" w:hAnsi="Calibri"/>
          <w:sz w:val="22"/>
          <w:szCs w:val="22"/>
        </w:rPr>
        <w:t xml:space="preserve"> staffing and professional development, collaboration, curriculum and </w:t>
      </w:r>
      <w:r w:rsidR="00673456">
        <w:rPr>
          <w:rFonts w:ascii="Calibri" w:hAnsi="Calibri"/>
          <w:sz w:val="22"/>
          <w:szCs w:val="22"/>
        </w:rPr>
        <w:t>instruction</w:t>
      </w:r>
      <w:r>
        <w:rPr>
          <w:rFonts w:ascii="Calibri" w:hAnsi="Calibri"/>
          <w:sz w:val="22"/>
          <w:szCs w:val="22"/>
        </w:rPr>
        <w:t xml:space="preserve">, </w:t>
      </w:r>
      <w:r w:rsidR="00673456">
        <w:rPr>
          <w:rFonts w:ascii="Calibri" w:hAnsi="Calibri"/>
          <w:sz w:val="22"/>
          <w:szCs w:val="22"/>
        </w:rPr>
        <w:t xml:space="preserve">support for implementation, </w:t>
      </w:r>
      <w:r w:rsidR="00792EE4">
        <w:rPr>
          <w:rFonts w:ascii="Calibri" w:hAnsi="Calibri"/>
          <w:sz w:val="22"/>
          <w:szCs w:val="22"/>
        </w:rPr>
        <w:t xml:space="preserve">and </w:t>
      </w:r>
      <w:r>
        <w:rPr>
          <w:rFonts w:ascii="Calibri" w:hAnsi="Calibri"/>
          <w:sz w:val="22"/>
          <w:szCs w:val="22"/>
        </w:rPr>
        <w:t>family and community involvement) described in existing literature as essential to program success.</w:t>
      </w:r>
      <w:r w:rsidR="00792EE4">
        <w:rPr>
          <w:rFonts w:ascii="Calibri" w:hAnsi="Calibri"/>
          <w:sz w:val="22"/>
          <w:szCs w:val="22"/>
        </w:rPr>
        <w:t xml:space="preserve">  The remaining 7</w:t>
      </w:r>
      <w:r w:rsidR="00673456">
        <w:rPr>
          <w:rFonts w:ascii="Calibri" w:hAnsi="Calibri"/>
          <w:sz w:val="22"/>
          <w:szCs w:val="22"/>
        </w:rPr>
        <w:t xml:space="preserve"> key characteristics  (political context, approach to external pressures, organizational context, leadership and advocacy, </w:t>
      </w:r>
      <w:r w:rsidR="00792EE4">
        <w:rPr>
          <w:rFonts w:ascii="Calibri" w:hAnsi="Calibri"/>
          <w:sz w:val="22"/>
          <w:szCs w:val="22"/>
        </w:rPr>
        <w:t xml:space="preserve">use of data, evaluation, </w:t>
      </w:r>
      <w:r w:rsidR="00673456">
        <w:rPr>
          <w:rFonts w:ascii="Calibri" w:hAnsi="Calibri"/>
          <w:sz w:val="22"/>
          <w:szCs w:val="22"/>
        </w:rPr>
        <w:t>and accountability) are not readily observable</w:t>
      </w:r>
      <w:r w:rsidR="00792EE4">
        <w:rPr>
          <w:rFonts w:ascii="Calibri" w:hAnsi="Calibri"/>
          <w:sz w:val="22"/>
          <w:szCs w:val="22"/>
        </w:rPr>
        <w:t xml:space="preserve"> given the observation types associated with this study.  However, a</w:t>
      </w:r>
      <w:r w:rsidR="00673456">
        <w:rPr>
          <w:rFonts w:ascii="Calibri" w:hAnsi="Calibri"/>
          <w:sz w:val="22"/>
          <w:szCs w:val="22"/>
        </w:rPr>
        <w:t xml:space="preserve">ll 12 characteristics are </w:t>
      </w:r>
      <w:r w:rsidR="00C901A1">
        <w:rPr>
          <w:rFonts w:ascii="Calibri" w:hAnsi="Calibri"/>
          <w:sz w:val="22"/>
          <w:szCs w:val="22"/>
        </w:rPr>
        <w:t>addressed through the interview protocols.</w:t>
      </w:r>
      <w:r w:rsidR="00376DA7">
        <w:rPr>
          <w:rFonts w:ascii="Calibri" w:hAnsi="Calibri"/>
          <w:sz w:val="22"/>
          <w:szCs w:val="22"/>
        </w:rPr>
        <w:t xml:space="preserve">  It should be noted </w:t>
      </w:r>
      <w:r w:rsidR="00056152">
        <w:rPr>
          <w:rFonts w:ascii="Calibri" w:hAnsi="Calibri"/>
          <w:sz w:val="22"/>
          <w:szCs w:val="22"/>
        </w:rPr>
        <w:t>that this is qualitative study and as such will not involve statistical techniques that generate inferences that can be generalized broadly.  Rather, data collected will be categorized based on common themes and discussed in case study format in the resulting Guide.</w:t>
      </w:r>
    </w:p>
    <w:p w:rsidR="00A633CF" w:rsidRPr="00EA4349" w:rsidRDefault="00A633CF" w:rsidP="00A633CF">
      <w:pPr>
        <w:jc w:val="both"/>
        <w:rPr>
          <w:rFonts w:ascii="Calibri" w:hAnsi="Calibri"/>
          <w:sz w:val="22"/>
          <w:szCs w:val="22"/>
        </w:rPr>
      </w:pPr>
    </w:p>
    <w:p w:rsidR="00A633CF" w:rsidRPr="00EA4349" w:rsidRDefault="00A633CF" w:rsidP="00A633CF">
      <w:pPr>
        <w:numPr>
          <w:ilvl w:val="0"/>
          <w:numId w:val="3"/>
        </w:numPr>
        <w:jc w:val="both"/>
        <w:rPr>
          <w:rFonts w:ascii="Calibri" w:hAnsi="Calibri"/>
          <w:b/>
          <w:sz w:val="22"/>
          <w:szCs w:val="22"/>
        </w:rPr>
      </w:pPr>
      <w:r w:rsidRPr="00EA4349">
        <w:rPr>
          <w:rFonts w:ascii="Calibri" w:hAnsi="Calibri"/>
          <w:b/>
          <w:sz w:val="22"/>
          <w:szCs w:val="22"/>
        </w:rPr>
        <w:t>Statistical Methodology</w:t>
      </w:r>
    </w:p>
    <w:p w:rsidR="00A633CF" w:rsidRPr="00EA4349" w:rsidRDefault="00A633CF" w:rsidP="00A633CF">
      <w:pPr>
        <w:jc w:val="both"/>
        <w:rPr>
          <w:rFonts w:ascii="Calibri" w:hAnsi="Calibri"/>
          <w:b/>
          <w:sz w:val="22"/>
          <w:szCs w:val="22"/>
        </w:rPr>
      </w:pPr>
    </w:p>
    <w:p w:rsidR="00A633CF" w:rsidRPr="00EA4349" w:rsidRDefault="00A633CF" w:rsidP="00A633CF">
      <w:pPr>
        <w:rPr>
          <w:rFonts w:ascii="Calibri" w:hAnsi="Calibri"/>
          <w:sz w:val="22"/>
          <w:szCs w:val="22"/>
        </w:rPr>
      </w:pPr>
      <w:r>
        <w:rPr>
          <w:rFonts w:ascii="Calibri" w:hAnsi="Calibri"/>
          <w:sz w:val="22"/>
          <w:szCs w:val="22"/>
        </w:rPr>
        <w:t>This study involves collection of qualitative data.  A discussion of statistical methodology is not applicable to this study.</w:t>
      </w:r>
    </w:p>
    <w:p w:rsidR="00A633CF" w:rsidRPr="00EA4349" w:rsidRDefault="00A633CF" w:rsidP="00A633CF">
      <w:pPr>
        <w:jc w:val="both"/>
        <w:rPr>
          <w:rFonts w:ascii="Calibri" w:hAnsi="Calibri"/>
          <w:sz w:val="22"/>
          <w:szCs w:val="22"/>
        </w:rPr>
      </w:pPr>
    </w:p>
    <w:p w:rsidR="00A633CF" w:rsidRPr="00EA4349" w:rsidRDefault="00A633CF" w:rsidP="00A633CF">
      <w:pPr>
        <w:jc w:val="both"/>
        <w:rPr>
          <w:rFonts w:ascii="Calibri" w:hAnsi="Calibri"/>
          <w:b/>
          <w:sz w:val="22"/>
          <w:szCs w:val="22"/>
        </w:rPr>
      </w:pPr>
      <w:r w:rsidRPr="00EA4349">
        <w:rPr>
          <w:rFonts w:ascii="Calibri" w:hAnsi="Calibri"/>
          <w:b/>
          <w:sz w:val="22"/>
          <w:szCs w:val="22"/>
        </w:rPr>
        <w:t>b. Analysis Methods</w:t>
      </w:r>
    </w:p>
    <w:p w:rsidR="00A633CF" w:rsidRPr="00EA4349" w:rsidRDefault="00A633CF" w:rsidP="00A633CF">
      <w:pPr>
        <w:jc w:val="both"/>
        <w:rPr>
          <w:rFonts w:ascii="Calibri" w:hAnsi="Calibri"/>
          <w:b/>
          <w:sz w:val="22"/>
          <w:szCs w:val="22"/>
        </w:rPr>
      </w:pPr>
    </w:p>
    <w:p w:rsidR="00A633CF" w:rsidRPr="00A7581A" w:rsidRDefault="00A633CF" w:rsidP="00A633CF">
      <w:pPr>
        <w:pStyle w:val="FootnoteText"/>
        <w:rPr>
          <w:rFonts w:ascii="Calibri" w:hAnsi="Calibri"/>
          <w:sz w:val="22"/>
          <w:szCs w:val="22"/>
        </w:rPr>
      </w:pPr>
      <w:r w:rsidRPr="00EA4349">
        <w:rPr>
          <w:rFonts w:ascii="Calibri" w:hAnsi="Calibri"/>
          <w:sz w:val="22"/>
          <w:szCs w:val="22"/>
        </w:rPr>
        <w:t>All data collected will be subjected to qualitative analysis procedures. Using text recognition</w:t>
      </w:r>
      <w:r>
        <w:rPr>
          <w:rFonts w:ascii="Calibri" w:hAnsi="Calibri"/>
          <w:sz w:val="22"/>
          <w:szCs w:val="22"/>
        </w:rPr>
        <w:t xml:space="preserve"> (e.g., PCAP analysis software)</w:t>
      </w:r>
      <w:r w:rsidRPr="00EA4349">
        <w:rPr>
          <w:rFonts w:ascii="Calibri" w:hAnsi="Calibri"/>
          <w:sz w:val="22"/>
          <w:szCs w:val="22"/>
        </w:rPr>
        <w:t xml:space="preserve"> and coding</w:t>
      </w:r>
      <w:r>
        <w:rPr>
          <w:rFonts w:ascii="Calibri" w:hAnsi="Calibri"/>
          <w:sz w:val="22"/>
          <w:szCs w:val="22"/>
        </w:rPr>
        <w:t xml:space="preserve"> processes, open-ended information gathered in the interviews and observations will be categorized as program features. The coded data will be subjected to clustering to identify common characteristics of successful programs and characteristics of programs within specific contexts – for example, characteristics of programs in high poverty areas, or of programs in the immersion model.</w:t>
      </w:r>
    </w:p>
    <w:p w:rsidR="00A633CF" w:rsidRPr="00EA4349" w:rsidRDefault="00A633CF" w:rsidP="00A633CF">
      <w:pPr>
        <w:pStyle w:val="FootnoteText"/>
        <w:rPr>
          <w:rFonts w:ascii="Calibri" w:hAnsi="Calibri"/>
          <w:sz w:val="22"/>
          <w:szCs w:val="22"/>
        </w:rPr>
      </w:pPr>
    </w:p>
    <w:p w:rsidR="001F7047" w:rsidRDefault="00C80F21">
      <w:pPr>
        <w:pStyle w:val="ListParagraph"/>
        <w:numPr>
          <w:ilvl w:val="0"/>
          <w:numId w:val="4"/>
        </w:numPr>
        <w:jc w:val="both"/>
        <w:rPr>
          <w:rFonts w:ascii="Calibri" w:hAnsi="Calibri"/>
          <w:b/>
          <w:sz w:val="22"/>
          <w:szCs w:val="22"/>
        </w:rPr>
      </w:pPr>
      <w:r w:rsidRPr="00C80F21">
        <w:rPr>
          <w:rFonts w:ascii="Calibri" w:hAnsi="Calibri"/>
          <w:b/>
          <w:sz w:val="22"/>
          <w:szCs w:val="22"/>
        </w:rPr>
        <w:t xml:space="preserve">Degree of Accuracy Needed </w:t>
      </w:r>
    </w:p>
    <w:p w:rsidR="00A633CF" w:rsidRPr="00EA4349" w:rsidRDefault="00A633CF" w:rsidP="00A633CF">
      <w:pPr>
        <w:ind w:left="360"/>
        <w:jc w:val="both"/>
        <w:rPr>
          <w:rFonts w:ascii="Calibri" w:hAnsi="Calibri"/>
          <w:b/>
          <w:sz w:val="22"/>
          <w:szCs w:val="22"/>
        </w:rPr>
      </w:pPr>
    </w:p>
    <w:p w:rsidR="00A633CF" w:rsidRDefault="00A633CF" w:rsidP="00A633CF">
      <w:pPr>
        <w:rPr>
          <w:rFonts w:ascii="Calibri" w:hAnsi="Calibri"/>
          <w:sz w:val="22"/>
          <w:szCs w:val="22"/>
        </w:rPr>
      </w:pPr>
      <w:r w:rsidRPr="00EA4349">
        <w:rPr>
          <w:rFonts w:ascii="Calibri" w:hAnsi="Calibri"/>
          <w:sz w:val="22"/>
          <w:szCs w:val="22"/>
        </w:rPr>
        <w:t>The research team will do everything possible to maximize the accuracy of collected qualitative data.  First, we will pilot our instruments and adjust them accordingly. All site visit data collectors</w:t>
      </w:r>
      <w:r w:rsidR="00C901A1">
        <w:rPr>
          <w:rFonts w:ascii="Calibri" w:hAnsi="Calibri"/>
          <w:sz w:val="22"/>
          <w:szCs w:val="22"/>
        </w:rPr>
        <w:t xml:space="preserve"> (a subset of </w:t>
      </w:r>
      <w:r w:rsidR="00C901A1">
        <w:rPr>
          <w:rFonts w:ascii="Calibri" w:hAnsi="Calibri"/>
          <w:sz w:val="22"/>
          <w:szCs w:val="22"/>
        </w:rPr>
        <w:lastRenderedPageBreak/>
        <w:t>the full research team)</w:t>
      </w:r>
      <w:r w:rsidRPr="00EA4349">
        <w:rPr>
          <w:rFonts w:ascii="Calibri" w:hAnsi="Calibri"/>
          <w:sz w:val="22"/>
          <w:szCs w:val="22"/>
        </w:rPr>
        <w:t xml:space="preserve"> will attend a one-day, in-depth training that deeply familiarizes them with the instruments and trains them on interview and observation techniques. Site visits will be conducted with two-person teams to ensure inter-rater reliability. While on-site, interviews will be recorded</w:t>
      </w:r>
      <w:r w:rsidR="009F70A8">
        <w:rPr>
          <w:rFonts w:ascii="Calibri" w:hAnsi="Calibri"/>
          <w:sz w:val="22"/>
          <w:szCs w:val="22"/>
        </w:rPr>
        <w:t>,</w:t>
      </w:r>
      <w:r w:rsidRPr="00EA4349">
        <w:rPr>
          <w:rFonts w:ascii="Calibri" w:hAnsi="Calibri"/>
          <w:sz w:val="22"/>
          <w:szCs w:val="22"/>
        </w:rPr>
        <w:t xml:space="preserve"> in addition to being transcribed by hand</w:t>
      </w:r>
      <w:r w:rsidR="009F70A8">
        <w:rPr>
          <w:rFonts w:ascii="Calibri" w:hAnsi="Calibri"/>
          <w:sz w:val="22"/>
          <w:szCs w:val="22"/>
        </w:rPr>
        <w:t>,</w:t>
      </w:r>
      <w:r w:rsidRPr="00EA4349">
        <w:rPr>
          <w:rFonts w:ascii="Calibri" w:hAnsi="Calibri"/>
          <w:sz w:val="22"/>
          <w:szCs w:val="22"/>
        </w:rPr>
        <w:t xml:space="preserve"> by one of the team members. All site visit team members will be required to prepare draft case study summaries within one week of each visit. In terms of data </w:t>
      </w:r>
      <w:r>
        <w:rPr>
          <w:rFonts w:ascii="Calibri" w:hAnsi="Calibri"/>
          <w:sz w:val="22"/>
          <w:szCs w:val="22"/>
        </w:rPr>
        <w:t>verification</w:t>
      </w:r>
      <w:r w:rsidRPr="00EA4349">
        <w:rPr>
          <w:rFonts w:ascii="Calibri" w:hAnsi="Calibri"/>
          <w:sz w:val="22"/>
          <w:szCs w:val="22"/>
        </w:rPr>
        <w:t xml:space="preserve"> and analyses, the data analysis staff</w:t>
      </w:r>
      <w:r>
        <w:rPr>
          <w:rFonts w:ascii="Calibri" w:hAnsi="Calibri"/>
          <w:sz w:val="22"/>
          <w:szCs w:val="22"/>
        </w:rPr>
        <w:t xml:space="preserve"> </w:t>
      </w:r>
      <w:r w:rsidR="00C901A1">
        <w:rPr>
          <w:rFonts w:ascii="Calibri" w:hAnsi="Calibri"/>
          <w:sz w:val="22"/>
          <w:szCs w:val="22"/>
        </w:rPr>
        <w:t xml:space="preserve">(a subset of the full research team) </w:t>
      </w:r>
      <w:r>
        <w:rPr>
          <w:rFonts w:ascii="Calibri" w:hAnsi="Calibri"/>
          <w:sz w:val="22"/>
          <w:szCs w:val="22"/>
        </w:rPr>
        <w:t xml:space="preserve">will develop a codebook for the study and each coder will participate in coding training.  </w:t>
      </w:r>
    </w:p>
    <w:p w:rsidR="00A633CF" w:rsidRPr="00706582" w:rsidRDefault="00A633CF" w:rsidP="00A633CF">
      <w:pPr>
        <w:jc w:val="both"/>
        <w:rPr>
          <w:rFonts w:ascii="Calibri" w:hAnsi="Calibri"/>
          <w:sz w:val="22"/>
          <w:szCs w:val="22"/>
        </w:rPr>
      </w:pPr>
    </w:p>
    <w:p w:rsidR="00A633CF" w:rsidRDefault="00A633CF" w:rsidP="00A633CF">
      <w:pPr>
        <w:jc w:val="both"/>
        <w:outlineLvl w:val="0"/>
        <w:rPr>
          <w:rFonts w:ascii="Calibri" w:hAnsi="Calibri"/>
          <w:b/>
          <w:sz w:val="22"/>
          <w:szCs w:val="22"/>
        </w:rPr>
      </w:pPr>
      <w:r>
        <w:rPr>
          <w:rFonts w:ascii="Calibri" w:hAnsi="Calibri"/>
          <w:b/>
          <w:sz w:val="22"/>
          <w:szCs w:val="22"/>
        </w:rPr>
        <w:t>B</w:t>
      </w:r>
      <w:r w:rsidRPr="00706582">
        <w:rPr>
          <w:rFonts w:ascii="Calibri" w:hAnsi="Calibri"/>
          <w:b/>
          <w:sz w:val="22"/>
          <w:szCs w:val="22"/>
        </w:rPr>
        <w:t xml:space="preserve">3. Methods to Maximize </w:t>
      </w:r>
      <w:r>
        <w:rPr>
          <w:rFonts w:ascii="Calibri" w:hAnsi="Calibri"/>
          <w:b/>
          <w:sz w:val="22"/>
          <w:szCs w:val="22"/>
        </w:rPr>
        <w:t>Participation</w:t>
      </w:r>
      <w:r w:rsidRPr="00706582">
        <w:rPr>
          <w:rFonts w:ascii="Calibri" w:hAnsi="Calibri"/>
          <w:b/>
          <w:sz w:val="22"/>
          <w:szCs w:val="22"/>
        </w:rPr>
        <w:t xml:space="preserve"> Rates</w:t>
      </w:r>
      <w:r>
        <w:rPr>
          <w:rFonts w:ascii="Calibri" w:hAnsi="Calibri"/>
          <w:b/>
          <w:sz w:val="22"/>
          <w:szCs w:val="22"/>
        </w:rPr>
        <w:t xml:space="preserve">  </w:t>
      </w:r>
    </w:p>
    <w:p w:rsidR="00A633CF" w:rsidRPr="00706582" w:rsidRDefault="00A633CF" w:rsidP="00A633CF">
      <w:pPr>
        <w:jc w:val="both"/>
        <w:outlineLvl w:val="0"/>
        <w:rPr>
          <w:rFonts w:ascii="Calibri" w:hAnsi="Calibri"/>
          <w:b/>
          <w:sz w:val="22"/>
          <w:szCs w:val="22"/>
        </w:rPr>
      </w:pPr>
    </w:p>
    <w:p w:rsidR="00A633CF" w:rsidRDefault="00A633CF" w:rsidP="00A633CF">
      <w:pPr>
        <w:rPr>
          <w:rFonts w:ascii="Calibri" w:hAnsi="Calibri"/>
          <w:sz w:val="22"/>
          <w:szCs w:val="22"/>
        </w:rPr>
      </w:pPr>
      <w:r>
        <w:rPr>
          <w:rFonts w:ascii="Calibri" w:hAnsi="Calibri"/>
          <w:sz w:val="22"/>
          <w:szCs w:val="22"/>
        </w:rPr>
        <w:t>The nomination process from State Title III directors has served as an important incentive for possible sites to participate in the study’s site visits.</w:t>
      </w:r>
      <w:r w:rsidR="00056152">
        <w:rPr>
          <w:rFonts w:ascii="Calibri" w:hAnsi="Calibri"/>
          <w:sz w:val="22"/>
          <w:szCs w:val="22"/>
        </w:rPr>
        <w:t xml:space="preserve">  Because of this process, we anticipated 100 percent participation.  However, as added assurances to </w:t>
      </w:r>
      <w:r>
        <w:rPr>
          <w:rFonts w:ascii="Calibri" w:hAnsi="Calibri"/>
          <w:sz w:val="22"/>
          <w:szCs w:val="22"/>
        </w:rPr>
        <w:t xml:space="preserve"> to maximize participation rates</w:t>
      </w:r>
      <w:r w:rsidR="009F70A8">
        <w:rPr>
          <w:rFonts w:ascii="Calibri" w:hAnsi="Calibri"/>
          <w:sz w:val="22"/>
          <w:szCs w:val="22"/>
        </w:rPr>
        <w:t xml:space="preserve"> among the participating sites </w:t>
      </w:r>
      <w:r w:rsidR="00056152">
        <w:rPr>
          <w:rFonts w:ascii="Calibri" w:hAnsi="Calibri"/>
          <w:sz w:val="22"/>
          <w:szCs w:val="22"/>
        </w:rPr>
        <w:t>,</w:t>
      </w:r>
      <w:r>
        <w:rPr>
          <w:rFonts w:ascii="Calibri" w:hAnsi="Calibri"/>
          <w:sz w:val="22"/>
          <w:szCs w:val="22"/>
        </w:rPr>
        <w:t xml:space="preserve"> the following activities will take place.</w:t>
      </w:r>
    </w:p>
    <w:p w:rsidR="00A633CF" w:rsidRDefault="00A633CF" w:rsidP="00A633CF">
      <w:pPr>
        <w:rPr>
          <w:rFonts w:ascii="Calibri" w:hAnsi="Calibri"/>
          <w:sz w:val="22"/>
          <w:szCs w:val="22"/>
        </w:rPr>
      </w:pPr>
    </w:p>
    <w:p w:rsidR="00A633CF" w:rsidRPr="00494651" w:rsidRDefault="00A633CF" w:rsidP="00A633CF">
      <w:pPr>
        <w:numPr>
          <w:ilvl w:val="0"/>
          <w:numId w:val="1"/>
        </w:numPr>
        <w:rPr>
          <w:rFonts w:ascii="Calibri" w:hAnsi="Calibri"/>
          <w:b/>
          <w:sz w:val="22"/>
          <w:szCs w:val="22"/>
        </w:rPr>
      </w:pPr>
      <w:r w:rsidRPr="00494651">
        <w:rPr>
          <w:rFonts w:ascii="Calibri" w:hAnsi="Calibri"/>
          <w:sz w:val="22"/>
          <w:szCs w:val="22"/>
        </w:rPr>
        <w:t xml:space="preserve">Prior to </w:t>
      </w:r>
      <w:r>
        <w:rPr>
          <w:rFonts w:ascii="Calibri" w:hAnsi="Calibri"/>
          <w:sz w:val="22"/>
          <w:szCs w:val="22"/>
        </w:rPr>
        <w:t>site visits</w:t>
      </w:r>
      <w:r w:rsidRPr="00494651">
        <w:rPr>
          <w:rFonts w:ascii="Calibri" w:hAnsi="Calibri"/>
          <w:sz w:val="22"/>
          <w:szCs w:val="22"/>
        </w:rPr>
        <w:t xml:space="preserve">, </w:t>
      </w:r>
      <w:r>
        <w:rPr>
          <w:rFonts w:ascii="Calibri" w:hAnsi="Calibri"/>
          <w:sz w:val="22"/>
          <w:szCs w:val="22"/>
        </w:rPr>
        <w:t>the U.S. Department of Education will provide participating sites with information about the study</w:t>
      </w:r>
      <w:r w:rsidRPr="00494651">
        <w:rPr>
          <w:rFonts w:ascii="Calibri" w:hAnsi="Calibri"/>
          <w:sz w:val="22"/>
          <w:szCs w:val="22"/>
        </w:rPr>
        <w:t xml:space="preserve"> and its importance for the field. This letter wi</w:t>
      </w:r>
      <w:r>
        <w:rPr>
          <w:rFonts w:ascii="Calibri" w:hAnsi="Calibri"/>
          <w:sz w:val="22"/>
          <w:szCs w:val="22"/>
        </w:rPr>
        <w:t>ll also include information on the major topics addressed in the interviews, the purpose of the observations and how to learn more about the study from ED</w:t>
      </w:r>
      <w:r w:rsidRPr="00494651">
        <w:rPr>
          <w:rFonts w:ascii="Calibri" w:hAnsi="Calibri"/>
          <w:sz w:val="22"/>
          <w:szCs w:val="22"/>
        </w:rPr>
        <w:t xml:space="preserve">.  </w:t>
      </w:r>
    </w:p>
    <w:p w:rsidR="00A633CF" w:rsidRPr="007658A9" w:rsidRDefault="00A633CF" w:rsidP="00A633CF">
      <w:pPr>
        <w:numPr>
          <w:ilvl w:val="0"/>
          <w:numId w:val="1"/>
        </w:numPr>
        <w:rPr>
          <w:rFonts w:ascii="Calibri" w:hAnsi="Calibri"/>
          <w:sz w:val="22"/>
          <w:szCs w:val="22"/>
        </w:rPr>
      </w:pPr>
      <w:r w:rsidRPr="007658A9">
        <w:rPr>
          <w:rFonts w:ascii="Calibri" w:hAnsi="Calibri"/>
          <w:sz w:val="22"/>
          <w:szCs w:val="22"/>
        </w:rPr>
        <w:t xml:space="preserve">SEI and edCount will send all participating sites an email with an explanation of the study, an overview of the site visit process, and an email address and phone number to call </w:t>
      </w:r>
      <w:r w:rsidR="009F70A8">
        <w:rPr>
          <w:rFonts w:ascii="Calibri" w:hAnsi="Calibri"/>
          <w:sz w:val="22"/>
          <w:szCs w:val="22"/>
        </w:rPr>
        <w:t>with</w:t>
      </w:r>
      <w:r w:rsidRPr="007658A9">
        <w:rPr>
          <w:rFonts w:ascii="Calibri" w:hAnsi="Calibri"/>
          <w:sz w:val="22"/>
          <w:szCs w:val="22"/>
        </w:rPr>
        <w:t xml:space="preserve"> questions.  Participating sites will be oriented about confidentiality, how the data will be used, and will be introduced to their specific site visit team members at the appropriate time. Participating sites will work with the SEI/edCount team’s Site Visit Coordinator to prepare the logistics necessary for the visit in the 8 week period preceding each visit.  Reminder emails and/or calls will be made to the site at</w:t>
      </w:r>
      <w:r>
        <w:rPr>
          <w:rFonts w:ascii="Calibri" w:hAnsi="Calibri"/>
          <w:sz w:val="22"/>
          <w:szCs w:val="22"/>
        </w:rPr>
        <w:t xml:space="preserve"> least three weeks and again</w:t>
      </w:r>
      <w:r w:rsidRPr="007658A9">
        <w:rPr>
          <w:rFonts w:ascii="Calibri" w:hAnsi="Calibri"/>
          <w:sz w:val="22"/>
          <w:szCs w:val="22"/>
        </w:rPr>
        <w:t xml:space="preserve"> one week prior to the visit to confirm all arrangements. </w:t>
      </w:r>
    </w:p>
    <w:p w:rsidR="00A633CF" w:rsidRDefault="00A633CF" w:rsidP="00A633CF">
      <w:pPr>
        <w:rPr>
          <w:rFonts w:ascii="Calibri" w:hAnsi="Calibri"/>
          <w:sz w:val="22"/>
          <w:szCs w:val="22"/>
        </w:rPr>
      </w:pPr>
    </w:p>
    <w:p w:rsidR="00A633CF" w:rsidRDefault="00A633CF" w:rsidP="00A633CF">
      <w:pPr>
        <w:rPr>
          <w:rFonts w:ascii="Calibri" w:hAnsi="Calibri"/>
          <w:sz w:val="22"/>
          <w:szCs w:val="22"/>
        </w:rPr>
      </w:pPr>
      <w:r>
        <w:rPr>
          <w:rFonts w:ascii="Calibri" w:hAnsi="Calibri"/>
          <w:sz w:val="22"/>
          <w:szCs w:val="22"/>
        </w:rPr>
        <w:t xml:space="preserve">An important challenge in conducting the site visits will be to ensure continued support for study participation during </w:t>
      </w:r>
      <w:r w:rsidR="009F70A8">
        <w:rPr>
          <w:rFonts w:ascii="Calibri" w:hAnsi="Calibri"/>
          <w:sz w:val="22"/>
          <w:szCs w:val="22"/>
        </w:rPr>
        <w:t xml:space="preserve">the </w:t>
      </w:r>
      <w:r>
        <w:rPr>
          <w:rFonts w:ascii="Calibri" w:hAnsi="Calibri"/>
          <w:sz w:val="22"/>
          <w:szCs w:val="22"/>
        </w:rPr>
        <w:t>time lapse between site selection (</w:t>
      </w:r>
      <w:r w:rsidR="001F7047">
        <w:rPr>
          <w:rFonts w:ascii="Calibri" w:hAnsi="Calibri"/>
          <w:sz w:val="22"/>
          <w:szCs w:val="22"/>
        </w:rPr>
        <w:t>April-May 2011</w:t>
      </w:r>
      <w:r>
        <w:rPr>
          <w:rFonts w:ascii="Calibri" w:hAnsi="Calibri"/>
          <w:sz w:val="22"/>
          <w:szCs w:val="22"/>
        </w:rPr>
        <w:t>) and site visits (September 2011).  In many schools and districts, turnover can be high between school years. Thus, leaders who originally supported participation may no longer be with the district in that capacity. To address this issue, the research team will identify an individual at each site who will serve as the main point of contact (POC).  We will remain in regular contact over the spring and summer months preceding the visits. We will provide the POC</w:t>
      </w:r>
      <w:r w:rsidR="009F70A8">
        <w:rPr>
          <w:rFonts w:ascii="Calibri" w:hAnsi="Calibri"/>
          <w:sz w:val="22"/>
          <w:szCs w:val="22"/>
        </w:rPr>
        <w:t>s</w:t>
      </w:r>
      <w:r>
        <w:rPr>
          <w:rFonts w:ascii="Calibri" w:hAnsi="Calibri"/>
          <w:sz w:val="22"/>
          <w:szCs w:val="22"/>
        </w:rPr>
        <w:t xml:space="preserve"> updates and work with them to prepare for the site visit</w:t>
      </w:r>
      <w:r w:rsidR="009F70A8">
        <w:rPr>
          <w:rFonts w:ascii="Calibri" w:hAnsi="Calibri"/>
          <w:sz w:val="22"/>
          <w:szCs w:val="22"/>
        </w:rPr>
        <w:t>s</w:t>
      </w:r>
      <w:r>
        <w:rPr>
          <w:rFonts w:ascii="Calibri" w:hAnsi="Calibri"/>
          <w:sz w:val="22"/>
          <w:szCs w:val="22"/>
        </w:rPr>
        <w:t xml:space="preserve"> so that </w:t>
      </w:r>
      <w:r w:rsidR="009F70A8">
        <w:rPr>
          <w:rFonts w:ascii="Calibri" w:hAnsi="Calibri"/>
          <w:sz w:val="22"/>
          <w:szCs w:val="22"/>
        </w:rPr>
        <w:t>they</w:t>
      </w:r>
      <w:r>
        <w:rPr>
          <w:rFonts w:ascii="Calibri" w:hAnsi="Calibri"/>
          <w:sz w:val="22"/>
          <w:szCs w:val="22"/>
        </w:rPr>
        <w:t xml:space="preserve"> run as efficiently and smoothly as possible. This regular, consistent communication will allow the team to respond quickly to any attrition. Specifically, should attrition occur, the researcher team will maintain a back-up pool of up to 5 sites that can be substituted for any participating sites that drop out. Using this approach, we anticipate that we will successfully complete all </w:t>
      </w:r>
      <w:r w:rsidR="001F7047">
        <w:rPr>
          <w:rFonts w:ascii="Calibri" w:hAnsi="Calibri"/>
          <w:sz w:val="22"/>
          <w:szCs w:val="22"/>
        </w:rPr>
        <w:t xml:space="preserve">20 </w:t>
      </w:r>
      <w:r>
        <w:rPr>
          <w:rFonts w:ascii="Calibri" w:hAnsi="Calibri"/>
          <w:sz w:val="22"/>
          <w:szCs w:val="22"/>
        </w:rPr>
        <w:t>visits.</w:t>
      </w:r>
    </w:p>
    <w:p w:rsidR="00A633CF" w:rsidRDefault="00A633CF" w:rsidP="00A633CF">
      <w:pPr>
        <w:jc w:val="both"/>
        <w:rPr>
          <w:rFonts w:ascii="Calibri" w:hAnsi="Calibri"/>
          <w:sz w:val="22"/>
          <w:szCs w:val="22"/>
        </w:rPr>
      </w:pPr>
    </w:p>
    <w:p w:rsidR="00A633CF" w:rsidRPr="00706582" w:rsidRDefault="00A633CF" w:rsidP="00A633CF">
      <w:pPr>
        <w:jc w:val="both"/>
        <w:outlineLvl w:val="0"/>
        <w:rPr>
          <w:rFonts w:ascii="Calibri" w:hAnsi="Calibri"/>
          <w:b/>
          <w:sz w:val="22"/>
          <w:szCs w:val="22"/>
        </w:rPr>
      </w:pPr>
      <w:r>
        <w:rPr>
          <w:rFonts w:ascii="Calibri" w:hAnsi="Calibri"/>
          <w:b/>
          <w:sz w:val="22"/>
          <w:szCs w:val="22"/>
        </w:rPr>
        <w:t>B</w:t>
      </w:r>
      <w:r w:rsidRPr="00706582">
        <w:rPr>
          <w:rFonts w:ascii="Calibri" w:hAnsi="Calibri"/>
          <w:b/>
          <w:sz w:val="22"/>
          <w:szCs w:val="22"/>
        </w:rPr>
        <w:t xml:space="preserve">4. </w:t>
      </w:r>
      <w:r>
        <w:rPr>
          <w:rFonts w:ascii="Calibri" w:hAnsi="Calibri"/>
          <w:b/>
          <w:sz w:val="22"/>
          <w:szCs w:val="22"/>
        </w:rPr>
        <w:t>Pretesting of Instruments</w:t>
      </w:r>
    </w:p>
    <w:p w:rsidR="00A633CF" w:rsidRPr="00706582" w:rsidRDefault="00A633CF" w:rsidP="00A633CF">
      <w:pPr>
        <w:jc w:val="both"/>
        <w:rPr>
          <w:rFonts w:ascii="Calibri" w:hAnsi="Calibri"/>
          <w:b/>
          <w:sz w:val="22"/>
          <w:szCs w:val="22"/>
        </w:rPr>
      </w:pPr>
    </w:p>
    <w:p w:rsidR="00A633CF" w:rsidRPr="00706582" w:rsidRDefault="00A633CF" w:rsidP="00A633CF">
      <w:pPr>
        <w:rPr>
          <w:rFonts w:ascii="Calibri" w:hAnsi="Calibri"/>
          <w:sz w:val="22"/>
          <w:szCs w:val="22"/>
          <w:u w:val="single"/>
        </w:rPr>
      </w:pPr>
      <w:r>
        <w:rPr>
          <w:rFonts w:ascii="Calibri" w:hAnsi="Calibri"/>
          <w:sz w:val="22"/>
          <w:szCs w:val="22"/>
        </w:rPr>
        <w:t xml:space="preserve">We have conducted internal pretesting of the items designed for these instruments to ensure clarity.  We will conduct a pilot site visit with a non-participating school district in the DC Metro area between </w:t>
      </w:r>
      <w:r w:rsidR="001F7047">
        <w:rPr>
          <w:rFonts w:ascii="Calibri" w:hAnsi="Calibri"/>
          <w:sz w:val="22"/>
          <w:szCs w:val="22"/>
        </w:rPr>
        <w:t>March-April</w:t>
      </w:r>
      <w:r>
        <w:rPr>
          <w:rFonts w:ascii="Calibri" w:hAnsi="Calibri"/>
          <w:sz w:val="22"/>
          <w:szCs w:val="22"/>
        </w:rPr>
        <w:t xml:space="preserve"> 2011. </w:t>
      </w:r>
      <w:r w:rsidR="00777693">
        <w:rPr>
          <w:rFonts w:ascii="Calibri" w:hAnsi="Calibri"/>
          <w:sz w:val="22"/>
          <w:szCs w:val="22"/>
        </w:rPr>
        <w:t>There are no more than</w:t>
      </w:r>
      <w:r>
        <w:rPr>
          <w:rFonts w:ascii="Calibri" w:hAnsi="Calibri"/>
          <w:sz w:val="22"/>
          <w:szCs w:val="22"/>
        </w:rPr>
        <w:t xml:space="preserve"> nine individuals whose roles are similar to those we will sample </w:t>
      </w:r>
      <w:r w:rsidR="00643693">
        <w:rPr>
          <w:rFonts w:ascii="Calibri" w:hAnsi="Calibri"/>
          <w:sz w:val="22"/>
          <w:szCs w:val="22"/>
        </w:rPr>
        <w:t xml:space="preserve">who will participate in the pilot. </w:t>
      </w:r>
    </w:p>
    <w:p w:rsidR="00A633CF" w:rsidRPr="00706582" w:rsidRDefault="00A633CF" w:rsidP="00A633CF">
      <w:pPr>
        <w:jc w:val="both"/>
        <w:outlineLvl w:val="0"/>
        <w:rPr>
          <w:rFonts w:ascii="Calibri" w:hAnsi="Calibri"/>
          <w:sz w:val="22"/>
          <w:szCs w:val="22"/>
        </w:rPr>
      </w:pPr>
      <w:r>
        <w:rPr>
          <w:rFonts w:ascii="Calibri" w:hAnsi="Calibri"/>
          <w:b/>
          <w:sz w:val="22"/>
          <w:szCs w:val="22"/>
        </w:rPr>
        <w:br w:type="page"/>
      </w:r>
      <w:r>
        <w:rPr>
          <w:rFonts w:ascii="Calibri" w:hAnsi="Calibri"/>
          <w:b/>
          <w:sz w:val="22"/>
          <w:szCs w:val="22"/>
        </w:rPr>
        <w:lastRenderedPageBreak/>
        <w:t>B</w:t>
      </w:r>
      <w:r w:rsidRPr="00706582">
        <w:rPr>
          <w:rFonts w:ascii="Calibri" w:hAnsi="Calibri"/>
          <w:b/>
          <w:sz w:val="22"/>
          <w:szCs w:val="22"/>
        </w:rPr>
        <w:t>5. Individuals Consulted on Statistical Aspects of Design</w:t>
      </w:r>
    </w:p>
    <w:p w:rsidR="00A633CF" w:rsidRPr="00706582" w:rsidRDefault="00A633CF" w:rsidP="00A633CF">
      <w:pPr>
        <w:rPr>
          <w:rFonts w:ascii="Calibri" w:hAnsi="Calibri"/>
          <w:b/>
          <w:sz w:val="22"/>
          <w:szCs w:val="22"/>
        </w:rPr>
      </w:pPr>
    </w:p>
    <w:p w:rsidR="00A633CF" w:rsidRPr="0034219C" w:rsidRDefault="00A633CF" w:rsidP="00A633CF">
      <w:pPr>
        <w:outlineLvl w:val="0"/>
        <w:rPr>
          <w:rFonts w:ascii="Calibri" w:hAnsi="Calibri"/>
          <w:b/>
          <w:sz w:val="22"/>
          <w:szCs w:val="22"/>
        </w:rPr>
      </w:pPr>
      <w:r w:rsidRPr="0034219C">
        <w:rPr>
          <w:rFonts w:ascii="Calibri" w:hAnsi="Calibri"/>
          <w:b/>
          <w:sz w:val="22"/>
          <w:szCs w:val="22"/>
        </w:rPr>
        <w:t>Contact Information: Synergy Enterprises</w:t>
      </w:r>
    </w:p>
    <w:p w:rsidR="00A633CF" w:rsidRDefault="00A633CF" w:rsidP="00A633CF">
      <w:pPr>
        <w:outlineLvl w:val="0"/>
        <w:rPr>
          <w:rFonts w:ascii="Calibri" w:hAnsi="Calibri"/>
          <w:sz w:val="22"/>
          <w:szCs w:val="22"/>
        </w:rPr>
      </w:pPr>
      <w:r>
        <w:rPr>
          <w:rFonts w:ascii="Calibri" w:hAnsi="Calibri"/>
          <w:sz w:val="22"/>
          <w:szCs w:val="22"/>
        </w:rPr>
        <w:t>Rhonda L. Crenshaw, M.A., Project Director</w:t>
      </w:r>
    </w:p>
    <w:p w:rsidR="00A633CF" w:rsidRDefault="00A633CF" w:rsidP="00A633CF">
      <w:pPr>
        <w:rPr>
          <w:rFonts w:ascii="Calibri" w:hAnsi="Calibri"/>
          <w:sz w:val="22"/>
          <w:szCs w:val="22"/>
        </w:rPr>
      </w:pPr>
      <w:r>
        <w:rPr>
          <w:rFonts w:ascii="Calibri" w:hAnsi="Calibri"/>
          <w:sz w:val="22"/>
          <w:szCs w:val="22"/>
        </w:rPr>
        <w:t>Synergy Enterprises Inc.</w:t>
      </w:r>
    </w:p>
    <w:p w:rsidR="00A633CF" w:rsidRDefault="00A633CF" w:rsidP="00A633CF">
      <w:pPr>
        <w:rPr>
          <w:rFonts w:ascii="Calibri" w:hAnsi="Calibri"/>
          <w:sz w:val="22"/>
          <w:szCs w:val="22"/>
        </w:rPr>
      </w:pPr>
      <w:r>
        <w:rPr>
          <w:rFonts w:ascii="Calibri" w:hAnsi="Calibri"/>
          <w:sz w:val="22"/>
          <w:szCs w:val="22"/>
        </w:rPr>
        <w:t>8757 Georgia Ave. Suite 1440</w:t>
      </w:r>
    </w:p>
    <w:p w:rsidR="00A633CF" w:rsidRDefault="00A633CF" w:rsidP="00A633CF">
      <w:pPr>
        <w:rPr>
          <w:rFonts w:ascii="Calibri" w:hAnsi="Calibri"/>
          <w:sz w:val="22"/>
          <w:szCs w:val="22"/>
        </w:rPr>
      </w:pPr>
      <w:r>
        <w:rPr>
          <w:rFonts w:ascii="Calibri" w:hAnsi="Calibri"/>
          <w:sz w:val="22"/>
          <w:szCs w:val="22"/>
        </w:rPr>
        <w:t>Silver Spring, MD 20910</w:t>
      </w:r>
    </w:p>
    <w:p w:rsidR="00A633CF" w:rsidRDefault="00A633CF" w:rsidP="00A633CF">
      <w:pPr>
        <w:rPr>
          <w:rFonts w:ascii="Calibri" w:hAnsi="Calibri"/>
          <w:sz w:val="22"/>
          <w:szCs w:val="22"/>
        </w:rPr>
      </w:pPr>
      <w:r w:rsidRPr="00590745">
        <w:rPr>
          <w:rFonts w:ascii="Calibri" w:hAnsi="Calibri"/>
          <w:sz w:val="22"/>
          <w:szCs w:val="22"/>
        </w:rPr>
        <w:t>rcrenshaw@seiser</w:t>
      </w:r>
      <w:r>
        <w:rPr>
          <w:rFonts w:ascii="Calibri" w:hAnsi="Calibri"/>
          <w:sz w:val="22"/>
          <w:szCs w:val="22"/>
        </w:rPr>
        <w:t>vices.com</w:t>
      </w:r>
    </w:p>
    <w:p w:rsidR="00A633CF" w:rsidRDefault="00A633CF" w:rsidP="00A633CF">
      <w:pPr>
        <w:rPr>
          <w:rFonts w:ascii="Calibri" w:hAnsi="Calibri"/>
          <w:sz w:val="22"/>
          <w:szCs w:val="22"/>
        </w:rPr>
      </w:pPr>
      <w:r>
        <w:rPr>
          <w:rFonts w:ascii="Calibri" w:hAnsi="Calibri"/>
          <w:sz w:val="22"/>
          <w:szCs w:val="22"/>
        </w:rPr>
        <w:t>(240) 485-1700</w:t>
      </w:r>
    </w:p>
    <w:p w:rsidR="00A633CF" w:rsidRDefault="00A633CF" w:rsidP="00A633CF">
      <w:pPr>
        <w:rPr>
          <w:rFonts w:ascii="Calibri" w:hAnsi="Calibri"/>
          <w:sz w:val="22"/>
          <w:szCs w:val="22"/>
        </w:rPr>
      </w:pPr>
    </w:p>
    <w:p w:rsidR="00A633CF" w:rsidRDefault="00A633CF" w:rsidP="00A633CF">
      <w:pPr>
        <w:outlineLvl w:val="0"/>
        <w:rPr>
          <w:rFonts w:ascii="Calibri" w:hAnsi="Calibri"/>
          <w:sz w:val="22"/>
          <w:szCs w:val="22"/>
        </w:rPr>
      </w:pPr>
      <w:r>
        <w:rPr>
          <w:rFonts w:ascii="Calibri" w:hAnsi="Calibri"/>
          <w:sz w:val="22"/>
          <w:szCs w:val="22"/>
        </w:rPr>
        <w:t>Kathy Zantal-Wiener, Ph.D., Study Design and Data Collection Team Leader</w:t>
      </w:r>
    </w:p>
    <w:p w:rsidR="00A633CF" w:rsidRDefault="00A633CF" w:rsidP="00A633CF">
      <w:pPr>
        <w:rPr>
          <w:rFonts w:ascii="Calibri" w:hAnsi="Calibri"/>
          <w:sz w:val="22"/>
          <w:szCs w:val="22"/>
        </w:rPr>
      </w:pPr>
      <w:r>
        <w:rPr>
          <w:rFonts w:ascii="Calibri" w:hAnsi="Calibri"/>
          <w:sz w:val="22"/>
          <w:szCs w:val="22"/>
        </w:rPr>
        <w:t>Synergy Enterprises Inc.</w:t>
      </w:r>
    </w:p>
    <w:p w:rsidR="00A633CF" w:rsidRDefault="00A633CF" w:rsidP="00A633CF">
      <w:pPr>
        <w:rPr>
          <w:rFonts w:ascii="Calibri" w:hAnsi="Calibri"/>
          <w:sz w:val="22"/>
          <w:szCs w:val="22"/>
        </w:rPr>
      </w:pPr>
      <w:r>
        <w:rPr>
          <w:rFonts w:ascii="Calibri" w:hAnsi="Calibri"/>
          <w:sz w:val="22"/>
          <w:szCs w:val="22"/>
        </w:rPr>
        <w:t>8757 Georgia Ave. Suite 1440</w:t>
      </w:r>
    </w:p>
    <w:p w:rsidR="00A633CF" w:rsidRDefault="00A633CF" w:rsidP="00A633CF">
      <w:pPr>
        <w:rPr>
          <w:rFonts w:ascii="Calibri" w:hAnsi="Calibri"/>
          <w:sz w:val="22"/>
          <w:szCs w:val="22"/>
        </w:rPr>
      </w:pPr>
      <w:r>
        <w:rPr>
          <w:rFonts w:ascii="Calibri" w:hAnsi="Calibri"/>
          <w:sz w:val="22"/>
          <w:szCs w:val="22"/>
        </w:rPr>
        <w:t>Silver Spring, MD 20910</w:t>
      </w:r>
    </w:p>
    <w:p w:rsidR="00A633CF" w:rsidRDefault="00A633CF" w:rsidP="00A633CF">
      <w:pPr>
        <w:rPr>
          <w:rFonts w:ascii="Calibri" w:hAnsi="Calibri"/>
          <w:sz w:val="22"/>
          <w:szCs w:val="22"/>
        </w:rPr>
      </w:pPr>
      <w:r>
        <w:rPr>
          <w:rFonts w:ascii="Calibri" w:hAnsi="Calibri"/>
          <w:sz w:val="22"/>
          <w:szCs w:val="22"/>
        </w:rPr>
        <w:t>Kzantal-wiener@seiservices.com</w:t>
      </w:r>
    </w:p>
    <w:p w:rsidR="00A633CF" w:rsidRDefault="00A633CF" w:rsidP="00A633CF">
      <w:pPr>
        <w:outlineLvl w:val="0"/>
        <w:rPr>
          <w:rFonts w:ascii="Calibri" w:hAnsi="Calibri"/>
          <w:sz w:val="22"/>
          <w:szCs w:val="22"/>
        </w:rPr>
      </w:pPr>
      <w:r>
        <w:rPr>
          <w:rFonts w:ascii="Calibri" w:hAnsi="Calibri"/>
          <w:sz w:val="22"/>
          <w:szCs w:val="22"/>
        </w:rPr>
        <w:t>(240) 485-1700</w:t>
      </w:r>
    </w:p>
    <w:p w:rsidR="00A633CF" w:rsidRDefault="00A633CF" w:rsidP="00A633CF">
      <w:pPr>
        <w:outlineLvl w:val="0"/>
        <w:rPr>
          <w:rFonts w:ascii="Calibri" w:hAnsi="Calibri"/>
          <w:sz w:val="22"/>
          <w:szCs w:val="22"/>
        </w:rPr>
      </w:pPr>
    </w:p>
    <w:p w:rsidR="00A633CF" w:rsidRDefault="00A633CF" w:rsidP="00A633CF">
      <w:pPr>
        <w:outlineLvl w:val="0"/>
        <w:rPr>
          <w:rFonts w:ascii="Calibri" w:hAnsi="Calibri"/>
          <w:sz w:val="22"/>
          <w:szCs w:val="22"/>
        </w:rPr>
      </w:pPr>
      <w:r>
        <w:rPr>
          <w:rFonts w:ascii="Calibri" w:hAnsi="Calibri"/>
          <w:sz w:val="22"/>
          <w:szCs w:val="22"/>
        </w:rPr>
        <w:t>Kate Tindle, Ed.D. Study Outreach Team Leader</w:t>
      </w:r>
    </w:p>
    <w:p w:rsidR="00A633CF" w:rsidRDefault="00A633CF" w:rsidP="00A633CF">
      <w:pPr>
        <w:rPr>
          <w:rFonts w:ascii="Calibri" w:hAnsi="Calibri"/>
          <w:sz w:val="22"/>
          <w:szCs w:val="22"/>
        </w:rPr>
      </w:pPr>
      <w:r>
        <w:rPr>
          <w:rFonts w:ascii="Calibri" w:hAnsi="Calibri"/>
          <w:sz w:val="22"/>
          <w:szCs w:val="22"/>
        </w:rPr>
        <w:t>Synergy Enterprises Inc.</w:t>
      </w:r>
    </w:p>
    <w:p w:rsidR="00A633CF" w:rsidRDefault="00A633CF" w:rsidP="00A633CF">
      <w:pPr>
        <w:rPr>
          <w:rFonts w:ascii="Calibri" w:hAnsi="Calibri"/>
          <w:sz w:val="22"/>
          <w:szCs w:val="22"/>
        </w:rPr>
      </w:pPr>
      <w:r>
        <w:rPr>
          <w:rFonts w:ascii="Calibri" w:hAnsi="Calibri"/>
          <w:sz w:val="22"/>
          <w:szCs w:val="22"/>
        </w:rPr>
        <w:t>8757 Georgia Ave. Suite 1440</w:t>
      </w:r>
    </w:p>
    <w:p w:rsidR="00A633CF" w:rsidRDefault="00A633CF" w:rsidP="00A633CF">
      <w:pPr>
        <w:rPr>
          <w:rFonts w:ascii="Calibri" w:hAnsi="Calibri"/>
          <w:sz w:val="22"/>
          <w:szCs w:val="22"/>
        </w:rPr>
      </w:pPr>
      <w:r>
        <w:rPr>
          <w:rFonts w:ascii="Calibri" w:hAnsi="Calibri"/>
          <w:sz w:val="22"/>
          <w:szCs w:val="22"/>
        </w:rPr>
        <w:t>Silver Spring, MD 20910</w:t>
      </w:r>
    </w:p>
    <w:p w:rsidR="00A633CF" w:rsidRDefault="00A633CF" w:rsidP="00A633CF">
      <w:pPr>
        <w:rPr>
          <w:rFonts w:ascii="Calibri" w:hAnsi="Calibri"/>
          <w:sz w:val="22"/>
          <w:szCs w:val="22"/>
        </w:rPr>
      </w:pPr>
      <w:r>
        <w:rPr>
          <w:rFonts w:ascii="Calibri" w:hAnsi="Calibri"/>
          <w:sz w:val="22"/>
          <w:szCs w:val="22"/>
        </w:rPr>
        <w:t>dlessne@seiservices.com</w:t>
      </w:r>
    </w:p>
    <w:p w:rsidR="00A633CF" w:rsidRDefault="00A633CF" w:rsidP="00A633CF">
      <w:pPr>
        <w:outlineLvl w:val="0"/>
        <w:rPr>
          <w:rFonts w:ascii="Calibri" w:hAnsi="Calibri"/>
          <w:sz w:val="22"/>
          <w:szCs w:val="22"/>
        </w:rPr>
      </w:pPr>
      <w:r>
        <w:rPr>
          <w:rFonts w:ascii="Calibri" w:hAnsi="Calibri"/>
          <w:sz w:val="22"/>
          <w:szCs w:val="22"/>
        </w:rPr>
        <w:t>(240) 485-1700</w:t>
      </w:r>
    </w:p>
    <w:p w:rsidR="00A633CF" w:rsidRDefault="00A633CF" w:rsidP="00A633CF">
      <w:pPr>
        <w:outlineLvl w:val="0"/>
        <w:rPr>
          <w:rFonts w:ascii="Calibri" w:hAnsi="Calibri"/>
          <w:sz w:val="22"/>
          <w:szCs w:val="22"/>
        </w:rPr>
      </w:pPr>
    </w:p>
    <w:p w:rsidR="00A633CF" w:rsidRDefault="00A633CF" w:rsidP="00A633CF">
      <w:pPr>
        <w:outlineLvl w:val="0"/>
        <w:rPr>
          <w:rFonts w:ascii="Calibri" w:hAnsi="Calibri"/>
          <w:sz w:val="22"/>
          <w:szCs w:val="22"/>
        </w:rPr>
      </w:pPr>
      <w:r>
        <w:rPr>
          <w:rFonts w:ascii="Calibri" w:hAnsi="Calibri"/>
          <w:sz w:val="22"/>
          <w:szCs w:val="22"/>
        </w:rPr>
        <w:t>Deborah Lessne, M.A., Study Data Analyst</w:t>
      </w:r>
    </w:p>
    <w:p w:rsidR="00A633CF" w:rsidRDefault="00A633CF" w:rsidP="00A633CF">
      <w:pPr>
        <w:rPr>
          <w:rFonts w:ascii="Calibri" w:hAnsi="Calibri"/>
          <w:sz w:val="22"/>
          <w:szCs w:val="22"/>
        </w:rPr>
      </w:pPr>
      <w:r>
        <w:rPr>
          <w:rFonts w:ascii="Calibri" w:hAnsi="Calibri"/>
          <w:sz w:val="22"/>
          <w:szCs w:val="22"/>
        </w:rPr>
        <w:t>Synergy Enterprises Inc.</w:t>
      </w:r>
    </w:p>
    <w:p w:rsidR="00A633CF" w:rsidRDefault="00A633CF" w:rsidP="00A633CF">
      <w:pPr>
        <w:rPr>
          <w:rFonts w:ascii="Calibri" w:hAnsi="Calibri"/>
          <w:sz w:val="22"/>
          <w:szCs w:val="22"/>
        </w:rPr>
      </w:pPr>
      <w:r>
        <w:rPr>
          <w:rFonts w:ascii="Calibri" w:hAnsi="Calibri"/>
          <w:sz w:val="22"/>
          <w:szCs w:val="22"/>
        </w:rPr>
        <w:t>8757 Georgia Ave. Suite 1440</w:t>
      </w:r>
    </w:p>
    <w:p w:rsidR="00A633CF" w:rsidRDefault="00A633CF" w:rsidP="00A633CF">
      <w:pPr>
        <w:rPr>
          <w:rFonts w:ascii="Calibri" w:hAnsi="Calibri"/>
          <w:sz w:val="22"/>
          <w:szCs w:val="22"/>
        </w:rPr>
      </w:pPr>
      <w:r>
        <w:rPr>
          <w:rFonts w:ascii="Calibri" w:hAnsi="Calibri"/>
          <w:sz w:val="22"/>
          <w:szCs w:val="22"/>
        </w:rPr>
        <w:t>Silver Spring, MD 20910</w:t>
      </w:r>
    </w:p>
    <w:p w:rsidR="00A633CF" w:rsidRDefault="00A633CF" w:rsidP="00A633CF">
      <w:pPr>
        <w:rPr>
          <w:rFonts w:ascii="Calibri" w:hAnsi="Calibri"/>
          <w:sz w:val="22"/>
          <w:szCs w:val="22"/>
        </w:rPr>
      </w:pPr>
      <w:r>
        <w:rPr>
          <w:rFonts w:ascii="Calibri" w:hAnsi="Calibri"/>
          <w:sz w:val="22"/>
          <w:szCs w:val="22"/>
        </w:rPr>
        <w:t>dlessne@seiservices.com</w:t>
      </w:r>
    </w:p>
    <w:p w:rsidR="00A633CF" w:rsidRDefault="00A633CF" w:rsidP="00A633CF">
      <w:pPr>
        <w:outlineLvl w:val="0"/>
        <w:rPr>
          <w:rFonts w:ascii="Calibri" w:hAnsi="Calibri"/>
          <w:sz w:val="22"/>
          <w:szCs w:val="22"/>
        </w:rPr>
      </w:pPr>
      <w:r>
        <w:rPr>
          <w:rFonts w:ascii="Calibri" w:hAnsi="Calibri"/>
          <w:sz w:val="22"/>
          <w:szCs w:val="22"/>
        </w:rPr>
        <w:t>(240) 485-1700</w:t>
      </w:r>
    </w:p>
    <w:p w:rsidR="00A633CF" w:rsidRDefault="00A633CF" w:rsidP="00A633CF">
      <w:pPr>
        <w:rPr>
          <w:rFonts w:ascii="Calibri" w:hAnsi="Calibri"/>
          <w:sz w:val="22"/>
          <w:szCs w:val="22"/>
        </w:rPr>
      </w:pPr>
    </w:p>
    <w:p w:rsidR="00A633CF" w:rsidRPr="0034219C" w:rsidRDefault="00A633CF" w:rsidP="00A633CF">
      <w:pPr>
        <w:outlineLvl w:val="0"/>
        <w:rPr>
          <w:rFonts w:ascii="Calibri" w:hAnsi="Calibri"/>
          <w:b/>
          <w:sz w:val="22"/>
          <w:szCs w:val="22"/>
        </w:rPr>
      </w:pPr>
      <w:r w:rsidRPr="0034219C">
        <w:rPr>
          <w:rFonts w:ascii="Calibri" w:hAnsi="Calibri"/>
          <w:b/>
          <w:sz w:val="22"/>
          <w:szCs w:val="22"/>
        </w:rPr>
        <w:t xml:space="preserve">Contact Information: </w:t>
      </w:r>
      <w:r>
        <w:rPr>
          <w:rFonts w:ascii="Calibri" w:hAnsi="Calibri"/>
          <w:b/>
          <w:sz w:val="22"/>
          <w:szCs w:val="22"/>
        </w:rPr>
        <w:t>edCount</w:t>
      </w:r>
    </w:p>
    <w:p w:rsidR="00A633CF" w:rsidRDefault="00A633CF" w:rsidP="00A633CF">
      <w:pPr>
        <w:outlineLvl w:val="0"/>
        <w:rPr>
          <w:rFonts w:ascii="Calibri" w:hAnsi="Calibri"/>
          <w:sz w:val="22"/>
          <w:szCs w:val="22"/>
        </w:rPr>
      </w:pPr>
      <w:r>
        <w:rPr>
          <w:rFonts w:ascii="Calibri" w:hAnsi="Calibri"/>
          <w:sz w:val="22"/>
          <w:szCs w:val="22"/>
        </w:rPr>
        <w:t>Ellen Forte, Ph.D., Principal Investigator</w:t>
      </w:r>
    </w:p>
    <w:p w:rsidR="00A633CF" w:rsidRDefault="00A633CF" w:rsidP="00A633CF">
      <w:pPr>
        <w:rPr>
          <w:rFonts w:ascii="Calibri" w:hAnsi="Calibri"/>
          <w:sz w:val="22"/>
          <w:szCs w:val="22"/>
        </w:rPr>
      </w:pPr>
      <w:r>
        <w:rPr>
          <w:rFonts w:ascii="Calibri" w:hAnsi="Calibri"/>
          <w:sz w:val="22"/>
          <w:szCs w:val="22"/>
        </w:rPr>
        <w:t>edCount,  LLC</w:t>
      </w:r>
    </w:p>
    <w:p w:rsidR="00A633CF" w:rsidRDefault="00A633CF" w:rsidP="00A633CF">
      <w:pPr>
        <w:rPr>
          <w:rFonts w:ascii="Calibri" w:hAnsi="Calibri"/>
          <w:sz w:val="22"/>
          <w:szCs w:val="22"/>
        </w:rPr>
      </w:pPr>
      <w:r>
        <w:rPr>
          <w:rFonts w:ascii="Calibri" w:hAnsi="Calibri"/>
          <w:sz w:val="22"/>
          <w:szCs w:val="22"/>
        </w:rPr>
        <w:t>5335 Wisconsin Avenue NW</w:t>
      </w:r>
    </w:p>
    <w:p w:rsidR="00A633CF" w:rsidRDefault="00A633CF" w:rsidP="00A633CF">
      <w:pPr>
        <w:rPr>
          <w:rFonts w:ascii="Calibri" w:hAnsi="Calibri"/>
          <w:sz w:val="22"/>
          <w:szCs w:val="22"/>
        </w:rPr>
      </w:pPr>
      <w:r>
        <w:rPr>
          <w:rFonts w:ascii="Calibri" w:hAnsi="Calibri"/>
          <w:sz w:val="22"/>
          <w:szCs w:val="22"/>
        </w:rPr>
        <w:t>Suite 440</w:t>
      </w:r>
    </w:p>
    <w:p w:rsidR="00A633CF" w:rsidRDefault="00A633CF" w:rsidP="00A633CF">
      <w:pPr>
        <w:rPr>
          <w:rFonts w:ascii="Calibri" w:hAnsi="Calibri"/>
          <w:sz w:val="22"/>
          <w:szCs w:val="22"/>
        </w:rPr>
      </w:pPr>
      <w:r>
        <w:rPr>
          <w:rFonts w:ascii="Calibri" w:hAnsi="Calibri"/>
          <w:sz w:val="22"/>
          <w:szCs w:val="22"/>
        </w:rPr>
        <w:t>Washington, DC 20015</w:t>
      </w:r>
    </w:p>
    <w:p w:rsidR="00A633CF" w:rsidRDefault="00A633CF" w:rsidP="00A633CF">
      <w:pPr>
        <w:rPr>
          <w:rFonts w:ascii="Calibri" w:hAnsi="Calibri"/>
          <w:sz w:val="22"/>
          <w:szCs w:val="22"/>
        </w:rPr>
      </w:pPr>
      <w:r>
        <w:rPr>
          <w:rFonts w:ascii="Calibri" w:hAnsi="Calibri"/>
          <w:sz w:val="22"/>
          <w:szCs w:val="22"/>
        </w:rPr>
        <w:t>eforte@edcount.com</w:t>
      </w:r>
    </w:p>
    <w:p w:rsidR="00A633CF" w:rsidRDefault="00A633CF" w:rsidP="00A633CF">
      <w:pPr>
        <w:rPr>
          <w:rFonts w:ascii="Calibri" w:hAnsi="Calibri"/>
          <w:sz w:val="22"/>
          <w:szCs w:val="22"/>
        </w:rPr>
      </w:pPr>
      <w:r>
        <w:rPr>
          <w:rFonts w:ascii="Calibri" w:hAnsi="Calibri"/>
          <w:sz w:val="22"/>
          <w:szCs w:val="22"/>
        </w:rPr>
        <w:t>(202) 895-1502</w:t>
      </w:r>
    </w:p>
    <w:p w:rsidR="00A633CF" w:rsidRPr="00706582" w:rsidRDefault="00A633CF" w:rsidP="00A633CF">
      <w:pPr>
        <w:rPr>
          <w:rFonts w:ascii="Calibri" w:hAnsi="Calibri"/>
          <w:b/>
          <w:sz w:val="22"/>
          <w:szCs w:val="22"/>
        </w:rPr>
      </w:pPr>
    </w:p>
    <w:p w:rsidR="00A633CF" w:rsidRPr="00706582" w:rsidRDefault="00A633CF" w:rsidP="00A633CF">
      <w:pPr>
        <w:jc w:val="both"/>
        <w:outlineLvl w:val="0"/>
        <w:rPr>
          <w:rFonts w:ascii="Calibri" w:hAnsi="Calibri"/>
          <w:b/>
          <w:sz w:val="22"/>
          <w:szCs w:val="22"/>
        </w:rPr>
      </w:pPr>
      <w:r w:rsidRPr="00706582">
        <w:rPr>
          <w:rFonts w:ascii="Calibri" w:hAnsi="Calibri"/>
          <w:b/>
          <w:sz w:val="22"/>
          <w:szCs w:val="22"/>
        </w:rPr>
        <w:br w:type="page"/>
      </w:r>
      <w:r w:rsidRPr="00706582">
        <w:rPr>
          <w:rFonts w:ascii="Calibri" w:hAnsi="Calibri"/>
          <w:b/>
          <w:sz w:val="22"/>
          <w:szCs w:val="22"/>
        </w:rPr>
        <w:lastRenderedPageBreak/>
        <w:t>REFERENCES</w:t>
      </w:r>
    </w:p>
    <w:p w:rsidR="00A633CF" w:rsidRDefault="00A633CF" w:rsidP="00A633CF">
      <w:pPr>
        <w:rPr>
          <w:rFonts w:ascii="Calibri" w:hAnsi="Calibri"/>
          <w:b/>
          <w:sz w:val="22"/>
          <w:szCs w:val="22"/>
        </w:rPr>
      </w:pPr>
    </w:p>
    <w:p w:rsidR="00A633CF" w:rsidRPr="00ED18ED" w:rsidRDefault="00A633CF" w:rsidP="00A633CF">
      <w:pPr>
        <w:pStyle w:val="FootnoteText"/>
        <w:spacing w:after="120"/>
        <w:ind w:left="360" w:hanging="360"/>
        <w:rPr>
          <w:rFonts w:ascii="Calibri" w:hAnsi="Calibri"/>
          <w:sz w:val="22"/>
          <w:szCs w:val="22"/>
        </w:rPr>
      </w:pPr>
      <w:r w:rsidRPr="00ED18ED">
        <w:rPr>
          <w:rFonts w:ascii="Calibri" w:hAnsi="Calibri"/>
          <w:sz w:val="22"/>
          <w:szCs w:val="22"/>
        </w:rPr>
        <w:t xml:space="preserve">August, D., &amp; Shanahan, T. (Eds.) (2006). </w:t>
      </w:r>
      <w:r w:rsidRPr="00ED18ED">
        <w:rPr>
          <w:rFonts w:ascii="Calibri" w:hAnsi="Calibri"/>
          <w:bCs/>
          <w:i/>
          <w:iCs/>
          <w:sz w:val="22"/>
          <w:szCs w:val="22"/>
        </w:rPr>
        <w:t>Developing Literacy in Second-Language Learners: Report of the National Literacy Panel on Language-Minority Children and Youth</w:t>
      </w:r>
      <w:r w:rsidRPr="00ED18ED">
        <w:rPr>
          <w:rFonts w:ascii="Calibri" w:hAnsi="Calibri"/>
          <w:bCs/>
          <w:sz w:val="22"/>
          <w:szCs w:val="22"/>
        </w:rPr>
        <w:t>. Mahwah, NJ: Lawrence Erlbaum Associates, Inc.</w:t>
      </w:r>
    </w:p>
    <w:p w:rsidR="00A633CF" w:rsidRDefault="00A633CF" w:rsidP="00A633CF">
      <w:pPr>
        <w:autoSpaceDE w:val="0"/>
        <w:autoSpaceDN w:val="0"/>
        <w:adjustRightInd w:val="0"/>
        <w:ind w:left="360" w:hanging="360"/>
        <w:rPr>
          <w:rFonts w:ascii="Calibri" w:hAnsi="Calibri" w:cs="TimesNewRomanPSMT"/>
          <w:sz w:val="22"/>
          <w:szCs w:val="22"/>
        </w:rPr>
      </w:pPr>
      <w:r w:rsidRPr="00ED18ED">
        <w:rPr>
          <w:rFonts w:ascii="Calibri" w:hAnsi="Calibri" w:cs="TimesNewRomanPSMT"/>
          <w:sz w:val="22"/>
          <w:szCs w:val="22"/>
        </w:rPr>
        <w:t xml:space="preserve">Bailey, A.L. (2007). </w:t>
      </w:r>
      <w:r w:rsidRPr="00ED18ED">
        <w:rPr>
          <w:rFonts w:ascii="Calibri" w:hAnsi="Calibri" w:cs="TimesNewRomanPS-ItalicMT"/>
          <w:i/>
          <w:iCs/>
          <w:sz w:val="22"/>
          <w:szCs w:val="22"/>
        </w:rPr>
        <w:t xml:space="preserve">Language Demands of School: Putting Academic English to the Test. </w:t>
      </w:r>
      <w:r w:rsidRPr="00ED18ED">
        <w:rPr>
          <w:rFonts w:ascii="Calibri" w:hAnsi="Calibri" w:cs="TimesNewRomanPSMT"/>
          <w:sz w:val="22"/>
          <w:szCs w:val="22"/>
        </w:rPr>
        <w:t xml:space="preserve">New Haven, CT: Yale University Press. </w:t>
      </w:r>
    </w:p>
    <w:p w:rsidR="00A633CF" w:rsidRPr="00ED18ED" w:rsidRDefault="00A633CF" w:rsidP="00A633CF">
      <w:pPr>
        <w:pStyle w:val="References"/>
        <w:ind w:left="171" w:hanging="171"/>
        <w:rPr>
          <w:rFonts w:ascii="Calibri" w:hAnsi="Calibri"/>
          <w:sz w:val="22"/>
          <w:szCs w:val="22"/>
        </w:rPr>
      </w:pPr>
      <w:r w:rsidRPr="00ED18ED">
        <w:rPr>
          <w:rFonts w:ascii="Calibri" w:hAnsi="Calibri"/>
          <w:sz w:val="22"/>
          <w:szCs w:val="22"/>
        </w:rPr>
        <w:t xml:space="preserve">Burstein, L., McDonnell, L., Van Winkle, J., </w:t>
      </w:r>
      <w:proofErr w:type="spellStart"/>
      <w:r w:rsidRPr="00ED18ED">
        <w:rPr>
          <w:rFonts w:ascii="Calibri" w:hAnsi="Calibri"/>
          <w:sz w:val="22"/>
          <w:szCs w:val="22"/>
        </w:rPr>
        <w:t>Ormseth</w:t>
      </w:r>
      <w:proofErr w:type="spellEnd"/>
      <w:r w:rsidRPr="00ED18ED">
        <w:rPr>
          <w:rFonts w:ascii="Calibri" w:hAnsi="Calibri"/>
          <w:sz w:val="22"/>
          <w:szCs w:val="22"/>
        </w:rPr>
        <w:t xml:space="preserve">, T., </w:t>
      </w:r>
      <w:proofErr w:type="spellStart"/>
      <w:r w:rsidRPr="00ED18ED">
        <w:rPr>
          <w:rFonts w:ascii="Calibri" w:hAnsi="Calibri"/>
          <w:sz w:val="22"/>
          <w:szCs w:val="22"/>
        </w:rPr>
        <w:t>Mirocha</w:t>
      </w:r>
      <w:proofErr w:type="spellEnd"/>
      <w:r w:rsidRPr="00ED18ED">
        <w:rPr>
          <w:rFonts w:ascii="Calibri" w:hAnsi="Calibri"/>
          <w:sz w:val="22"/>
          <w:szCs w:val="22"/>
        </w:rPr>
        <w:t xml:space="preserve">, J., &amp; </w:t>
      </w:r>
      <w:proofErr w:type="spellStart"/>
      <w:r w:rsidRPr="00ED18ED">
        <w:rPr>
          <w:rFonts w:ascii="Calibri" w:hAnsi="Calibri"/>
          <w:sz w:val="22"/>
          <w:szCs w:val="22"/>
        </w:rPr>
        <w:t>Guiton</w:t>
      </w:r>
      <w:proofErr w:type="spellEnd"/>
      <w:r w:rsidRPr="00ED18ED">
        <w:rPr>
          <w:rFonts w:ascii="Calibri" w:hAnsi="Calibri"/>
          <w:sz w:val="22"/>
          <w:szCs w:val="22"/>
        </w:rPr>
        <w:t xml:space="preserve">, G. (1995). </w:t>
      </w:r>
      <w:r w:rsidRPr="00ED18ED">
        <w:rPr>
          <w:rFonts w:ascii="Calibri" w:hAnsi="Calibri"/>
          <w:i/>
          <w:sz w:val="22"/>
          <w:szCs w:val="22"/>
        </w:rPr>
        <w:t>Validating National Curriculum Indicators.</w:t>
      </w:r>
      <w:r w:rsidRPr="00ED18ED">
        <w:rPr>
          <w:rFonts w:ascii="Calibri" w:hAnsi="Calibri"/>
          <w:sz w:val="22"/>
          <w:szCs w:val="22"/>
        </w:rPr>
        <w:t xml:space="preserve"> Santa Monica, CA: RAND.</w:t>
      </w:r>
    </w:p>
    <w:p w:rsidR="00A633CF" w:rsidRPr="00ED18ED" w:rsidRDefault="00A633CF" w:rsidP="00A633CF">
      <w:pPr>
        <w:pStyle w:val="FootnoteText"/>
        <w:spacing w:after="120"/>
        <w:ind w:left="171" w:hanging="171"/>
        <w:rPr>
          <w:rFonts w:ascii="Calibri" w:hAnsi="Calibri"/>
          <w:sz w:val="22"/>
          <w:szCs w:val="22"/>
        </w:rPr>
      </w:pPr>
      <w:r w:rsidRPr="00ED18ED">
        <w:rPr>
          <w:rFonts w:ascii="Calibri" w:hAnsi="Calibri"/>
          <w:sz w:val="22"/>
          <w:szCs w:val="22"/>
        </w:rPr>
        <w:t xml:space="preserve">Butler, F.A., Bailey, A.L., Stevens, R., Huang, B., &amp; Lord, C. (2004). </w:t>
      </w:r>
      <w:r w:rsidRPr="00ED18ED">
        <w:rPr>
          <w:rFonts w:ascii="Calibri" w:hAnsi="Calibri"/>
          <w:i/>
          <w:iCs/>
          <w:sz w:val="22"/>
          <w:szCs w:val="22"/>
        </w:rPr>
        <w:t xml:space="preserve">Academic English in Fifth-Grade Mathematics, Science, and Social Studies Textbooks </w:t>
      </w:r>
      <w:r w:rsidRPr="00ED18ED">
        <w:rPr>
          <w:rFonts w:ascii="Calibri" w:hAnsi="Calibri"/>
          <w:sz w:val="22"/>
          <w:szCs w:val="22"/>
        </w:rPr>
        <w:t xml:space="preserve">(CSE Tech. Rep. No. 642). Los Angeles: University of California, National Center for Research on Evaluation, Standards, and Student Testing (CRESST). </w:t>
      </w:r>
    </w:p>
    <w:p w:rsidR="00A633CF" w:rsidRPr="00ED18ED" w:rsidRDefault="00A633CF" w:rsidP="00A633CF">
      <w:pPr>
        <w:ind w:left="171" w:hanging="171"/>
        <w:rPr>
          <w:rFonts w:ascii="Calibri" w:hAnsi="Calibri"/>
          <w:sz w:val="22"/>
          <w:szCs w:val="22"/>
        </w:rPr>
      </w:pPr>
      <w:r w:rsidRPr="00ED18ED">
        <w:rPr>
          <w:rFonts w:ascii="Calibri" w:hAnsi="Calibri"/>
          <w:sz w:val="22"/>
          <w:szCs w:val="22"/>
        </w:rPr>
        <w:t xml:space="preserve">Mayer, D. (1999). Measuring Instructional Practice: Can Policymakers Trust Survey Data? </w:t>
      </w:r>
      <w:r w:rsidRPr="00ED18ED">
        <w:rPr>
          <w:rFonts w:ascii="Calibri" w:hAnsi="Calibri"/>
          <w:i/>
          <w:sz w:val="22"/>
          <w:szCs w:val="22"/>
        </w:rPr>
        <w:t>Educational Evaluation and Policy Analysis</w:t>
      </w:r>
      <w:r w:rsidRPr="00ED18ED">
        <w:rPr>
          <w:rFonts w:ascii="Calibri" w:hAnsi="Calibri"/>
          <w:sz w:val="22"/>
          <w:szCs w:val="22"/>
        </w:rPr>
        <w:t xml:space="preserve">, </w:t>
      </w:r>
      <w:r w:rsidRPr="00ED18ED">
        <w:rPr>
          <w:rFonts w:ascii="Calibri" w:hAnsi="Calibri"/>
          <w:i/>
          <w:sz w:val="22"/>
          <w:szCs w:val="22"/>
        </w:rPr>
        <w:t>21</w:t>
      </w:r>
      <w:r w:rsidRPr="00ED18ED">
        <w:rPr>
          <w:rFonts w:ascii="Calibri" w:hAnsi="Calibri"/>
          <w:sz w:val="22"/>
          <w:szCs w:val="22"/>
        </w:rPr>
        <w:t>, 29–45.</w:t>
      </w:r>
    </w:p>
    <w:p w:rsidR="00A633CF" w:rsidRPr="00ED18ED" w:rsidRDefault="00A633CF" w:rsidP="00A633CF">
      <w:pPr>
        <w:ind w:left="171" w:hanging="171"/>
        <w:rPr>
          <w:rFonts w:ascii="Calibri" w:hAnsi="Calibri"/>
          <w:noProof/>
          <w:sz w:val="22"/>
          <w:szCs w:val="22"/>
        </w:rPr>
      </w:pPr>
    </w:p>
    <w:p w:rsidR="00A633CF" w:rsidRPr="00ED18ED" w:rsidRDefault="00A633CF" w:rsidP="00A633CF">
      <w:pPr>
        <w:pStyle w:val="EReference"/>
        <w:spacing w:after="120"/>
        <w:ind w:left="171" w:hanging="171"/>
        <w:rPr>
          <w:rFonts w:ascii="Calibri" w:hAnsi="Calibri"/>
          <w:sz w:val="22"/>
          <w:szCs w:val="22"/>
        </w:rPr>
      </w:pPr>
      <w:proofErr w:type="spellStart"/>
      <w:r w:rsidRPr="00ED18ED">
        <w:rPr>
          <w:rFonts w:ascii="Calibri" w:hAnsi="Calibri" w:cs="Times New Roman"/>
          <w:sz w:val="22"/>
          <w:szCs w:val="22"/>
        </w:rPr>
        <w:t>Scarcella</w:t>
      </w:r>
      <w:proofErr w:type="spellEnd"/>
      <w:r w:rsidRPr="00ED18ED">
        <w:rPr>
          <w:rFonts w:ascii="Calibri" w:hAnsi="Calibri" w:cs="Times New Roman"/>
          <w:sz w:val="22"/>
          <w:szCs w:val="22"/>
        </w:rPr>
        <w:t xml:space="preserve">, R. (2003). </w:t>
      </w:r>
      <w:r w:rsidRPr="00ED18ED">
        <w:rPr>
          <w:rFonts w:ascii="Calibri" w:hAnsi="Calibri" w:cs="Times New Roman"/>
          <w:i/>
          <w:sz w:val="22"/>
          <w:szCs w:val="22"/>
        </w:rPr>
        <w:t>Academic English: A Conceptual Framework.</w:t>
      </w:r>
      <w:r w:rsidRPr="00ED18ED">
        <w:rPr>
          <w:rFonts w:ascii="Calibri" w:hAnsi="Calibri" w:cs="Times New Roman"/>
          <w:sz w:val="22"/>
          <w:szCs w:val="22"/>
        </w:rPr>
        <w:t xml:space="preserve"> University of California, Santa Barbara: Linguistic Minority Research Institute Newsletter.</w:t>
      </w:r>
    </w:p>
    <w:p w:rsidR="00A633CF" w:rsidRPr="00ED18ED" w:rsidRDefault="00A633CF" w:rsidP="00A633CF">
      <w:pPr>
        <w:pStyle w:val="FootnoteText"/>
        <w:spacing w:after="120"/>
        <w:ind w:left="228" w:hanging="228"/>
        <w:rPr>
          <w:rFonts w:ascii="Calibri" w:hAnsi="Calibri"/>
          <w:sz w:val="22"/>
          <w:szCs w:val="22"/>
        </w:rPr>
      </w:pPr>
      <w:r w:rsidRPr="00ED18ED">
        <w:rPr>
          <w:rFonts w:ascii="Calibri" w:hAnsi="Calibri"/>
          <w:sz w:val="22"/>
          <w:szCs w:val="22"/>
        </w:rPr>
        <w:t xml:space="preserve">Short, Deborah J., </w:t>
      </w:r>
      <w:proofErr w:type="spellStart"/>
      <w:r w:rsidRPr="00ED18ED">
        <w:rPr>
          <w:rFonts w:ascii="Calibri" w:hAnsi="Calibri"/>
          <w:sz w:val="22"/>
          <w:szCs w:val="22"/>
        </w:rPr>
        <w:t>Hudec</w:t>
      </w:r>
      <w:proofErr w:type="spellEnd"/>
      <w:r w:rsidRPr="00ED18ED">
        <w:rPr>
          <w:rFonts w:ascii="Calibri" w:hAnsi="Calibri"/>
          <w:sz w:val="22"/>
          <w:szCs w:val="22"/>
        </w:rPr>
        <w:t xml:space="preserve">, J. &amp; </w:t>
      </w:r>
      <w:proofErr w:type="spellStart"/>
      <w:r w:rsidRPr="00ED18ED">
        <w:rPr>
          <w:rFonts w:ascii="Calibri" w:hAnsi="Calibri"/>
          <w:sz w:val="22"/>
          <w:szCs w:val="22"/>
        </w:rPr>
        <w:t>Echevarria</w:t>
      </w:r>
      <w:proofErr w:type="spellEnd"/>
      <w:r w:rsidRPr="00ED18ED">
        <w:rPr>
          <w:rFonts w:ascii="Calibri" w:hAnsi="Calibri"/>
          <w:sz w:val="22"/>
          <w:szCs w:val="22"/>
        </w:rPr>
        <w:t xml:space="preserve">, J. (2002). </w:t>
      </w:r>
      <w:r w:rsidRPr="00ED18ED">
        <w:rPr>
          <w:rFonts w:ascii="Calibri" w:hAnsi="Calibri"/>
          <w:i/>
          <w:sz w:val="22"/>
          <w:szCs w:val="22"/>
        </w:rPr>
        <w:t xml:space="preserve">Using the SIOP Model: Professional Development Manual for Sheltered Instruction. </w:t>
      </w:r>
      <w:r w:rsidRPr="00ED18ED">
        <w:rPr>
          <w:rFonts w:ascii="Calibri" w:hAnsi="Calibri"/>
          <w:sz w:val="22"/>
          <w:szCs w:val="22"/>
        </w:rPr>
        <w:t>Washington, D.C.: the Center for Applied Linguistics.</w:t>
      </w:r>
    </w:p>
    <w:p w:rsidR="00F65144" w:rsidRDefault="00A633CF" w:rsidP="00A633CF">
      <w:r w:rsidRPr="00ED18ED">
        <w:rPr>
          <w:rFonts w:ascii="Calibri" w:hAnsi="Calibri"/>
          <w:sz w:val="22"/>
          <w:szCs w:val="22"/>
        </w:rPr>
        <w:t xml:space="preserve">Torres, R.T., </w:t>
      </w:r>
      <w:proofErr w:type="spellStart"/>
      <w:r w:rsidRPr="00ED18ED">
        <w:rPr>
          <w:rFonts w:ascii="Calibri" w:hAnsi="Calibri"/>
          <w:sz w:val="22"/>
          <w:szCs w:val="22"/>
        </w:rPr>
        <w:t>Preskill</w:t>
      </w:r>
      <w:proofErr w:type="spellEnd"/>
      <w:r w:rsidRPr="00ED18ED">
        <w:rPr>
          <w:rFonts w:ascii="Calibri" w:hAnsi="Calibri"/>
          <w:sz w:val="22"/>
          <w:szCs w:val="22"/>
        </w:rPr>
        <w:t xml:space="preserve">, H., </w:t>
      </w:r>
      <w:proofErr w:type="spellStart"/>
      <w:r w:rsidRPr="00ED18ED">
        <w:rPr>
          <w:rFonts w:ascii="Calibri" w:hAnsi="Calibri"/>
          <w:sz w:val="22"/>
          <w:szCs w:val="22"/>
        </w:rPr>
        <w:t>Piontek</w:t>
      </w:r>
      <w:proofErr w:type="spellEnd"/>
      <w:r w:rsidRPr="00ED18ED">
        <w:rPr>
          <w:rFonts w:ascii="Calibri" w:hAnsi="Calibri"/>
          <w:sz w:val="22"/>
          <w:szCs w:val="22"/>
        </w:rPr>
        <w:t xml:space="preserve">, M.E. (2005). </w:t>
      </w:r>
      <w:r w:rsidRPr="00ED18ED">
        <w:rPr>
          <w:rFonts w:ascii="Calibri" w:hAnsi="Calibri"/>
          <w:i/>
          <w:sz w:val="22"/>
          <w:szCs w:val="22"/>
        </w:rPr>
        <w:t>Evaluation Strategies for Communicating and Reporting</w:t>
      </w:r>
      <w:r w:rsidRPr="00ED18ED">
        <w:rPr>
          <w:rFonts w:ascii="Calibri" w:hAnsi="Calibri"/>
          <w:sz w:val="22"/>
          <w:szCs w:val="22"/>
        </w:rPr>
        <w:t>. Thousand Oaks, CA. Sage Publications.</w:t>
      </w:r>
    </w:p>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6C0"/>
    <w:multiLevelType w:val="hybridMultilevel"/>
    <w:tmpl w:val="F19206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45576DFC"/>
    <w:multiLevelType w:val="hybridMultilevel"/>
    <w:tmpl w:val="DA40437A"/>
    <w:lvl w:ilvl="0" w:tplc="E13A22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B83098"/>
    <w:multiLevelType w:val="hybridMultilevel"/>
    <w:tmpl w:val="EFB45B2E"/>
    <w:lvl w:ilvl="0" w:tplc="FFBA0DE2">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A691F05"/>
    <w:multiLevelType w:val="hybridMultilevel"/>
    <w:tmpl w:val="5802D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633CF"/>
    <w:rsid w:val="00056152"/>
    <w:rsid w:val="00093738"/>
    <w:rsid w:val="000D3790"/>
    <w:rsid w:val="00106E02"/>
    <w:rsid w:val="00117EB8"/>
    <w:rsid w:val="001B734E"/>
    <w:rsid w:val="001F7047"/>
    <w:rsid w:val="00276C38"/>
    <w:rsid w:val="002A4E68"/>
    <w:rsid w:val="002B38DE"/>
    <w:rsid w:val="00376DA7"/>
    <w:rsid w:val="003B6DCE"/>
    <w:rsid w:val="00450B09"/>
    <w:rsid w:val="0047066D"/>
    <w:rsid w:val="00643693"/>
    <w:rsid w:val="006563FB"/>
    <w:rsid w:val="00673456"/>
    <w:rsid w:val="006C3242"/>
    <w:rsid w:val="00777693"/>
    <w:rsid w:val="00792EE4"/>
    <w:rsid w:val="007961F0"/>
    <w:rsid w:val="00846100"/>
    <w:rsid w:val="009F70A8"/>
    <w:rsid w:val="00A463E7"/>
    <w:rsid w:val="00A633CF"/>
    <w:rsid w:val="00AA575C"/>
    <w:rsid w:val="00AE2B68"/>
    <w:rsid w:val="00B11AAB"/>
    <w:rsid w:val="00BE531F"/>
    <w:rsid w:val="00BF55BD"/>
    <w:rsid w:val="00C62C00"/>
    <w:rsid w:val="00C80F21"/>
    <w:rsid w:val="00C901A1"/>
    <w:rsid w:val="00F6495E"/>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C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633CF"/>
    <w:rPr>
      <w:lang w:bidi="he-IL"/>
    </w:rPr>
  </w:style>
  <w:style w:type="character" w:customStyle="1" w:styleId="FootnoteTextChar">
    <w:name w:val="Footnote Text Char"/>
    <w:basedOn w:val="DefaultParagraphFont"/>
    <w:link w:val="FootnoteText"/>
    <w:uiPriority w:val="99"/>
    <w:rsid w:val="00A633CF"/>
    <w:rPr>
      <w:rFonts w:ascii="Times New Roman" w:eastAsia="Times New Roman" w:hAnsi="Times New Roman" w:cs="Times New Roman"/>
      <w:sz w:val="20"/>
      <w:szCs w:val="20"/>
      <w:lang w:bidi="he-IL"/>
    </w:rPr>
  </w:style>
  <w:style w:type="paragraph" w:customStyle="1" w:styleId="References">
    <w:name w:val="References"/>
    <w:uiPriority w:val="99"/>
    <w:rsid w:val="00A633CF"/>
    <w:pPr>
      <w:spacing w:after="120"/>
      <w:ind w:left="720" w:hanging="720"/>
    </w:pPr>
    <w:rPr>
      <w:rFonts w:ascii="Times New Roman" w:eastAsia="Times New Roman" w:hAnsi="Times New Roman"/>
      <w:sz w:val="24"/>
      <w:szCs w:val="24"/>
    </w:rPr>
  </w:style>
  <w:style w:type="paragraph" w:customStyle="1" w:styleId="EReference">
    <w:name w:val="E.Reference"/>
    <w:uiPriority w:val="99"/>
    <w:rsid w:val="00A633CF"/>
    <w:pPr>
      <w:spacing w:after="240"/>
      <w:ind w:left="720" w:hanging="720"/>
    </w:pPr>
    <w:rPr>
      <w:rFonts w:ascii="Garamond" w:eastAsia="Times New Roman" w:hAnsi="Garamond" w:cs="Arial"/>
      <w:sz w:val="23"/>
      <w:szCs w:val="23"/>
    </w:rPr>
  </w:style>
  <w:style w:type="paragraph" w:styleId="BalloonText">
    <w:name w:val="Balloon Text"/>
    <w:basedOn w:val="Normal"/>
    <w:link w:val="BalloonTextChar"/>
    <w:uiPriority w:val="99"/>
    <w:semiHidden/>
    <w:unhideWhenUsed/>
    <w:rsid w:val="009F70A8"/>
    <w:rPr>
      <w:rFonts w:ascii="Tahoma" w:hAnsi="Tahoma" w:cs="Tahoma"/>
      <w:sz w:val="16"/>
      <w:szCs w:val="16"/>
    </w:rPr>
  </w:style>
  <w:style w:type="character" w:customStyle="1" w:styleId="BalloonTextChar">
    <w:name w:val="Balloon Text Char"/>
    <w:basedOn w:val="DefaultParagraphFont"/>
    <w:link w:val="BalloonText"/>
    <w:uiPriority w:val="99"/>
    <w:semiHidden/>
    <w:rsid w:val="009F70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F70A8"/>
    <w:rPr>
      <w:sz w:val="16"/>
      <w:szCs w:val="16"/>
    </w:rPr>
  </w:style>
  <w:style w:type="paragraph" w:styleId="CommentText">
    <w:name w:val="annotation text"/>
    <w:basedOn w:val="Normal"/>
    <w:link w:val="CommentTextChar"/>
    <w:uiPriority w:val="99"/>
    <w:semiHidden/>
    <w:unhideWhenUsed/>
    <w:rsid w:val="009F70A8"/>
  </w:style>
  <w:style w:type="character" w:customStyle="1" w:styleId="CommentTextChar">
    <w:name w:val="Comment Text Char"/>
    <w:basedOn w:val="DefaultParagraphFont"/>
    <w:link w:val="CommentText"/>
    <w:uiPriority w:val="99"/>
    <w:semiHidden/>
    <w:rsid w:val="009F70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70A8"/>
    <w:rPr>
      <w:b/>
      <w:bCs/>
    </w:rPr>
  </w:style>
  <w:style w:type="character" w:customStyle="1" w:styleId="CommentSubjectChar">
    <w:name w:val="Comment Subject Char"/>
    <w:basedOn w:val="CommentTextChar"/>
    <w:link w:val="CommentSubject"/>
    <w:uiPriority w:val="99"/>
    <w:semiHidden/>
    <w:rsid w:val="009F70A8"/>
    <w:rPr>
      <w:b/>
      <w:bCs/>
    </w:rPr>
  </w:style>
  <w:style w:type="paragraph" w:styleId="ListParagraph">
    <w:name w:val="List Paragraph"/>
    <w:basedOn w:val="Normal"/>
    <w:uiPriority w:val="34"/>
    <w:qFormat/>
    <w:rsid w:val="009F70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1979</Words>
  <Characters>11284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Snyder, Sam (Admin Account)</cp:lastModifiedBy>
  <cp:revision>2</cp:revision>
  <dcterms:created xsi:type="dcterms:W3CDTF">2011-04-05T13:42:00Z</dcterms:created>
  <dcterms:modified xsi:type="dcterms:W3CDTF">2011-04-05T13:42:00Z</dcterms:modified>
</cp:coreProperties>
</file>