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372" w:rsidRPr="00633CF2" w:rsidRDefault="001D7372" w:rsidP="001D7372">
      <w:pPr>
        <w:pStyle w:val="Title"/>
        <w:ind w:firstLine="720"/>
        <w:jc w:val="right"/>
        <w:rPr>
          <w:sz w:val="28"/>
        </w:rPr>
      </w:pPr>
      <w:r>
        <w:rPr>
          <w:sz w:val="28"/>
        </w:rPr>
        <w:t>January 10</w:t>
      </w:r>
      <w:r w:rsidRPr="00240962">
        <w:rPr>
          <w:sz w:val="28"/>
        </w:rPr>
        <w:t>, 20</w:t>
      </w:r>
      <w:r>
        <w:rPr>
          <w:sz w:val="28"/>
        </w:rPr>
        <w:t>11</w:t>
      </w:r>
    </w:p>
    <w:p w:rsidR="001D7372" w:rsidRDefault="001D7372" w:rsidP="001D7372">
      <w:pPr>
        <w:pStyle w:val="Title"/>
      </w:pPr>
    </w:p>
    <w:p w:rsidR="001D7372" w:rsidRDefault="001D7372" w:rsidP="001D7372">
      <w:pPr>
        <w:pStyle w:val="Title"/>
        <w:rPr>
          <w:rFonts w:ascii="Arial" w:hAnsi="Arial" w:cs="Arial"/>
        </w:rPr>
      </w:pPr>
      <w:r w:rsidRPr="007263B4">
        <w:rPr>
          <w:rFonts w:ascii="Arial" w:hAnsi="Arial" w:cs="Arial"/>
        </w:rPr>
        <w:t xml:space="preserve">Supporting Statement for </w:t>
      </w:r>
    </w:p>
    <w:p w:rsidR="001D7372" w:rsidRPr="007263B4" w:rsidRDefault="001D7372" w:rsidP="001D7372">
      <w:pPr>
        <w:pStyle w:val="Title"/>
        <w:rPr>
          <w:rFonts w:ascii="Arial" w:hAnsi="Arial" w:cs="Arial"/>
          <w:color w:val="FF0000"/>
          <w:sz w:val="28"/>
        </w:rPr>
      </w:pPr>
      <w:r w:rsidRPr="007263B4">
        <w:rPr>
          <w:rFonts w:ascii="Arial" w:hAnsi="Arial" w:cs="Arial"/>
        </w:rPr>
        <w:t>Paperwork Reduction Act Submissions</w:t>
      </w:r>
    </w:p>
    <w:p w:rsidR="001D7372" w:rsidRDefault="001D7372" w:rsidP="001D7372">
      <w:pPr>
        <w:tabs>
          <w:tab w:val="left" w:pos="-720"/>
        </w:tabs>
        <w:suppressAutoHyphens/>
        <w:rPr>
          <w:b/>
          <w:sz w:val="28"/>
        </w:rPr>
      </w:pPr>
    </w:p>
    <w:p w:rsidR="001D7372" w:rsidRDefault="001D7372" w:rsidP="001D7372">
      <w:pPr>
        <w:tabs>
          <w:tab w:val="left" w:pos="-720"/>
        </w:tabs>
        <w:suppressAutoHyphens/>
        <w:rPr>
          <w:b/>
          <w:sz w:val="28"/>
        </w:rPr>
      </w:pPr>
      <w:r>
        <w:rPr>
          <w:b/>
          <w:sz w:val="28"/>
        </w:rPr>
        <w:t>OMB Control Number:  1660-0057</w:t>
      </w:r>
    </w:p>
    <w:p w:rsidR="001D7372" w:rsidRDefault="001D7372" w:rsidP="001D7372">
      <w:pPr>
        <w:tabs>
          <w:tab w:val="left" w:pos="-720"/>
        </w:tabs>
        <w:suppressAutoHyphens/>
        <w:rPr>
          <w:b/>
          <w:sz w:val="28"/>
        </w:rPr>
      </w:pPr>
    </w:p>
    <w:p w:rsidR="001D7372" w:rsidRPr="00D6104B" w:rsidRDefault="001D7372" w:rsidP="001D7372">
      <w:pPr>
        <w:tabs>
          <w:tab w:val="left" w:pos="-720"/>
        </w:tabs>
        <w:suppressAutoHyphens/>
        <w:rPr>
          <w:b/>
          <w:sz w:val="28"/>
          <w:szCs w:val="28"/>
        </w:rPr>
      </w:pPr>
      <w:r>
        <w:rPr>
          <w:b/>
          <w:sz w:val="28"/>
        </w:rPr>
        <w:t>Title</w:t>
      </w:r>
      <w:r w:rsidRPr="00D6104B">
        <w:rPr>
          <w:b/>
          <w:sz w:val="28"/>
          <w:szCs w:val="28"/>
        </w:rPr>
        <w:t>:  Chemical Stockpile Emergency Preparedness Program (CSEPP) Evaluation and Customer Satisfaction Survey</w:t>
      </w:r>
    </w:p>
    <w:p w:rsidR="001D7372" w:rsidRPr="00D6104B" w:rsidRDefault="001D7372" w:rsidP="001D7372">
      <w:pPr>
        <w:tabs>
          <w:tab w:val="left" w:pos="-720"/>
        </w:tabs>
        <w:suppressAutoHyphens/>
        <w:rPr>
          <w:b/>
          <w:sz w:val="28"/>
          <w:szCs w:val="28"/>
        </w:rPr>
      </w:pPr>
    </w:p>
    <w:p w:rsidR="001D7372" w:rsidRPr="00846952" w:rsidRDefault="001D7372" w:rsidP="001D7372">
      <w:pPr>
        <w:tabs>
          <w:tab w:val="left" w:pos="-720"/>
        </w:tabs>
        <w:suppressAutoHyphens/>
      </w:pPr>
      <w:r>
        <w:rPr>
          <w:b/>
          <w:sz w:val="28"/>
        </w:rPr>
        <w:t xml:space="preserve">Form Number(s):  </w:t>
      </w:r>
      <w:r w:rsidRPr="00846952">
        <w:t>Blue Grass EPZ Residential Survey/ FEMA Form 008-0-</w:t>
      </w:r>
      <w:r>
        <w:t>7</w:t>
      </w:r>
      <w:r w:rsidRPr="00846952">
        <w:t>, Deseret EPZ Residential Survey/ FEMA Form 008-0-</w:t>
      </w:r>
      <w:r>
        <w:t>8</w:t>
      </w:r>
      <w:r w:rsidRPr="00846952">
        <w:t>,  Pueblo EPZ Residential Survey/ FEMA Form 008-0-3, Pueblo EPZ Residential Survey/ FEMA Form 008-0-3</w:t>
      </w:r>
      <w:r>
        <w:t xml:space="preserve">INT, </w:t>
      </w:r>
      <w:r w:rsidRPr="00846952">
        <w:t xml:space="preserve">Pueblo City Residential </w:t>
      </w:r>
      <w:r>
        <w:t>S</w:t>
      </w:r>
      <w:r w:rsidRPr="00846952">
        <w:t>urvey/ FEMA Form 008-0-4, Pueblo EPZ Business Survey/ FEMA Form 008-0-5, Umatilla EPZ Residential Survey/ FEMA Form 008-0-6</w:t>
      </w:r>
    </w:p>
    <w:p w:rsidR="001D7372" w:rsidRDefault="001D7372" w:rsidP="000C43E7">
      <w:pPr>
        <w:rPr>
          <w:b/>
          <w:sz w:val="28"/>
        </w:rPr>
      </w:pPr>
    </w:p>
    <w:p w:rsidR="001D7372" w:rsidRDefault="001D7372" w:rsidP="000C43E7">
      <w:pPr>
        <w:rPr>
          <w:b/>
          <w:sz w:val="28"/>
        </w:rPr>
      </w:pPr>
    </w:p>
    <w:p w:rsidR="00842E74" w:rsidRDefault="00842E74" w:rsidP="000C43E7">
      <w:pPr>
        <w:rPr>
          <w:b/>
          <w:sz w:val="28"/>
        </w:rPr>
      </w:pPr>
      <w:r>
        <w:rPr>
          <w:b/>
          <w:sz w:val="28"/>
        </w:rPr>
        <w:t>B.  Collections of Information Employing Statistical Methods.</w:t>
      </w:r>
    </w:p>
    <w:p w:rsidR="00842E74" w:rsidRDefault="00A75324">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842E74" w:rsidRDefault="00842E74">
      <w:pPr>
        <w:tabs>
          <w:tab w:val="left" w:pos="-720"/>
        </w:tabs>
        <w:suppressAutoHyphens/>
      </w:pPr>
      <w:r>
        <w:t>When Item 17 on the Form OMB 83-I is checked “Yes”, the following documentation should be included in the Supporting Statement to the extent it applies to the methods proposed:</w:t>
      </w:r>
    </w:p>
    <w:p w:rsidR="00842E74" w:rsidRDefault="00842E74">
      <w:pPr>
        <w:tabs>
          <w:tab w:val="left" w:pos="-720"/>
        </w:tabs>
        <w:suppressAutoHyphens/>
        <w:rPr>
          <w:color w:val="FF0000"/>
        </w:rPr>
      </w:pPr>
    </w:p>
    <w:p w:rsidR="006B296C" w:rsidRDefault="006B296C" w:rsidP="006B296C">
      <w:pPr>
        <w:tabs>
          <w:tab w:val="left" w:pos="-720"/>
          <w:tab w:val="num" w:pos="1080"/>
        </w:tabs>
        <w:suppressAutoHyphens/>
        <w:rPr>
          <w:b/>
          <w:bCs/>
        </w:rPr>
      </w:pPr>
      <w:r>
        <w:rPr>
          <w:b/>
          <w:bCs/>
        </w:rPr>
        <w:t xml:space="preserve">1.  </w:t>
      </w:r>
      <w:r w:rsidR="00842E74">
        <w:rPr>
          <w:b/>
          <w:bCs/>
        </w:rPr>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B296C" w:rsidRDefault="006B296C" w:rsidP="006B296C">
      <w:pPr>
        <w:tabs>
          <w:tab w:val="left" w:pos="-720"/>
          <w:tab w:val="num" w:pos="1080"/>
        </w:tabs>
        <w:suppressAutoHyphens/>
        <w:rPr>
          <w:b/>
          <w:bCs/>
        </w:rPr>
      </w:pPr>
    </w:p>
    <w:p w:rsidR="004C3D4A" w:rsidRPr="001B28EE" w:rsidRDefault="004C3D4A" w:rsidP="004C3D4A">
      <w:pPr>
        <w:pStyle w:val="ResponseLvl1"/>
        <w:rPr>
          <w:u w:val="single"/>
        </w:rPr>
      </w:pPr>
      <w:r w:rsidRPr="001B28EE">
        <w:rPr>
          <w:u w:val="single"/>
        </w:rPr>
        <w:t>Site Surveys: (Residents)</w:t>
      </w:r>
    </w:p>
    <w:p w:rsidR="004C3D4A" w:rsidRDefault="004C3D4A" w:rsidP="004C3D4A">
      <w:pPr>
        <w:pStyle w:val="ResponseLvl1"/>
      </w:pPr>
      <w:r w:rsidRPr="00F26253">
        <w:t xml:space="preserve">There are approximately </w:t>
      </w:r>
      <w:r w:rsidR="00934C42" w:rsidRPr="00934C42">
        <w:t>211,782</w:t>
      </w:r>
      <w:r w:rsidR="00934C42">
        <w:t xml:space="preserve"> </w:t>
      </w:r>
      <w:r w:rsidRPr="00F26253">
        <w:t>persons 18 years old or older residing inside an Emergency Planning Zone (EPZ)</w:t>
      </w:r>
      <w:r>
        <w:t xml:space="preserve"> at </w:t>
      </w:r>
      <w:r w:rsidRPr="00F26253">
        <w:t xml:space="preserve">the </w:t>
      </w:r>
      <w:r w:rsidR="008936BC">
        <w:t>Blue Grass Army Depot</w:t>
      </w:r>
      <w:r w:rsidR="00934C42">
        <w:t xml:space="preserve">, Deseret Chemical Depot, </w:t>
      </w:r>
      <w:r w:rsidR="008936BC">
        <w:t>Pueblo Chemical Depot</w:t>
      </w:r>
      <w:r w:rsidR="00934C42">
        <w:t xml:space="preserve"> and the Umatilla Chemical Depot</w:t>
      </w:r>
      <w:r w:rsidRPr="00F26253">
        <w:t>, a CSEPP-designated geographic region located in the immediate or surrounding areas of</w:t>
      </w:r>
      <w:r>
        <w:t xml:space="preserve"> these sites. </w:t>
      </w:r>
      <w:r w:rsidRPr="00F26253">
        <w:t>EPZs are further subdivided into an Immediate Response Zone (IRZ) and a Protective Action Zone (PAZ), each carrying specific levels of protective actions in the event of a disaster</w:t>
      </w:r>
      <w:r>
        <w:t>.</w:t>
      </w:r>
    </w:p>
    <w:p w:rsidR="006A1816" w:rsidRDefault="006A1816" w:rsidP="004C3D4A">
      <w:pPr>
        <w:pStyle w:val="ResponseLvl1"/>
      </w:pPr>
      <w:r>
        <w:t>Figure 2</w:t>
      </w:r>
      <w:r w:rsidR="00F84994">
        <w:t xml:space="preserve"> is a map with the Emergency Planning Zones for the Pueblo Chemical depot.</w:t>
      </w:r>
    </w:p>
    <w:p w:rsidR="006A1816" w:rsidRDefault="00743F99" w:rsidP="004C3D4A">
      <w:pPr>
        <w:pStyle w:val="ResponseLvl1"/>
      </w:pPr>
      <w:r>
        <w:rPr>
          <w:noProof/>
        </w:rPr>
        <w:lastRenderedPageBreak/>
        <w:drawing>
          <wp:inline distT="0" distB="0" distL="0" distR="0">
            <wp:extent cx="5486400" cy="6657975"/>
            <wp:effectExtent l="19050" t="0" r="0" b="0"/>
            <wp:docPr id="1" name="Picture 47" descr="csepp_pcd_kirk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sepp_pcd_kirkv2"/>
                    <pic:cNvPicPr>
                      <a:picLocks noChangeAspect="1" noChangeArrowheads="1"/>
                    </pic:cNvPicPr>
                  </pic:nvPicPr>
                  <pic:blipFill>
                    <a:blip r:embed="rId8" cstate="print"/>
                    <a:srcRect/>
                    <a:stretch>
                      <a:fillRect/>
                    </a:stretch>
                  </pic:blipFill>
                  <pic:spPr bwMode="auto">
                    <a:xfrm>
                      <a:off x="0" y="0"/>
                      <a:ext cx="5486400" cy="6657975"/>
                    </a:xfrm>
                    <a:prstGeom prst="rect">
                      <a:avLst/>
                    </a:prstGeom>
                    <a:noFill/>
                    <a:ln w="9525">
                      <a:noFill/>
                      <a:miter lim="800000"/>
                      <a:headEnd/>
                      <a:tailEnd/>
                    </a:ln>
                  </pic:spPr>
                </pic:pic>
              </a:graphicData>
            </a:graphic>
          </wp:inline>
        </w:drawing>
      </w:r>
    </w:p>
    <w:p w:rsidR="006A1816" w:rsidRPr="00F26253" w:rsidRDefault="006A1816" w:rsidP="006A1816">
      <w:pPr>
        <w:pStyle w:val="Caption"/>
      </w:pPr>
      <w:bookmarkStart w:id="0" w:name="_Ref194138958"/>
      <w:r>
        <w:t xml:space="preserve">Figure </w:t>
      </w:r>
      <w:r w:rsidR="00A75324">
        <w:fldChar w:fldCharType="begin"/>
      </w:r>
      <w:r w:rsidR="00547F49">
        <w:instrText xml:space="preserve"> SEQ Figure \* ARABIC </w:instrText>
      </w:r>
      <w:r w:rsidR="00A75324">
        <w:fldChar w:fldCharType="separate"/>
      </w:r>
      <w:r w:rsidR="00073530">
        <w:rPr>
          <w:noProof/>
        </w:rPr>
        <w:t>1</w:t>
      </w:r>
      <w:r w:rsidR="00A75324">
        <w:fldChar w:fldCharType="end"/>
      </w:r>
      <w:bookmarkEnd w:id="0"/>
      <w:r>
        <w:t xml:space="preserve">: </w:t>
      </w:r>
      <w:r w:rsidRPr="009F2581">
        <w:t xml:space="preserve">Map of </w:t>
      </w:r>
      <w:r>
        <w:t>Pueblo Chemical</w:t>
      </w:r>
      <w:r w:rsidRPr="009F2581">
        <w:t xml:space="preserve"> Depot Emergency Planning Zones</w:t>
      </w:r>
    </w:p>
    <w:p w:rsidR="006A1816" w:rsidRDefault="006A1816" w:rsidP="004C3D4A">
      <w:pPr>
        <w:pStyle w:val="ResponseLvl1"/>
      </w:pPr>
    </w:p>
    <w:p w:rsidR="004C3D4A" w:rsidRPr="00F26253" w:rsidRDefault="002919CD" w:rsidP="004C3D4A">
      <w:pPr>
        <w:pStyle w:val="ResponseLvl1"/>
      </w:pPr>
      <w:r>
        <w:t xml:space="preserve">Table 1 </w:t>
      </w:r>
      <w:r w:rsidR="004C3D4A" w:rsidRPr="00F26253">
        <w:t>shows the collection</w:t>
      </w:r>
      <w:r w:rsidR="004C3D4A">
        <w:t>’</w:t>
      </w:r>
      <w:r w:rsidR="004C3D4A" w:rsidRPr="00F26253">
        <w:t xml:space="preserve">s universe, sample size, margin of error, and sampling techniques for each of the </w:t>
      </w:r>
      <w:r w:rsidR="00F9005A">
        <w:t>four sites</w:t>
      </w:r>
      <w:r w:rsidR="004C3D4A" w:rsidRPr="00F26253">
        <w:t xml:space="preserve">. </w:t>
      </w:r>
    </w:p>
    <w:p w:rsidR="004C3D4A" w:rsidRDefault="004C3D4A" w:rsidP="004C3D4A">
      <w:pPr>
        <w:tabs>
          <w:tab w:val="left" w:pos="-720"/>
          <w:tab w:val="num" w:pos="1080"/>
        </w:tabs>
        <w:suppressAutoHyphens/>
        <w:sectPr w:rsidR="004C3D4A">
          <w:footerReference w:type="even" r:id="rId9"/>
          <w:footerReference w:type="default" r:id="rId10"/>
          <w:pgSz w:w="12240" w:h="15840"/>
          <w:pgMar w:top="1440" w:right="1800" w:bottom="1440" w:left="1800" w:header="720" w:footer="720" w:gutter="0"/>
          <w:cols w:space="720"/>
        </w:sectPr>
      </w:pPr>
    </w:p>
    <w:p w:rsidR="004C3D4A" w:rsidRPr="00AB37F2" w:rsidRDefault="004C3D4A" w:rsidP="004C3D4A">
      <w:pPr>
        <w:pStyle w:val="Caption"/>
        <w:keepNext/>
        <w:rPr>
          <w:sz w:val="24"/>
          <w:szCs w:val="24"/>
        </w:rPr>
      </w:pPr>
      <w:bookmarkStart w:id="1" w:name="_Ref194137699"/>
      <w:r w:rsidRPr="00AB37F2">
        <w:rPr>
          <w:sz w:val="24"/>
          <w:szCs w:val="24"/>
        </w:rPr>
        <w:lastRenderedPageBreak/>
        <w:t xml:space="preserve">Table </w:t>
      </w:r>
      <w:r w:rsidR="00DE41A2">
        <w:rPr>
          <w:sz w:val="24"/>
          <w:szCs w:val="24"/>
        </w:rPr>
        <w:t>1</w:t>
      </w:r>
      <w:bookmarkEnd w:id="1"/>
      <w:r w:rsidRPr="00AB37F2">
        <w:rPr>
          <w:sz w:val="24"/>
          <w:szCs w:val="24"/>
        </w:rPr>
        <w:t>: Universe Populations, Sample Size, Margin of Error, and Sampling Technique (Site Surveys)</w:t>
      </w:r>
    </w:p>
    <w:tbl>
      <w:tblPr>
        <w:tblW w:w="14528" w:type="dxa"/>
        <w:jc w:val="center"/>
        <w:tblInd w:w="103" w:type="dxa"/>
        <w:tblBorders>
          <w:top w:val="single" w:sz="36" w:space="0" w:color="C0C0C0"/>
          <w:bottom w:val="single" w:sz="36" w:space="0" w:color="C0C0C0"/>
          <w:insideH w:val="single" w:sz="4" w:space="0" w:color="auto"/>
        </w:tblBorders>
        <w:tblLook w:val="0000"/>
      </w:tblPr>
      <w:tblGrid>
        <w:gridCol w:w="2840"/>
        <w:gridCol w:w="1660"/>
        <w:gridCol w:w="1780"/>
        <w:gridCol w:w="2343"/>
        <w:gridCol w:w="1000"/>
        <w:gridCol w:w="1160"/>
        <w:gridCol w:w="3745"/>
      </w:tblGrid>
      <w:tr w:rsidR="004C3D4A" w:rsidRPr="00F26253" w:rsidTr="00B4542C">
        <w:trPr>
          <w:cantSplit/>
          <w:tblHeader/>
          <w:jc w:val="center"/>
        </w:trPr>
        <w:tc>
          <w:tcPr>
            <w:tcW w:w="284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CSEPP Site Name</w:t>
            </w:r>
          </w:p>
        </w:tc>
        <w:tc>
          <w:tcPr>
            <w:tcW w:w="166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Total Sample or Name of Strata</w:t>
            </w:r>
          </w:p>
        </w:tc>
        <w:tc>
          <w:tcPr>
            <w:tcW w:w="178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Geographic Region</w:t>
            </w:r>
          </w:p>
        </w:tc>
        <w:tc>
          <w:tcPr>
            <w:tcW w:w="2343"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Universe: Population over 18 who are inside the geographic region</w:t>
            </w:r>
          </w:p>
        </w:tc>
        <w:tc>
          <w:tcPr>
            <w:tcW w:w="100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Margin of Error</w:t>
            </w:r>
          </w:p>
        </w:tc>
        <w:tc>
          <w:tcPr>
            <w:tcW w:w="1160"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Sample Size</w:t>
            </w:r>
          </w:p>
        </w:tc>
        <w:tc>
          <w:tcPr>
            <w:tcW w:w="3745" w:type="dxa"/>
            <w:tcBorders>
              <w:top w:val="single" w:sz="36" w:space="0" w:color="C0C0C0"/>
              <w:bottom w:val="double" w:sz="4" w:space="0" w:color="auto"/>
            </w:tcBorders>
            <w:shd w:val="clear" w:color="auto" w:fill="auto"/>
            <w:vAlign w:val="center"/>
          </w:tcPr>
          <w:p w:rsidR="004C3D4A" w:rsidRPr="00F26253" w:rsidRDefault="004C3D4A" w:rsidP="00616F94">
            <w:pPr>
              <w:pStyle w:val="TableHeader"/>
            </w:pPr>
            <w:r w:rsidRPr="00F26253">
              <w:t>Sampling Technique</w:t>
            </w:r>
          </w:p>
        </w:tc>
      </w:tr>
      <w:tr w:rsidR="004C3D4A" w:rsidRPr="00F26253" w:rsidTr="00B4542C">
        <w:trPr>
          <w:cantSplit/>
          <w:jc w:val="center"/>
        </w:trPr>
        <w:tc>
          <w:tcPr>
            <w:tcW w:w="2840"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rPr>
                <w:sz w:val="18"/>
                <w:szCs w:val="18"/>
              </w:rPr>
            </w:pPr>
            <w:r w:rsidRPr="00C03B4D">
              <w:rPr>
                <w:sz w:val="18"/>
                <w:szCs w:val="18"/>
              </w:rPr>
              <w:t>Blue Grass Army Depot</w:t>
            </w:r>
          </w:p>
        </w:tc>
        <w:tc>
          <w:tcPr>
            <w:tcW w:w="1660"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jc w:val="center"/>
              <w:rPr>
                <w:sz w:val="18"/>
                <w:szCs w:val="18"/>
              </w:rPr>
            </w:pPr>
            <w:r w:rsidRPr="00C03B4D">
              <w:rPr>
                <w:sz w:val="18"/>
                <w:szCs w:val="18"/>
              </w:rPr>
              <w:t>Total Sample</w:t>
            </w:r>
          </w:p>
        </w:tc>
        <w:tc>
          <w:tcPr>
            <w:tcW w:w="1780" w:type="dxa"/>
            <w:tcBorders>
              <w:top w:val="double" w:sz="4" w:space="0" w:color="auto"/>
              <w:bottom w:val="single" w:sz="4" w:space="0" w:color="auto"/>
            </w:tcBorders>
            <w:shd w:val="clear" w:color="auto" w:fill="auto"/>
            <w:noWrap/>
            <w:vAlign w:val="center"/>
          </w:tcPr>
          <w:p w:rsidR="004C3D4A" w:rsidRPr="00C03B4D" w:rsidRDefault="008936BC" w:rsidP="00C03B4D">
            <w:pPr>
              <w:pStyle w:val="TableText"/>
              <w:rPr>
                <w:sz w:val="18"/>
                <w:szCs w:val="18"/>
              </w:rPr>
            </w:pPr>
            <w:r w:rsidRPr="00C03B4D">
              <w:rPr>
                <w:sz w:val="18"/>
                <w:szCs w:val="18"/>
              </w:rPr>
              <w:t>Depot, IRZ, PAZ</w:t>
            </w:r>
          </w:p>
        </w:tc>
        <w:tc>
          <w:tcPr>
            <w:tcW w:w="2343"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jc w:val="center"/>
              <w:rPr>
                <w:sz w:val="18"/>
                <w:szCs w:val="18"/>
              </w:rPr>
            </w:pPr>
            <w:r w:rsidRPr="00C03B4D">
              <w:rPr>
                <w:sz w:val="18"/>
                <w:szCs w:val="18"/>
              </w:rPr>
              <w:t>75,193</w:t>
            </w:r>
          </w:p>
        </w:tc>
        <w:tc>
          <w:tcPr>
            <w:tcW w:w="1000"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jc w:val="center"/>
              <w:rPr>
                <w:sz w:val="18"/>
                <w:szCs w:val="18"/>
              </w:rPr>
            </w:pPr>
            <w:r w:rsidRPr="00C03B4D">
              <w:rPr>
                <w:sz w:val="18"/>
                <w:szCs w:val="18"/>
              </w:rPr>
              <w:t>3.4%</w:t>
            </w:r>
          </w:p>
        </w:tc>
        <w:tc>
          <w:tcPr>
            <w:tcW w:w="1160"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jc w:val="center"/>
              <w:rPr>
                <w:sz w:val="18"/>
                <w:szCs w:val="18"/>
              </w:rPr>
            </w:pPr>
            <w:r w:rsidRPr="00C03B4D">
              <w:rPr>
                <w:sz w:val="18"/>
                <w:szCs w:val="18"/>
              </w:rPr>
              <w:t>822</w:t>
            </w:r>
          </w:p>
        </w:tc>
        <w:tc>
          <w:tcPr>
            <w:tcW w:w="3745" w:type="dxa"/>
            <w:tcBorders>
              <w:top w:val="double" w:sz="4" w:space="0" w:color="auto"/>
              <w:bottom w:val="single" w:sz="4" w:space="0" w:color="auto"/>
            </w:tcBorders>
            <w:shd w:val="clear" w:color="auto" w:fill="auto"/>
            <w:noWrap/>
            <w:vAlign w:val="center"/>
          </w:tcPr>
          <w:p w:rsidR="004C3D4A" w:rsidRPr="00C03B4D" w:rsidRDefault="008936BC" w:rsidP="008936BC">
            <w:pPr>
              <w:pStyle w:val="TableText"/>
              <w:jc w:val="center"/>
              <w:rPr>
                <w:sz w:val="18"/>
                <w:szCs w:val="18"/>
              </w:rPr>
            </w:pPr>
            <w:r w:rsidRPr="00C03B4D">
              <w:rPr>
                <w:sz w:val="18"/>
                <w:szCs w:val="18"/>
              </w:rPr>
              <w:t>Simple Random Sampling</w:t>
            </w:r>
          </w:p>
        </w:tc>
      </w:tr>
      <w:tr w:rsidR="00B4542C" w:rsidRPr="00F26253" w:rsidTr="00B4542C">
        <w:trPr>
          <w:cantSplit/>
          <w:jc w:val="center"/>
        </w:trPr>
        <w:tc>
          <w:tcPr>
            <w:tcW w:w="2840" w:type="dxa"/>
            <w:tcBorders>
              <w:top w:val="single" w:sz="4" w:space="0" w:color="auto"/>
            </w:tcBorders>
            <w:shd w:val="clear" w:color="auto" w:fill="auto"/>
            <w:noWrap/>
            <w:vAlign w:val="center"/>
          </w:tcPr>
          <w:p w:rsidR="00B4542C" w:rsidRPr="00C03B4D" w:rsidRDefault="00B4542C" w:rsidP="008936BC">
            <w:pPr>
              <w:pStyle w:val="TableText"/>
              <w:rPr>
                <w:sz w:val="18"/>
                <w:szCs w:val="18"/>
              </w:rPr>
            </w:pPr>
            <w:r>
              <w:rPr>
                <w:sz w:val="18"/>
                <w:szCs w:val="18"/>
              </w:rPr>
              <w:t>Deseret Chemical Depot</w:t>
            </w:r>
          </w:p>
        </w:tc>
        <w:tc>
          <w:tcPr>
            <w:tcW w:w="1660" w:type="dxa"/>
            <w:tcBorders>
              <w:top w:val="single" w:sz="4" w:space="0" w:color="auto"/>
            </w:tcBorders>
            <w:shd w:val="clear" w:color="auto" w:fill="auto"/>
            <w:noWrap/>
            <w:vAlign w:val="center"/>
          </w:tcPr>
          <w:p w:rsidR="00B4542C" w:rsidRPr="00C03B4D" w:rsidRDefault="00B4542C" w:rsidP="008936BC">
            <w:pPr>
              <w:pStyle w:val="TableText"/>
              <w:jc w:val="center"/>
              <w:rPr>
                <w:sz w:val="18"/>
                <w:szCs w:val="18"/>
              </w:rPr>
            </w:pPr>
            <w:r>
              <w:rPr>
                <w:sz w:val="18"/>
                <w:szCs w:val="18"/>
              </w:rPr>
              <w:t>Total Sample</w:t>
            </w:r>
          </w:p>
        </w:tc>
        <w:tc>
          <w:tcPr>
            <w:tcW w:w="1780" w:type="dxa"/>
            <w:tcBorders>
              <w:top w:val="single" w:sz="4" w:space="0" w:color="auto"/>
            </w:tcBorders>
            <w:shd w:val="clear" w:color="auto" w:fill="auto"/>
            <w:noWrap/>
            <w:vAlign w:val="center"/>
          </w:tcPr>
          <w:p w:rsidR="00B4542C" w:rsidRPr="00C03B4D" w:rsidRDefault="00B4542C" w:rsidP="00C03B4D">
            <w:pPr>
              <w:pStyle w:val="TableText"/>
              <w:rPr>
                <w:sz w:val="18"/>
                <w:szCs w:val="18"/>
              </w:rPr>
            </w:pPr>
            <w:r>
              <w:rPr>
                <w:sz w:val="18"/>
                <w:szCs w:val="18"/>
              </w:rPr>
              <w:t>Depot, IRZ, PAZ</w:t>
            </w:r>
          </w:p>
        </w:tc>
        <w:tc>
          <w:tcPr>
            <w:tcW w:w="2343" w:type="dxa"/>
            <w:tcBorders>
              <w:top w:val="single" w:sz="4" w:space="0" w:color="auto"/>
            </w:tcBorders>
            <w:shd w:val="clear" w:color="auto" w:fill="auto"/>
            <w:noWrap/>
            <w:vAlign w:val="center"/>
          </w:tcPr>
          <w:p w:rsidR="00B4542C" w:rsidRPr="00C03B4D" w:rsidRDefault="00B4542C" w:rsidP="008936BC">
            <w:pPr>
              <w:pStyle w:val="TableText"/>
              <w:jc w:val="center"/>
              <w:rPr>
                <w:sz w:val="18"/>
                <w:szCs w:val="18"/>
              </w:rPr>
            </w:pPr>
            <w:r>
              <w:rPr>
                <w:sz w:val="18"/>
                <w:szCs w:val="18"/>
              </w:rPr>
              <w:t>25,759</w:t>
            </w:r>
          </w:p>
        </w:tc>
        <w:tc>
          <w:tcPr>
            <w:tcW w:w="1000" w:type="dxa"/>
            <w:tcBorders>
              <w:top w:val="single" w:sz="4" w:space="0" w:color="auto"/>
            </w:tcBorders>
            <w:shd w:val="clear" w:color="auto" w:fill="auto"/>
            <w:noWrap/>
            <w:vAlign w:val="center"/>
          </w:tcPr>
          <w:p w:rsidR="00B4542C" w:rsidRPr="00C03B4D" w:rsidRDefault="00B4542C" w:rsidP="008936BC">
            <w:pPr>
              <w:pStyle w:val="TableText"/>
              <w:jc w:val="center"/>
              <w:rPr>
                <w:sz w:val="18"/>
                <w:szCs w:val="18"/>
              </w:rPr>
            </w:pPr>
            <w:r>
              <w:rPr>
                <w:sz w:val="18"/>
                <w:szCs w:val="18"/>
              </w:rPr>
              <w:t>3.4%</w:t>
            </w:r>
          </w:p>
        </w:tc>
        <w:tc>
          <w:tcPr>
            <w:tcW w:w="1160" w:type="dxa"/>
            <w:tcBorders>
              <w:top w:val="single" w:sz="4" w:space="0" w:color="auto"/>
            </w:tcBorders>
            <w:shd w:val="clear" w:color="auto" w:fill="auto"/>
            <w:noWrap/>
            <w:vAlign w:val="center"/>
          </w:tcPr>
          <w:p w:rsidR="00B4542C" w:rsidRPr="00C03B4D" w:rsidRDefault="00B4542C" w:rsidP="008936BC">
            <w:pPr>
              <w:pStyle w:val="TableText"/>
              <w:jc w:val="center"/>
              <w:rPr>
                <w:sz w:val="18"/>
                <w:szCs w:val="18"/>
              </w:rPr>
            </w:pPr>
            <w:r>
              <w:rPr>
                <w:sz w:val="18"/>
                <w:szCs w:val="18"/>
              </w:rPr>
              <w:t>823</w:t>
            </w:r>
          </w:p>
        </w:tc>
        <w:tc>
          <w:tcPr>
            <w:tcW w:w="3745" w:type="dxa"/>
            <w:tcBorders>
              <w:top w:val="single" w:sz="4" w:space="0" w:color="auto"/>
            </w:tcBorders>
            <w:shd w:val="clear" w:color="auto" w:fill="auto"/>
            <w:noWrap/>
            <w:vAlign w:val="center"/>
          </w:tcPr>
          <w:p w:rsidR="00B4542C" w:rsidRPr="00C03B4D" w:rsidRDefault="00B4542C" w:rsidP="008936BC">
            <w:pPr>
              <w:pStyle w:val="TableText"/>
              <w:jc w:val="center"/>
              <w:rPr>
                <w:sz w:val="18"/>
                <w:szCs w:val="18"/>
              </w:rPr>
            </w:pPr>
            <w:r>
              <w:rPr>
                <w:sz w:val="18"/>
                <w:szCs w:val="18"/>
              </w:rPr>
              <w:t>Stratified Sampling</w:t>
            </w:r>
          </w:p>
        </w:tc>
      </w:tr>
      <w:tr w:rsidR="004C3D4A" w:rsidRPr="00F26253" w:rsidTr="00C03B4D">
        <w:trPr>
          <w:cantSplit/>
          <w:jc w:val="center"/>
        </w:trPr>
        <w:tc>
          <w:tcPr>
            <w:tcW w:w="2840" w:type="dxa"/>
            <w:shd w:val="clear" w:color="auto" w:fill="auto"/>
            <w:noWrap/>
            <w:vAlign w:val="center"/>
          </w:tcPr>
          <w:p w:rsidR="004C3D4A" w:rsidRPr="00C03B4D" w:rsidRDefault="008936BC" w:rsidP="008936BC">
            <w:pPr>
              <w:pStyle w:val="TableText"/>
              <w:rPr>
                <w:sz w:val="18"/>
                <w:szCs w:val="18"/>
              </w:rPr>
            </w:pPr>
            <w:r w:rsidRPr="00C03B4D">
              <w:rPr>
                <w:sz w:val="18"/>
                <w:szCs w:val="18"/>
              </w:rPr>
              <w:t>Pueblo Chemical Depot</w:t>
            </w:r>
          </w:p>
        </w:tc>
        <w:tc>
          <w:tcPr>
            <w:tcW w:w="16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Total Sample</w:t>
            </w:r>
          </w:p>
        </w:tc>
        <w:tc>
          <w:tcPr>
            <w:tcW w:w="1780" w:type="dxa"/>
            <w:shd w:val="clear" w:color="auto" w:fill="auto"/>
            <w:noWrap/>
            <w:vAlign w:val="center"/>
          </w:tcPr>
          <w:p w:rsidR="004C3D4A" w:rsidRPr="00C03B4D" w:rsidRDefault="008936BC" w:rsidP="00C03B4D">
            <w:pPr>
              <w:pStyle w:val="TableText"/>
              <w:rPr>
                <w:sz w:val="18"/>
                <w:szCs w:val="18"/>
              </w:rPr>
            </w:pPr>
            <w:r w:rsidRPr="00C03B4D">
              <w:rPr>
                <w:sz w:val="18"/>
                <w:szCs w:val="18"/>
              </w:rPr>
              <w:t>Depot, IRZ, PAZ</w:t>
            </w:r>
          </w:p>
        </w:tc>
        <w:tc>
          <w:tcPr>
            <w:tcW w:w="2343"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6,512</w:t>
            </w:r>
          </w:p>
        </w:tc>
        <w:tc>
          <w:tcPr>
            <w:tcW w:w="100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3.4%</w:t>
            </w:r>
          </w:p>
        </w:tc>
        <w:tc>
          <w:tcPr>
            <w:tcW w:w="11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737</w:t>
            </w:r>
          </w:p>
        </w:tc>
        <w:tc>
          <w:tcPr>
            <w:tcW w:w="3745"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Simple Random Sampling</w:t>
            </w:r>
          </w:p>
        </w:tc>
      </w:tr>
      <w:tr w:rsidR="004C3D4A" w:rsidRPr="00F26253" w:rsidTr="00C03B4D">
        <w:trPr>
          <w:cantSplit/>
          <w:jc w:val="center"/>
        </w:trPr>
        <w:tc>
          <w:tcPr>
            <w:tcW w:w="2840" w:type="dxa"/>
            <w:shd w:val="clear" w:color="auto" w:fill="auto"/>
            <w:noWrap/>
            <w:vAlign w:val="center"/>
          </w:tcPr>
          <w:p w:rsidR="004C3D4A" w:rsidRPr="00C03B4D" w:rsidRDefault="008936BC" w:rsidP="008936BC">
            <w:pPr>
              <w:pStyle w:val="TableText"/>
              <w:rPr>
                <w:sz w:val="18"/>
                <w:szCs w:val="18"/>
              </w:rPr>
            </w:pPr>
            <w:r w:rsidRPr="00C03B4D">
              <w:rPr>
                <w:sz w:val="18"/>
                <w:szCs w:val="18"/>
              </w:rPr>
              <w:t>Pueblo City</w:t>
            </w:r>
          </w:p>
        </w:tc>
        <w:tc>
          <w:tcPr>
            <w:tcW w:w="16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Total Sample</w:t>
            </w:r>
          </w:p>
        </w:tc>
        <w:tc>
          <w:tcPr>
            <w:tcW w:w="1780" w:type="dxa"/>
            <w:shd w:val="clear" w:color="auto" w:fill="auto"/>
            <w:noWrap/>
            <w:vAlign w:val="center"/>
          </w:tcPr>
          <w:p w:rsidR="004C3D4A" w:rsidRPr="00C03B4D" w:rsidRDefault="008936BC" w:rsidP="00C03B4D">
            <w:pPr>
              <w:pStyle w:val="TableText"/>
              <w:rPr>
                <w:sz w:val="18"/>
                <w:szCs w:val="18"/>
              </w:rPr>
            </w:pPr>
            <w:r w:rsidRPr="00C03B4D">
              <w:rPr>
                <w:sz w:val="18"/>
                <w:szCs w:val="18"/>
              </w:rPr>
              <w:t>Pueblo City</w:t>
            </w:r>
          </w:p>
        </w:tc>
        <w:tc>
          <w:tcPr>
            <w:tcW w:w="2343"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76,471</w:t>
            </w:r>
          </w:p>
        </w:tc>
        <w:tc>
          <w:tcPr>
            <w:tcW w:w="100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5.0%</w:t>
            </w:r>
          </w:p>
        </w:tc>
        <w:tc>
          <w:tcPr>
            <w:tcW w:w="11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383</w:t>
            </w:r>
          </w:p>
        </w:tc>
        <w:tc>
          <w:tcPr>
            <w:tcW w:w="3745"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Simple Random Sampling</w:t>
            </w:r>
          </w:p>
        </w:tc>
      </w:tr>
      <w:tr w:rsidR="004C3D4A" w:rsidRPr="00F26253" w:rsidTr="00C03B4D">
        <w:trPr>
          <w:cantSplit/>
          <w:jc w:val="center"/>
        </w:trPr>
        <w:tc>
          <w:tcPr>
            <w:tcW w:w="2840" w:type="dxa"/>
            <w:shd w:val="clear" w:color="auto" w:fill="auto"/>
            <w:noWrap/>
            <w:vAlign w:val="center"/>
          </w:tcPr>
          <w:p w:rsidR="004C3D4A" w:rsidRPr="00C03B4D" w:rsidRDefault="008936BC" w:rsidP="008936BC">
            <w:pPr>
              <w:pStyle w:val="TableText"/>
              <w:rPr>
                <w:sz w:val="18"/>
                <w:szCs w:val="18"/>
              </w:rPr>
            </w:pPr>
            <w:r w:rsidRPr="00C03B4D">
              <w:rPr>
                <w:sz w:val="18"/>
                <w:szCs w:val="18"/>
              </w:rPr>
              <w:t>Pueblo EPZ Business</w:t>
            </w:r>
          </w:p>
        </w:tc>
        <w:tc>
          <w:tcPr>
            <w:tcW w:w="16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Total Sample</w:t>
            </w:r>
          </w:p>
        </w:tc>
        <w:tc>
          <w:tcPr>
            <w:tcW w:w="1780" w:type="dxa"/>
            <w:shd w:val="clear" w:color="auto" w:fill="auto"/>
            <w:noWrap/>
            <w:vAlign w:val="center"/>
          </w:tcPr>
          <w:p w:rsidR="004C3D4A" w:rsidRPr="00C03B4D" w:rsidRDefault="00C03B4D" w:rsidP="00C03B4D">
            <w:pPr>
              <w:pStyle w:val="TableText"/>
              <w:rPr>
                <w:sz w:val="18"/>
                <w:szCs w:val="18"/>
              </w:rPr>
            </w:pPr>
            <w:r w:rsidRPr="00C03B4D">
              <w:rPr>
                <w:sz w:val="18"/>
                <w:szCs w:val="18"/>
              </w:rPr>
              <w:t>Depot, IRZ, PAZ</w:t>
            </w:r>
          </w:p>
        </w:tc>
        <w:tc>
          <w:tcPr>
            <w:tcW w:w="2343"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225</w:t>
            </w:r>
          </w:p>
        </w:tc>
        <w:tc>
          <w:tcPr>
            <w:tcW w:w="100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8.3%</w:t>
            </w:r>
          </w:p>
        </w:tc>
        <w:tc>
          <w:tcPr>
            <w:tcW w:w="1160"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86</w:t>
            </w:r>
          </w:p>
        </w:tc>
        <w:tc>
          <w:tcPr>
            <w:tcW w:w="3745" w:type="dxa"/>
            <w:shd w:val="clear" w:color="auto" w:fill="auto"/>
            <w:noWrap/>
            <w:vAlign w:val="center"/>
          </w:tcPr>
          <w:p w:rsidR="004C3D4A" w:rsidRPr="00C03B4D" w:rsidRDefault="008936BC" w:rsidP="008936BC">
            <w:pPr>
              <w:pStyle w:val="TableText"/>
              <w:jc w:val="center"/>
              <w:rPr>
                <w:sz w:val="18"/>
                <w:szCs w:val="18"/>
              </w:rPr>
            </w:pPr>
            <w:r w:rsidRPr="00C03B4D">
              <w:rPr>
                <w:sz w:val="18"/>
                <w:szCs w:val="18"/>
              </w:rPr>
              <w:t>Stratified Sampling</w:t>
            </w:r>
          </w:p>
        </w:tc>
      </w:tr>
      <w:tr w:rsidR="00B4542C" w:rsidRPr="00F26253" w:rsidTr="00C03B4D">
        <w:trPr>
          <w:cantSplit/>
          <w:jc w:val="center"/>
        </w:trPr>
        <w:tc>
          <w:tcPr>
            <w:tcW w:w="2840" w:type="dxa"/>
            <w:shd w:val="clear" w:color="auto" w:fill="auto"/>
            <w:noWrap/>
            <w:vAlign w:val="center"/>
          </w:tcPr>
          <w:p w:rsidR="00B4542C" w:rsidRPr="00C03B4D" w:rsidRDefault="00B4542C" w:rsidP="008936BC">
            <w:pPr>
              <w:pStyle w:val="TableText"/>
              <w:rPr>
                <w:sz w:val="18"/>
                <w:szCs w:val="18"/>
              </w:rPr>
            </w:pPr>
            <w:r>
              <w:rPr>
                <w:sz w:val="18"/>
                <w:szCs w:val="18"/>
              </w:rPr>
              <w:t>Umatilla Chemical Depot</w:t>
            </w:r>
          </w:p>
        </w:tc>
        <w:tc>
          <w:tcPr>
            <w:tcW w:w="1660" w:type="dxa"/>
            <w:shd w:val="clear" w:color="auto" w:fill="auto"/>
            <w:noWrap/>
            <w:vAlign w:val="center"/>
          </w:tcPr>
          <w:p w:rsidR="00B4542C" w:rsidRPr="00C03B4D" w:rsidRDefault="00B4542C" w:rsidP="008936BC">
            <w:pPr>
              <w:pStyle w:val="TableText"/>
              <w:jc w:val="center"/>
              <w:rPr>
                <w:sz w:val="18"/>
                <w:szCs w:val="18"/>
              </w:rPr>
            </w:pPr>
            <w:r>
              <w:rPr>
                <w:sz w:val="18"/>
                <w:szCs w:val="18"/>
              </w:rPr>
              <w:t>Total Sample</w:t>
            </w:r>
          </w:p>
        </w:tc>
        <w:tc>
          <w:tcPr>
            <w:tcW w:w="1780" w:type="dxa"/>
            <w:shd w:val="clear" w:color="auto" w:fill="auto"/>
            <w:noWrap/>
            <w:vAlign w:val="center"/>
          </w:tcPr>
          <w:p w:rsidR="00B4542C" w:rsidRPr="00C03B4D" w:rsidRDefault="00B4542C" w:rsidP="00C03B4D">
            <w:pPr>
              <w:pStyle w:val="TableText"/>
              <w:rPr>
                <w:sz w:val="18"/>
                <w:szCs w:val="18"/>
              </w:rPr>
            </w:pPr>
            <w:r>
              <w:rPr>
                <w:sz w:val="18"/>
                <w:szCs w:val="18"/>
              </w:rPr>
              <w:t>Depot, IRZ, PAZ</w:t>
            </w:r>
          </w:p>
        </w:tc>
        <w:tc>
          <w:tcPr>
            <w:tcW w:w="2343" w:type="dxa"/>
            <w:shd w:val="clear" w:color="auto" w:fill="auto"/>
            <w:noWrap/>
            <w:vAlign w:val="center"/>
          </w:tcPr>
          <w:p w:rsidR="00B4542C" w:rsidRPr="00C03B4D" w:rsidRDefault="00B4542C" w:rsidP="008936BC">
            <w:pPr>
              <w:pStyle w:val="TableText"/>
              <w:jc w:val="center"/>
              <w:rPr>
                <w:sz w:val="18"/>
                <w:szCs w:val="18"/>
              </w:rPr>
            </w:pPr>
            <w:r>
              <w:rPr>
                <w:sz w:val="18"/>
                <w:szCs w:val="18"/>
              </w:rPr>
              <w:t>27,622</w:t>
            </w:r>
          </w:p>
        </w:tc>
        <w:tc>
          <w:tcPr>
            <w:tcW w:w="1000" w:type="dxa"/>
            <w:shd w:val="clear" w:color="auto" w:fill="auto"/>
            <w:noWrap/>
            <w:vAlign w:val="center"/>
          </w:tcPr>
          <w:p w:rsidR="00B4542C" w:rsidRPr="00C03B4D" w:rsidRDefault="00B4542C" w:rsidP="008936BC">
            <w:pPr>
              <w:pStyle w:val="TableText"/>
              <w:jc w:val="center"/>
              <w:rPr>
                <w:sz w:val="18"/>
                <w:szCs w:val="18"/>
              </w:rPr>
            </w:pPr>
            <w:r>
              <w:rPr>
                <w:sz w:val="18"/>
                <w:szCs w:val="18"/>
              </w:rPr>
              <w:t>3.4%</w:t>
            </w:r>
          </w:p>
        </w:tc>
        <w:tc>
          <w:tcPr>
            <w:tcW w:w="1160" w:type="dxa"/>
            <w:shd w:val="clear" w:color="auto" w:fill="auto"/>
            <w:noWrap/>
            <w:vAlign w:val="center"/>
          </w:tcPr>
          <w:p w:rsidR="00B4542C" w:rsidRPr="00C03B4D" w:rsidRDefault="00B4542C" w:rsidP="008936BC">
            <w:pPr>
              <w:pStyle w:val="TableText"/>
              <w:jc w:val="center"/>
              <w:rPr>
                <w:sz w:val="18"/>
                <w:szCs w:val="18"/>
              </w:rPr>
            </w:pPr>
            <w:r>
              <w:rPr>
                <w:sz w:val="18"/>
                <w:szCs w:val="18"/>
              </w:rPr>
              <w:t>814</w:t>
            </w:r>
          </w:p>
        </w:tc>
        <w:tc>
          <w:tcPr>
            <w:tcW w:w="3745" w:type="dxa"/>
            <w:shd w:val="clear" w:color="auto" w:fill="auto"/>
            <w:noWrap/>
            <w:vAlign w:val="center"/>
          </w:tcPr>
          <w:p w:rsidR="00B4542C" w:rsidRPr="00C03B4D" w:rsidRDefault="00B4542C" w:rsidP="008936BC">
            <w:pPr>
              <w:pStyle w:val="TableText"/>
              <w:jc w:val="center"/>
              <w:rPr>
                <w:sz w:val="18"/>
                <w:szCs w:val="18"/>
              </w:rPr>
            </w:pPr>
            <w:r>
              <w:rPr>
                <w:sz w:val="18"/>
                <w:szCs w:val="18"/>
              </w:rPr>
              <w:t>Stratified Sampling</w:t>
            </w:r>
          </w:p>
        </w:tc>
      </w:tr>
      <w:tr w:rsidR="004C3D4A" w:rsidRPr="001B28EE" w:rsidTr="00C03B4D">
        <w:trPr>
          <w:cantSplit/>
          <w:jc w:val="center"/>
        </w:trPr>
        <w:tc>
          <w:tcPr>
            <w:tcW w:w="2840" w:type="dxa"/>
            <w:shd w:val="clear" w:color="auto" w:fill="auto"/>
            <w:noWrap/>
            <w:vAlign w:val="center"/>
          </w:tcPr>
          <w:p w:rsidR="004C3D4A" w:rsidRPr="001B28EE" w:rsidRDefault="004C3D4A" w:rsidP="00616F94">
            <w:pPr>
              <w:pStyle w:val="TableText"/>
              <w:rPr>
                <w:b/>
              </w:rPr>
            </w:pPr>
            <w:r w:rsidRPr="001B28EE">
              <w:rPr>
                <w:b/>
              </w:rPr>
              <w:t>TOTAL</w:t>
            </w:r>
          </w:p>
        </w:tc>
        <w:tc>
          <w:tcPr>
            <w:tcW w:w="1660" w:type="dxa"/>
            <w:shd w:val="clear" w:color="auto" w:fill="auto"/>
            <w:noWrap/>
            <w:vAlign w:val="center"/>
          </w:tcPr>
          <w:p w:rsidR="004C3D4A" w:rsidRPr="001B28EE" w:rsidRDefault="004C3D4A" w:rsidP="00616F94">
            <w:pPr>
              <w:pStyle w:val="TableText"/>
              <w:rPr>
                <w:b/>
              </w:rPr>
            </w:pPr>
            <w:r w:rsidRPr="001B28EE">
              <w:rPr>
                <w:b/>
              </w:rPr>
              <w:t> </w:t>
            </w:r>
          </w:p>
        </w:tc>
        <w:tc>
          <w:tcPr>
            <w:tcW w:w="1780" w:type="dxa"/>
            <w:shd w:val="clear" w:color="auto" w:fill="auto"/>
            <w:noWrap/>
            <w:vAlign w:val="center"/>
          </w:tcPr>
          <w:p w:rsidR="004C3D4A" w:rsidRPr="001B28EE" w:rsidRDefault="004C3D4A" w:rsidP="00616F94">
            <w:pPr>
              <w:pStyle w:val="TableText"/>
              <w:rPr>
                <w:b/>
              </w:rPr>
            </w:pPr>
            <w:r w:rsidRPr="001B28EE">
              <w:rPr>
                <w:b/>
              </w:rPr>
              <w:t> </w:t>
            </w:r>
          </w:p>
        </w:tc>
        <w:tc>
          <w:tcPr>
            <w:tcW w:w="2343" w:type="dxa"/>
            <w:shd w:val="clear" w:color="auto" w:fill="auto"/>
            <w:noWrap/>
            <w:vAlign w:val="center"/>
          </w:tcPr>
          <w:p w:rsidR="004C3D4A" w:rsidRPr="001B28EE" w:rsidRDefault="00B4542C" w:rsidP="00B4542C">
            <w:pPr>
              <w:pStyle w:val="TableText"/>
              <w:jc w:val="center"/>
              <w:rPr>
                <w:b/>
              </w:rPr>
            </w:pPr>
            <w:r>
              <w:rPr>
                <w:b/>
              </w:rPr>
              <w:t>211</w:t>
            </w:r>
            <w:r w:rsidR="00C03B4D">
              <w:rPr>
                <w:b/>
              </w:rPr>
              <w:t>,</w:t>
            </w:r>
            <w:r>
              <w:rPr>
                <w:b/>
              </w:rPr>
              <w:t>782</w:t>
            </w:r>
          </w:p>
        </w:tc>
        <w:tc>
          <w:tcPr>
            <w:tcW w:w="1000" w:type="dxa"/>
            <w:shd w:val="clear" w:color="auto" w:fill="auto"/>
            <w:noWrap/>
            <w:vAlign w:val="center"/>
          </w:tcPr>
          <w:p w:rsidR="004C3D4A" w:rsidRPr="001B28EE" w:rsidRDefault="004C3D4A" w:rsidP="00616F94">
            <w:pPr>
              <w:pStyle w:val="TableText"/>
              <w:jc w:val="right"/>
              <w:rPr>
                <w:b/>
              </w:rPr>
            </w:pPr>
            <w:r w:rsidRPr="001B28EE">
              <w:rPr>
                <w:b/>
              </w:rPr>
              <w:t> </w:t>
            </w:r>
          </w:p>
        </w:tc>
        <w:tc>
          <w:tcPr>
            <w:tcW w:w="1160" w:type="dxa"/>
            <w:shd w:val="clear" w:color="auto" w:fill="auto"/>
            <w:noWrap/>
            <w:vAlign w:val="center"/>
          </w:tcPr>
          <w:p w:rsidR="004C3D4A" w:rsidRPr="001B28EE" w:rsidRDefault="00B4542C" w:rsidP="00C03B4D">
            <w:pPr>
              <w:pStyle w:val="TableText"/>
              <w:jc w:val="center"/>
              <w:rPr>
                <w:b/>
              </w:rPr>
            </w:pPr>
            <w:r>
              <w:rPr>
                <w:b/>
              </w:rPr>
              <w:t>3,665</w:t>
            </w:r>
          </w:p>
        </w:tc>
        <w:tc>
          <w:tcPr>
            <w:tcW w:w="3745" w:type="dxa"/>
            <w:shd w:val="clear" w:color="auto" w:fill="auto"/>
            <w:noWrap/>
            <w:vAlign w:val="center"/>
          </w:tcPr>
          <w:p w:rsidR="004C3D4A" w:rsidRPr="001B28EE" w:rsidRDefault="004C3D4A" w:rsidP="00616F94">
            <w:pPr>
              <w:pStyle w:val="TableText"/>
              <w:rPr>
                <w:b/>
              </w:rPr>
            </w:pPr>
          </w:p>
        </w:tc>
      </w:tr>
    </w:tbl>
    <w:p w:rsidR="004C3D4A" w:rsidRDefault="004C3D4A" w:rsidP="004C3D4A"/>
    <w:p w:rsidR="00B4542C" w:rsidRDefault="00B4542C" w:rsidP="004C3D4A"/>
    <w:p w:rsidR="004C3D4A" w:rsidRDefault="004C3D4A" w:rsidP="004C3D4A">
      <w:pPr>
        <w:numPr>
          <w:ilvl w:val="0"/>
          <w:numId w:val="15"/>
        </w:numPr>
        <w:tabs>
          <w:tab w:val="left" w:pos="-720"/>
        </w:tabs>
        <w:suppressAutoHyphens/>
        <w:rPr>
          <w:b/>
          <w:bCs/>
        </w:rPr>
        <w:sectPr w:rsidR="004C3D4A" w:rsidSect="00616F94">
          <w:pgSz w:w="15840" w:h="12240" w:orient="landscape"/>
          <w:pgMar w:top="1800" w:right="1440" w:bottom="1800" w:left="1440" w:header="720" w:footer="720" w:gutter="0"/>
          <w:cols w:space="720"/>
        </w:sectPr>
      </w:pPr>
    </w:p>
    <w:p w:rsidR="004C3D4A" w:rsidRPr="00F26253" w:rsidRDefault="004C3D4A" w:rsidP="004C3D4A">
      <w:pPr>
        <w:tabs>
          <w:tab w:val="left" w:pos="360"/>
        </w:tabs>
        <w:suppressAutoHyphens/>
        <w:ind w:left="360"/>
        <w:rPr>
          <w:b/>
          <w:bCs/>
        </w:rPr>
      </w:pPr>
      <w:r w:rsidRPr="00F26253">
        <w:rPr>
          <w:b/>
          <w:bCs/>
        </w:rPr>
        <w:lastRenderedPageBreak/>
        <w:t>Response Rates:</w:t>
      </w:r>
      <w:r w:rsidR="006D03AD">
        <w:rPr>
          <w:b/>
          <w:bCs/>
        </w:rPr>
        <w:t xml:space="preserve"> </w:t>
      </w:r>
    </w:p>
    <w:p w:rsidR="00F873A8" w:rsidRDefault="004C3D4A" w:rsidP="00F873A8">
      <w:pPr>
        <w:pStyle w:val="ResponseLvl1"/>
      </w:pPr>
      <w:r w:rsidRPr="00F26253">
        <w:rPr>
          <w:u w:val="single"/>
        </w:rPr>
        <w:t>Site Surveys</w:t>
      </w:r>
      <w:r w:rsidRPr="00F26253">
        <w:t>:</w:t>
      </w:r>
      <w:r>
        <w:t xml:space="preserve"> </w:t>
      </w:r>
      <w:r w:rsidR="00F873A8" w:rsidRPr="00F26253">
        <w:t>Response rates are calculated using final disposition codes and response rate formulas published by the American Association for Public Opinion Research (AAPOR).</w:t>
      </w:r>
      <w:r w:rsidR="00F873A8" w:rsidRPr="00F26253">
        <w:rPr>
          <w:rStyle w:val="FootnoteReference"/>
          <w:bCs/>
        </w:rPr>
        <w:t xml:space="preserve"> </w:t>
      </w:r>
      <w:r w:rsidR="00F873A8" w:rsidRPr="00F26253">
        <w:rPr>
          <w:rStyle w:val="FootnoteReference"/>
          <w:bCs/>
        </w:rPr>
        <w:footnoteReference w:id="1"/>
      </w:r>
      <w:r w:rsidR="00F873A8" w:rsidRPr="00F26253">
        <w:t xml:space="preserve"> The </w:t>
      </w:r>
      <w:r w:rsidR="00161934">
        <w:t>response rates on the residential surveys for the interested sites on their last survey have been listed below in the table.</w:t>
      </w:r>
    </w:p>
    <w:p w:rsidR="006D03AD" w:rsidRDefault="006D03AD" w:rsidP="006D03AD"/>
    <w:p w:rsidR="006D03AD" w:rsidRDefault="00E64C40" w:rsidP="006D03AD">
      <w:r>
        <w:t xml:space="preserve">                                         </w:t>
      </w:r>
      <w:r w:rsidR="006D03AD" w:rsidRPr="000513CF">
        <w:t xml:space="preserve">Response </w:t>
      </w:r>
      <w:r>
        <w:t>Rates across CSEPP sites</w:t>
      </w:r>
    </w:p>
    <w:tbl>
      <w:tblPr>
        <w:tblpPr w:leftFromText="180" w:rightFromText="180" w:vertAnchor="text" w:horzAnchor="margin" w:tblpXSpec="center" w:tblpY="149"/>
        <w:tblW w:w="7788" w:type="dxa"/>
        <w:tblLook w:val="0000"/>
      </w:tblPr>
      <w:tblGrid>
        <w:gridCol w:w="4860"/>
        <w:gridCol w:w="976"/>
        <w:gridCol w:w="976"/>
        <w:gridCol w:w="976"/>
      </w:tblGrid>
      <w:tr w:rsidR="00D135C1" w:rsidRPr="000513CF" w:rsidTr="00E64C40">
        <w:trPr>
          <w:trHeight w:val="25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35C1" w:rsidRPr="000513CF" w:rsidRDefault="00D135C1" w:rsidP="00E64C40">
            <w:pPr>
              <w:rPr>
                <w:rFonts w:ascii="Arial" w:hAnsi="Arial" w:cs="Arial"/>
                <w:sz w:val="20"/>
                <w:szCs w:val="20"/>
              </w:rPr>
            </w:pP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35C1" w:rsidRPr="000513CF" w:rsidRDefault="00D135C1" w:rsidP="00E64C40">
            <w:pPr>
              <w:jc w:val="right"/>
              <w:rPr>
                <w:rFonts w:ascii="Arial" w:hAnsi="Arial" w:cs="Arial"/>
                <w:sz w:val="20"/>
                <w:szCs w:val="20"/>
              </w:rPr>
            </w:pPr>
            <w:r>
              <w:rPr>
                <w:rFonts w:ascii="Arial" w:hAnsi="Arial" w:cs="Arial"/>
                <w:sz w:val="20"/>
                <w:szCs w:val="20"/>
              </w:rPr>
              <w:t>Umatilla 2006</w:t>
            </w:r>
          </w:p>
        </w:tc>
        <w:tc>
          <w:tcPr>
            <w:tcW w:w="976" w:type="dxa"/>
            <w:tcBorders>
              <w:top w:val="single" w:sz="4" w:space="0" w:color="auto"/>
              <w:left w:val="single" w:sz="4" w:space="0" w:color="auto"/>
              <w:bottom w:val="single" w:sz="4" w:space="0" w:color="auto"/>
              <w:right w:val="single" w:sz="4" w:space="0" w:color="auto"/>
            </w:tcBorders>
          </w:tcPr>
          <w:p w:rsidR="00D135C1" w:rsidRPr="000513CF" w:rsidRDefault="00D135C1" w:rsidP="00D135C1">
            <w:pPr>
              <w:jc w:val="right"/>
              <w:rPr>
                <w:rFonts w:ascii="Arial" w:hAnsi="Arial" w:cs="Arial"/>
                <w:sz w:val="20"/>
                <w:szCs w:val="20"/>
              </w:rPr>
            </w:pPr>
            <w:r>
              <w:rPr>
                <w:rFonts w:ascii="Arial" w:hAnsi="Arial" w:cs="Arial"/>
                <w:sz w:val="20"/>
                <w:szCs w:val="20"/>
              </w:rPr>
              <w:t>Deseret 2006</w:t>
            </w:r>
          </w:p>
        </w:tc>
        <w:tc>
          <w:tcPr>
            <w:tcW w:w="976" w:type="dxa"/>
            <w:tcBorders>
              <w:top w:val="single" w:sz="4" w:space="0" w:color="auto"/>
              <w:left w:val="single" w:sz="4" w:space="0" w:color="auto"/>
              <w:bottom w:val="single" w:sz="4" w:space="0" w:color="auto"/>
              <w:right w:val="single" w:sz="4" w:space="0" w:color="auto"/>
            </w:tcBorders>
          </w:tcPr>
          <w:p w:rsidR="00D135C1" w:rsidRPr="000513CF" w:rsidRDefault="00D135C1" w:rsidP="00E64C40">
            <w:pPr>
              <w:jc w:val="right"/>
              <w:rPr>
                <w:rFonts w:ascii="Arial" w:hAnsi="Arial" w:cs="Arial"/>
                <w:sz w:val="20"/>
                <w:szCs w:val="20"/>
              </w:rPr>
            </w:pPr>
            <w:r>
              <w:rPr>
                <w:rFonts w:ascii="Arial" w:hAnsi="Arial" w:cs="Arial"/>
                <w:sz w:val="20"/>
                <w:szCs w:val="20"/>
              </w:rPr>
              <w:t>Pueblo 2006</w:t>
            </w:r>
          </w:p>
        </w:tc>
      </w:tr>
      <w:tr w:rsidR="00D135C1" w:rsidRPr="000513CF" w:rsidTr="00D135C1">
        <w:trPr>
          <w:trHeight w:val="25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35C1" w:rsidRPr="000513CF" w:rsidRDefault="00D135C1" w:rsidP="00E64C40">
            <w:pPr>
              <w:rPr>
                <w:rFonts w:ascii="Arial" w:hAnsi="Arial" w:cs="Arial"/>
                <w:sz w:val="20"/>
                <w:szCs w:val="20"/>
              </w:rPr>
            </w:pPr>
            <w:r w:rsidRPr="000513CF">
              <w:rPr>
                <w:rFonts w:ascii="Arial" w:hAnsi="Arial" w:cs="Arial"/>
                <w:sz w:val="20"/>
                <w:szCs w:val="20"/>
              </w:rPr>
              <w:t>Response rate</w:t>
            </w:r>
            <w:r>
              <w:rPr>
                <w:rFonts w:ascii="Arial" w:hAnsi="Arial" w:cs="Arial"/>
                <w:sz w:val="20"/>
                <w:szCs w:val="20"/>
              </w:rPr>
              <w:t xml:space="preserve"> (RR1)</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24.16%</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bCs/>
                <w:sz w:val="20"/>
                <w:szCs w:val="20"/>
              </w:rPr>
            </w:pPr>
            <w:r w:rsidRPr="00D135C1">
              <w:rPr>
                <w:rFonts w:ascii="Arial" w:hAnsi="Arial" w:cs="Arial"/>
                <w:bCs/>
                <w:sz w:val="20"/>
                <w:szCs w:val="20"/>
              </w:rPr>
              <w:t>20.31%</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bCs/>
                <w:sz w:val="20"/>
                <w:szCs w:val="20"/>
              </w:rPr>
            </w:pPr>
            <w:r w:rsidRPr="00D135C1">
              <w:rPr>
                <w:rFonts w:ascii="Arial" w:hAnsi="Arial" w:cs="Arial"/>
                <w:bCs/>
                <w:sz w:val="20"/>
                <w:szCs w:val="20"/>
              </w:rPr>
              <w:t>21.97%</w:t>
            </w:r>
          </w:p>
        </w:tc>
      </w:tr>
      <w:tr w:rsidR="00D135C1" w:rsidRPr="000513CF" w:rsidTr="00D135C1">
        <w:trPr>
          <w:trHeight w:val="25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35C1" w:rsidRDefault="00D135C1" w:rsidP="00D135C1">
            <w:pPr>
              <w:rPr>
                <w:rFonts w:ascii="Arial" w:hAnsi="Arial" w:cs="Arial"/>
                <w:sz w:val="18"/>
                <w:szCs w:val="18"/>
              </w:rPr>
            </w:pPr>
            <w:r>
              <w:rPr>
                <w:rFonts w:ascii="Arial" w:hAnsi="Arial" w:cs="Arial"/>
                <w:sz w:val="20"/>
                <w:szCs w:val="20"/>
              </w:rPr>
              <w:t xml:space="preserve">Response rate (RR5) </w:t>
            </w:r>
          </w:p>
          <w:p w:rsidR="00D135C1" w:rsidRPr="00D135C1" w:rsidRDefault="00D135C1" w:rsidP="00D135C1">
            <w:pPr>
              <w:rPr>
                <w:rFonts w:ascii="Arial" w:hAnsi="Arial" w:cs="Arial"/>
                <w:sz w:val="18"/>
                <w:szCs w:val="18"/>
              </w:rPr>
            </w:pPr>
            <w:r w:rsidRPr="00D135C1">
              <w:rPr>
                <w:rFonts w:ascii="Arial" w:hAnsi="Arial" w:cs="Arial"/>
                <w:sz w:val="18"/>
                <w:szCs w:val="18"/>
              </w:rPr>
              <w:t>Special case of RR1 in that it assumes that e=0 (i.e. that there are no eligible cases among the cases of unknown eligibility)</w:t>
            </w:r>
          </w:p>
          <w:p w:rsidR="00D135C1" w:rsidRPr="000513CF" w:rsidRDefault="00D135C1" w:rsidP="00E64C40">
            <w:pPr>
              <w:rPr>
                <w:rFonts w:ascii="Arial" w:hAnsi="Arial" w:cs="Arial"/>
                <w:sz w:val="20"/>
                <w:szCs w:val="20"/>
              </w:rPr>
            </w:pP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47.51%</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35.15%</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41.64%</w:t>
            </w:r>
          </w:p>
        </w:tc>
      </w:tr>
      <w:tr w:rsidR="00D135C1" w:rsidRPr="000513CF" w:rsidTr="00D135C1">
        <w:trPr>
          <w:trHeight w:val="25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35C1" w:rsidRPr="000513CF" w:rsidRDefault="00D135C1" w:rsidP="00E64C40">
            <w:pPr>
              <w:rPr>
                <w:rFonts w:ascii="Arial" w:hAnsi="Arial" w:cs="Arial"/>
                <w:sz w:val="20"/>
                <w:szCs w:val="20"/>
              </w:rPr>
            </w:pPr>
            <w:r w:rsidRPr="000513CF">
              <w:rPr>
                <w:rFonts w:ascii="Arial" w:hAnsi="Arial" w:cs="Arial"/>
                <w:sz w:val="20"/>
                <w:szCs w:val="20"/>
              </w:rPr>
              <w:t>Refusal rate</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9.45%</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bCs/>
                <w:sz w:val="20"/>
                <w:szCs w:val="20"/>
              </w:rPr>
            </w:pPr>
            <w:r w:rsidRPr="00D135C1">
              <w:rPr>
                <w:rFonts w:ascii="Arial" w:hAnsi="Arial" w:cs="Arial"/>
                <w:bCs/>
                <w:sz w:val="20"/>
                <w:szCs w:val="20"/>
              </w:rPr>
              <w:t>16.32%</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bCs/>
                <w:sz w:val="20"/>
                <w:szCs w:val="20"/>
              </w:rPr>
            </w:pPr>
            <w:r w:rsidRPr="00D135C1">
              <w:rPr>
                <w:rFonts w:ascii="Arial" w:hAnsi="Arial" w:cs="Arial"/>
                <w:bCs/>
                <w:sz w:val="20"/>
                <w:szCs w:val="20"/>
              </w:rPr>
              <w:t>16.13%</w:t>
            </w:r>
          </w:p>
        </w:tc>
      </w:tr>
      <w:tr w:rsidR="00D135C1" w:rsidRPr="000513CF" w:rsidTr="00D135C1">
        <w:trPr>
          <w:trHeight w:val="25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35C1" w:rsidRPr="000513CF" w:rsidRDefault="00D135C1" w:rsidP="00E64C40">
            <w:pPr>
              <w:rPr>
                <w:rFonts w:ascii="Arial" w:hAnsi="Arial" w:cs="Arial"/>
                <w:sz w:val="20"/>
                <w:szCs w:val="20"/>
              </w:rPr>
            </w:pPr>
            <w:r w:rsidRPr="000513CF">
              <w:rPr>
                <w:rFonts w:ascii="Arial" w:hAnsi="Arial" w:cs="Arial"/>
                <w:sz w:val="20"/>
                <w:szCs w:val="20"/>
              </w:rPr>
              <w:t>Non-Contact (e.g., answering machine, call back, and language barrier)</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17.81%</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22.73%</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21.18%</w:t>
            </w:r>
          </w:p>
        </w:tc>
      </w:tr>
      <w:tr w:rsidR="00D135C1" w:rsidRPr="000513CF" w:rsidTr="00D135C1">
        <w:trPr>
          <w:trHeight w:val="25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35C1" w:rsidRPr="000513CF" w:rsidRDefault="00D135C1" w:rsidP="00E64C40">
            <w:pPr>
              <w:rPr>
                <w:rFonts w:ascii="Arial" w:hAnsi="Arial" w:cs="Arial"/>
                <w:sz w:val="20"/>
                <w:szCs w:val="20"/>
              </w:rPr>
            </w:pPr>
            <w:r w:rsidRPr="000513CF">
              <w:rPr>
                <w:rFonts w:ascii="Arial" w:hAnsi="Arial" w:cs="Arial"/>
                <w:sz w:val="20"/>
                <w:szCs w:val="20"/>
              </w:rPr>
              <w:t>Unknown Eligibility (e.g., no answer, always busy)</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46.52%</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39.36%</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40.69%</w:t>
            </w:r>
          </w:p>
        </w:tc>
      </w:tr>
      <w:tr w:rsidR="00D135C1" w:rsidRPr="000513CF" w:rsidTr="00D135C1">
        <w:trPr>
          <w:trHeight w:val="25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35C1" w:rsidRPr="000513CF" w:rsidRDefault="00D135C1" w:rsidP="00E64C40">
            <w:pPr>
              <w:rPr>
                <w:rFonts w:ascii="Arial" w:hAnsi="Arial" w:cs="Arial"/>
                <w:sz w:val="20"/>
                <w:szCs w:val="20"/>
              </w:rPr>
            </w:pPr>
            <w:r w:rsidRPr="000513CF">
              <w:rPr>
                <w:rFonts w:ascii="Arial" w:hAnsi="Arial" w:cs="Arial"/>
                <w:sz w:val="20"/>
                <w:szCs w:val="20"/>
              </w:rPr>
              <w:t>Partially completed questionnaire</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2.06%</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1.28%</w:t>
            </w:r>
          </w:p>
        </w:tc>
        <w:tc>
          <w:tcPr>
            <w:tcW w:w="976" w:type="dxa"/>
            <w:tcBorders>
              <w:top w:val="single" w:sz="4" w:space="0" w:color="auto"/>
              <w:left w:val="single" w:sz="4" w:space="0" w:color="auto"/>
              <w:bottom w:val="single" w:sz="4" w:space="0" w:color="auto"/>
              <w:right w:val="single" w:sz="4" w:space="0" w:color="auto"/>
            </w:tcBorders>
            <w:vAlign w:val="center"/>
          </w:tcPr>
          <w:p w:rsidR="00D135C1" w:rsidRPr="00D135C1" w:rsidRDefault="00D135C1" w:rsidP="00D135C1">
            <w:pPr>
              <w:jc w:val="center"/>
              <w:rPr>
                <w:rFonts w:ascii="Arial" w:hAnsi="Arial" w:cs="Arial"/>
                <w:sz w:val="20"/>
                <w:szCs w:val="20"/>
              </w:rPr>
            </w:pPr>
            <w:r w:rsidRPr="00D135C1">
              <w:rPr>
                <w:rFonts w:ascii="Arial" w:hAnsi="Arial" w:cs="Arial"/>
                <w:sz w:val="20"/>
                <w:szCs w:val="20"/>
              </w:rPr>
              <w:t>0.03%</w:t>
            </w:r>
          </w:p>
        </w:tc>
      </w:tr>
    </w:tbl>
    <w:p w:rsidR="00D135C1" w:rsidRDefault="00D135C1" w:rsidP="00DC6346">
      <w:pPr>
        <w:pStyle w:val="ResponseLvl1"/>
      </w:pPr>
    </w:p>
    <w:p w:rsidR="00DC6346" w:rsidRDefault="00DC6346" w:rsidP="00DC6346">
      <w:pPr>
        <w:pStyle w:val="ResponseLvl1"/>
      </w:pPr>
      <w:r>
        <w:t>The survey campaign has been conducted for several years. Because of the repetitive nature of this survey research, there are some communities where nearly every resident has participated in the survey at one time or another. This can have an adverse effect on participation in subsequent surveys. So aside from considerable rates of non-contact and unknown eligibility common in Random Digit Dialing (RDD), the survey effort is also experiencing increasing refusal rates at some sites.</w:t>
      </w:r>
    </w:p>
    <w:p w:rsidR="00602A71" w:rsidRDefault="004C3D4A" w:rsidP="00602A71">
      <w:pPr>
        <w:pStyle w:val="ResponseLvl1"/>
      </w:pPr>
      <w:r>
        <w:t xml:space="preserve">Due to </w:t>
      </w:r>
      <w:r w:rsidR="00D95C2B">
        <w:t>the availability of new communication technologies,</w:t>
      </w:r>
      <w:r>
        <w:t xml:space="preserve"> </w:t>
      </w:r>
      <w:r w:rsidR="00D95C2B">
        <w:t xml:space="preserve">such as </w:t>
      </w:r>
      <w:r>
        <w:t xml:space="preserve">caller ID, answering machines, </w:t>
      </w:r>
      <w:r w:rsidR="00D95C2B">
        <w:t xml:space="preserve">and </w:t>
      </w:r>
      <w:r>
        <w:t>mobile phones</w:t>
      </w:r>
      <w:r w:rsidR="00D95C2B">
        <w:t>,</w:t>
      </w:r>
      <w:r>
        <w:t xml:space="preserve"> households are often hard to contact by wire line telephone. </w:t>
      </w:r>
      <w:r w:rsidR="00030220" w:rsidRPr="00030220">
        <w:rPr>
          <w:color w:val="000000"/>
        </w:rPr>
        <w:t>Preliminary results</w:t>
      </w:r>
      <w:r w:rsidR="00D95C2B">
        <w:rPr>
          <w:color w:val="000000"/>
        </w:rPr>
        <w:t>,</w:t>
      </w:r>
      <w:r w:rsidR="00030220" w:rsidRPr="00030220">
        <w:rPr>
          <w:color w:val="000000"/>
        </w:rPr>
        <w:t xml:space="preserve"> from </w:t>
      </w:r>
      <w:r w:rsidR="00C74ECB">
        <w:rPr>
          <w:color w:val="000000"/>
        </w:rPr>
        <w:t xml:space="preserve">the </w:t>
      </w:r>
      <w:r w:rsidR="00D95C2B" w:rsidRPr="00030220">
        <w:rPr>
          <w:color w:val="000000"/>
        </w:rPr>
        <w:t>National Health Interview Survey (NHIS)</w:t>
      </w:r>
      <w:r w:rsidR="00D95C2B">
        <w:rPr>
          <w:color w:val="000000"/>
        </w:rPr>
        <w:t xml:space="preserve">, which were conducted during </w:t>
      </w:r>
      <w:r w:rsidR="00030220" w:rsidRPr="00030220">
        <w:rPr>
          <w:color w:val="000000"/>
        </w:rPr>
        <w:t>January-June 2008</w:t>
      </w:r>
      <w:r w:rsidR="00D95C2B">
        <w:rPr>
          <w:color w:val="000000"/>
        </w:rPr>
        <w:t>,</w:t>
      </w:r>
      <w:r w:rsidR="00030220" w:rsidRPr="00030220">
        <w:rPr>
          <w:color w:val="000000"/>
        </w:rPr>
        <w:t xml:space="preserve"> indicate that </w:t>
      </w:r>
      <w:r w:rsidR="00030220">
        <w:rPr>
          <w:color w:val="000000"/>
        </w:rPr>
        <w:t>m</w:t>
      </w:r>
      <w:r w:rsidR="00030220" w:rsidRPr="00030220">
        <w:rPr>
          <w:color w:val="000000"/>
        </w:rPr>
        <w:t>ore than one out of six American homes (17.5%) had only wireless telephones</w:t>
      </w:r>
      <w:r w:rsidR="00DC6346">
        <w:rPr>
          <w:color w:val="000000"/>
        </w:rPr>
        <w:t xml:space="preserve">. </w:t>
      </w:r>
      <w:r w:rsidR="00D95C2B">
        <w:rPr>
          <w:color w:val="000000"/>
        </w:rPr>
        <w:t xml:space="preserve">Moreover, </w:t>
      </w:r>
      <w:r w:rsidRPr="00030220">
        <w:t>portability of telephone numbers, which allows residents to keep their phone number as they relocate to another provider, wire line or wireless, in the same general region</w:t>
      </w:r>
      <w:r w:rsidR="00D95C2B">
        <w:t>, makes it challenging to reach residents within the EPZ boundary</w:t>
      </w:r>
      <w:r w:rsidRPr="00030220">
        <w:t xml:space="preserve">. In an effort to </w:t>
      </w:r>
      <w:r w:rsidR="00635BDA">
        <w:t xml:space="preserve">reach </w:t>
      </w:r>
      <w:r w:rsidR="00D95C2B">
        <w:t>such</w:t>
      </w:r>
      <w:r w:rsidR="00635BDA">
        <w:t xml:space="preserve"> segment</w:t>
      </w:r>
      <w:r w:rsidR="00C74ECB">
        <w:t>s</w:t>
      </w:r>
      <w:r w:rsidR="00635BDA">
        <w:t xml:space="preserve"> of the population</w:t>
      </w:r>
      <w:r w:rsidRPr="00030220">
        <w:t xml:space="preserve">, </w:t>
      </w:r>
      <w:r w:rsidR="00E41CC4">
        <w:t xml:space="preserve">the </w:t>
      </w:r>
      <w:r w:rsidR="00DC6346">
        <w:t xml:space="preserve">Pueblo site is </w:t>
      </w:r>
      <w:r w:rsidR="00C13A34">
        <w:t xml:space="preserve">also </w:t>
      </w:r>
      <w:r w:rsidR="00DC6346">
        <w:t xml:space="preserve">considering the use of web-based surveys along with telephone surveys. </w:t>
      </w:r>
      <w:r w:rsidR="00DC6346">
        <w:rPr>
          <w:bCs/>
        </w:rPr>
        <w:t>To avoid the possibility of under representing the subgroup of the population</w:t>
      </w:r>
      <w:r w:rsidR="00DC6346" w:rsidRPr="00E23CED">
        <w:t xml:space="preserve"> </w:t>
      </w:r>
      <w:r w:rsidR="00616F94">
        <w:t>with</w:t>
      </w:r>
      <w:r w:rsidR="00E41CC4">
        <w:t xml:space="preserve"> only</w:t>
      </w:r>
      <w:r w:rsidR="00616F94">
        <w:t xml:space="preserve"> cell phones</w:t>
      </w:r>
      <w:r w:rsidR="00DC6346">
        <w:t xml:space="preserve"> </w:t>
      </w:r>
      <w:r w:rsidR="00616F94">
        <w:t>(</w:t>
      </w:r>
      <w:r w:rsidR="00D95C2B">
        <w:t xml:space="preserve">e.g. </w:t>
      </w:r>
      <w:r w:rsidR="00DC6346">
        <w:t xml:space="preserve">18 – 29 </w:t>
      </w:r>
      <w:r w:rsidR="00C13A34">
        <w:t>age groups</w:t>
      </w:r>
      <w:r w:rsidR="00616F94">
        <w:t>)</w:t>
      </w:r>
      <w:r w:rsidR="00C13A34">
        <w:t xml:space="preserve">, Pueblo would like to conduct a pilot test using web-based surveys in order to </w:t>
      </w:r>
      <w:r w:rsidR="00616F94">
        <w:t xml:space="preserve">study </w:t>
      </w:r>
      <w:r w:rsidR="00E41CC4">
        <w:t>the</w:t>
      </w:r>
      <w:r w:rsidR="00616F94">
        <w:t xml:space="preserve"> effect </w:t>
      </w:r>
      <w:r w:rsidR="00E41CC4">
        <w:t xml:space="preserve">of these subgroups </w:t>
      </w:r>
      <w:r w:rsidR="00616F94">
        <w:t>on the response rate</w:t>
      </w:r>
      <w:r w:rsidR="00C13A34">
        <w:t>.</w:t>
      </w:r>
      <w:r w:rsidR="00590A30">
        <w:t xml:space="preserve"> </w:t>
      </w:r>
      <w:r w:rsidR="00602A71">
        <w:t>Th</w:t>
      </w:r>
      <w:r w:rsidR="00635BDA">
        <w:t>e</w:t>
      </w:r>
      <w:r w:rsidR="00602A71">
        <w:t xml:space="preserve"> pilot survey will be conducted using the same questionnaire. </w:t>
      </w:r>
      <w:r w:rsidR="00225564">
        <w:t>T</w:t>
      </w:r>
      <w:r w:rsidR="00602A71">
        <w:t xml:space="preserve">here </w:t>
      </w:r>
      <w:r w:rsidR="00D029D8">
        <w:t>are</w:t>
      </w:r>
      <w:r w:rsidR="00602A71">
        <w:t xml:space="preserve"> several </w:t>
      </w:r>
      <w:r w:rsidR="00D029D8">
        <w:t>limitations</w:t>
      </w:r>
      <w:r w:rsidR="00602A71">
        <w:t xml:space="preserve"> associated with the </w:t>
      </w:r>
      <w:r w:rsidR="00635BDA">
        <w:t>w</w:t>
      </w:r>
      <w:r w:rsidR="00602A71">
        <w:t>eb</w:t>
      </w:r>
      <w:r w:rsidR="00635BDA">
        <w:t>-based surveys</w:t>
      </w:r>
      <w:r w:rsidR="00F873A8">
        <w:t xml:space="preserve"> (e.g. limited i</w:t>
      </w:r>
      <w:r w:rsidR="00F873A8" w:rsidRPr="00AF4566">
        <w:t>nternet usage in low-income famil</w:t>
      </w:r>
      <w:r w:rsidR="00F873A8">
        <w:t>ies and</w:t>
      </w:r>
      <w:r w:rsidR="00F873A8" w:rsidRPr="00AF4566">
        <w:t xml:space="preserve"> </w:t>
      </w:r>
      <w:r w:rsidR="00F873A8">
        <w:t xml:space="preserve">among </w:t>
      </w:r>
      <w:r w:rsidR="00F873A8" w:rsidRPr="00AF4566">
        <w:lastRenderedPageBreak/>
        <w:t>senior</w:t>
      </w:r>
      <w:r w:rsidR="00F873A8">
        <w:t xml:space="preserve"> citizens),</w:t>
      </w:r>
      <w:r w:rsidR="00635BDA">
        <w:t xml:space="preserve"> when it</w:t>
      </w:r>
      <w:r w:rsidR="00602A71">
        <w:t xml:space="preserve"> is </w:t>
      </w:r>
      <w:r w:rsidR="00225564">
        <w:t>implemented</w:t>
      </w:r>
      <w:r w:rsidR="00602A71">
        <w:t xml:space="preserve"> for </w:t>
      </w:r>
      <w:r w:rsidR="00635BDA">
        <w:t>surveying the general population</w:t>
      </w:r>
      <w:r w:rsidR="005B0C1E">
        <w:t>. He</w:t>
      </w:r>
      <w:r w:rsidR="00225564">
        <w:t xml:space="preserve">nce </w:t>
      </w:r>
      <w:r w:rsidR="00635BDA">
        <w:t>the site would not completely switch to a new mode</w:t>
      </w:r>
      <w:r w:rsidR="00225564">
        <w:t xml:space="preserve"> and treat </w:t>
      </w:r>
      <w:r w:rsidR="00E41CC4">
        <w:t xml:space="preserve">these </w:t>
      </w:r>
      <w:r w:rsidR="00225564">
        <w:t>web-based survey</w:t>
      </w:r>
      <w:r w:rsidR="00E41CC4">
        <w:t>s as</w:t>
      </w:r>
      <w:r w:rsidR="00225564">
        <w:t xml:space="preserve"> complimentary to the traditional telephone survey</w:t>
      </w:r>
      <w:r w:rsidR="00635BDA">
        <w:t xml:space="preserve">. </w:t>
      </w:r>
      <w:r w:rsidR="00225564">
        <w:t>T</w:t>
      </w:r>
      <w:r w:rsidR="00635BDA">
        <w:t xml:space="preserve">he site would </w:t>
      </w:r>
      <w:r w:rsidR="00225564">
        <w:t xml:space="preserve">also </w:t>
      </w:r>
      <w:r w:rsidR="00635BDA">
        <w:t xml:space="preserve">like to </w:t>
      </w:r>
      <w:r w:rsidR="00225564">
        <w:t>investigate the effect of</w:t>
      </w:r>
      <w:r w:rsidR="00635BDA">
        <w:t xml:space="preserve"> </w:t>
      </w:r>
      <w:r w:rsidR="00225564">
        <w:t>underrepresented data on</w:t>
      </w:r>
      <w:r w:rsidR="00635BDA">
        <w:t xml:space="preserve"> </w:t>
      </w:r>
      <w:r w:rsidR="00225564">
        <w:t xml:space="preserve">the accuracy (or </w:t>
      </w:r>
      <w:r w:rsidR="00635BDA">
        <w:t>bias</w:t>
      </w:r>
      <w:r w:rsidR="00225564">
        <w:t>, if any)</w:t>
      </w:r>
      <w:r w:rsidR="00635BDA">
        <w:t xml:space="preserve"> </w:t>
      </w:r>
      <w:r w:rsidR="00E41CC4">
        <w:t xml:space="preserve">of </w:t>
      </w:r>
      <w:r w:rsidR="00635BDA">
        <w:t>the survey results.</w:t>
      </w:r>
    </w:p>
    <w:p w:rsidR="004C3D4A" w:rsidRPr="00E23CED" w:rsidRDefault="004C3D4A" w:rsidP="004C3D4A">
      <w:pPr>
        <w:pStyle w:val="ResponseLvl1"/>
      </w:pPr>
      <w:r w:rsidRPr="00E23CED">
        <w:t xml:space="preserve">When conducting the CSEPP telephone surveys, we make the assumption that non-response is independent of answers to questions on the questionnaires. Essentially we assume non-response is missing at random. We have checked this assumption by comparing the demographic percentages in the survey against U.S. Census data and past survey results. However, this decline in response rate requires attention and needs to be addressed appropriately. </w:t>
      </w:r>
      <w:r>
        <w:t>The following</w:t>
      </w:r>
      <w:r w:rsidRPr="00E23CED">
        <w:t xml:space="preserve"> techniques </w:t>
      </w:r>
      <w:r>
        <w:t>will</w:t>
      </w:r>
      <w:r w:rsidRPr="00E23CED">
        <w:t xml:space="preserve"> be adopted in conducting future surveys to increase the response rate by a certain amount:</w:t>
      </w:r>
    </w:p>
    <w:p w:rsidR="004C3D4A" w:rsidRDefault="004C3D4A" w:rsidP="004C3D4A">
      <w:pPr>
        <w:pStyle w:val="Number"/>
      </w:pPr>
      <w:r w:rsidRPr="005A0AF1">
        <w:rPr>
          <w:b/>
        </w:rPr>
        <w:t>Send a Pre-Notification Letter</w:t>
      </w:r>
      <w:r w:rsidRPr="005A0AF1">
        <w:t xml:space="preserve"> –</w:t>
      </w:r>
      <w:r>
        <w:t>This method has already been adopted by some sites such as Umatilla, and a difference in the response pattern is observed for Umatilla compared to the other sites.</w:t>
      </w:r>
      <w:r w:rsidR="00547202">
        <w:t xml:space="preserve"> </w:t>
      </w:r>
      <w:r w:rsidR="00270A35">
        <w:t>All the sites are recommended to follow this as a best practice.</w:t>
      </w:r>
    </w:p>
    <w:p w:rsidR="004C3D4A" w:rsidRDefault="004C3D4A" w:rsidP="004C3D4A">
      <w:pPr>
        <w:pStyle w:val="Number"/>
        <w:rPr>
          <w:bCs/>
        </w:rPr>
      </w:pPr>
      <w:r w:rsidRPr="005A0AF1">
        <w:rPr>
          <w:b/>
        </w:rPr>
        <w:t>Number of Call Attempts</w:t>
      </w:r>
      <w:r w:rsidRPr="005A0AF1">
        <w:t xml:space="preserve"> – </w:t>
      </w:r>
      <w:r w:rsidRPr="00445D7C">
        <w:t>CR Dynamics</w:t>
      </w:r>
      <w:r>
        <w:t>’</w:t>
      </w:r>
      <w:r w:rsidRPr="00445D7C">
        <w:t xml:space="preserve"> Computer Assisted Telephone Interviewing (CATI) system allows for the scheduling of callbacks either automatically or for a time determined by the interviewer</w:t>
      </w:r>
      <w:r>
        <w:t>’</w:t>
      </w:r>
      <w:r w:rsidRPr="00445D7C">
        <w:t xml:space="preserve">s contacts with a survey respondent. Telephone numbers are generally attempted up to three times. This number can be increased as the refusal rates have increased. </w:t>
      </w:r>
    </w:p>
    <w:p w:rsidR="004C3D4A" w:rsidRDefault="004C3D4A" w:rsidP="004C3D4A">
      <w:pPr>
        <w:pStyle w:val="Question"/>
      </w:pPr>
      <w:r>
        <w:t>Describe the procedures for the collection of information including:</w:t>
      </w:r>
    </w:p>
    <w:p w:rsidR="004C3D4A" w:rsidRDefault="004C3D4A" w:rsidP="004C3D4A">
      <w:pPr>
        <w:pStyle w:val="Question"/>
        <w:numPr>
          <w:ilvl w:val="1"/>
          <w:numId w:val="17"/>
        </w:numPr>
      </w:pPr>
      <w:r>
        <w:t>Statistical methodology for stratification and sample selection,</w:t>
      </w:r>
    </w:p>
    <w:p w:rsidR="004C3D4A" w:rsidRPr="00F26253" w:rsidRDefault="004C3D4A" w:rsidP="004C3D4A">
      <w:pPr>
        <w:pStyle w:val="ResponseLvl2"/>
      </w:pPr>
      <w:r w:rsidRPr="00F26253">
        <w:t xml:space="preserve">There are a total of </w:t>
      </w:r>
      <w:r>
        <w:t>seven</w:t>
      </w:r>
      <w:r w:rsidRPr="00F26253">
        <w:t xml:space="preserve"> CSEPP sites in the </w:t>
      </w:r>
      <w:smartTag w:uri="urn:schemas-microsoft-com:office:smarttags" w:element="place">
        <w:smartTag w:uri="urn:schemas-microsoft-com:office:smarttags" w:element="country-region">
          <w:r w:rsidRPr="00F26253">
            <w:t>United States</w:t>
          </w:r>
        </w:smartTag>
      </w:smartTag>
      <w:r w:rsidRPr="00F26253">
        <w:t>. Of these, six sites (AL, UT, IN, AR, CO, and OR) have actually conducted a residential survey</w:t>
      </w:r>
      <w:r w:rsidR="00934C42">
        <w:t>s</w:t>
      </w:r>
      <w:r w:rsidRPr="00F26253">
        <w:t xml:space="preserve"> within the past years. At this time </w:t>
      </w:r>
      <w:r w:rsidR="00BD27E2">
        <w:t xml:space="preserve">Blue Grass, KY, Deseret, UT, </w:t>
      </w:r>
      <w:r w:rsidR="00F84994">
        <w:t xml:space="preserve">Pueblo, CO and </w:t>
      </w:r>
      <w:r w:rsidR="00BD27E2">
        <w:t>Umatilla, OR</w:t>
      </w:r>
      <w:r>
        <w:t xml:space="preserve"> are interested in conducting future surveys. </w:t>
      </w:r>
    </w:p>
    <w:p w:rsidR="004C3D4A" w:rsidRPr="00E2488C" w:rsidRDefault="004C3D4A" w:rsidP="00E2488C">
      <w:pPr>
        <w:pStyle w:val="Bullet"/>
        <w:numPr>
          <w:ilvl w:val="0"/>
          <w:numId w:val="0"/>
        </w:numPr>
        <w:ind w:left="1080" w:hanging="360"/>
        <w:rPr>
          <w:u w:val="single"/>
        </w:rPr>
      </w:pPr>
      <w:r w:rsidRPr="00E2488C">
        <w:rPr>
          <w:u w:val="single"/>
        </w:rPr>
        <w:t>Survey Respondents:</w:t>
      </w:r>
    </w:p>
    <w:p w:rsidR="004C3D4A" w:rsidRPr="00F26253" w:rsidRDefault="004C3D4A" w:rsidP="004C3D4A">
      <w:pPr>
        <w:pStyle w:val="Bullet"/>
        <w:numPr>
          <w:ilvl w:val="1"/>
          <w:numId w:val="18"/>
        </w:numPr>
      </w:pPr>
      <w:r w:rsidRPr="00F26253">
        <w:rPr>
          <w:u w:val="single"/>
        </w:rPr>
        <w:t xml:space="preserve">Residents </w:t>
      </w:r>
      <w:r w:rsidRPr="00F26253">
        <w:t>(</w:t>
      </w:r>
      <w:r w:rsidR="00F84994">
        <w:t>EPZ</w:t>
      </w:r>
      <w:r w:rsidRPr="00F26253">
        <w:t xml:space="preserve"> Surveys):</w:t>
      </w:r>
      <w:r>
        <w:t xml:space="preserve"> </w:t>
      </w:r>
      <w:r w:rsidRPr="00F26253">
        <w:t xml:space="preserve">Total sample consists of </w:t>
      </w:r>
      <w:r w:rsidR="00BD27E2">
        <w:t>3,169</w:t>
      </w:r>
      <w:r>
        <w:t xml:space="preserve"> residents</w:t>
      </w:r>
      <w:r w:rsidRPr="00F26253">
        <w:t xml:space="preserve"> meeting the following selective criteria:</w:t>
      </w:r>
      <w:r>
        <w:t xml:space="preserve"> </w:t>
      </w:r>
    </w:p>
    <w:p w:rsidR="004C3D4A" w:rsidRPr="00F26253" w:rsidRDefault="004C3D4A" w:rsidP="00E2488C">
      <w:pPr>
        <w:pStyle w:val="Bullet"/>
        <w:numPr>
          <w:ilvl w:val="2"/>
          <w:numId w:val="25"/>
        </w:numPr>
      </w:pPr>
      <w:r w:rsidRPr="00F26253">
        <w:t xml:space="preserve">Live inside the Emergency Planning Zone (EPZ) “footprint” of </w:t>
      </w:r>
      <w:r>
        <w:t>a participating</w:t>
      </w:r>
      <w:r w:rsidRPr="00F26253">
        <w:t xml:space="preserve"> CSEPP site.</w:t>
      </w:r>
      <w:r>
        <w:t xml:space="preserve"> </w:t>
      </w:r>
      <w:r w:rsidRPr="00F26253">
        <w:t xml:space="preserve">Emergency Planning Zones are further subdivided into an Immediate Response Zone (IPZ) and a Protective Action Zone (PAZ). </w:t>
      </w:r>
    </w:p>
    <w:p w:rsidR="004C3D4A" w:rsidRDefault="004C3D4A" w:rsidP="00E2488C">
      <w:pPr>
        <w:pStyle w:val="Bullet"/>
        <w:numPr>
          <w:ilvl w:val="2"/>
          <w:numId w:val="25"/>
        </w:numPr>
      </w:pPr>
      <w:r w:rsidRPr="00F26253">
        <w:t>18 years of age or older</w:t>
      </w:r>
    </w:p>
    <w:p w:rsidR="00F84994" w:rsidRPr="000513CF" w:rsidRDefault="00F84994" w:rsidP="00F84994">
      <w:pPr>
        <w:pStyle w:val="Bullet"/>
        <w:numPr>
          <w:ilvl w:val="0"/>
          <w:numId w:val="19"/>
        </w:numPr>
        <w:ind w:firstLine="0"/>
      </w:pPr>
      <w:r w:rsidRPr="00F84994">
        <w:rPr>
          <w:u w:val="single"/>
        </w:rPr>
        <w:t>Residents</w:t>
      </w:r>
      <w:r>
        <w:t xml:space="preserve"> (Pueblo City Survey): T</w:t>
      </w:r>
      <w:r w:rsidRPr="000513CF">
        <w:t xml:space="preserve">he Pueblo CSEPP site </w:t>
      </w:r>
      <w:r>
        <w:t xml:space="preserve">has shown interest </w:t>
      </w:r>
      <w:r w:rsidRPr="000513CF">
        <w:t xml:space="preserve">in conducting a survey in Pueblo City, which is right outside of the emergency planning zones (EPZ) of the site. Local emergency managers are concerned with the possibility that Pueblo City residents either work inside the EPZ or may enter the EPZ to assist family or friends during a chemical </w:t>
      </w:r>
      <w:r w:rsidRPr="000513CF">
        <w:lastRenderedPageBreak/>
        <w:t>emergency and may be exposed to lethal chemical agents.</w:t>
      </w:r>
      <w:r w:rsidRPr="00F84994">
        <w:rPr>
          <w:b/>
        </w:rPr>
        <w:t xml:space="preserve"> </w:t>
      </w:r>
      <w:r w:rsidRPr="000513CF">
        <w:t xml:space="preserve">Previous to the </w:t>
      </w:r>
      <w:r>
        <w:t xml:space="preserve">first </w:t>
      </w:r>
      <w:r w:rsidRPr="000513CF">
        <w:t>submission of the OMB paperwork a pilot test in Pueblo City had been performed</w:t>
      </w:r>
      <w:r>
        <w:t>.</w:t>
      </w:r>
      <w:r w:rsidRPr="000513CF">
        <w:t xml:space="preserve"> Pueblo City residents </w:t>
      </w:r>
      <w:r>
        <w:t xml:space="preserve">will </w:t>
      </w:r>
      <w:r w:rsidRPr="000513CF">
        <w:t xml:space="preserve">be sampled with a margin of error of </w:t>
      </w:r>
      <w:r w:rsidRPr="00F84994">
        <w:rPr>
          <w:vertAlign w:val="superscript"/>
        </w:rPr>
        <w:t>±</w:t>
      </w:r>
      <w:r w:rsidRPr="000513CF">
        <w:t>5 percentage points</w:t>
      </w:r>
      <w:r w:rsidR="007C4E7A">
        <w:t>, the FEMA standard</w:t>
      </w:r>
      <w:r w:rsidRPr="000513CF">
        <w:t>. Pueblo has proposed a slightly larger margin of error than that which is used in the EPZ residential surveys (</w:t>
      </w:r>
      <w:r w:rsidRPr="00F84994">
        <w:rPr>
          <w:vertAlign w:val="superscript"/>
        </w:rPr>
        <w:t>±</w:t>
      </w:r>
      <w:r w:rsidRPr="000513CF">
        <w:t xml:space="preserve">3.4 percentage points) because they have determined that more precision in the estimated survey proportions is not needed for this survey. With a </w:t>
      </w:r>
      <w:r w:rsidRPr="00F84994">
        <w:rPr>
          <w:vertAlign w:val="superscript"/>
        </w:rPr>
        <w:t>±</w:t>
      </w:r>
      <w:r w:rsidRPr="000513CF">
        <w:t>5 percentage point margin of error the sample size would be</w:t>
      </w:r>
      <w:r>
        <w:t xml:space="preserve"> 383 as shown in Table 7.</w:t>
      </w:r>
    </w:p>
    <w:p w:rsidR="00E2488C" w:rsidRPr="00E2488C" w:rsidRDefault="00E2488C" w:rsidP="00E2488C">
      <w:pPr>
        <w:pStyle w:val="ResponseLvl2"/>
        <w:numPr>
          <w:ilvl w:val="0"/>
          <w:numId w:val="20"/>
        </w:numPr>
      </w:pPr>
      <w:r>
        <w:rPr>
          <w:u w:val="single"/>
        </w:rPr>
        <w:t xml:space="preserve">Businesses </w:t>
      </w:r>
      <w:r w:rsidRPr="00E2488C">
        <w:t>(Pueblo EPZ Survey): Generally in the business public surveys there have been the following restrictions:</w:t>
      </w:r>
    </w:p>
    <w:p w:rsidR="00E2488C" w:rsidRPr="00E2488C" w:rsidRDefault="00E2488C" w:rsidP="00E2488C">
      <w:pPr>
        <w:pStyle w:val="ResponseLvl2"/>
        <w:numPr>
          <w:ilvl w:val="2"/>
          <w:numId w:val="24"/>
        </w:numPr>
      </w:pPr>
      <w:r w:rsidRPr="00E2488C">
        <w:t>Each survey respondent must be employed by the said business.</w:t>
      </w:r>
    </w:p>
    <w:p w:rsidR="00E2488C" w:rsidRPr="00E2488C" w:rsidRDefault="00E2488C" w:rsidP="00E2488C">
      <w:pPr>
        <w:pStyle w:val="ResponseLvl2"/>
        <w:numPr>
          <w:ilvl w:val="2"/>
          <w:numId w:val="24"/>
        </w:numPr>
      </w:pPr>
      <w:r w:rsidRPr="00E2488C">
        <w:t>The business must be located inside the EPZ footprint of the CSEPP site.</w:t>
      </w:r>
    </w:p>
    <w:p w:rsidR="004C3D4A" w:rsidRPr="00D654F6" w:rsidRDefault="004C3D4A" w:rsidP="004C3D4A">
      <w:pPr>
        <w:pStyle w:val="ResponseLvl2"/>
        <w:rPr>
          <w:u w:val="single"/>
        </w:rPr>
      </w:pPr>
      <w:r w:rsidRPr="00D654F6">
        <w:rPr>
          <w:u w:val="single"/>
        </w:rPr>
        <w:t>Sampling Design and Methodology</w:t>
      </w:r>
    </w:p>
    <w:p w:rsidR="004C3D4A" w:rsidRPr="00F26253" w:rsidRDefault="00DE41A2" w:rsidP="004C3D4A">
      <w:pPr>
        <w:pStyle w:val="ResponseLvl2"/>
      </w:pPr>
      <w:r>
        <w:t xml:space="preserve">Blue Grass and Pueblo site </w:t>
      </w:r>
      <w:r w:rsidR="004C3D4A" w:rsidRPr="00F26253">
        <w:t>have elected to use</w:t>
      </w:r>
      <w:r w:rsidR="004C3D4A">
        <w:t xml:space="preserve"> </w:t>
      </w:r>
      <w:r w:rsidR="004C3D4A" w:rsidRPr="00F26253">
        <w:t>Simple Random Sampling (</w:t>
      </w:r>
      <w:smartTag w:uri="urn:schemas-microsoft-com:office:smarttags" w:element="stockticker">
        <w:r w:rsidR="004C3D4A" w:rsidRPr="00F26253">
          <w:t>SRS</w:t>
        </w:r>
      </w:smartTag>
      <w:r>
        <w:t>)</w:t>
      </w:r>
      <w:proofErr w:type="gramStart"/>
      <w:r>
        <w:t>.,</w:t>
      </w:r>
      <w:proofErr w:type="gramEnd"/>
      <w:r>
        <w:t xml:space="preserve"> whereas Deseret and Umatilla have opted for Stratified Sampling. </w:t>
      </w:r>
      <w:r w:rsidR="004C3D4A" w:rsidRPr="00F26253">
        <w:t>Statisticians at IEM help CSEPP sites choose a sampling design that will most effectively represent their population and accomplish the specific goals of their survey.</w:t>
      </w:r>
    </w:p>
    <w:p w:rsidR="004C3D4A" w:rsidRPr="00F26253" w:rsidRDefault="004C3D4A" w:rsidP="004C3D4A">
      <w:pPr>
        <w:pStyle w:val="ResponseLvl2"/>
      </w:pPr>
      <w:r w:rsidRPr="00F26253">
        <w:t xml:space="preserve">For zones, States, and/or </w:t>
      </w:r>
      <w:r>
        <w:t>c</w:t>
      </w:r>
      <w:r w:rsidRPr="00F26253">
        <w:t>ounties with relatively small populations within the geographical region defined to be sampled, CSEPP sites have elected to use the technique of over-sampling to collect a large enough sub-sample to make valid statistical comparisons with other sub-groups.</w:t>
      </w:r>
      <w:r w:rsidRPr="00F26253">
        <w:rPr>
          <w:rStyle w:val="FootnoteReference"/>
        </w:rPr>
        <w:footnoteReference w:id="2"/>
      </w:r>
      <w:r w:rsidRPr="00F26253">
        <w:t xml:space="preserve"> When over-sampling is employed, the results of the over-sampled regions are weighted back to match their respective population proportion.</w:t>
      </w:r>
    </w:p>
    <w:p w:rsidR="004C3D4A" w:rsidRDefault="004C3D4A" w:rsidP="004C3D4A">
      <w:pPr>
        <w:pStyle w:val="ResponseLvl2"/>
      </w:pPr>
      <w:r w:rsidRPr="00F26253">
        <w:t>Sample sizes for each site have been calculated with standard statistical formulas.</w:t>
      </w:r>
    </w:p>
    <w:p w:rsidR="007B2E00" w:rsidRPr="00F26253" w:rsidRDefault="007B2E00" w:rsidP="004C3D4A">
      <w:pPr>
        <w:pStyle w:val="ResponseLvl2"/>
      </w:pPr>
    </w:p>
    <w:p w:rsidR="007B2E00" w:rsidRDefault="004C3D4A" w:rsidP="007B2E00">
      <w:pPr>
        <w:pStyle w:val="ListParagraph"/>
        <w:contextualSpacing w:val="0"/>
        <w:rPr>
          <w:color w:val="1F497D"/>
        </w:rPr>
      </w:pPr>
      <w:r w:rsidRPr="00F26253">
        <w:rPr>
          <w:u w:val="single"/>
        </w:rPr>
        <w:t>Sampling Frame:</w:t>
      </w:r>
      <w:r>
        <w:t xml:space="preserve"> </w:t>
      </w:r>
      <w:r w:rsidRPr="00F26253">
        <w:t>The sample frame includes only those residents located inside the EPZ footprint for each CSEPP site.</w:t>
      </w:r>
      <w:r>
        <w:t xml:space="preserve"> </w:t>
      </w:r>
      <w:r w:rsidRPr="00F26253">
        <w:t>RDD is used to include both listed and unlisted numbers reducing the bias of traditional telephone directory sampling.</w:t>
      </w:r>
      <w:r>
        <w:t xml:space="preserve"> </w:t>
      </w:r>
      <w:r w:rsidRPr="00F26253">
        <w:t xml:space="preserve">To ensure that residents outside of the EPZ are not included in the sampling frame, </w:t>
      </w:r>
      <w:proofErr w:type="spellStart"/>
      <w:r w:rsidRPr="00F26253">
        <w:t>Genesys</w:t>
      </w:r>
      <w:proofErr w:type="spellEnd"/>
      <w:r w:rsidRPr="00F26253">
        <w:t xml:space="preserve"> purges the listed phone numbers geographically. This means that for the portion of the RDD sample representing listed households or businesses, addresses will be matched against site geographic boundaries to delete sample households located outside the EPZ.</w:t>
      </w:r>
      <w:r>
        <w:t xml:space="preserve"> </w:t>
      </w:r>
      <w:r w:rsidRPr="00F26253">
        <w:t xml:space="preserve">If a sub-region of the sample area has a very high incidence rate of residents living outside of the EPZ footprint, listed households will be sampled from that sub-region to ensure that residents will not </w:t>
      </w:r>
      <w:r w:rsidRPr="00F26253">
        <w:lastRenderedPageBreak/>
        <w:t xml:space="preserve">be called outside the EPZ. </w:t>
      </w:r>
      <w:r w:rsidR="00B566DF">
        <w:t xml:space="preserve"> For the Pueblo business surveys, the </w:t>
      </w:r>
      <w:proofErr w:type="gramStart"/>
      <w:r w:rsidR="00B566DF">
        <w:t>list</w:t>
      </w:r>
      <w:r w:rsidR="00205A7B">
        <w:t xml:space="preserve"> </w:t>
      </w:r>
      <w:r w:rsidR="00B566DF">
        <w:t>of telephone number for the businesses are</w:t>
      </w:r>
      <w:proofErr w:type="gramEnd"/>
      <w:r w:rsidR="00B566DF">
        <w:t xml:space="preserve"> provided by the site Public Information Officer (PIO).</w:t>
      </w:r>
      <w:r w:rsidR="007B2E00" w:rsidRPr="007B2E00">
        <w:rPr>
          <w:color w:val="1F497D"/>
        </w:rPr>
        <w:t xml:space="preserve"> </w:t>
      </w:r>
    </w:p>
    <w:p w:rsidR="007B2E00" w:rsidRDefault="007B2E00" w:rsidP="007B2E00">
      <w:pPr>
        <w:ind w:left="360"/>
        <w:rPr>
          <w:color w:val="1F497D"/>
        </w:rPr>
      </w:pPr>
    </w:p>
    <w:p w:rsidR="007B2E00" w:rsidRPr="007B2E00" w:rsidRDefault="007B2E00" w:rsidP="007B2E00">
      <w:pPr>
        <w:ind w:left="720"/>
      </w:pPr>
      <w:r>
        <w:t xml:space="preserve">The </w:t>
      </w:r>
      <w:proofErr w:type="gramStart"/>
      <w:r>
        <w:t>list o</w:t>
      </w:r>
      <w:r w:rsidRPr="007B2E00">
        <w:t>f businesses are</w:t>
      </w:r>
      <w:proofErr w:type="gramEnd"/>
      <w:r w:rsidRPr="007B2E00">
        <w:t xml:space="preserve"> identified by the Pueblo County GIS system.  They match the company names with their Computer Aided Dispatch (CAD) system which has the list of telephone numbers provided by the telephone companies.  The two sources are used to create the list.</w:t>
      </w:r>
    </w:p>
    <w:p w:rsidR="004C3D4A" w:rsidRPr="00F26253" w:rsidRDefault="004C3D4A" w:rsidP="004C3D4A">
      <w:pPr>
        <w:pStyle w:val="ResponseLvl2"/>
      </w:pPr>
    </w:p>
    <w:p w:rsidR="004C3D4A" w:rsidRPr="00D654F6" w:rsidRDefault="004C3D4A" w:rsidP="004C3D4A">
      <w:pPr>
        <w:pStyle w:val="ResponseLvl2"/>
        <w:rPr>
          <w:u w:val="single"/>
        </w:rPr>
      </w:pPr>
      <w:r w:rsidRPr="00D654F6">
        <w:rPr>
          <w:u w:val="single"/>
        </w:rPr>
        <w:t xml:space="preserve">Length of </w:t>
      </w:r>
      <w:r>
        <w:rPr>
          <w:u w:val="single"/>
        </w:rPr>
        <w:t>F</w:t>
      </w:r>
      <w:r w:rsidRPr="00D654F6">
        <w:rPr>
          <w:u w:val="single"/>
        </w:rPr>
        <w:t xml:space="preserve">ield </w:t>
      </w:r>
      <w:r>
        <w:rPr>
          <w:u w:val="single"/>
        </w:rPr>
        <w:t>P</w:t>
      </w:r>
      <w:r w:rsidRPr="00D654F6">
        <w:rPr>
          <w:u w:val="single"/>
        </w:rPr>
        <w:t>eriod</w:t>
      </w:r>
    </w:p>
    <w:p w:rsidR="004C3D4A" w:rsidRPr="00F26253" w:rsidRDefault="004C3D4A" w:rsidP="004C3D4A">
      <w:pPr>
        <w:pStyle w:val="ResponseLvl2"/>
      </w:pPr>
      <w:r w:rsidRPr="00F26253">
        <w:t>The length of time a CSEPP telephone survey remains active in the field is dependent on a number of factors including the sample design, sample size, and preference of the CSEPP site. Some CSEPP sites prefer the field period to be as short as possible in order to collect information directly after an outreach campaign.</w:t>
      </w:r>
      <w:r>
        <w:t xml:space="preserve"> </w:t>
      </w:r>
      <w:r w:rsidRPr="00F26253">
        <w:t>While some surveys have been fielded in as little as four days and others as long as eleven days, seven days is the average number of days a CSEPP telephone survey remains in the field.</w:t>
      </w:r>
    </w:p>
    <w:p w:rsidR="004C3D4A" w:rsidRPr="00F26253" w:rsidRDefault="004C3D4A" w:rsidP="004C3D4A">
      <w:pPr>
        <w:pStyle w:val="Question"/>
        <w:numPr>
          <w:ilvl w:val="1"/>
          <w:numId w:val="17"/>
        </w:numPr>
      </w:pPr>
      <w:r w:rsidRPr="00F26253">
        <w:t>Estimation procedure</w:t>
      </w:r>
    </w:p>
    <w:p w:rsidR="004C3D4A" w:rsidRPr="00F26253" w:rsidRDefault="004C3D4A" w:rsidP="004C3D4A">
      <w:pPr>
        <w:pStyle w:val="ResponseLvl2"/>
      </w:pPr>
      <w:r w:rsidRPr="00F26253">
        <w:t xml:space="preserve">For a general </w:t>
      </w:r>
      <w:smartTag w:uri="urn:schemas-microsoft-com:office:smarttags" w:element="stockticker">
        <w:r w:rsidRPr="00F26253">
          <w:t>SRS</w:t>
        </w:r>
      </w:smartTag>
      <w:r w:rsidRPr="00F26253">
        <w:t>, the sample mean or proportion is used to estimate the population mean or proportion.</w:t>
      </w:r>
      <w:r>
        <w:t xml:space="preserve"> </w:t>
      </w:r>
      <w:r w:rsidRPr="00F26253">
        <w:t xml:space="preserve">If it becomes apparent that a certain sub-region or sub-regions of the </w:t>
      </w:r>
      <w:smartTag w:uri="urn:schemas-microsoft-com:office:smarttags" w:element="stockticker">
        <w:r w:rsidRPr="00F26253">
          <w:t>SRS</w:t>
        </w:r>
      </w:smartTag>
      <w:r w:rsidRPr="00F26253">
        <w:t xml:space="preserve"> are either over-represented or underrepresented in the survey results, survey weights may be applied so that the sample population proportions are consistent with the true population proportions. In these cases</w:t>
      </w:r>
      <w:r>
        <w:t>,</w:t>
      </w:r>
      <w:r w:rsidRPr="00F26253">
        <w:t xml:space="preserve"> a weighted sample mean or proportion is used to estimate the population mean or proportion.</w:t>
      </w:r>
    </w:p>
    <w:p w:rsidR="004C3D4A" w:rsidRPr="00F26253" w:rsidRDefault="004C3D4A" w:rsidP="004C3D4A">
      <w:pPr>
        <w:pStyle w:val="ResponseLvl2"/>
      </w:pPr>
      <w:r w:rsidRPr="00F26253">
        <w:t>For stratified samples, a sampling weight as defined in current statistical literature is applied to the sample.</w:t>
      </w:r>
      <w:r w:rsidRPr="00F26253">
        <w:rPr>
          <w:rStyle w:val="FootnoteReference"/>
          <w:bCs/>
        </w:rPr>
        <w:footnoteReference w:id="3"/>
      </w:r>
      <w:r w:rsidRPr="00F26253">
        <w:t xml:space="preserve"> The weighted sample mean or proportion is used to estimate the population mean or proportion.</w:t>
      </w:r>
    </w:p>
    <w:p w:rsidR="004C3D4A" w:rsidRPr="00F26253" w:rsidRDefault="004C3D4A" w:rsidP="004C3D4A">
      <w:pPr>
        <w:pStyle w:val="ResponseLvl2"/>
      </w:pPr>
      <w:r w:rsidRPr="00F26253">
        <w:t xml:space="preserve">If a sampling design other than an </w:t>
      </w:r>
      <w:smartTag w:uri="urn:schemas-microsoft-com:office:smarttags" w:element="stockticker">
        <w:r w:rsidRPr="00F26253">
          <w:t>SRS</w:t>
        </w:r>
      </w:smartTag>
      <w:r w:rsidRPr="00F26253">
        <w:t xml:space="preserve"> or stratified sample is deemed to be appropriate for a certain CSEPP site, similar valid statistical procedures will be incorporated to estimate the population means and proportions.</w:t>
      </w:r>
    </w:p>
    <w:p w:rsidR="004C3D4A" w:rsidRPr="00F26253" w:rsidRDefault="004C3D4A" w:rsidP="004C3D4A">
      <w:pPr>
        <w:pStyle w:val="Question"/>
        <w:numPr>
          <w:ilvl w:val="1"/>
          <w:numId w:val="17"/>
        </w:numPr>
      </w:pPr>
      <w:r w:rsidRPr="00F26253">
        <w:t>Degree of accuracy needed for the purpose described in the justification</w:t>
      </w:r>
    </w:p>
    <w:p w:rsidR="004C3D4A" w:rsidRDefault="004C3D4A" w:rsidP="004C3D4A">
      <w:pPr>
        <w:pStyle w:val="ResponseLvl2"/>
      </w:pPr>
      <w:r w:rsidRPr="00F26253">
        <w:t xml:space="preserve">CSEPP site-specific residential surveys employ random sample selection based on a 95 percent confidence level and a margin of error of </w:t>
      </w:r>
      <w:r w:rsidRPr="00F26253">
        <w:rPr>
          <w:vertAlign w:val="superscript"/>
        </w:rPr>
        <w:t>±</w:t>
      </w:r>
      <w:r w:rsidRPr="00F26253">
        <w:t>3.4 percentage points</w:t>
      </w:r>
      <w:r w:rsidR="007C4E7A">
        <w:t xml:space="preserve"> which exceeds the FEMA standard of </w:t>
      </w:r>
      <w:r w:rsidR="007C4E7A" w:rsidRPr="00F26253">
        <w:rPr>
          <w:vertAlign w:val="superscript"/>
        </w:rPr>
        <w:t>±</w:t>
      </w:r>
      <w:r w:rsidR="007C4E7A">
        <w:rPr>
          <w:vertAlign w:val="superscript"/>
        </w:rPr>
        <w:t xml:space="preserve"> </w:t>
      </w:r>
      <w:r w:rsidR="007C4E7A">
        <w:t>5%.</w:t>
      </w:r>
    </w:p>
    <w:p w:rsidR="004C3D4A" w:rsidRPr="00F26253" w:rsidRDefault="004C3D4A" w:rsidP="004C3D4A">
      <w:pPr>
        <w:pStyle w:val="ResponseLvl2"/>
      </w:pPr>
      <w:r w:rsidRPr="00F26253">
        <w:lastRenderedPageBreak/>
        <w:t>The National Public Affairs Integrated Process Team (</w:t>
      </w:r>
      <w:smartTag w:uri="urn:schemas-microsoft-com:office:smarttags" w:element="stockticker">
        <w:r w:rsidRPr="00F26253">
          <w:t>IPT</w:t>
        </w:r>
      </w:smartTag>
      <w:r w:rsidRPr="00F26253">
        <w:t xml:space="preserve">) has been agreeable to CSEPP sites electing to use sample designs such as a </w:t>
      </w:r>
      <w:smartTag w:uri="urn:schemas-microsoft-com:office:smarttags" w:element="stockticker">
        <w:r w:rsidRPr="00F26253">
          <w:t>SRS</w:t>
        </w:r>
      </w:smartTag>
      <w:r w:rsidRPr="00F26253">
        <w:t xml:space="preserve">, stratified sample, cluster sampling, or other more complex designs. However, participating sites have elected to use either an </w:t>
      </w:r>
      <w:smartTag w:uri="urn:schemas-microsoft-com:office:smarttags" w:element="stockticker">
        <w:r w:rsidRPr="00F26253">
          <w:t>SRS</w:t>
        </w:r>
      </w:smartTag>
      <w:r w:rsidRPr="00F26253">
        <w:t xml:space="preserve"> or stratified sample. </w:t>
      </w:r>
    </w:p>
    <w:p w:rsidR="00BD27E2" w:rsidRDefault="004C3D4A" w:rsidP="004C3D4A">
      <w:pPr>
        <w:pStyle w:val="ResponseLvl2"/>
      </w:pPr>
      <w:r w:rsidRPr="00F26253">
        <w:t>The region surrounding each CSEPP site is divided into emergency planning zones (EPZs).</w:t>
      </w:r>
      <w:r>
        <w:t xml:space="preserve"> </w:t>
      </w:r>
      <w:r w:rsidRPr="00F26253">
        <w:t xml:space="preserve">Emergency planning zones are divided into the Immediate Response Zone (IRZ), which is the area closest to the Army installation, and the Protective Action Zone (PAZ), which is the area surrounding the IRZ. </w:t>
      </w:r>
      <w:r>
        <w:t>Often</w:t>
      </w:r>
      <w:r w:rsidRPr="00F26253">
        <w:t xml:space="preserve"> CSEPP sites are interested in summarizing and making comparisons of the survey results by IRZ/PAZ, State, and/or </w:t>
      </w:r>
      <w:r>
        <w:t>c</w:t>
      </w:r>
      <w:r w:rsidRPr="00F26253">
        <w:t xml:space="preserve">ounty. Some of these regions of interest have very small populations, resulting in few if any completed surveys from that region when employing a </w:t>
      </w:r>
      <w:smartTag w:uri="urn:schemas-microsoft-com:office:smarttags" w:element="stockticker">
        <w:r w:rsidRPr="00F26253">
          <w:t>SRS</w:t>
        </w:r>
      </w:smartTag>
      <w:r w:rsidRPr="00F26253">
        <w:t xml:space="preserve">. In order to make comparisons among regions or subgroups of the survey results, the Public Affairs </w:t>
      </w:r>
      <w:smartTag w:uri="urn:schemas-microsoft-com:office:smarttags" w:element="stockticker">
        <w:r w:rsidRPr="00F26253">
          <w:t>IPT</w:t>
        </w:r>
      </w:smartTag>
      <w:r w:rsidRPr="00F26253">
        <w:t xml:space="preserve"> has required a minimum of 30 survey respondents per region/subgroup. </w:t>
      </w:r>
    </w:p>
    <w:p w:rsidR="00BD27E2" w:rsidRDefault="00BD27E2" w:rsidP="00BD27E2"/>
    <w:p w:rsidR="00BD27E2" w:rsidRPr="000513CF" w:rsidRDefault="00BD27E2" w:rsidP="00BD27E2">
      <w:pPr>
        <w:ind w:left="720"/>
      </w:pPr>
      <w:r>
        <w:t xml:space="preserve">Some of the </w:t>
      </w:r>
      <w:r w:rsidRPr="000513CF">
        <w:t>CSEPP sites have elected to stratify their EPZs by state, county, and IRZ/PAZ. A description of the strata for each site that has elected to use a stratified sample is shown below:</w:t>
      </w:r>
    </w:p>
    <w:p w:rsidR="00BD27E2" w:rsidRPr="000513CF" w:rsidRDefault="00BD27E2" w:rsidP="00BD27E2">
      <w:pPr>
        <w:pStyle w:val="CommentText"/>
        <w:rPr>
          <w:szCs w:val="24"/>
        </w:rPr>
      </w:pPr>
    </w:p>
    <w:p w:rsidR="00BD27E2" w:rsidRPr="000513CF" w:rsidRDefault="00BD27E2" w:rsidP="00BD27E2">
      <w:pPr>
        <w:numPr>
          <w:ilvl w:val="0"/>
          <w:numId w:val="26"/>
        </w:numPr>
        <w:ind w:left="720" w:hanging="360"/>
      </w:pPr>
      <w:r w:rsidRPr="000513CF">
        <w:t xml:space="preserve">Umatilla has elected to stratify by each state within the EPZ. The strata are </w:t>
      </w:r>
      <w:smartTag w:uri="urn:schemas-microsoft-com:office:smarttags" w:element="place">
        <w:smartTag w:uri="urn:schemas-microsoft-com:office:smarttags" w:element="PlaceName">
          <w:r w:rsidRPr="000513CF">
            <w:t>Oregon</w:t>
          </w:r>
        </w:smartTag>
        <w:r w:rsidRPr="000513CF">
          <w:t xml:space="preserve"> </w:t>
        </w:r>
        <w:smartTag w:uri="urn:schemas-microsoft-com:office:smarttags" w:element="PlaceType">
          <w:r w:rsidRPr="000513CF">
            <w:t>State</w:t>
          </w:r>
        </w:smartTag>
      </w:smartTag>
      <w:r w:rsidRPr="000513CF">
        <w:t xml:space="preserve"> and </w:t>
      </w:r>
      <w:smartTag w:uri="urn:schemas-microsoft-com:office:smarttags" w:element="place">
        <w:smartTag w:uri="urn:schemas-microsoft-com:office:smarttags" w:element="PlaceName">
          <w:r w:rsidRPr="000513CF">
            <w:t>Washington</w:t>
          </w:r>
        </w:smartTag>
        <w:r w:rsidRPr="000513CF">
          <w:t xml:space="preserve"> </w:t>
        </w:r>
        <w:smartTag w:uri="urn:schemas-microsoft-com:office:smarttags" w:element="PlaceType">
          <w:r w:rsidRPr="000513CF">
            <w:t>State</w:t>
          </w:r>
        </w:smartTag>
      </w:smartTag>
    </w:p>
    <w:p w:rsidR="00BD27E2" w:rsidRPr="000513CF" w:rsidRDefault="00BD27E2" w:rsidP="00BD27E2">
      <w:pPr>
        <w:numPr>
          <w:ilvl w:val="0"/>
          <w:numId w:val="26"/>
        </w:numPr>
        <w:ind w:left="720" w:hanging="360"/>
      </w:pPr>
      <w:r w:rsidRPr="000513CF">
        <w:t>Deseret has elected to stratify by county and by IRZ/PAZ.</w:t>
      </w:r>
    </w:p>
    <w:p w:rsidR="004C3D4A" w:rsidRPr="00F26253" w:rsidRDefault="00BD27E2" w:rsidP="004C3D4A">
      <w:pPr>
        <w:pStyle w:val="ResponseLvl2"/>
      </w:pPr>
      <w:r w:rsidRPr="000513CF">
        <w:t>For the CSEPP sites that have elected to use stratified sampling</w:t>
      </w:r>
      <w:r w:rsidR="008B3F92">
        <w:t>, the</w:t>
      </w:r>
      <w:r w:rsidR="004C3D4A" w:rsidRPr="00F26253">
        <w:t xml:space="preserve"> simplest form of stratified sampling </w:t>
      </w:r>
      <w:r w:rsidR="008B3F92">
        <w:t>will be</w:t>
      </w:r>
      <w:r w:rsidR="004C3D4A" w:rsidRPr="00F26253">
        <w:t xml:space="preserve"> implemented where an </w:t>
      </w:r>
      <w:smartTag w:uri="urn:schemas-microsoft-com:office:smarttags" w:element="stockticker">
        <w:r w:rsidR="004C3D4A" w:rsidRPr="00F26253">
          <w:t>SRS</w:t>
        </w:r>
      </w:smartTag>
      <w:r w:rsidR="004C3D4A" w:rsidRPr="00F26253">
        <w:t xml:space="preserve"> is taken from each stratum. The variance estimate for each stratum is calculated by using standard statistical formulas as shown below.</w:t>
      </w:r>
    </w:p>
    <w:p w:rsidR="004C3D4A" w:rsidRPr="00F26253" w:rsidRDefault="004C3D4A" w:rsidP="004C3D4A">
      <w:pPr>
        <w:pStyle w:val="ResponseLvl2"/>
        <w:keepNext/>
      </w:pPr>
      <w:r w:rsidRPr="00F26253">
        <w:t>The estimated variance for</w:t>
      </w:r>
      <w:r w:rsidRPr="00F26253">
        <w:rPr>
          <w:position w:val="-12"/>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v:imagedata r:id="rId11" o:title=""/>
          </v:shape>
          <o:OLEObject Type="Embed" ProgID="Equation.3" ShapeID="_x0000_i1025" DrawAspect="Content" ObjectID="_1378897954" r:id="rId12"/>
        </w:object>
      </w:r>
      <w:r w:rsidRPr="00F26253">
        <w:t xml:space="preserve">, an estimate of a population proportion in stratum </w:t>
      </w:r>
      <w:proofErr w:type="spellStart"/>
      <w:r w:rsidRPr="00F26253">
        <w:rPr>
          <w:i/>
        </w:rPr>
        <w:t>i</w:t>
      </w:r>
      <w:proofErr w:type="spellEnd"/>
      <w:r w:rsidRPr="00F26253">
        <w:t xml:space="preserve"> where stratum </w:t>
      </w:r>
      <w:proofErr w:type="spellStart"/>
      <w:r w:rsidRPr="00F26253">
        <w:rPr>
          <w:i/>
        </w:rPr>
        <w:t>i</w:t>
      </w:r>
      <w:proofErr w:type="spellEnd"/>
      <w:r w:rsidRPr="00F26253">
        <w:t xml:space="preserve"> = 1, 2</w:t>
      </w:r>
      <w:proofErr w:type="gramStart"/>
      <w:r w:rsidRPr="00F26253">
        <w:t>,…,</w:t>
      </w:r>
      <w:proofErr w:type="gramEnd"/>
      <w:r w:rsidRPr="00F26253">
        <w:t xml:space="preserve"> n, is given by</w:t>
      </w:r>
      <w:r w:rsidRPr="00F26253">
        <w:rPr>
          <w:rStyle w:val="FootnoteReference"/>
        </w:rPr>
        <w:footnoteReference w:id="4"/>
      </w:r>
    </w:p>
    <w:p w:rsidR="004C3D4A" w:rsidRPr="00F26253" w:rsidRDefault="004C3D4A" w:rsidP="004C3D4A">
      <w:pPr>
        <w:pStyle w:val="ResponseLvl2"/>
        <w:tabs>
          <w:tab w:val="right" w:pos="8640"/>
        </w:tabs>
      </w:pPr>
      <w:r w:rsidRPr="00F26253">
        <w:rPr>
          <w:position w:val="-30"/>
        </w:rPr>
        <w:object w:dxaOrig="2760" w:dyaOrig="680">
          <v:shape id="_x0000_i1026" type="#_x0000_t75" style="width:165.75pt;height:40.5pt" o:ole="">
            <v:imagedata r:id="rId13" o:title=""/>
          </v:shape>
          <o:OLEObject Type="Embed" ProgID="Equation.3" ShapeID="_x0000_i1026" DrawAspect="Content" ObjectID="_1378897955" r:id="rId14"/>
        </w:object>
      </w:r>
      <w:r w:rsidRPr="00F26253">
        <w:tab/>
        <w:t>(1)</w:t>
      </w:r>
    </w:p>
    <w:p w:rsidR="004C3D4A" w:rsidRPr="00F26253" w:rsidRDefault="004C3D4A" w:rsidP="004C3D4A">
      <w:pPr>
        <w:pStyle w:val="ResponseLvl2"/>
      </w:pPr>
      <w:r w:rsidRPr="00F26253">
        <w:t>The estimated variance for the estimated population proportion of a stratified sample</w:t>
      </w:r>
      <w:proofErr w:type="gramStart"/>
      <w:r w:rsidRPr="00F26253">
        <w:t xml:space="preserve">, </w:t>
      </w:r>
      <w:proofErr w:type="gramEnd"/>
      <w:r w:rsidRPr="00F26253">
        <w:rPr>
          <w:position w:val="-12"/>
        </w:rPr>
        <w:object w:dxaOrig="400" w:dyaOrig="360">
          <v:shape id="_x0000_i1027" type="#_x0000_t75" style="width:20.25pt;height:18pt" o:ole="">
            <v:imagedata r:id="rId15" o:title=""/>
          </v:shape>
          <o:OLEObject Type="Embed" ProgID="Equation.3" ShapeID="_x0000_i1027" DrawAspect="Content" ObjectID="_1378897956" r:id="rId16"/>
        </w:object>
      </w:r>
      <w:r w:rsidRPr="00F26253">
        <w:t>, can be calculated by</w:t>
      </w:r>
      <w:r w:rsidRPr="00F26253">
        <w:rPr>
          <w:rStyle w:val="FootnoteReference"/>
        </w:rPr>
        <w:footnoteReference w:id="5"/>
      </w:r>
    </w:p>
    <w:p w:rsidR="004C3D4A" w:rsidRPr="00F26253" w:rsidRDefault="004C3D4A" w:rsidP="004C3D4A">
      <w:pPr>
        <w:pStyle w:val="ResponseLvl2"/>
        <w:tabs>
          <w:tab w:val="right" w:pos="8640"/>
        </w:tabs>
      </w:pPr>
      <w:r w:rsidRPr="00F26253">
        <w:rPr>
          <w:position w:val="-24"/>
        </w:rPr>
        <w:object w:dxaOrig="2659" w:dyaOrig="620">
          <v:shape id="_x0000_i1028" type="#_x0000_t75" style="width:153pt;height:35.25pt" o:ole="">
            <v:imagedata r:id="rId17" o:title=""/>
          </v:shape>
          <o:OLEObject Type="Embed" ProgID="Equation.3" ShapeID="_x0000_i1028" DrawAspect="Content" ObjectID="_1378897957" r:id="rId18"/>
        </w:object>
      </w:r>
      <w:r w:rsidRPr="00F26253">
        <w:tab/>
        <w:t>(2)</w:t>
      </w:r>
    </w:p>
    <w:p w:rsidR="004C3D4A" w:rsidRPr="00F26253" w:rsidRDefault="004C3D4A" w:rsidP="004C3D4A">
      <w:pPr>
        <w:pStyle w:val="ResponseLvl2"/>
      </w:pPr>
      <w:r w:rsidRPr="00F26253">
        <w:lastRenderedPageBreak/>
        <w:t xml:space="preserve">The estimated variance for the estimated population proportion of an </w:t>
      </w:r>
      <w:smartTag w:uri="urn:schemas-microsoft-com:office:smarttags" w:element="stockticker">
        <w:r w:rsidRPr="00F26253">
          <w:t>SRS</w:t>
        </w:r>
      </w:smartTag>
      <w:proofErr w:type="gramStart"/>
      <w:r w:rsidRPr="00F26253">
        <w:t xml:space="preserve">, </w:t>
      </w:r>
      <w:proofErr w:type="gramEnd"/>
      <w:r w:rsidRPr="00F26253">
        <w:rPr>
          <w:position w:val="-12"/>
        </w:rPr>
        <w:object w:dxaOrig="480" w:dyaOrig="360">
          <v:shape id="_x0000_i1029" type="#_x0000_t75" style="width:24pt;height:18pt" o:ole="">
            <v:imagedata r:id="rId19" o:title=""/>
          </v:shape>
          <o:OLEObject Type="Embed" ProgID="Equation.3" ShapeID="_x0000_i1029" DrawAspect="Content" ObjectID="_1378897958" r:id="rId20"/>
        </w:object>
      </w:r>
      <w:r w:rsidRPr="00F26253">
        <w:t>, can be calculated by</w:t>
      </w:r>
      <w:r w:rsidRPr="00F26253">
        <w:rPr>
          <w:rStyle w:val="FootnoteReference"/>
        </w:rPr>
        <w:footnoteReference w:id="6"/>
      </w:r>
    </w:p>
    <w:p w:rsidR="004C3D4A" w:rsidRPr="00F26253" w:rsidRDefault="004C3D4A" w:rsidP="004C3D4A">
      <w:pPr>
        <w:pStyle w:val="ResponseLvl2"/>
        <w:tabs>
          <w:tab w:val="right" w:pos="8640"/>
        </w:tabs>
      </w:pPr>
      <w:r w:rsidRPr="00F26253">
        <w:rPr>
          <w:position w:val="-28"/>
        </w:rPr>
        <w:object w:dxaOrig="2799" w:dyaOrig="680">
          <v:shape id="_x0000_i1030" type="#_x0000_t75" style="width:161.25pt;height:39pt" o:ole="">
            <v:imagedata r:id="rId21" o:title=""/>
          </v:shape>
          <o:OLEObject Type="Embed" ProgID="Equation.3" ShapeID="_x0000_i1030" DrawAspect="Content" ObjectID="_1378897959" r:id="rId22"/>
        </w:object>
      </w:r>
      <w:r w:rsidRPr="00F26253">
        <w:tab/>
        <w:t>(3)</w:t>
      </w:r>
    </w:p>
    <w:p w:rsidR="004C3D4A" w:rsidRPr="00F26253" w:rsidRDefault="004C3D4A" w:rsidP="004C3D4A">
      <w:pPr>
        <w:pStyle w:val="ResponseLvl2"/>
      </w:pPr>
      <w:r w:rsidRPr="00F26253">
        <w:t xml:space="preserve">The design effect, </w:t>
      </w:r>
      <w:r w:rsidRPr="00F26253">
        <w:rPr>
          <w:i/>
        </w:rPr>
        <w:t>deff</w:t>
      </w:r>
      <w:r w:rsidRPr="00F26253">
        <w:t xml:space="preserve">, for a stratified sample over an </w:t>
      </w:r>
      <w:smartTag w:uri="urn:schemas-microsoft-com:office:smarttags" w:element="stockticker">
        <w:r w:rsidRPr="00F26253">
          <w:t>SRS</w:t>
        </w:r>
      </w:smartTag>
      <w:r w:rsidRPr="00F26253">
        <w:t xml:space="preserve"> can be shown by</w:t>
      </w:r>
      <w:r w:rsidRPr="00F26253">
        <w:rPr>
          <w:rStyle w:val="FootnoteReference"/>
        </w:rPr>
        <w:footnoteReference w:id="7"/>
      </w:r>
    </w:p>
    <w:p w:rsidR="004C3D4A" w:rsidRPr="00F26253" w:rsidRDefault="004C3D4A" w:rsidP="004C3D4A">
      <w:pPr>
        <w:pStyle w:val="ResponseLvl2"/>
        <w:tabs>
          <w:tab w:val="right" w:pos="8640"/>
        </w:tabs>
      </w:pPr>
      <w:r w:rsidRPr="00F26253">
        <w:rPr>
          <w:position w:val="-30"/>
        </w:rPr>
        <w:object w:dxaOrig="8440" w:dyaOrig="680">
          <v:shape id="_x0000_i1031" type="#_x0000_t75" style="width:5in;height:28.5pt" o:ole="">
            <v:imagedata r:id="rId23" o:title=""/>
          </v:shape>
          <o:OLEObject Type="Embed" ProgID="Equation.3" ShapeID="_x0000_i1031" DrawAspect="Content" ObjectID="_1378897960" r:id="rId24"/>
        </w:object>
      </w:r>
      <w:r>
        <w:tab/>
      </w:r>
      <w:r w:rsidRPr="00F26253">
        <w:t>(4)</w:t>
      </w:r>
    </w:p>
    <w:p w:rsidR="004C3D4A" w:rsidRPr="00F26253" w:rsidRDefault="004C3D4A" w:rsidP="004C3D4A">
      <w:pPr>
        <w:pStyle w:val="ResponseLvl2"/>
      </w:pPr>
      <w:r w:rsidRPr="00F26253">
        <w:t xml:space="preserve">For each CSEPP site that has elected to use a stratified sample, </w:t>
      </w:r>
      <w:r w:rsidR="006B632B">
        <w:t>Table 2</w:t>
      </w:r>
      <w:r w:rsidRPr="00F26253">
        <w:t xml:space="preserve"> provides the following information:</w:t>
      </w:r>
    </w:p>
    <w:p w:rsidR="004C3D4A" w:rsidRPr="00F26253" w:rsidRDefault="004C3D4A" w:rsidP="004C3D4A">
      <w:pPr>
        <w:pStyle w:val="Bullet"/>
      </w:pPr>
      <w:r w:rsidRPr="00F26253">
        <w:t>Name of each stratum</w:t>
      </w:r>
    </w:p>
    <w:p w:rsidR="004C3D4A" w:rsidRPr="00F26253" w:rsidRDefault="004C3D4A" w:rsidP="004C3D4A">
      <w:pPr>
        <w:pStyle w:val="Bullet"/>
      </w:pPr>
      <w:r w:rsidRPr="00F26253">
        <w:t>Universe for each stratum</w:t>
      </w:r>
    </w:p>
    <w:p w:rsidR="004C3D4A" w:rsidRPr="00F26253" w:rsidRDefault="004C3D4A" w:rsidP="004C3D4A">
      <w:pPr>
        <w:pStyle w:val="Bullet"/>
      </w:pPr>
      <w:r w:rsidRPr="00F26253">
        <w:t xml:space="preserve">Sample size for each stratum </w:t>
      </w:r>
    </w:p>
    <w:p w:rsidR="004C3D4A" w:rsidRPr="00F26253" w:rsidRDefault="004C3D4A" w:rsidP="004C3D4A">
      <w:pPr>
        <w:pStyle w:val="Bullet"/>
      </w:pPr>
      <w:r w:rsidRPr="00F26253">
        <w:t>Estimated variance, standard error, and margin of error for each stratum</w:t>
      </w:r>
    </w:p>
    <w:p w:rsidR="004C3D4A" w:rsidRPr="00F26253" w:rsidRDefault="004C3D4A" w:rsidP="004C3D4A">
      <w:pPr>
        <w:pStyle w:val="Bullet"/>
      </w:pPr>
      <w:r w:rsidRPr="00F26253">
        <w:t>Estimated variance for each stratified sample</w:t>
      </w:r>
    </w:p>
    <w:p w:rsidR="004C3D4A" w:rsidRPr="00F26253" w:rsidRDefault="004C3D4A" w:rsidP="004C3D4A">
      <w:pPr>
        <w:pStyle w:val="Bullet"/>
      </w:pPr>
      <w:r w:rsidRPr="00F26253">
        <w:t>Estimated variance for an SRS with the same number of observations as the stratified sample</w:t>
      </w:r>
    </w:p>
    <w:p w:rsidR="004C3D4A" w:rsidRPr="00F26253" w:rsidRDefault="004C3D4A" w:rsidP="004C3D4A">
      <w:pPr>
        <w:pStyle w:val="Bullet"/>
      </w:pPr>
      <w:r w:rsidRPr="00F26253">
        <w:t>Estimated design effect for each stratified sample</w:t>
      </w:r>
    </w:p>
    <w:p w:rsidR="00BD27E2" w:rsidRPr="000513CF" w:rsidRDefault="00BD27E2" w:rsidP="00BD27E2">
      <w:pPr>
        <w:pStyle w:val="Bullet"/>
        <w:numPr>
          <w:ilvl w:val="0"/>
          <w:numId w:val="0"/>
        </w:numPr>
        <w:ind w:left="720"/>
      </w:pPr>
      <w:r w:rsidRPr="000513CF">
        <w:t xml:space="preserve">The variances in Table </w:t>
      </w:r>
      <w:r w:rsidR="00DE41A2">
        <w:t>2</w:t>
      </w:r>
      <w:r w:rsidRPr="000513CF">
        <w:t xml:space="preserve"> were calculated with the statistical formulas shown above. In the CSEPP surveys the proportion, </w:t>
      </w:r>
      <w:r w:rsidRPr="000513CF">
        <w:rPr>
          <w:i/>
        </w:rPr>
        <w:t>p</w:t>
      </w:r>
      <w:r w:rsidRPr="000513CF">
        <w:t xml:space="preserve">, will be different for each question on the questionnaire.  Therefore, in the calculations in Table </w:t>
      </w:r>
      <w:r w:rsidR="00DE41A2">
        <w:t>2</w:t>
      </w:r>
      <w:r w:rsidRPr="000513CF">
        <w:t xml:space="preserve"> we used conservative estimates, </w:t>
      </w:r>
      <w:r w:rsidRPr="000513CF">
        <w:rPr>
          <w:position w:val="-12"/>
        </w:rPr>
        <w:object w:dxaOrig="279" w:dyaOrig="360">
          <v:shape id="_x0000_i1032" type="#_x0000_t75" style="width:14.25pt;height:18pt" o:ole="">
            <v:imagedata r:id="rId11" o:title=""/>
          </v:shape>
          <o:OLEObject Type="Embed" ProgID="Equation.3" ShapeID="_x0000_i1032" DrawAspect="Content" ObjectID="_1378897961" r:id="rId25"/>
        </w:object>
      </w:r>
      <w:r w:rsidRPr="000513CF">
        <w:t xml:space="preserve">= 0.5 and </w:t>
      </w:r>
      <w:r w:rsidRPr="000513CF">
        <w:rPr>
          <w:position w:val="-10"/>
        </w:rPr>
        <w:object w:dxaOrig="240" w:dyaOrig="340">
          <v:shape id="_x0000_i1033" type="#_x0000_t75" style="width:12pt;height:17.25pt" o:ole="">
            <v:imagedata r:id="rId26" o:title=""/>
          </v:shape>
          <o:OLEObject Type="Embed" ProgID="Equation.3" ShapeID="_x0000_i1033" DrawAspect="Content" ObjectID="_1378897962" r:id="rId27"/>
        </w:object>
      </w:r>
      <w:r w:rsidRPr="000513CF">
        <w:t>=0.5. The standard error,</w:t>
      </w:r>
      <w:r w:rsidRPr="000513CF">
        <w:rPr>
          <w:position w:val="-6"/>
        </w:rPr>
        <w:object w:dxaOrig="360" w:dyaOrig="279">
          <v:shape id="_x0000_i1034" type="#_x0000_t75" style="width:18pt;height:14.25pt" o:ole="">
            <v:imagedata r:id="rId28" o:title=""/>
          </v:shape>
          <o:OLEObject Type="Embed" ProgID="Equation.3" ShapeID="_x0000_i1034" DrawAspect="Content" ObjectID="_1378897963" r:id="rId29"/>
        </w:object>
      </w:r>
      <w:proofErr w:type="gramStart"/>
      <w:r w:rsidRPr="000513CF">
        <w:t>,</w:t>
      </w:r>
      <w:proofErr w:type="gramEnd"/>
      <w:r w:rsidRPr="000513CF">
        <w:t xml:space="preserve"> is calculated as the square root of the variance and the margin of error, </w:t>
      </w:r>
      <w:r w:rsidRPr="000513CF">
        <w:rPr>
          <w:position w:val="-4"/>
        </w:rPr>
        <w:object w:dxaOrig="440" w:dyaOrig="260">
          <v:shape id="_x0000_i1035" type="#_x0000_t75" style="width:21.75pt;height:12.75pt" o:ole="">
            <v:imagedata r:id="rId30" o:title=""/>
          </v:shape>
          <o:OLEObject Type="Embed" ProgID="Equation.3" ShapeID="_x0000_i1035" DrawAspect="Content" ObjectID="_1378897964" r:id="rId31"/>
        </w:object>
      </w:r>
      <w:r w:rsidRPr="000513CF">
        <w:t>, is calculated as the standard error multiplied by 1.96.</w:t>
      </w:r>
    </w:p>
    <w:p w:rsidR="00BD27E2" w:rsidRPr="000513CF" w:rsidRDefault="00BD27E2" w:rsidP="00BD27E2">
      <w:pPr>
        <w:pStyle w:val="Bullet"/>
        <w:numPr>
          <w:ilvl w:val="0"/>
          <w:numId w:val="0"/>
        </w:numPr>
        <w:ind w:left="720"/>
      </w:pPr>
    </w:p>
    <w:p w:rsidR="00BD27E2" w:rsidRPr="000513CF" w:rsidRDefault="00BD27E2" w:rsidP="00BD27E2">
      <w:pPr>
        <w:pStyle w:val="Bullet"/>
        <w:numPr>
          <w:ilvl w:val="0"/>
          <w:numId w:val="0"/>
        </w:numPr>
        <w:ind w:left="720"/>
      </w:pPr>
      <w:r w:rsidRPr="000513CF">
        <w:t xml:space="preserve">As shown in Table </w:t>
      </w:r>
      <w:r w:rsidR="00DE41A2">
        <w:t>2</w:t>
      </w:r>
      <w:r w:rsidRPr="000513CF">
        <w:t xml:space="preserve">, the design effects for the Umatilla and Deseret CSEPP sites are close to one, indicating that a stratified sample and an SRS generally have the same precision per observational unit. </w:t>
      </w:r>
    </w:p>
    <w:p w:rsidR="00BD27E2" w:rsidRDefault="004C3D4A" w:rsidP="004C3D4A">
      <w:pPr>
        <w:pStyle w:val="ResponseLvl2"/>
      </w:pPr>
      <w:r w:rsidRPr="00F26253">
        <w:t>If a CSEPP site were to elect to use a complex survey design other than a stratified sample, standard statistical formulas for that precise sampling design would be used to calculate the sampling size, variance, standard error, and margin of error.</w:t>
      </w:r>
    </w:p>
    <w:p w:rsidR="00BD27E2" w:rsidRDefault="00BD27E2">
      <w:r>
        <w:br w:type="page"/>
      </w:r>
    </w:p>
    <w:p w:rsidR="00AB37F2" w:rsidRDefault="00AB37F2" w:rsidP="004C3D4A">
      <w:pPr>
        <w:pStyle w:val="ResponseLvl2"/>
        <w:sectPr w:rsidR="00AB37F2" w:rsidSect="006574CE">
          <w:footerReference w:type="even" r:id="rId32"/>
          <w:footerReference w:type="default" r:id="rId33"/>
          <w:pgSz w:w="12240" w:h="15840"/>
          <w:pgMar w:top="1440" w:right="1800" w:bottom="1440" w:left="1800" w:header="720" w:footer="720" w:gutter="0"/>
          <w:cols w:space="720"/>
        </w:sectPr>
      </w:pPr>
    </w:p>
    <w:p w:rsidR="004C3D4A" w:rsidRDefault="004C3D4A" w:rsidP="004C3D4A">
      <w:pPr>
        <w:pStyle w:val="ResponseLvl2"/>
      </w:pPr>
    </w:p>
    <w:tbl>
      <w:tblPr>
        <w:tblW w:w="13500" w:type="dxa"/>
        <w:tblInd w:w="-432" w:type="dxa"/>
        <w:tblLayout w:type="fixed"/>
        <w:tblLook w:val="0000"/>
      </w:tblPr>
      <w:tblGrid>
        <w:gridCol w:w="1265"/>
        <w:gridCol w:w="2155"/>
        <w:gridCol w:w="971"/>
        <w:gridCol w:w="857"/>
        <w:gridCol w:w="1051"/>
        <w:gridCol w:w="1051"/>
        <w:gridCol w:w="930"/>
        <w:gridCol w:w="1080"/>
        <w:gridCol w:w="1080"/>
        <w:gridCol w:w="1080"/>
        <w:gridCol w:w="1080"/>
        <w:gridCol w:w="900"/>
      </w:tblGrid>
      <w:tr w:rsidR="00BD27E2" w:rsidRPr="000513CF" w:rsidTr="00736541">
        <w:trPr>
          <w:trHeight w:val="260"/>
        </w:trPr>
        <w:tc>
          <w:tcPr>
            <w:tcW w:w="135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BD27E2" w:rsidRPr="000513CF" w:rsidRDefault="00BD27E2" w:rsidP="00DE41A2">
            <w:pPr>
              <w:jc w:val="center"/>
              <w:rPr>
                <w:rFonts w:ascii="Arial" w:hAnsi="Arial" w:cs="Arial"/>
                <w:b/>
                <w:bCs/>
                <w:sz w:val="18"/>
                <w:szCs w:val="18"/>
              </w:rPr>
            </w:pPr>
            <w:r w:rsidRPr="000513CF">
              <w:t xml:space="preserve">Table </w:t>
            </w:r>
            <w:r w:rsidR="00DE41A2">
              <w:t>2</w:t>
            </w:r>
            <w:r w:rsidRPr="000513CF">
              <w:t>: Estimated Variance, Standard Error, Margin of Error, and Design Effect for Stratified Samples</w:t>
            </w:r>
          </w:p>
        </w:tc>
      </w:tr>
      <w:tr w:rsidR="00BD27E2" w:rsidRPr="000513CF" w:rsidTr="00736541">
        <w:trPr>
          <w:trHeight w:val="1020"/>
        </w:trPr>
        <w:tc>
          <w:tcPr>
            <w:tcW w:w="1265" w:type="dxa"/>
            <w:tcBorders>
              <w:top w:val="single" w:sz="4" w:space="0" w:color="auto"/>
              <w:left w:val="single" w:sz="4" w:space="0" w:color="auto"/>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rFonts w:ascii="Arial" w:hAnsi="Arial" w:cs="Arial"/>
                <w:b/>
                <w:bCs/>
                <w:sz w:val="18"/>
                <w:szCs w:val="18"/>
              </w:rPr>
              <w:t>CSEPP Site Name</w:t>
            </w:r>
          </w:p>
        </w:tc>
        <w:tc>
          <w:tcPr>
            <w:tcW w:w="2155"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rFonts w:ascii="Arial" w:hAnsi="Arial" w:cs="Arial"/>
                <w:b/>
                <w:bCs/>
                <w:sz w:val="18"/>
                <w:szCs w:val="18"/>
              </w:rPr>
              <w:t>Total Sample or Name of Strata</w:t>
            </w:r>
          </w:p>
        </w:tc>
        <w:tc>
          <w:tcPr>
            <w:tcW w:w="971"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rFonts w:ascii="Arial" w:hAnsi="Arial" w:cs="Arial"/>
                <w:b/>
                <w:bCs/>
                <w:sz w:val="18"/>
                <w:szCs w:val="18"/>
              </w:rPr>
              <w:t>Universe:</w:t>
            </w:r>
          </w:p>
          <w:p w:rsidR="00BD27E2" w:rsidRPr="000513CF" w:rsidRDefault="00BD27E2" w:rsidP="00736541">
            <w:pPr>
              <w:jc w:val="center"/>
              <w:rPr>
                <w:rFonts w:ascii="Arial" w:hAnsi="Arial" w:cs="Arial"/>
                <w:b/>
                <w:bCs/>
                <w:sz w:val="18"/>
                <w:szCs w:val="18"/>
              </w:rPr>
            </w:pPr>
            <w:r w:rsidRPr="000513CF">
              <w:rPr>
                <w:rFonts w:ascii="Arial" w:hAnsi="Arial" w:cs="Arial"/>
                <w:b/>
                <w:bCs/>
                <w:sz w:val="18"/>
                <w:szCs w:val="18"/>
              </w:rPr>
              <w:t>Population over 18</w:t>
            </w:r>
          </w:p>
        </w:tc>
        <w:tc>
          <w:tcPr>
            <w:tcW w:w="857"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rFonts w:ascii="Arial" w:hAnsi="Arial" w:cs="Arial"/>
                <w:b/>
                <w:bCs/>
                <w:sz w:val="18"/>
                <w:szCs w:val="18"/>
              </w:rPr>
              <w:t>Sample Size</w:t>
            </w:r>
          </w:p>
        </w:tc>
        <w:tc>
          <w:tcPr>
            <w:tcW w:w="1051"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position w:val="-12"/>
              </w:rPr>
              <w:object w:dxaOrig="639" w:dyaOrig="400">
                <v:shape id="_x0000_i1036" type="#_x0000_t75" style="width:32.25pt;height:20.25pt" o:ole="">
                  <v:imagedata r:id="rId34" o:title=""/>
                </v:shape>
                <o:OLEObject Type="Embed" ProgID="Equation.3" ShapeID="_x0000_i1036" DrawAspect="Content" ObjectID="_1378897965" r:id="rId35"/>
              </w:object>
            </w:r>
          </w:p>
        </w:tc>
        <w:tc>
          <w:tcPr>
            <w:tcW w:w="1051"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position w:val="-12"/>
              </w:rPr>
              <w:object w:dxaOrig="760" w:dyaOrig="360">
                <v:shape id="_x0000_i1037" type="#_x0000_t75" style="width:38.25pt;height:18pt" o:ole="">
                  <v:imagedata r:id="rId36" o:title=""/>
                </v:shape>
                <o:OLEObject Type="Embed" ProgID="Equation.3" ShapeID="_x0000_i1037" DrawAspect="Content" ObjectID="_1378897966" r:id="rId37"/>
              </w:object>
            </w:r>
          </w:p>
        </w:tc>
        <w:tc>
          <w:tcPr>
            <w:tcW w:w="930"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pPr>
          </w:p>
          <w:p w:rsidR="00BD27E2" w:rsidRPr="000513CF" w:rsidRDefault="00BD27E2" w:rsidP="00736541">
            <w:pPr>
              <w:jc w:val="center"/>
              <w:rPr>
                <w:rFonts w:ascii="Arial" w:hAnsi="Arial" w:cs="Arial"/>
                <w:b/>
                <w:bCs/>
                <w:sz w:val="18"/>
                <w:szCs w:val="18"/>
              </w:rPr>
            </w:pPr>
            <w:r w:rsidRPr="000513CF">
              <w:rPr>
                <w:position w:val="-12"/>
              </w:rPr>
              <w:object w:dxaOrig="840" w:dyaOrig="360">
                <v:shape id="_x0000_i1038" type="#_x0000_t75" style="width:42pt;height:18pt" o:ole="">
                  <v:imagedata r:id="rId38" o:title=""/>
                </v:shape>
                <o:OLEObject Type="Embed" ProgID="Equation.3" ShapeID="_x0000_i1038" DrawAspect="Content" ObjectID="_1378897967" r:id="rId39"/>
              </w:object>
            </w:r>
          </w:p>
        </w:tc>
        <w:tc>
          <w:tcPr>
            <w:tcW w:w="1080"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position w:val="-12"/>
              </w:rPr>
              <w:object w:dxaOrig="740" w:dyaOrig="400">
                <v:shape id="_x0000_i1039" type="#_x0000_t75" style="width:36.75pt;height:20.25pt" o:ole="">
                  <v:imagedata r:id="rId40" o:title=""/>
                </v:shape>
                <o:OLEObject Type="Embed" ProgID="Equation.3" ShapeID="_x0000_i1039" DrawAspect="Content" ObjectID="_1378897968" r:id="rId41"/>
              </w:object>
            </w:r>
          </w:p>
        </w:tc>
        <w:tc>
          <w:tcPr>
            <w:tcW w:w="1080"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pPr>
          </w:p>
          <w:p w:rsidR="00BD27E2" w:rsidRPr="000513CF" w:rsidRDefault="00BD27E2" w:rsidP="00736541">
            <w:pPr>
              <w:jc w:val="center"/>
              <w:rPr>
                <w:rFonts w:ascii="Arial" w:hAnsi="Arial" w:cs="Arial"/>
                <w:b/>
                <w:bCs/>
                <w:sz w:val="18"/>
                <w:szCs w:val="18"/>
              </w:rPr>
            </w:pPr>
            <w:r w:rsidRPr="000513CF">
              <w:rPr>
                <w:position w:val="-12"/>
              </w:rPr>
              <w:object w:dxaOrig="880" w:dyaOrig="360">
                <v:shape id="_x0000_i1040" type="#_x0000_t75" style="width:44.25pt;height:18pt" o:ole="">
                  <v:imagedata r:id="rId42" o:title=""/>
                </v:shape>
                <o:OLEObject Type="Embed" ProgID="Equation.3" ShapeID="_x0000_i1040" DrawAspect="Content" ObjectID="_1378897969" r:id="rId43"/>
              </w:object>
            </w:r>
          </w:p>
        </w:tc>
        <w:tc>
          <w:tcPr>
            <w:tcW w:w="1080"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pPr>
          </w:p>
          <w:p w:rsidR="00BD27E2" w:rsidRPr="000513CF" w:rsidRDefault="00BD27E2" w:rsidP="00736541">
            <w:pPr>
              <w:jc w:val="center"/>
              <w:rPr>
                <w:rFonts w:ascii="Arial" w:hAnsi="Arial" w:cs="Arial"/>
                <w:b/>
                <w:bCs/>
                <w:sz w:val="18"/>
                <w:szCs w:val="18"/>
              </w:rPr>
            </w:pPr>
            <w:r w:rsidRPr="000513CF">
              <w:rPr>
                <w:position w:val="-12"/>
              </w:rPr>
              <w:object w:dxaOrig="960" w:dyaOrig="360">
                <v:shape id="_x0000_i1041" type="#_x0000_t75" style="width:48pt;height:18pt" o:ole="">
                  <v:imagedata r:id="rId44" o:title=""/>
                </v:shape>
                <o:OLEObject Type="Embed" ProgID="Equation.3" ShapeID="_x0000_i1041" DrawAspect="Content" ObjectID="_1378897970" r:id="rId45"/>
              </w:object>
            </w:r>
          </w:p>
        </w:tc>
        <w:tc>
          <w:tcPr>
            <w:tcW w:w="1080"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position w:val="-12"/>
              </w:rPr>
              <w:object w:dxaOrig="840" w:dyaOrig="400">
                <v:shape id="_x0000_i1042" type="#_x0000_t75" style="width:42pt;height:20.25pt" o:ole="">
                  <v:imagedata r:id="rId46" o:title=""/>
                </v:shape>
                <o:OLEObject Type="Embed" ProgID="Equation.3" ShapeID="_x0000_i1042" DrawAspect="Content" ObjectID="_1378897971" r:id="rId47"/>
              </w:object>
            </w:r>
          </w:p>
        </w:tc>
        <w:tc>
          <w:tcPr>
            <w:tcW w:w="900" w:type="dxa"/>
            <w:tcBorders>
              <w:top w:val="single" w:sz="4" w:space="0" w:color="auto"/>
              <w:left w:val="nil"/>
              <w:bottom w:val="single" w:sz="4" w:space="0" w:color="auto"/>
              <w:right w:val="single" w:sz="4" w:space="0" w:color="auto"/>
            </w:tcBorders>
            <w:shd w:val="clear" w:color="auto" w:fill="D9D9D9"/>
            <w:vAlign w:val="center"/>
          </w:tcPr>
          <w:p w:rsidR="00BD27E2" w:rsidRPr="000513CF" w:rsidRDefault="00BD27E2" w:rsidP="00736541">
            <w:pPr>
              <w:jc w:val="center"/>
              <w:rPr>
                <w:rFonts w:ascii="Arial" w:hAnsi="Arial" w:cs="Arial"/>
                <w:b/>
                <w:bCs/>
                <w:sz w:val="18"/>
                <w:szCs w:val="18"/>
              </w:rPr>
            </w:pPr>
            <w:r w:rsidRPr="000513CF">
              <w:rPr>
                <w:rFonts w:ascii="Arial" w:hAnsi="Arial" w:cs="Arial"/>
                <w:b/>
                <w:bCs/>
                <w:sz w:val="18"/>
                <w:szCs w:val="18"/>
              </w:rPr>
              <w:t>Design Effect</w:t>
            </w:r>
          </w:p>
        </w:tc>
      </w:tr>
      <w:tr w:rsidR="00BD27E2" w:rsidRPr="000513CF" w:rsidTr="00736541">
        <w:trPr>
          <w:trHeight w:val="255"/>
        </w:trPr>
        <w:tc>
          <w:tcPr>
            <w:tcW w:w="1265"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b/>
                <w:sz w:val="18"/>
                <w:szCs w:val="18"/>
              </w:rPr>
            </w:pPr>
            <w:r w:rsidRPr="000513CF">
              <w:rPr>
                <w:rFonts w:ascii="Arial" w:hAnsi="Arial" w:cs="Arial"/>
                <w:b/>
                <w:sz w:val="18"/>
                <w:szCs w:val="18"/>
              </w:rPr>
              <w:t>Umatilla Chemical Depot</w:t>
            </w:r>
          </w:p>
        </w:tc>
        <w:tc>
          <w:tcPr>
            <w:tcW w:w="2155"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b/>
                <w:sz w:val="18"/>
                <w:szCs w:val="18"/>
              </w:rPr>
            </w:pPr>
            <w:r w:rsidRPr="000513CF">
              <w:rPr>
                <w:rFonts w:ascii="Arial" w:hAnsi="Arial" w:cs="Arial"/>
                <w:b/>
                <w:sz w:val="18"/>
                <w:szCs w:val="18"/>
              </w:rPr>
              <w:t>Total sample</w:t>
            </w:r>
          </w:p>
        </w:tc>
        <w:tc>
          <w:tcPr>
            <w:tcW w:w="971"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27,622</w:t>
            </w:r>
          </w:p>
        </w:tc>
        <w:tc>
          <w:tcPr>
            <w:tcW w:w="857"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814</w:t>
            </w:r>
          </w:p>
        </w:tc>
        <w:tc>
          <w:tcPr>
            <w:tcW w:w="1051"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 </w:t>
            </w:r>
          </w:p>
        </w:tc>
        <w:tc>
          <w:tcPr>
            <w:tcW w:w="1051"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 </w:t>
            </w:r>
          </w:p>
        </w:tc>
        <w:tc>
          <w:tcPr>
            <w:tcW w:w="93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 </w:t>
            </w:r>
          </w:p>
        </w:tc>
        <w:tc>
          <w:tcPr>
            <w:tcW w:w="108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0.000301</w:t>
            </w:r>
          </w:p>
        </w:tc>
        <w:tc>
          <w:tcPr>
            <w:tcW w:w="108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0.017361</w:t>
            </w:r>
          </w:p>
        </w:tc>
        <w:tc>
          <w:tcPr>
            <w:tcW w:w="108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3.4%</w:t>
            </w:r>
          </w:p>
        </w:tc>
        <w:tc>
          <w:tcPr>
            <w:tcW w:w="108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0.000298</w:t>
            </w:r>
          </w:p>
        </w:tc>
        <w:tc>
          <w:tcPr>
            <w:tcW w:w="90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1.010</w:t>
            </w:r>
          </w:p>
        </w:tc>
      </w:tr>
      <w:tr w:rsidR="00BD27E2" w:rsidRPr="000513CF" w:rsidTr="00736541">
        <w:trPr>
          <w:trHeight w:val="255"/>
        </w:trPr>
        <w:tc>
          <w:tcPr>
            <w:tcW w:w="1265" w:type="dxa"/>
            <w:tcBorders>
              <w:top w:val="nil"/>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p>
        </w:tc>
        <w:tc>
          <w:tcPr>
            <w:tcW w:w="2155" w:type="dxa"/>
            <w:tcBorders>
              <w:top w:val="nil"/>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smartTag w:uri="urn:schemas-microsoft-com:office:smarttags" w:element="place">
              <w:smartTag w:uri="urn:schemas-microsoft-com:office:smarttags" w:element="PlaceName">
                <w:r w:rsidRPr="000513CF">
                  <w:rPr>
                    <w:rFonts w:ascii="Arial" w:hAnsi="Arial" w:cs="Arial"/>
                    <w:sz w:val="18"/>
                    <w:szCs w:val="18"/>
                  </w:rPr>
                  <w:t>Oregon</w:t>
                </w:r>
              </w:smartTag>
              <w:r w:rsidRPr="000513CF">
                <w:rPr>
                  <w:rFonts w:ascii="Arial" w:hAnsi="Arial" w:cs="Arial"/>
                  <w:sz w:val="18"/>
                  <w:szCs w:val="18"/>
                </w:rPr>
                <w:t xml:space="preserve"> </w:t>
              </w:r>
              <w:smartTag w:uri="urn:schemas-microsoft-com:office:smarttags" w:element="PlaceType">
                <w:r w:rsidRPr="000513CF">
                  <w:rPr>
                    <w:rFonts w:ascii="Arial" w:hAnsi="Arial" w:cs="Arial"/>
                    <w:sz w:val="18"/>
                    <w:szCs w:val="18"/>
                  </w:rPr>
                  <w:t>State</w:t>
                </w:r>
              </w:smartTag>
            </w:smartTag>
          </w:p>
        </w:tc>
        <w:tc>
          <w:tcPr>
            <w:tcW w:w="97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27,114</w:t>
            </w:r>
          </w:p>
        </w:tc>
        <w:tc>
          <w:tcPr>
            <w:tcW w:w="857"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784</w:t>
            </w:r>
          </w:p>
        </w:tc>
        <w:tc>
          <w:tcPr>
            <w:tcW w:w="105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0.000310</w:t>
            </w:r>
          </w:p>
        </w:tc>
        <w:tc>
          <w:tcPr>
            <w:tcW w:w="105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0.017605</w:t>
            </w:r>
          </w:p>
        </w:tc>
        <w:tc>
          <w:tcPr>
            <w:tcW w:w="93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3.5%</w:t>
            </w: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90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r>
      <w:tr w:rsidR="00BD27E2" w:rsidRPr="000513CF" w:rsidTr="00736541">
        <w:trPr>
          <w:trHeight w:val="255"/>
        </w:trPr>
        <w:tc>
          <w:tcPr>
            <w:tcW w:w="1265"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p>
        </w:tc>
        <w:tc>
          <w:tcPr>
            <w:tcW w:w="2155"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smartTag w:uri="urn:schemas-microsoft-com:office:smarttags" w:element="place">
              <w:smartTag w:uri="urn:schemas-microsoft-com:office:smarttags" w:element="PlaceName">
                <w:r w:rsidRPr="000513CF">
                  <w:rPr>
                    <w:rFonts w:ascii="Arial" w:hAnsi="Arial" w:cs="Arial"/>
                    <w:sz w:val="18"/>
                    <w:szCs w:val="18"/>
                  </w:rPr>
                  <w:t>Washington</w:t>
                </w:r>
              </w:smartTag>
              <w:r w:rsidRPr="000513CF">
                <w:rPr>
                  <w:rFonts w:ascii="Arial" w:hAnsi="Arial" w:cs="Arial"/>
                  <w:sz w:val="18"/>
                  <w:szCs w:val="18"/>
                </w:rPr>
                <w:t xml:space="preserve"> </w:t>
              </w:r>
              <w:smartTag w:uri="urn:schemas-microsoft-com:office:smarttags" w:element="PlaceType">
                <w:r w:rsidRPr="000513CF">
                  <w:rPr>
                    <w:rFonts w:ascii="Arial" w:hAnsi="Arial" w:cs="Arial"/>
                    <w:sz w:val="18"/>
                    <w:szCs w:val="18"/>
                  </w:rPr>
                  <w:t>State</w:t>
                </w:r>
              </w:smartTag>
            </w:smartTag>
          </w:p>
        </w:tc>
        <w:tc>
          <w:tcPr>
            <w:tcW w:w="971"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508</w:t>
            </w:r>
          </w:p>
        </w:tc>
        <w:tc>
          <w:tcPr>
            <w:tcW w:w="857"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30</w:t>
            </w:r>
          </w:p>
        </w:tc>
        <w:tc>
          <w:tcPr>
            <w:tcW w:w="1051"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0.008127</w:t>
            </w:r>
          </w:p>
        </w:tc>
        <w:tc>
          <w:tcPr>
            <w:tcW w:w="1051"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0.090148</w:t>
            </w:r>
          </w:p>
        </w:tc>
        <w:tc>
          <w:tcPr>
            <w:tcW w:w="93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17.7%</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r>
      <w:tr w:rsidR="00BD27E2" w:rsidRPr="000513CF" w:rsidTr="00736541">
        <w:trPr>
          <w:trHeight w:val="255"/>
        </w:trPr>
        <w:tc>
          <w:tcPr>
            <w:tcW w:w="1265"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b/>
                <w:sz w:val="18"/>
                <w:szCs w:val="18"/>
              </w:rPr>
            </w:pPr>
            <w:r w:rsidRPr="000513CF">
              <w:rPr>
                <w:rFonts w:ascii="Arial" w:hAnsi="Arial" w:cs="Arial"/>
                <w:b/>
                <w:sz w:val="18"/>
                <w:szCs w:val="18"/>
              </w:rPr>
              <w:t>Deseret Chemical Depot</w:t>
            </w:r>
          </w:p>
        </w:tc>
        <w:tc>
          <w:tcPr>
            <w:tcW w:w="2155"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b/>
                <w:sz w:val="18"/>
                <w:szCs w:val="18"/>
              </w:rPr>
            </w:pPr>
            <w:r w:rsidRPr="000513CF">
              <w:rPr>
                <w:rFonts w:ascii="Arial" w:hAnsi="Arial" w:cs="Arial"/>
                <w:b/>
                <w:sz w:val="18"/>
                <w:szCs w:val="18"/>
              </w:rPr>
              <w:t>Total sample</w:t>
            </w:r>
          </w:p>
        </w:tc>
        <w:tc>
          <w:tcPr>
            <w:tcW w:w="971"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25,759</w:t>
            </w:r>
          </w:p>
        </w:tc>
        <w:tc>
          <w:tcPr>
            <w:tcW w:w="857"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823</w:t>
            </w:r>
          </w:p>
        </w:tc>
        <w:tc>
          <w:tcPr>
            <w:tcW w:w="1051"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 </w:t>
            </w:r>
          </w:p>
        </w:tc>
        <w:tc>
          <w:tcPr>
            <w:tcW w:w="1051"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 </w:t>
            </w:r>
          </w:p>
        </w:tc>
        <w:tc>
          <w:tcPr>
            <w:tcW w:w="93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 </w:t>
            </w:r>
          </w:p>
        </w:tc>
        <w:tc>
          <w:tcPr>
            <w:tcW w:w="108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0.000302</w:t>
            </w:r>
          </w:p>
        </w:tc>
        <w:tc>
          <w:tcPr>
            <w:tcW w:w="108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0.017372</w:t>
            </w:r>
          </w:p>
        </w:tc>
        <w:tc>
          <w:tcPr>
            <w:tcW w:w="108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3.4%</w:t>
            </w:r>
          </w:p>
        </w:tc>
        <w:tc>
          <w:tcPr>
            <w:tcW w:w="108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0.000294</w:t>
            </w:r>
          </w:p>
        </w:tc>
        <w:tc>
          <w:tcPr>
            <w:tcW w:w="900" w:type="dxa"/>
            <w:tcBorders>
              <w:top w:val="single" w:sz="4" w:space="0" w:color="auto"/>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r w:rsidRPr="000513CF">
              <w:rPr>
                <w:rFonts w:ascii="Arial" w:hAnsi="Arial" w:cs="Arial"/>
                <w:b/>
                <w:sz w:val="18"/>
                <w:szCs w:val="18"/>
              </w:rPr>
              <w:t>1.025</w:t>
            </w:r>
          </w:p>
        </w:tc>
      </w:tr>
      <w:tr w:rsidR="00BD27E2" w:rsidRPr="000513CF" w:rsidTr="00736541">
        <w:trPr>
          <w:trHeight w:val="255"/>
        </w:trPr>
        <w:tc>
          <w:tcPr>
            <w:tcW w:w="1265" w:type="dxa"/>
            <w:tcBorders>
              <w:top w:val="nil"/>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p>
        </w:tc>
        <w:tc>
          <w:tcPr>
            <w:tcW w:w="2155" w:type="dxa"/>
            <w:tcBorders>
              <w:top w:val="nil"/>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r w:rsidRPr="000513CF">
              <w:rPr>
                <w:rFonts w:ascii="Arial" w:hAnsi="Arial" w:cs="Arial"/>
                <w:sz w:val="18"/>
                <w:szCs w:val="18"/>
              </w:rPr>
              <w:t xml:space="preserve">Tooele </w:t>
            </w:r>
            <w:smartTag w:uri="urn:schemas-microsoft-com:office:smarttags" w:element="place">
              <w:smartTag w:uri="urn:schemas-microsoft-com:office:smarttags" w:element="PlaceType">
                <w:r w:rsidRPr="000513CF">
                  <w:rPr>
                    <w:rFonts w:ascii="Arial" w:hAnsi="Arial" w:cs="Arial"/>
                    <w:sz w:val="18"/>
                    <w:szCs w:val="18"/>
                  </w:rPr>
                  <w:t>County</w:t>
                </w:r>
              </w:smartTag>
              <w:r w:rsidRPr="000513CF">
                <w:rPr>
                  <w:rFonts w:ascii="Arial" w:hAnsi="Arial" w:cs="Arial"/>
                  <w:sz w:val="18"/>
                  <w:szCs w:val="18"/>
                </w:rPr>
                <w:t xml:space="preserve"> </w:t>
              </w:r>
              <w:smartTag w:uri="urn:schemas-microsoft-com:office:smarttags" w:element="PlaceName">
                <w:r w:rsidRPr="000513CF">
                  <w:rPr>
                    <w:rFonts w:ascii="Arial" w:hAnsi="Arial" w:cs="Arial"/>
                    <w:sz w:val="18"/>
                    <w:szCs w:val="18"/>
                  </w:rPr>
                  <w:t>IRZ</w:t>
                </w:r>
              </w:smartTag>
            </w:smartTag>
          </w:p>
        </w:tc>
        <w:tc>
          <w:tcPr>
            <w:tcW w:w="97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1,242</w:t>
            </w:r>
          </w:p>
        </w:tc>
        <w:tc>
          <w:tcPr>
            <w:tcW w:w="857"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75</w:t>
            </w:r>
          </w:p>
        </w:tc>
        <w:tc>
          <w:tcPr>
            <w:tcW w:w="105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0.003171</w:t>
            </w:r>
          </w:p>
        </w:tc>
        <w:tc>
          <w:tcPr>
            <w:tcW w:w="105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0.056316</w:t>
            </w:r>
          </w:p>
        </w:tc>
        <w:tc>
          <w:tcPr>
            <w:tcW w:w="93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11.0%</w:t>
            </w: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90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r>
      <w:tr w:rsidR="00BD27E2" w:rsidRPr="000513CF" w:rsidTr="00736541">
        <w:trPr>
          <w:trHeight w:val="255"/>
        </w:trPr>
        <w:tc>
          <w:tcPr>
            <w:tcW w:w="1265" w:type="dxa"/>
            <w:tcBorders>
              <w:top w:val="nil"/>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p>
        </w:tc>
        <w:tc>
          <w:tcPr>
            <w:tcW w:w="2155" w:type="dxa"/>
            <w:tcBorders>
              <w:top w:val="nil"/>
              <w:left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r w:rsidRPr="000513CF">
              <w:rPr>
                <w:rFonts w:ascii="Arial" w:hAnsi="Arial" w:cs="Arial"/>
                <w:sz w:val="18"/>
                <w:szCs w:val="18"/>
              </w:rPr>
              <w:t xml:space="preserve">Tooele </w:t>
            </w:r>
            <w:smartTag w:uri="urn:schemas-microsoft-com:office:smarttags" w:element="place">
              <w:smartTag w:uri="urn:schemas-microsoft-com:office:smarttags" w:element="PlaceType">
                <w:r w:rsidRPr="000513CF">
                  <w:rPr>
                    <w:rFonts w:ascii="Arial" w:hAnsi="Arial" w:cs="Arial"/>
                    <w:sz w:val="18"/>
                    <w:szCs w:val="18"/>
                  </w:rPr>
                  <w:t>County</w:t>
                </w:r>
              </w:smartTag>
              <w:r w:rsidRPr="000513CF">
                <w:rPr>
                  <w:rFonts w:ascii="Arial" w:hAnsi="Arial" w:cs="Arial"/>
                  <w:sz w:val="18"/>
                  <w:szCs w:val="18"/>
                </w:rPr>
                <w:t xml:space="preserve"> </w:t>
              </w:r>
              <w:smartTag w:uri="urn:schemas-microsoft-com:office:smarttags" w:element="PlaceName">
                <w:r w:rsidRPr="000513CF">
                  <w:rPr>
                    <w:rFonts w:ascii="Arial" w:hAnsi="Arial" w:cs="Arial"/>
                    <w:sz w:val="18"/>
                    <w:szCs w:val="18"/>
                  </w:rPr>
                  <w:t>PAZ</w:t>
                </w:r>
              </w:smartTag>
            </w:smartTag>
          </w:p>
        </w:tc>
        <w:tc>
          <w:tcPr>
            <w:tcW w:w="97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22,711</w:t>
            </w:r>
          </w:p>
        </w:tc>
        <w:tc>
          <w:tcPr>
            <w:tcW w:w="857"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690</w:t>
            </w:r>
          </w:p>
        </w:tc>
        <w:tc>
          <w:tcPr>
            <w:tcW w:w="105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0.000352</w:t>
            </w:r>
          </w:p>
        </w:tc>
        <w:tc>
          <w:tcPr>
            <w:tcW w:w="1051"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0.018755</w:t>
            </w:r>
          </w:p>
        </w:tc>
        <w:tc>
          <w:tcPr>
            <w:tcW w:w="93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3.7%</w:t>
            </w: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108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900" w:type="dxa"/>
            <w:tcBorders>
              <w:top w:val="nil"/>
              <w:left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r>
      <w:tr w:rsidR="00BD27E2" w:rsidRPr="000513CF" w:rsidTr="00736541">
        <w:trPr>
          <w:trHeight w:val="255"/>
        </w:trPr>
        <w:tc>
          <w:tcPr>
            <w:tcW w:w="1265"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p>
        </w:tc>
        <w:tc>
          <w:tcPr>
            <w:tcW w:w="2155"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rPr>
                <w:rFonts w:ascii="Arial" w:hAnsi="Arial" w:cs="Arial"/>
                <w:sz w:val="18"/>
                <w:szCs w:val="18"/>
              </w:rPr>
            </w:pPr>
            <w:smartTag w:uri="urn:schemas-microsoft-com:office:smarttags" w:element="State">
              <w:smartTag w:uri="urn:schemas-microsoft-com:office:smarttags" w:element="place">
                <w:r w:rsidRPr="000513CF">
                  <w:rPr>
                    <w:rFonts w:ascii="Arial" w:hAnsi="Arial" w:cs="Arial"/>
                    <w:sz w:val="18"/>
                    <w:szCs w:val="18"/>
                  </w:rPr>
                  <w:t>Utah</w:t>
                </w:r>
              </w:smartTag>
            </w:smartTag>
            <w:r w:rsidRPr="000513CF">
              <w:rPr>
                <w:rFonts w:ascii="Arial" w:hAnsi="Arial" w:cs="Arial"/>
                <w:sz w:val="18"/>
                <w:szCs w:val="18"/>
              </w:rPr>
              <w:t xml:space="preserve"> </w:t>
            </w:r>
            <w:smartTag w:uri="urn:schemas-microsoft-com:office:smarttags" w:element="place">
              <w:smartTag w:uri="urn:schemas-microsoft-com:office:smarttags" w:element="PlaceType">
                <w:r w:rsidRPr="000513CF">
                  <w:rPr>
                    <w:rFonts w:ascii="Arial" w:hAnsi="Arial" w:cs="Arial"/>
                    <w:sz w:val="18"/>
                    <w:szCs w:val="18"/>
                  </w:rPr>
                  <w:t>County</w:t>
                </w:r>
              </w:smartTag>
              <w:r w:rsidRPr="000513CF">
                <w:rPr>
                  <w:rFonts w:ascii="Arial" w:hAnsi="Arial" w:cs="Arial"/>
                  <w:sz w:val="18"/>
                  <w:szCs w:val="18"/>
                </w:rPr>
                <w:t xml:space="preserve"> </w:t>
              </w:r>
              <w:smartTag w:uri="urn:schemas-microsoft-com:office:smarttags" w:element="PlaceName">
                <w:r w:rsidRPr="000513CF">
                  <w:rPr>
                    <w:rFonts w:ascii="Arial" w:hAnsi="Arial" w:cs="Arial"/>
                    <w:sz w:val="18"/>
                    <w:szCs w:val="18"/>
                  </w:rPr>
                  <w:t>PAZ</w:t>
                </w:r>
              </w:smartTag>
            </w:smartTag>
          </w:p>
        </w:tc>
        <w:tc>
          <w:tcPr>
            <w:tcW w:w="971"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1,806</w:t>
            </w:r>
          </w:p>
        </w:tc>
        <w:tc>
          <w:tcPr>
            <w:tcW w:w="857"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58</w:t>
            </w:r>
          </w:p>
        </w:tc>
        <w:tc>
          <w:tcPr>
            <w:tcW w:w="1051"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0.004269</w:t>
            </w:r>
          </w:p>
        </w:tc>
        <w:tc>
          <w:tcPr>
            <w:tcW w:w="1051"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0.065334</w:t>
            </w:r>
          </w:p>
        </w:tc>
        <w:tc>
          <w:tcPr>
            <w:tcW w:w="93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r w:rsidRPr="000513CF">
              <w:rPr>
                <w:rFonts w:ascii="Arial" w:hAnsi="Arial" w:cs="Arial"/>
                <w:sz w:val="18"/>
                <w:szCs w:val="18"/>
              </w:rPr>
              <w:t>12.8%</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b/>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BD27E2" w:rsidRPr="000513CF" w:rsidRDefault="00BD27E2" w:rsidP="00736541">
            <w:pPr>
              <w:jc w:val="right"/>
              <w:rPr>
                <w:rFonts w:ascii="Arial" w:hAnsi="Arial" w:cs="Arial"/>
                <w:sz w:val="18"/>
                <w:szCs w:val="18"/>
              </w:rPr>
            </w:pPr>
          </w:p>
        </w:tc>
      </w:tr>
    </w:tbl>
    <w:p w:rsidR="00BD27E2" w:rsidRDefault="00BD27E2" w:rsidP="004C3D4A">
      <w:pPr>
        <w:pStyle w:val="ResponseLvl2"/>
      </w:pPr>
    </w:p>
    <w:p w:rsidR="00BD27E2" w:rsidRPr="00F26253" w:rsidRDefault="00BD27E2" w:rsidP="004C3D4A">
      <w:pPr>
        <w:pStyle w:val="ResponseLvl2"/>
      </w:pPr>
    </w:p>
    <w:p w:rsidR="00AB37F2" w:rsidRDefault="00AB37F2" w:rsidP="004C3D4A">
      <w:pPr>
        <w:pStyle w:val="ResponseLvl2"/>
        <w:rPr>
          <w:u w:val="single"/>
        </w:rPr>
        <w:sectPr w:rsidR="00AB37F2" w:rsidSect="00AB37F2">
          <w:pgSz w:w="15840" w:h="12240" w:orient="landscape" w:code="1"/>
          <w:pgMar w:top="1800" w:right="1440" w:bottom="1800" w:left="1440" w:header="720" w:footer="720" w:gutter="0"/>
          <w:cols w:space="720"/>
        </w:sectPr>
      </w:pPr>
    </w:p>
    <w:p w:rsidR="004C3D4A" w:rsidRPr="00CB1261" w:rsidRDefault="004C3D4A" w:rsidP="004C3D4A">
      <w:pPr>
        <w:pStyle w:val="ResponseLvl2"/>
        <w:rPr>
          <w:u w:val="single"/>
        </w:rPr>
      </w:pPr>
      <w:r w:rsidRPr="00CB1261">
        <w:rPr>
          <w:u w:val="single"/>
        </w:rPr>
        <w:lastRenderedPageBreak/>
        <w:t>Quality Assurance Plan:</w:t>
      </w:r>
    </w:p>
    <w:p w:rsidR="004C3D4A" w:rsidRPr="00F26253" w:rsidRDefault="004C3D4A" w:rsidP="004C3D4A">
      <w:pPr>
        <w:pStyle w:val="ResponseLvl2"/>
      </w:pPr>
      <w:r w:rsidRPr="00F26253">
        <w:t>To ensure that the highest quality of work is performed, a quality assurance plan is implemented in every survey process. The plan defines the relationships between IEM and the subcontractors and details the quality assurance activities used throughout the CSEPP survey effort.</w:t>
      </w:r>
    </w:p>
    <w:p w:rsidR="004C3D4A" w:rsidRDefault="004C3D4A" w:rsidP="004C3D4A">
      <w:pPr>
        <w:pStyle w:val="ResponseLvl2"/>
      </w:pPr>
      <w:r>
        <w:t>Over the course of the survey work, CSEPP sites have chosen to modify and/or remove some of the core questions from their site questionnaire in order to produce a more customized survey instrument.</w:t>
      </w:r>
    </w:p>
    <w:p w:rsidR="004C3D4A" w:rsidRPr="00F26253" w:rsidRDefault="004C3D4A" w:rsidP="004C3D4A">
      <w:pPr>
        <w:pStyle w:val="ResponseLvl2"/>
        <w:rPr>
          <w:bCs/>
        </w:rPr>
      </w:pPr>
      <w:r w:rsidRPr="00F26253">
        <w:t xml:space="preserve">Prior independent research work on CSEPP sites conducted by the </w:t>
      </w:r>
      <w:smartTag w:uri="urn:schemas-microsoft-com:office:smarttags" w:element="place">
        <w:smartTag w:uri="urn:schemas-microsoft-com:office:smarttags" w:element="PlaceType">
          <w:r w:rsidRPr="00F26253">
            <w:t>University</w:t>
          </w:r>
        </w:smartTag>
        <w:r w:rsidRPr="00F26253">
          <w:t xml:space="preserve"> of </w:t>
        </w:r>
        <w:smartTag w:uri="urn:schemas-microsoft-com:office:smarttags" w:element="PlaceName">
          <w:r w:rsidRPr="00F26253">
            <w:t>Arizona</w:t>
          </w:r>
        </w:smartTag>
      </w:smartTag>
      <w:r w:rsidRPr="00F26253">
        <w:rPr>
          <w:rStyle w:val="FootnoteReference"/>
          <w:sz w:val="20"/>
        </w:rPr>
        <w:footnoteReference w:id="8"/>
      </w:r>
      <w:r w:rsidRPr="00F26253">
        <w:t xml:space="preserve"> and </w:t>
      </w:r>
      <w:r w:rsidRPr="00F26253">
        <w:rPr>
          <w:bCs/>
        </w:rPr>
        <w:t xml:space="preserve">by IEM </w:t>
      </w:r>
      <w:r w:rsidRPr="00F26253">
        <w:t xml:space="preserve">has been reviewed in order to replicate successes and avoid shortcomings. </w:t>
      </w:r>
      <w:r w:rsidRPr="00F26253">
        <w:rPr>
          <w:bCs/>
        </w:rPr>
        <w:t>Before each survey is conducted, IEM and the site</w:t>
      </w:r>
      <w:r>
        <w:rPr>
          <w:bCs/>
        </w:rPr>
        <w:t>’</w:t>
      </w:r>
      <w:r w:rsidRPr="00F26253">
        <w:rPr>
          <w:bCs/>
        </w:rPr>
        <w:t>s Public Affairs Officer (PAO) carefully examine the questionnaire, review previous survey results, review the sites</w:t>
      </w:r>
      <w:r>
        <w:rPr>
          <w:bCs/>
        </w:rPr>
        <w:t>’</w:t>
      </w:r>
      <w:r w:rsidRPr="00F26253">
        <w:rPr>
          <w:bCs/>
        </w:rPr>
        <w:t xml:space="preserve"> outreach campaigns and objectives, and make modifications where necessary.</w:t>
      </w:r>
      <w:r>
        <w:rPr>
          <w:bCs/>
        </w:rPr>
        <w:t xml:space="preserve"> </w:t>
      </w:r>
      <w:r w:rsidRPr="00F26253">
        <w:rPr>
          <w:bCs/>
        </w:rPr>
        <w:t>Questions found to yield inaccurate and/or unreliable results are eliminated and/or modified.</w:t>
      </w:r>
    </w:p>
    <w:p w:rsidR="004C3D4A" w:rsidRPr="00CB1261" w:rsidRDefault="004C3D4A" w:rsidP="004C3D4A">
      <w:pPr>
        <w:pStyle w:val="ResponseLvl2"/>
      </w:pPr>
      <w:r w:rsidRPr="00F26253">
        <w:rPr>
          <w:bCs/>
        </w:rPr>
        <w:t>Core survey questions are reviewed for accuracy and reliability within each site and across all participating sites and labeled as either “Optional” or “Essential”.</w:t>
      </w:r>
      <w:r>
        <w:rPr>
          <w:bCs/>
        </w:rPr>
        <w:t xml:space="preserve"> </w:t>
      </w:r>
      <w:r w:rsidRPr="00F26253">
        <w:t>CSEPP sites are also able to add site-specific questions to the questionnaire. These questions must go through a review process before they are incorporated into the survey. Site-specific questions are provided to IEM project personnel who review them for validity, reliability, clarity of content, and question bias. Questions are modified as necessary, and final versions of the site-specific questions are approved by the appropriate site and then incorporated into the survey.</w:t>
      </w:r>
    </w:p>
    <w:p w:rsidR="004C3D4A" w:rsidRDefault="004C3D4A" w:rsidP="004C3D4A">
      <w:pPr>
        <w:pStyle w:val="Question"/>
        <w:numPr>
          <w:ilvl w:val="1"/>
          <w:numId w:val="17"/>
        </w:numPr>
      </w:pPr>
      <w:r>
        <w:t>Unusual problems requiring specialized sampling procedures, and</w:t>
      </w:r>
    </w:p>
    <w:p w:rsidR="004C3D4A" w:rsidRDefault="004C3D4A" w:rsidP="004C3D4A">
      <w:pPr>
        <w:pStyle w:val="ResponseLvl2"/>
      </w:pPr>
      <w:r w:rsidRPr="00F26253">
        <w:t>For surveys with particularly low response rates and a substantial suspicion of non</w:t>
      </w:r>
      <w:r>
        <w:t>-</w:t>
      </w:r>
      <w:r w:rsidRPr="00F26253">
        <w:t>response bias, it may be necessary to collect an additional sub-sample of completed surveys from non</w:t>
      </w:r>
      <w:r>
        <w:t>-</w:t>
      </w:r>
      <w:r w:rsidRPr="00F26253">
        <w:t>respondents in order to confirm if non</w:t>
      </w:r>
      <w:r>
        <w:t>-</w:t>
      </w:r>
      <w:r w:rsidRPr="00F26253">
        <w:t>response bias is present in the sample and make adjustments if appropriate.</w:t>
      </w:r>
      <w:r w:rsidR="008B3F92">
        <w:t xml:space="preserve">  </w:t>
      </w:r>
    </w:p>
    <w:p w:rsidR="004C3D4A" w:rsidRDefault="004C3D4A" w:rsidP="004C3D4A">
      <w:pPr>
        <w:pStyle w:val="Question"/>
        <w:numPr>
          <w:ilvl w:val="1"/>
          <w:numId w:val="17"/>
        </w:numPr>
      </w:pPr>
      <w:r>
        <w:t>Any use of periodic (less frequent than annual) data collection cycles to reduce burden.</w:t>
      </w:r>
    </w:p>
    <w:p w:rsidR="004C3D4A" w:rsidRDefault="004C3D4A" w:rsidP="004C3D4A">
      <w:pPr>
        <w:pStyle w:val="ResponseLvl2"/>
        <w:rPr>
          <w:b/>
          <w:bCs/>
        </w:rPr>
      </w:pPr>
      <w:r w:rsidRPr="00F26253">
        <w:t>Program and survey objectives require annual collections.</w:t>
      </w:r>
      <w:r>
        <w:t xml:space="preserve"> </w:t>
      </w:r>
    </w:p>
    <w:p w:rsidR="004C3D4A" w:rsidRDefault="004C3D4A" w:rsidP="004C3D4A">
      <w:pPr>
        <w:pStyle w:val="Question"/>
      </w:pPr>
      <w:r>
        <w:t xml:space="preserve">Describe methods to maximize response rates and to deal with issues of non-response. The accuracy and reliability of information collected must be shown to be adequate for intended uses. For collections based on sampling, a special </w:t>
      </w:r>
      <w:r>
        <w:lastRenderedPageBreak/>
        <w:t>justification must be provided for any collection that will not yield “reliable” data that can be generalized to the universe studied.</w:t>
      </w:r>
    </w:p>
    <w:p w:rsidR="004C3D4A" w:rsidRPr="00F26253" w:rsidRDefault="004C3D4A" w:rsidP="004C3D4A">
      <w:pPr>
        <w:pStyle w:val="ResponseLvl1"/>
      </w:pPr>
      <w:r w:rsidRPr="00F26253">
        <w:rPr>
          <w:u w:val="single"/>
        </w:rPr>
        <w:t>Site Surveys</w:t>
      </w:r>
      <w:r w:rsidRPr="00F26253">
        <w:t>:</w:t>
      </w:r>
      <w:r>
        <w:t xml:space="preserve"> </w:t>
      </w:r>
      <w:r w:rsidRPr="00F26253">
        <w:t>Several measures, listed below, have been taken in order to maximize response rates for the telephone surveys:</w:t>
      </w:r>
    </w:p>
    <w:p w:rsidR="004C3D4A" w:rsidRPr="00F26253" w:rsidRDefault="004C3D4A" w:rsidP="004C3D4A">
      <w:pPr>
        <w:pStyle w:val="Bullet"/>
      </w:pPr>
      <w:r w:rsidRPr="00F26253">
        <w:t>At the beginning of the telephone call, respondents are told about the survey</w:t>
      </w:r>
      <w:r>
        <w:t>’</w:t>
      </w:r>
      <w:r w:rsidRPr="00F26253">
        <w:t xml:space="preserve">s purpose, estimated response time, and who is sponsoring and conducting the survey. </w:t>
      </w:r>
    </w:p>
    <w:p w:rsidR="004C3D4A" w:rsidRPr="00F26253" w:rsidRDefault="004C3D4A" w:rsidP="004C3D4A">
      <w:pPr>
        <w:pStyle w:val="Bullet"/>
        <w:rPr>
          <w:bCs/>
        </w:rPr>
      </w:pPr>
      <w:r w:rsidRPr="00F26253">
        <w:rPr>
          <w:bCs/>
        </w:rPr>
        <w:t>The length of the survey phone interviews are kept to 15 minutes or less.</w:t>
      </w:r>
    </w:p>
    <w:p w:rsidR="004C3D4A" w:rsidRPr="00F26253" w:rsidRDefault="004C3D4A" w:rsidP="004C3D4A">
      <w:pPr>
        <w:pStyle w:val="Bullet"/>
        <w:rPr>
          <w:bCs/>
        </w:rPr>
      </w:pPr>
      <w:r w:rsidRPr="00F26253">
        <w:rPr>
          <w:bCs/>
        </w:rPr>
        <w:t xml:space="preserve">The survey </w:t>
      </w:r>
      <w:r w:rsidRPr="00F26253">
        <w:t>interviewers are thoroughly trained.</w:t>
      </w:r>
    </w:p>
    <w:p w:rsidR="004C3D4A" w:rsidRDefault="004C3D4A" w:rsidP="004C3D4A">
      <w:pPr>
        <w:pStyle w:val="Bullet"/>
        <w:rPr>
          <w:bCs/>
        </w:rPr>
      </w:pPr>
      <w:r w:rsidRPr="00F26253">
        <w:rPr>
          <w:bCs/>
        </w:rPr>
        <w:t>The data collection company, CR Dynamics, is able to partially complete phone interviews and then call-back and finish the interview at a different time.</w:t>
      </w:r>
      <w:r>
        <w:rPr>
          <w:bCs/>
        </w:rPr>
        <w:t xml:space="preserve"> </w:t>
      </w:r>
    </w:p>
    <w:p w:rsidR="004C3D4A" w:rsidRPr="00F26253" w:rsidRDefault="004C3D4A" w:rsidP="004C3D4A">
      <w:pPr>
        <w:pStyle w:val="Bullet"/>
        <w:rPr>
          <w:bCs/>
        </w:rPr>
      </w:pPr>
      <w:r>
        <w:rPr>
          <w:bCs/>
        </w:rPr>
        <w:t>The telephone database provider company, Genesys, will use the most comprehensive screening tool available to increase the productivity of the sample numbers.</w:t>
      </w:r>
    </w:p>
    <w:p w:rsidR="004C3D4A" w:rsidRPr="00F26253" w:rsidRDefault="004C3D4A" w:rsidP="004C3D4A">
      <w:pPr>
        <w:pStyle w:val="ResponseLvl1"/>
      </w:pPr>
      <w:r w:rsidRPr="00F26253">
        <w:rPr>
          <w:u w:val="single"/>
        </w:rPr>
        <w:t>Control for Non-Response Bias:</w:t>
      </w:r>
      <w:r>
        <w:t xml:space="preserve"> </w:t>
      </w:r>
      <w:r w:rsidRPr="00F26253">
        <w:t>To avoid the possibility of under</w:t>
      </w:r>
      <w:r>
        <w:t>-</w:t>
      </w:r>
      <w:r w:rsidRPr="00F26253">
        <w:t>representing a certain subgroup of the population, many CSEPP sites have chosen to use a stratified sample and/or over-sample a certain subgroup of individuals. If there is substantial suspicion of a non-response bias in the survey results, a sub-sample of the nonrespondents will be collected and analyzed. If a nonresponse bias is found in the analysis</w:t>
      </w:r>
      <w:r>
        <w:t>,</w:t>
      </w:r>
      <w:r w:rsidRPr="00F26253">
        <w:t xml:space="preserve"> we would use weights to adjust the data for nonresponse. From the analysis of the respondents and nonrepondents</w:t>
      </w:r>
      <w:r>
        <w:t>,</w:t>
      </w:r>
      <w:r w:rsidRPr="00F26253">
        <w:t xml:space="preserve"> we would determine the probability of responding to the survey for each person, which we will call A</w:t>
      </w:r>
      <w:r w:rsidRPr="00F26253">
        <w:rPr>
          <w:i/>
        </w:rPr>
        <w:t>i</w:t>
      </w:r>
      <w:r w:rsidRPr="00F26253">
        <w:t xml:space="preserve"> for person </w:t>
      </w:r>
      <w:r w:rsidRPr="00F26253">
        <w:rPr>
          <w:i/>
        </w:rPr>
        <w:t>i</w:t>
      </w:r>
      <w:r w:rsidRPr="00F26253">
        <w:t xml:space="preserve">. We would then calculate the probability that person </w:t>
      </w:r>
      <w:r w:rsidRPr="00F26253">
        <w:rPr>
          <w:i/>
        </w:rPr>
        <w:t>i</w:t>
      </w:r>
      <w:r w:rsidRPr="00F26253">
        <w:t xml:space="preserve"> is measured in the survey,</w:t>
      </w:r>
      <w:r>
        <w:t xml:space="preserve"> </w:t>
      </w:r>
      <w:r w:rsidRPr="00F26253">
        <w:t>P</w:t>
      </w:r>
      <w:r>
        <w:t xml:space="preserve"> </w:t>
      </w:r>
      <w:r w:rsidRPr="00F26253">
        <w:t xml:space="preserve">(unit </w:t>
      </w:r>
      <w:r w:rsidRPr="00F26253">
        <w:rPr>
          <w:i/>
        </w:rPr>
        <w:t>i</w:t>
      </w:r>
      <w:r w:rsidRPr="00F26253">
        <w:t xml:space="preserve"> selected in the sample and responds) = A</w:t>
      </w:r>
      <w:r w:rsidRPr="00F26253">
        <w:rPr>
          <w:i/>
        </w:rPr>
        <w:t>i</w:t>
      </w:r>
      <w:r w:rsidRPr="00F26253">
        <w:t>B</w:t>
      </w:r>
      <w:r w:rsidRPr="00F26253">
        <w:rPr>
          <w:i/>
        </w:rPr>
        <w:t>i</w:t>
      </w:r>
      <w:r w:rsidRPr="00F26253">
        <w:t>, where B</w:t>
      </w:r>
      <w:r w:rsidRPr="00F26253">
        <w:rPr>
          <w:i/>
        </w:rPr>
        <w:t>i</w:t>
      </w:r>
      <w:r w:rsidRPr="00F26253">
        <w:t xml:space="preserve"> is the probability that person </w:t>
      </w:r>
      <w:r w:rsidRPr="00F26253">
        <w:rPr>
          <w:i/>
        </w:rPr>
        <w:t>i</w:t>
      </w:r>
      <w:r w:rsidRPr="00F26253">
        <w:t xml:space="preserve"> will be selected in the sample. The final weight for each person </w:t>
      </w:r>
      <w:proofErr w:type="spellStart"/>
      <w:r w:rsidRPr="00F26253">
        <w:rPr>
          <w:i/>
        </w:rPr>
        <w:t>i</w:t>
      </w:r>
      <w:proofErr w:type="spellEnd"/>
      <w:r w:rsidRPr="00F26253">
        <w:t xml:space="preserve"> will be</w:t>
      </w:r>
      <w:proofErr w:type="gramStart"/>
      <w:r>
        <w:t>:</w:t>
      </w:r>
      <w:r>
        <w:br/>
      </w:r>
      <w:r w:rsidRPr="00F26253">
        <w:rPr>
          <w:position w:val="-32"/>
        </w:rPr>
        <w:object w:dxaOrig="560" w:dyaOrig="700">
          <v:shape id="_x0000_i1043" type="#_x0000_t75" style="width:27.75pt;height:35.25pt" o:ole="">
            <v:imagedata r:id="rId48" o:title=""/>
          </v:shape>
          <o:OLEObject Type="Embed" ProgID="Equation.3" ShapeID="_x0000_i1043" DrawAspect="Content" ObjectID="_1378897972" r:id="rId49"/>
        </w:object>
      </w:r>
      <w:r w:rsidRPr="00F26253">
        <w:t>.</w:t>
      </w:r>
      <w:proofErr w:type="gramEnd"/>
      <w:r w:rsidRPr="00F26253">
        <w:rPr>
          <w:rStyle w:val="FootnoteReference"/>
          <w:bCs/>
        </w:rPr>
        <w:footnoteReference w:id="9"/>
      </w:r>
    </w:p>
    <w:p w:rsidR="004C3D4A" w:rsidRDefault="004C3D4A" w:rsidP="004C3D4A">
      <w:pPr>
        <w:pStyle w:val="Question"/>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C3D4A" w:rsidRPr="00CB1261" w:rsidRDefault="004C3D4A" w:rsidP="004C3D4A">
      <w:pPr>
        <w:pStyle w:val="ResponseLvl1"/>
        <w:rPr>
          <w:u w:val="single"/>
        </w:rPr>
      </w:pPr>
      <w:r w:rsidRPr="00CB1261">
        <w:rPr>
          <w:u w:val="single"/>
        </w:rPr>
        <w:t>Pilot Test</w:t>
      </w:r>
    </w:p>
    <w:p w:rsidR="004C3D4A" w:rsidRPr="00F26253" w:rsidRDefault="004C3D4A" w:rsidP="004C3D4A">
      <w:pPr>
        <w:pStyle w:val="ResponseLvl1"/>
      </w:pPr>
      <w:r w:rsidRPr="00F26253">
        <w:t>At the beginning of each site survey collection period</w:t>
      </w:r>
      <w:r>
        <w:t>,</w:t>
      </w:r>
      <w:r w:rsidRPr="00F26253">
        <w:t xml:space="preserve"> a pilot test </w:t>
      </w:r>
      <w:r>
        <w:t xml:space="preserve">was </w:t>
      </w:r>
      <w:r w:rsidRPr="00F26253">
        <w:t>conducted to</w:t>
      </w:r>
      <w:r>
        <w:t xml:space="preserve"> </w:t>
      </w:r>
      <w:r w:rsidRPr="00F26253">
        <w:t>discover any potential problems with the survey instrument or process.</w:t>
      </w:r>
      <w:r>
        <w:t xml:space="preserve"> To ensure that the call takers have received adequate training on the survey script, a</w:t>
      </w:r>
      <w:r w:rsidRPr="00F26253">
        <w:t xml:space="preserve"> minimum of one </w:t>
      </w:r>
      <w:r w:rsidRPr="00F26253">
        <w:lastRenderedPageBreak/>
        <w:t xml:space="preserve">complete call per call-taker is conducted </w:t>
      </w:r>
      <w:r>
        <w:t>on</w:t>
      </w:r>
      <w:r w:rsidRPr="00F26253">
        <w:t xml:space="preserve"> the</w:t>
      </w:r>
      <w:r>
        <w:t xml:space="preserve"> first day</w:t>
      </w:r>
      <w:r w:rsidRPr="00F26253">
        <w:t xml:space="preserve">. For quality assurance purposes, CR Dynamics provides IEM the ability to monitor the </w:t>
      </w:r>
      <w:r>
        <w:t xml:space="preserve">live </w:t>
      </w:r>
      <w:r w:rsidRPr="00F26253">
        <w:t xml:space="preserve">calls. Data from the </w:t>
      </w:r>
      <w:r>
        <w:t xml:space="preserve">first night </w:t>
      </w:r>
      <w:r w:rsidRPr="00F26253">
        <w:t>is reviewed by IEM and improvements are made to the survey process as deemed necessary.</w:t>
      </w:r>
    </w:p>
    <w:p w:rsidR="004C3D4A" w:rsidRDefault="004C3D4A" w:rsidP="004C3D4A">
      <w:pPr>
        <w:pStyle w:val="Question"/>
      </w:pPr>
      <w:r w:rsidRPr="0012366D">
        <w:t>Provide the name and telephone number of individuals consulted on statistical aspects of the design and the name of the agency unit, contractor(s), grantee(s), or other person(s) who will actually collect and/or analyze the information for the agency.</w:t>
      </w:r>
      <w:r w:rsidR="00A75324" w:rsidRPr="0012366D">
        <w:fldChar w:fldCharType="begin"/>
      </w:r>
      <w:r w:rsidRPr="0012366D">
        <w:instrText>ADVANCE \R 0.95</w:instrText>
      </w:r>
      <w:r w:rsidR="00A75324" w:rsidRPr="0012366D">
        <w:fldChar w:fldCharType="end"/>
      </w:r>
    </w:p>
    <w:p w:rsidR="004C3D4A" w:rsidRPr="00CB1261" w:rsidRDefault="004C3D4A" w:rsidP="004C3D4A">
      <w:pPr>
        <w:pStyle w:val="ResponseLvl1"/>
        <w:rPr>
          <w:b/>
        </w:rPr>
      </w:pPr>
      <w:r w:rsidRPr="00CB1261">
        <w:rPr>
          <w:b/>
        </w:rPr>
        <w:t>Innovative Emergency Management, Inc.</w:t>
      </w:r>
    </w:p>
    <w:p w:rsidR="004C3D4A" w:rsidRPr="004A33FF" w:rsidRDefault="004C3D4A" w:rsidP="004C3D4A">
      <w:pPr>
        <w:pStyle w:val="ResponseLvl1"/>
      </w:pPr>
      <w:r w:rsidRPr="00F26253">
        <w:t>Jack Long, Project Manager</w:t>
      </w:r>
      <w:r>
        <w:br/>
      </w:r>
      <w:r w:rsidRPr="00F26253">
        <w:t>2014 Tollgate Road, Suite 208</w:t>
      </w:r>
      <w:r>
        <w:br/>
      </w:r>
      <w:r w:rsidRPr="00F26253">
        <w:t>Bel Air, MD 21015</w:t>
      </w:r>
      <w:r>
        <w:br/>
      </w:r>
      <w:r w:rsidRPr="00F26253">
        <w:t>410-569-8191</w:t>
      </w:r>
      <w:r>
        <w:br/>
      </w:r>
      <w:r w:rsidRPr="00F26253">
        <w:t>410-569-9553 (fax)</w:t>
      </w:r>
      <w:r>
        <w:br/>
      </w:r>
      <w:r w:rsidRPr="002F79AD">
        <w:t>jack.long@iem.com</w:t>
      </w:r>
      <w:r>
        <w:t xml:space="preserve"> </w:t>
      </w:r>
    </w:p>
    <w:p w:rsidR="002F79AD" w:rsidRDefault="002F79AD" w:rsidP="002F79AD">
      <w:pPr>
        <w:pStyle w:val="ResponseLvl1"/>
      </w:pPr>
      <w:r>
        <w:t>Glenna Gordon</w:t>
      </w:r>
      <w:r w:rsidR="004C3D4A">
        <w:t>, Technical Point of Contact</w:t>
      </w:r>
      <w:bookmarkStart w:id="2" w:name="OLE_LINK4"/>
      <w:bookmarkStart w:id="3" w:name="OLE_LINK5"/>
      <w:r w:rsidR="004C3D4A">
        <w:br/>
      </w:r>
      <w:bookmarkEnd w:id="2"/>
      <w:bookmarkEnd w:id="3"/>
      <w:r w:rsidRPr="002F79AD">
        <w:rPr>
          <w:color w:val="303030"/>
        </w:rPr>
        <w:t>2400 Ellis Road, Suite 200</w:t>
      </w:r>
      <w:r w:rsidRPr="002F79AD">
        <w:rPr>
          <w:color w:val="303030"/>
        </w:rPr>
        <w:br/>
        <w:t>Research Triangle Park, NC 27703</w:t>
      </w:r>
      <w:r w:rsidR="004C3D4A" w:rsidRPr="002F79AD">
        <w:t>225-526-8852</w:t>
      </w:r>
      <w:r w:rsidR="004C3D4A" w:rsidRPr="002F79AD">
        <w:br/>
      </w:r>
      <w:r w:rsidRPr="002F79AD">
        <w:t>919-237-7454</w:t>
      </w:r>
      <w:r>
        <w:rPr>
          <w:color w:val="808080"/>
        </w:rPr>
        <w:t xml:space="preserve">                                                                                            </w:t>
      </w:r>
      <w:r w:rsidRPr="002F79AD">
        <w:t>glenna.gordon@iem.com</w:t>
      </w:r>
    </w:p>
    <w:p w:rsidR="002F79AD" w:rsidRDefault="004C3D4A" w:rsidP="004C3D4A">
      <w:pPr>
        <w:pStyle w:val="ResponseLvl1"/>
      </w:pPr>
      <w:r>
        <w:t>Sangeeta Singh</w:t>
      </w:r>
      <w:r w:rsidRPr="00F26253">
        <w:t>, Technical Point of Contact</w:t>
      </w:r>
      <w:r>
        <w:br/>
        <w:t>8550 United Plaza Boulevard</w:t>
      </w:r>
      <w:r>
        <w:br/>
        <w:t>Suite 501</w:t>
      </w:r>
      <w:r>
        <w:br/>
        <w:t>Baton Rouge, LA 70809-0200</w:t>
      </w:r>
      <w:r>
        <w:br/>
        <w:t>225-368-6765</w:t>
      </w:r>
      <w:r>
        <w:br/>
        <w:t>225-526-8920</w:t>
      </w:r>
      <w:r w:rsidRPr="00F26253">
        <w:t>(fax)</w:t>
      </w:r>
      <w:r>
        <w:br/>
      </w:r>
      <w:r w:rsidRPr="00CB1261">
        <w:t>sangeeta.singh@iem.com</w:t>
      </w:r>
    </w:p>
    <w:p w:rsidR="004C3D4A" w:rsidRPr="00F26253" w:rsidRDefault="004C3D4A" w:rsidP="004C3D4A">
      <w:pPr>
        <w:pStyle w:val="ResponseLvl1"/>
        <w:rPr>
          <w:b/>
          <w:bCs/>
        </w:rPr>
      </w:pPr>
      <w:r w:rsidRPr="00F26253">
        <w:rPr>
          <w:b/>
          <w:bCs/>
        </w:rPr>
        <w:t>CR Dynamics &amp; Associates, Inc.</w:t>
      </w:r>
    </w:p>
    <w:p w:rsidR="004C3D4A" w:rsidRPr="00CB1261" w:rsidRDefault="004C3D4A" w:rsidP="004C3D4A">
      <w:pPr>
        <w:pStyle w:val="ResponseLvl1"/>
      </w:pPr>
      <w:smartTag w:uri="urn:schemas-microsoft-com:office:smarttags" w:element="PersonName">
        <w:r w:rsidRPr="00CB1261">
          <w:t>Patty Ramos</w:t>
        </w:r>
      </w:smartTag>
      <w:r w:rsidRPr="00CB1261">
        <w:t>, VP of Operations</w:t>
      </w:r>
      <w:r>
        <w:br/>
      </w:r>
      <w:smartTag w:uri="urn:schemas-microsoft-com:office:smarttags" w:element="Street">
        <w:smartTag w:uri="urn:schemas-microsoft-com:office:smarttags" w:element="address">
          <w:r w:rsidRPr="00CB1261">
            <w:t>7 East Redwood Street</w:t>
          </w:r>
        </w:smartTag>
      </w:smartTag>
      <w:r w:rsidRPr="00CB1261">
        <w:t>, 6th Floor</w:t>
      </w:r>
      <w:r>
        <w:br/>
      </w:r>
      <w:smartTag w:uri="urn:schemas-microsoft-com:office:smarttags" w:element="place">
        <w:smartTag w:uri="urn:schemas-microsoft-com:office:smarttags" w:element="City">
          <w:r w:rsidRPr="00CB1261">
            <w:t>Baltimore</w:t>
          </w:r>
        </w:smartTag>
        <w:r w:rsidRPr="00CB1261">
          <w:t xml:space="preserve">, </w:t>
        </w:r>
        <w:smartTag w:uri="urn:schemas-microsoft-com:office:smarttags" w:element="State">
          <w:r w:rsidRPr="00CB1261">
            <w:t>MD</w:t>
          </w:r>
        </w:smartTag>
        <w:r w:rsidRPr="00CB1261">
          <w:t xml:space="preserve"> </w:t>
        </w:r>
        <w:smartTag w:uri="urn:schemas-microsoft-com:office:smarttags" w:element="PostalCode">
          <w:r w:rsidRPr="00CB1261">
            <w:t>21202</w:t>
          </w:r>
        </w:smartTag>
      </w:smartTag>
      <w:r>
        <w:br/>
      </w:r>
      <w:r w:rsidRPr="00CB1261">
        <w:t>410-347-5600, ext 203</w:t>
      </w:r>
      <w:r>
        <w:br/>
      </w:r>
      <w:r w:rsidRPr="00CB1261">
        <w:t>410-347-5603</w:t>
      </w:r>
      <w:r>
        <w:br/>
      </w:r>
      <w:hyperlink r:id="rId50" w:history="1">
        <w:r w:rsidRPr="00CB1261">
          <w:t>patty@crdynamics.com</w:t>
        </w:r>
      </w:hyperlink>
      <w:r w:rsidRPr="00CB1261">
        <w:t xml:space="preserve"> </w:t>
      </w:r>
    </w:p>
    <w:p w:rsidR="004C3D4A" w:rsidRPr="00CB1261" w:rsidRDefault="004C3D4A" w:rsidP="004C3D4A">
      <w:pPr>
        <w:pStyle w:val="ResponseLvl1"/>
      </w:pPr>
      <w:r w:rsidRPr="00CB1261">
        <w:t>James Harris, MIS Director</w:t>
      </w:r>
      <w:r>
        <w:br/>
      </w:r>
      <w:r w:rsidRPr="00CB1261">
        <w:t>7 East Redwood Street, 6th Floor</w:t>
      </w:r>
      <w:r>
        <w:br/>
      </w:r>
      <w:smartTag w:uri="urn:schemas-microsoft-com:office:smarttags" w:element="place">
        <w:smartTag w:uri="urn:schemas-microsoft-com:office:smarttags" w:element="City">
          <w:r w:rsidRPr="00CB1261">
            <w:t>Baltimore</w:t>
          </w:r>
        </w:smartTag>
        <w:r w:rsidRPr="00CB1261">
          <w:t xml:space="preserve">, </w:t>
        </w:r>
        <w:smartTag w:uri="urn:schemas-microsoft-com:office:smarttags" w:element="State">
          <w:r w:rsidRPr="00CB1261">
            <w:t>MD</w:t>
          </w:r>
        </w:smartTag>
        <w:r w:rsidRPr="00CB1261">
          <w:t xml:space="preserve"> </w:t>
        </w:r>
        <w:smartTag w:uri="urn:schemas-microsoft-com:office:smarttags" w:element="PostalCode">
          <w:r w:rsidRPr="00CB1261">
            <w:t>21202</w:t>
          </w:r>
        </w:smartTag>
      </w:smartTag>
      <w:r>
        <w:br/>
      </w:r>
      <w:r w:rsidRPr="00CB1261">
        <w:t>410.347.5600, ext 204</w:t>
      </w:r>
      <w:r>
        <w:br/>
      </w:r>
      <w:r w:rsidRPr="00CB1261">
        <w:t>410.347.5603 (fax)</w:t>
      </w:r>
      <w:r>
        <w:br/>
      </w:r>
      <w:hyperlink r:id="rId51" w:history="1">
        <w:r w:rsidRPr="00CB1261">
          <w:t>james@crdynamics.com</w:t>
        </w:r>
      </w:hyperlink>
      <w:r w:rsidRPr="00CB1261">
        <w:t xml:space="preserve"> </w:t>
      </w:r>
    </w:p>
    <w:p w:rsidR="004C3D4A" w:rsidRPr="00F26253" w:rsidRDefault="004C3D4A" w:rsidP="004C3D4A">
      <w:pPr>
        <w:pStyle w:val="ResponseLvl1"/>
        <w:rPr>
          <w:b/>
          <w:bCs/>
        </w:rPr>
      </w:pPr>
      <w:r w:rsidRPr="00F26253">
        <w:rPr>
          <w:b/>
          <w:bCs/>
        </w:rPr>
        <w:lastRenderedPageBreak/>
        <w:t>Genesys Sampling</w:t>
      </w:r>
    </w:p>
    <w:p w:rsidR="004C3D4A" w:rsidRPr="00CB1261" w:rsidRDefault="004C3D4A" w:rsidP="004C3D4A">
      <w:pPr>
        <w:pStyle w:val="ResponseLvl1"/>
      </w:pPr>
      <w:r w:rsidRPr="00CB1261">
        <w:t>Ashley Hyon</w:t>
      </w:r>
      <w:r>
        <w:br/>
      </w:r>
      <w:r w:rsidRPr="00CB1261">
        <w:t>Marketing Systems Group</w:t>
      </w:r>
      <w:r>
        <w:br/>
      </w:r>
      <w:smartTag w:uri="urn:schemas-microsoft-com:office:smarttags" w:element="address">
        <w:smartTag w:uri="urn:schemas-microsoft-com:office:smarttags" w:element="Street">
          <w:r w:rsidRPr="00CB1261">
            <w:t>565 Virginia Drive</w:t>
          </w:r>
        </w:smartTag>
        <w:r>
          <w:br/>
        </w:r>
        <w:smartTag w:uri="urn:schemas-microsoft-com:office:smarttags" w:element="City">
          <w:r w:rsidRPr="00CB1261">
            <w:t>Fort Washington</w:t>
          </w:r>
        </w:smartTag>
        <w:r w:rsidRPr="00CB1261">
          <w:t xml:space="preserve">, </w:t>
        </w:r>
        <w:smartTag w:uri="urn:schemas-microsoft-com:office:smarttags" w:element="State">
          <w:r w:rsidRPr="00CB1261">
            <w:t>PA</w:t>
          </w:r>
        </w:smartTag>
        <w:r w:rsidRPr="00CB1261">
          <w:t xml:space="preserve"> </w:t>
        </w:r>
        <w:smartTag w:uri="urn:schemas-microsoft-com:office:smarttags" w:element="PostalCode">
          <w:r w:rsidRPr="00CB1261">
            <w:t>19034</w:t>
          </w:r>
        </w:smartTag>
      </w:smartTag>
      <w:r>
        <w:br/>
      </w:r>
      <w:r w:rsidRPr="00CB1261">
        <w:t>215-653-7100</w:t>
      </w:r>
      <w:r>
        <w:br/>
      </w:r>
      <w:r w:rsidRPr="00CB1261">
        <w:t>(215) 653-7114 (fax)</w:t>
      </w:r>
      <w:r>
        <w:br/>
      </w:r>
      <w:hyperlink r:id="rId52" w:history="1">
        <w:r w:rsidRPr="00CB1261">
          <w:t>ahyon@m-s-g.com</w:t>
        </w:r>
      </w:hyperlink>
      <w:r w:rsidRPr="00CB1261">
        <w:t xml:space="preserve"> </w:t>
      </w:r>
    </w:p>
    <w:p w:rsidR="004C3D4A" w:rsidRPr="00F26253" w:rsidRDefault="004C3D4A" w:rsidP="004C3D4A">
      <w:pPr>
        <w:pStyle w:val="ResponseLvl1"/>
        <w:rPr>
          <w:b/>
          <w:bCs/>
        </w:rPr>
      </w:pPr>
      <w:r w:rsidRPr="00F26253">
        <w:rPr>
          <w:b/>
          <w:bCs/>
        </w:rPr>
        <w:t xml:space="preserve">FEMA-Information Resources Management Branch, IC-Records Management </w:t>
      </w:r>
    </w:p>
    <w:p w:rsidR="004A1F8E" w:rsidRDefault="004C3D4A">
      <w:pPr>
        <w:pStyle w:val="ResponseLvl1"/>
        <w:rPr>
          <w:b/>
        </w:rPr>
      </w:pPr>
      <w:r w:rsidRPr="00C73916">
        <w:t>Nicole Bouchet</w:t>
      </w:r>
      <w:r>
        <w:br/>
      </w:r>
      <w:r w:rsidRPr="00CB1261">
        <w:t>Statistician, Records Management Division</w:t>
      </w:r>
      <w:r>
        <w:br/>
      </w:r>
      <w:r w:rsidRPr="00CB1261">
        <w:t>Office of Management</w:t>
      </w:r>
      <w:r>
        <w:br/>
      </w:r>
      <w:r w:rsidRPr="00CB1261">
        <w:t>Federal Emergency Management Agency</w:t>
      </w:r>
      <w:r>
        <w:br/>
      </w:r>
      <w:r w:rsidRPr="00CB1261">
        <w:t>Attention: OM-RM</w:t>
      </w:r>
      <w:r>
        <w:br/>
      </w:r>
      <w:r w:rsidRPr="00CB1261">
        <w:t>500 C Street, SW</w:t>
      </w:r>
      <w:r>
        <w:br/>
      </w:r>
      <w:r w:rsidRPr="00CB1261">
        <w:t>Washington, DC 20472</w:t>
      </w:r>
      <w:r>
        <w:br/>
      </w:r>
      <w:r w:rsidRPr="00C73916">
        <w:t>Tele: (202) 646-2814</w:t>
      </w:r>
      <w:r>
        <w:br/>
      </w:r>
      <w:r w:rsidRPr="00C73916">
        <w:t>Fax: (202) 646-3347</w:t>
      </w:r>
    </w:p>
    <w:sectPr w:rsidR="004A1F8E" w:rsidSect="006574C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80F" w:rsidRDefault="0084380F">
      <w:r>
        <w:separator/>
      </w:r>
    </w:p>
  </w:endnote>
  <w:endnote w:type="continuationSeparator" w:id="0">
    <w:p w:rsidR="0084380F" w:rsidRDefault="0084380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0F" w:rsidRDefault="00A75324" w:rsidP="00616F94">
    <w:pPr>
      <w:pStyle w:val="Footer"/>
      <w:framePr w:wrap="around" w:vAnchor="text" w:hAnchor="margin" w:xAlign="center" w:y="1"/>
      <w:rPr>
        <w:rStyle w:val="PageNumber"/>
      </w:rPr>
    </w:pPr>
    <w:r>
      <w:rPr>
        <w:rStyle w:val="PageNumber"/>
      </w:rPr>
      <w:fldChar w:fldCharType="begin"/>
    </w:r>
    <w:r w:rsidR="0084380F">
      <w:rPr>
        <w:rStyle w:val="PageNumber"/>
      </w:rPr>
      <w:instrText xml:space="preserve">PAGE  </w:instrText>
    </w:r>
    <w:r>
      <w:rPr>
        <w:rStyle w:val="PageNumber"/>
      </w:rPr>
      <w:fldChar w:fldCharType="end"/>
    </w:r>
  </w:p>
  <w:p w:rsidR="0084380F" w:rsidRDefault="008438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0F" w:rsidRDefault="00A75324" w:rsidP="00616F94">
    <w:pPr>
      <w:pStyle w:val="Footer"/>
      <w:ind w:right="360"/>
      <w:jc w:val="center"/>
    </w:pPr>
    <w:r>
      <w:rPr>
        <w:rStyle w:val="PageNumber"/>
      </w:rPr>
      <w:fldChar w:fldCharType="begin"/>
    </w:r>
    <w:r w:rsidR="0084380F">
      <w:rPr>
        <w:rStyle w:val="PageNumber"/>
      </w:rPr>
      <w:instrText xml:space="preserve"> PAGE </w:instrText>
    </w:r>
    <w:r>
      <w:rPr>
        <w:rStyle w:val="PageNumber"/>
      </w:rPr>
      <w:fldChar w:fldCharType="separate"/>
    </w:r>
    <w:r w:rsidR="007B2E00">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0F" w:rsidRDefault="00A75324" w:rsidP="005C41F4">
    <w:pPr>
      <w:pStyle w:val="Footer"/>
      <w:framePr w:wrap="around" w:vAnchor="text" w:hAnchor="margin" w:xAlign="center" w:y="1"/>
      <w:rPr>
        <w:rStyle w:val="PageNumber"/>
      </w:rPr>
    </w:pPr>
    <w:r>
      <w:rPr>
        <w:rStyle w:val="PageNumber"/>
      </w:rPr>
      <w:fldChar w:fldCharType="begin"/>
    </w:r>
    <w:r w:rsidR="0084380F">
      <w:rPr>
        <w:rStyle w:val="PageNumber"/>
      </w:rPr>
      <w:instrText xml:space="preserve">PAGE  </w:instrText>
    </w:r>
    <w:r>
      <w:rPr>
        <w:rStyle w:val="PageNumber"/>
      </w:rPr>
      <w:fldChar w:fldCharType="end"/>
    </w:r>
  </w:p>
  <w:p w:rsidR="0084380F" w:rsidRDefault="0084380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0F" w:rsidRDefault="00A75324" w:rsidP="005C41F4">
    <w:pPr>
      <w:pStyle w:val="Footer"/>
      <w:framePr w:wrap="around" w:vAnchor="text" w:hAnchor="margin" w:xAlign="center" w:y="1"/>
      <w:rPr>
        <w:rStyle w:val="PageNumber"/>
      </w:rPr>
    </w:pPr>
    <w:r>
      <w:rPr>
        <w:rStyle w:val="PageNumber"/>
      </w:rPr>
      <w:fldChar w:fldCharType="begin"/>
    </w:r>
    <w:r w:rsidR="0084380F">
      <w:rPr>
        <w:rStyle w:val="PageNumber"/>
      </w:rPr>
      <w:instrText xml:space="preserve">PAGE  </w:instrText>
    </w:r>
    <w:r>
      <w:rPr>
        <w:rStyle w:val="PageNumber"/>
      </w:rPr>
      <w:fldChar w:fldCharType="separate"/>
    </w:r>
    <w:r w:rsidR="007B2E00">
      <w:rPr>
        <w:rStyle w:val="PageNumber"/>
        <w:noProof/>
      </w:rPr>
      <w:t>7</w:t>
    </w:r>
    <w:r>
      <w:rPr>
        <w:rStyle w:val="PageNumber"/>
      </w:rPr>
      <w:fldChar w:fldCharType="end"/>
    </w:r>
  </w:p>
  <w:p w:rsidR="0084380F" w:rsidRDefault="0084380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80F" w:rsidRDefault="0084380F">
      <w:r>
        <w:separator/>
      </w:r>
    </w:p>
  </w:footnote>
  <w:footnote w:type="continuationSeparator" w:id="0">
    <w:p w:rsidR="0084380F" w:rsidRDefault="0084380F">
      <w:r>
        <w:continuationSeparator/>
      </w:r>
    </w:p>
  </w:footnote>
  <w:footnote w:id="1">
    <w:p w:rsidR="0084380F" w:rsidRDefault="0084380F" w:rsidP="00F873A8">
      <w:pPr>
        <w:pStyle w:val="FootnoteText"/>
      </w:pPr>
      <w:r>
        <w:rPr>
          <w:rStyle w:val="FootnoteReference"/>
        </w:rPr>
        <w:footnoteRef/>
      </w:r>
      <w:r>
        <w:t xml:space="preserve"> </w:t>
      </w:r>
      <w:hyperlink r:id="rId1" w:history="1">
        <w:r w:rsidRPr="00441FFE">
          <w:rPr>
            <w:rStyle w:val="Hyperlink"/>
          </w:rPr>
          <w:t xml:space="preserve">http://www.aapor.org/default.asp?page=survey_methods/standards_and_best_practices/ </w:t>
        </w:r>
        <w:proofErr w:type="spellStart"/>
        <w:r w:rsidRPr="00441FFE">
          <w:rPr>
            <w:rStyle w:val="Hyperlink"/>
          </w:rPr>
          <w:t>standard_definitions</w:t>
        </w:r>
        <w:proofErr w:type="spellEnd"/>
      </w:hyperlink>
      <w:r>
        <w:t xml:space="preserve"> </w:t>
      </w:r>
    </w:p>
  </w:footnote>
  <w:footnote w:id="2">
    <w:p w:rsidR="0084380F" w:rsidRDefault="0084380F" w:rsidP="004C3D4A">
      <w:pPr>
        <w:pStyle w:val="FootnoteText"/>
      </w:pPr>
      <w:r>
        <w:rPr>
          <w:rStyle w:val="FootnoteReference"/>
        </w:rPr>
        <w:footnoteRef/>
      </w:r>
      <w:r>
        <w:t xml:space="preserve"> In order to make valid comparisons between sub-groups, the PA </w:t>
      </w:r>
      <w:smartTag w:uri="urn:schemas-microsoft-com:office:smarttags" w:element="stockticker">
        <w:r>
          <w:t>IPT</w:t>
        </w:r>
      </w:smartTag>
      <w:r>
        <w:t xml:space="preserve"> has required that each sub-group have a minimum of 30 survey respondents.</w:t>
      </w:r>
    </w:p>
  </w:footnote>
  <w:footnote w:id="3">
    <w:p w:rsidR="0084380F" w:rsidRDefault="0084380F" w:rsidP="004C3D4A">
      <w:pPr>
        <w:pStyle w:val="FootnoteText"/>
      </w:pPr>
      <w:r>
        <w:rPr>
          <w:rStyle w:val="FootnoteReference"/>
        </w:rPr>
        <w:footnoteRef/>
      </w:r>
      <w:r>
        <w:t xml:space="preserve"> </w:t>
      </w:r>
      <w:proofErr w:type="spellStart"/>
      <w:r>
        <w:t>Lohr</w:t>
      </w:r>
      <w:proofErr w:type="spellEnd"/>
      <w:r>
        <w:t>, Sharon L. (1999) Sampling Design and Analysis. Brooks/Cole Publishing Company, p. 103.</w:t>
      </w:r>
    </w:p>
  </w:footnote>
  <w:footnote w:id="4">
    <w:p w:rsidR="0084380F" w:rsidRDefault="0084380F" w:rsidP="004C3D4A">
      <w:pPr>
        <w:pStyle w:val="FootnoteText"/>
      </w:pPr>
      <w:r>
        <w:rPr>
          <w:rStyle w:val="FootnoteReference"/>
        </w:rPr>
        <w:footnoteRef/>
      </w:r>
      <w:r>
        <w:t xml:space="preserve"> </w:t>
      </w:r>
      <w:proofErr w:type="spellStart"/>
      <w:proofErr w:type="gramStart"/>
      <w:r>
        <w:t>Scheaffer</w:t>
      </w:r>
      <w:proofErr w:type="spellEnd"/>
      <w:r>
        <w:t xml:space="preserve">, Richard L., Mendenhall William, and </w:t>
      </w:r>
      <w:proofErr w:type="spellStart"/>
      <w:r>
        <w:t>Ott</w:t>
      </w:r>
      <w:proofErr w:type="spellEnd"/>
      <w:r>
        <w:t xml:space="preserve"> Lyman (1979).</w:t>
      </w:r>
      <w:proofErr w:type="gramEnd"/>
      <w:r>
        <w:t xml:space="preserve"> </w:t>
      </w:r>
      <w:proofErr w:type="gramStart"/>
      <w:r>
        <w:t>Elementary Survey Sampling 2nd Edition.</w:t>
      </w:r>
      <w:proofErr w:type="gramEnd"/>
      <w:r>
        <w:t xml:space="preserve">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Duxbury Press, p. 78.</w:t>
      </w:r>
    </w:p>
  </w:footnote>
  <w:footnote w:id="5">
    <w:p w:rsidR="0084380F" w:rsidRDefault="0084380F" w:rsidP="004C3D4A">
      <w:pPr>
        <w:pStyle w:val="FootnoteText"/>
      </w:pPr>
      <w:r>
        <w:rPr>
          <w:rStyle w:val="FootnoteReference"/>
        </w:rPr>
        <w:footnoteRef/>
      </w:r>
      <w:r>
        <w:t xml:space="preserve"> ibid.</w:t>
      </w:r>
    </w:p>
  </w:footnote>
  <w:footnote w:id="6">
    <w:p w:rsidR="0084380F" w:rsidRDefault="0084380F" w:rsidP="004C3D4A">
      <w:pPr>
        <w:pStyle w:val="FootnoteText"/>
      </w:pPr>
      <w:r>
        <w:rPr>
          <w:rStyle w:val="FootnoteReference"/>
        </w:rPr>
        <w:footnoteRef/>
      </w:r>
      <w:r>
        <w:t xml:space="preserve"> </w:t>
      </w:r>
      <w:proofErr w:type="spellStart"/>
      <w:r>
        <w:t>Lohr</w:t>
      </w:r>
      <w:proofErr w:type="spellEnd"/>
      <w:r>
        <w:t>, Sharon L. (1999) Sampling Design and Analysis. Brooks/Cole Publishing Company, p. 35.</w:t>
      </w:r>
    </w:p>
  </w:footnote>
  <w:footnote w:id="7">
    <w:p w:rsidR="0084380F" w:rsidRDefault="0084380F" w:rsidP="004C3D4A">
      <w:pPr>
        <w:pStyle w:val="FootnoteText"/>
      </w:pPr>
      <w:r>
        <w:rPr>
          <w:rStyle w:val="FootnoteReference"/>
        </w:rPr>
        <w:footnoteRef/>
      </w:r>
      <w:r>
        <w:t xml:space="preserve"> </w:t>
      </w:r>
      <w:proofErr w:type="spellStart"/>
      <w:r>
        <w:t>Lohr</w:t>
      </w:r>
      <w:proofErr w:type="spellEnd"/>
      <w:r>
        <w:t>, Sharon L. (1999) Sampling Design and Analysis. Brooks/Cole Publishing Company, p. 239.</w:t>
      </w:r>
    </w:p>
  </w:footnote>
  <w:footnote w:id="8">
    <w:p w:rsidR="0084380F" w:rsidRDefault="0084380F" w:rsidP="004C3D4A">
      <w:pPr>
        <w:rPr>
          <w:sz w:val="20"/>
        </w:rPr>
      </w:pPr>
      <w:r>
        <w:rPr>
          <w:rStyle w:val="FootnoteReference"/>
          <w:sz w:val="20"/>
        </w:rPr>
        <w:footnoteRef/>
      </w:r>
      <w:r>
        <w:rPr>
          <w:sz w:val="20"/>
        </w:rPr>
        <w:t xml:space="preserve"> Williams, B., et al. </w:t>
      </w:r>
      <w:r>
        <w:rPr>
          <w:i/>
          <w:sz w:val="20"/>
        </w:rPr>
        <w:t>Characteristics of Perceived Emergency Preparedness among Residents Living near the U. S. Army’s Chemical Weapons Stockpile Sites: A hierarchical linear model</w:t>
      </w:r>
      <w:r>
        <w:rPr>
          <w:sz w:val="20"/>
        </w:rPr>
        <w:t>, 2000.</w:t>
      </w:r>
    </w:p>
  </w:footnote>
  <w:footnote w:id="9">
    <w:p w:rsidR="0084380F" w:rsidRDefault="0084380F" w:rsidP="004C3D4A">
      <w:pPr>
        <w:pStyle w:val="FootnoteText"/>
      </w:pPr>
      <w:r>
        <w:rPr>
          <w:rStyle w:val="FootnoteReference"/>
        </w:rPr>
        <w:footnoteRef/>
      </w:r>
      <w:r>
        <w:t xml:space="preserve"> </w:t>
      </w:r>
      <w:proofErr w:type="spellStart"/>
      <w:r>
        <w:t>Lohr</w:t>
      </w:r>
      <w:proofErr w:type="spellEnd"/>
      <w:r>
        <w:t>, Sharon L. (1999) Sampling Design and Analysis. Brooks/Cole Publishing Company, p. 265-266.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E9F"/>
    <w:multiLevelType w:val="hybridMultilevel"/>
    <w:tmpl w:val="046AB4AA"/>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621E9"/>
    <w:multiLevelType w:val="hybridMultilevel"/>
    <w:tmpl w:val="88B28962"/>
    <w:lvl w:ilvl="0" w:tplc="C332D648">
      <w:start w:val="1"/>
      <w:numFmt w:val="bullet"/>
      <w:lvlText w:val=""/>
      <w:lvlJc w:val="left"/>
      <w:pPr>
        <w:tabs>
          <w:tab w:val="num" w:pos="720"/>
        </w:tabs>
        <w:ind w:left="-1620" w:firstLine="198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F609B"/>
    <w:multiLevelType w:val="hybridMultilevel"/>
    <w:tmpl w:val="DAD49724"/>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3C7884"/>
    <w:multiLevelType w:val="hybridMultilevel"/>
    <w:tmpl w:val="E81C0646"/>
    <w:lvl w:ilvl="0" w:tplc="91363370">
      <w:start w:val="1"/>
      <w:numFmt w:val="bullet"/>
      <w:pStyle w:val="Tablebullet"/>
      <w:lvlText w:val=""/>
      <w:lvlJc w:val="left"/>
      <w:pPr>
        <w:tabs>
          <w:tab w:val="num" w:pos="360"/>
        </w:tabs>
        <w:ind w:left="360" w:hanging="360"/>
      </w:pPr>
      <w:rPr>
        <w:rFonts w:ascii="Wingdings" w:hAnsi="Wingdings" w:hint="default"/>
        <w:b/>
        <w:i w:val="0"/>
        <w:w w:val="91"/>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D969FD"/>
    <w:multiLevelType w:val="hybridMultilevel"/>
    <w:tmpl w:val="ACAE09C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F05404"/>
    <w:multiLevelType w:val="hybridMultilevel"/>
    <w:tmpl w:val="AEA22918"/>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11F50A8B"/>
    <w:multiLevelType w:val="hybridMultilevel"/>
    <w:tmpl w:val="67CECFB6"/>
    <w:lvl w:ilvl="0" w:tplc="B2B415F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A0560F9"/>
    <w:multiLevelType w:val="hybridMultilevel"/>
    <w:tmpl w:val="E9E2435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B906123"/>
    <w:multiLevelType w:val="hybridMultilevel"/>
    <w:tmpl w:val="704A42C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outline w:val="0"/>
        <w:shadow w:val="0"/>
        <w:emboss w:val="0"/>
        <w:imprint w:val="0"/>
        <w:vanish w:val="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6">
    <w:nsid w:val="31036B34"/>
    <w:multiLevelType w:val="hybridMultilevel"/>
    <w:tmpl w:val="F76A620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3A43548E"/>
    <w:multiLevelType w:val="multilevel"/>
    <w:tmpl w:val="08C4BFEC"/>
    <w:lvl w:ilvl="0">
      <w:start w:val="1"/>
      <w:numFmt w:val="bullet"/>
      <w:lvlText w:val=""/>
      <w:lvlJc w:val="left"/>
      <w:pPr>
        <w:tabs>
          <w:tab w:val="num" w:pos="1080"/>
        </w:tabs>
        <w:ind w:left="1080" w:hanging="360"/>
      </w:pPr>
      <w:rPr>
        <w:rFonts w:ascii="Wingdings" w:hAnsi="Wingdings"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
      <w:lvlJc w:val="left"/>
      <w:pPr>
        <w:tabs>
          <w:tab w:val="num" w:pos="1800"/>
        </w:tabs>
        <w:ind w:left="1800" w:hanging="360"/>
      </w:pPr>
      <w:rPr>
        <w:rFonts w:ascii="Wingdings" w:hAnsi="Wingdings" w:hint="default"/>
        <w:b w:val="0"/>
        <w:i w:val="0"/>
        <w:caps w:val="0"/>
        <w:strike w:val="0"/>
        <w:dstrike w:val="0"/>
        <w:outline w:val="0"/>
        <w:shadow w:val="0"/>
        <w:emboss w:val="0"/>
        <w:imprint w:val="0"/>
        <w:vanish w:val="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19">
    <w:nsid w:val="494D5270"/>
    <w:multiLevelType w:val="multilevel"/>
    <w:tmpl w:val="C5EEBBAA"/>
    <w:lvl w:ilvl="0">
      <w:start w:val="1"/>
      <w:numFmt w:val="decimal"/>
      <w:pStyle w:val="Question"/>
      <w:lvlText w:val="%1."/>
      <w:lvlJc w:val="left"/>
      <w:pPr>
        <w:tabs>
          <w:tab w:val="num" w:pos="360"/>
        </w:tabs>
        <w:ind w:left="360" w:hanging="360"/>
      </w:pPr>
      <w:rPr>
        <w:rFonts w:ascii="Times New Roman Bold" w:hAnsi="Times New Roman Bold" w:hint="default"/>
        <w:b/>
        <w:i w:val="0"/>
        <w:sz w:val="24"/>
        <w:szCs w:val="24"/>
      </w:rPr>
    </w:lvl>
    <w:lvl w:ilvl="1">
      <w:start w:val="1"/>
      <w:numFmt w:val="lowerLetter"/>
      <w:lvlText w:val="%2."/>
      <w:lvlJc w:val="left"/>
      <w:pPr>
        <w:tabs>
          <w:tab w:val="num" w:pos="720"/>
        </w:tabs>
        <w:ind w:left="720" w:hanging="360"/>
      </w:pPr>
      <w:rPr>
        <w:rFonts w:hint="default"/>
        <w:b/>
        <w:i w:val="0"/>
        <w:sz w:val="24"/>
        <w:szCs w:val="24"/>
      </w:rPr>
    </w:lvl>
    <w:lvl w:ilvl="2">
      <w:start w:val="1"/>
      <w:numFmt w:val="decimal"/>
      <w:lvlText w:val="%3)"/>
      <w:lvlJc w:val="left"/>
      <w:pPr>
        <w:tabs>
          <w:tab w:val="num" w:pos="1080"/>
        </w:tabs>
        <w:ind w:left="1080" w:hanging="360"/>
      </w:pPr>
      <w:rPr>
        <w:rFonts w:hint="default"/>
        <w:b w:val="0"/>
        <w:i w:val="0"/>
        <w:sz w:val="24"/>
        <w:szCs w:val="24"/>
      </w:rPr>
    </w:lvl>
    <w:lvl w:ilvl="3">
      <w:start w:val="1"/>
      <w:numFmt w:val="lowerLetter"/>
      <w:lvlText w:val="%4)"/>
      <w:lvlJc w:val="left"/>
      <w:pPr>
        <w:tabs>
          <w:tab w:val="num" w:pos="1440"/>
        </w:tabs>
        <w:ind w:left="1440" w:hanging="360"/>
      </w:pPr>
      <w:rPr>
        <w:rFonts w:hint="default"/>
        <w:b w:val="0"/>
        <w:i w:val="0"/>
        <w:sz w:val="24"/>
        <w:szCs w:val="24"/>
      </w:rPr>
    </w:lvl>
    <w:lvl w:ilvl="4">
      <w:start w:val="1"/>
      <w:numFmt w:val="decimal"/>
      <w:lvlText w:val="(%5)"/>
      <w:lvlJc w:val="left"/>
      <w:pPr>
        <w:tabs>
          <w:tab w:val="num" w:pos="1872"/>
        </w:tabs>
        <w:ind w:left="1872" w:hanging="432"/>
      </w:pPr>
      <w:rPr>
        <w:rFonts w:hint="default"/>
        <w:b w:val="0"/>
        <w:i w:val="0"/>
        <w:sz w:val="24"/>
        <w:szCs w:val="24"/>
      </w:rPr>
    </w:lvl>
    <w:lvl w:ilvl="5">
      <w:start w:val="1"/>
      <w:numFmt w:val="lowerLetter"/>
      <w:lvlText w:val="(%6)"/>
      <w:lvlJc w:val="left"/>
      <w:pPr>
        <w:tabs>
          <w:tab w:val="num" w:pos="2232"/>
        </w:tabs>
        <w:ind w:left="2232" w:hanging="360"/>
      </w:pPr>
      <w:rPr>
        <w:rFonts w:hint="default"/>
        <w:b w:val="0"/>
        <w:i w:val="0"/>
        <w:sz w:val="20"/>
        <w:szCs w:val="20"/>
      </w:rPr>
    </w:lvl>
    <w:lvl w:ilvl="6">
      <w:start w:val="1"/>
      <w:numFmt w:val="decimal"/>
      <w:lvlText w:val="%7."/>
      <w:lvlJc w:val="left"/>
      <w:pPr>
        <w:tabs>
          <w:tab w:val="num" w:pos="5040"/>
        </w:tabs>
        <w:ind w:left="5040" w:hanging="360"/>
      </w:pPr>
      <w:rPr>
        <w:rFonts w:hint="default"/>
        <w:b w:val="0"/>
        <w:i w:val="0"/>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21">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2">
    <w:nsid w:val="583B14F6"/>
    <w:multiLevelType w:val="hybridMultilevel"/>
    <w:tmpl w:val="987A2D8E"/>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05944"/>
    <w:multiLevelType w:val="hybridMultilevel"/>
    <w:tmpl w:val="03F4ECA0"/>
    <w:lvl w:ilvl="0" w:tplc="749AA96A">
      <w:start w:val="1"/>
      <w:numFmt w:val="lowerLetter"/>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F55FE6"/>
    <w:multiLevelType w:val="multilevel"/>
    <w:tmpl w:val="7D8A8FF6"/>
    <w:lvl w:ilvl="0">
      <w:start w:val="1"/>
      <w:numFmt w:val="bullet"/>
      <w:pStyle w:val="Bullet"/>
      <w:lvlText w:val=""/>
      <w:lvlJc w:val="left"/>
      <w:pPr>
        <w:tabs>
          <w:tab w:val="num" w:pos="1080"/>
        </w:tabs>
        <w:ind w:left="1080" w:hanging="360"/>
      </w:pPr>
      <w:rPr>
        <w:rFonts w:ascii="Wingdings" w:hAnsi="Wingdings"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outline w:val="0"/>
        <w:shadow w:val="0"/>
        <w:emboss w:val="0"/>
        <w:imprint w:val="0"/>
        <w:vanish w:val="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2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21"/>
  </w:num>
  <w:num w:numId="2">
    <w:abstractNumId w:val="17"/>
  </w:num>
  <w:num w:numId="3">
    <w:abstractNumId w:val="11"/>
  </w:num>
  <w:num w:numId="4">
    <w:abstractNumId w:val="28"/>
  </w:num>
  <w:num w:numId="5">
    <w:abstractNumId w:val="9"/>
  </w:num>
  <w:num w:numId="6">
    <w:abstractNumId w:val="20"/>
  </w:num>
  <w:num w:numId="7">
    <w:abstractNumId w:val="13"/>
  </w:num>
  <w:num w:numId="8">
    <w:abstractNumId w:val="24"/>
  </w:num>
  <w:num w:numId="9">
    <w:abstractNumId w:val="6"/>
  </w:num>
  <w:num w:numId="10">
    <w:abstractNumId w:val="26"/>
  </w:num>
  <w:num w:numId="11">
    <w:abstractNumId w:val="25"/>
  </w:num>
  <w:num w:numId="12">
    <w:abstractNumId w:val="12"/>
  </w:num>
  <w:num w:numId="13">
    <w:abstractNumId w:val="10"/>
  </w:num>
  <w:num w:numId="14">
    <w:abstractNumId w:val="15"/>
  </w:num>
  <w:num w:numId="15">
    <w:abstractNumId w:val="8"/>
  </w:num>
  <w:num w:numId="16">
    <w:abstractNumId w:val="7"/>
  </w:num>
  <w:num w:numId="17">
    <w:abstractNumId w:val="19"/>
  </w:num>
  <w:num w:numId="18">
    <w:abstractNumId w:val="27"/>
  </w:num>
  <w:num w:numId="19">
    <w:abstractNumId w:val="4"/>
  </w:num>
  <w:num w:numId="20">
    <w:abstractNumId w:val="16"/>
  </w:num>
  <w:num w:numId="21">
    <w:abstractNumId w:val="2"/>
  </w:num>
  <w:num w:numId="22">
    <w:abstractNumId w:val="22"/>
  </w:num>
  <w:num w:numId="23">
    <w:abstractNumId w:val="5"/>
  </w:num>
  <w:num w:numId="24">
    <w:abstractNumId w:val="0"/>
  </w:num>
  <w:num w:numId="25">
    <w:abstractNumId w:val="18"/>
  </w:num>
  <w:num w:numId="26">
    <w:abstractNumId w:val="1"/>
  </w:num>
  <w:num w:numId="27">
    <w:abstractNumId w:val="23"/>
  </w:num>
  <w:num w:numId="28">
    <w:abstractNumId w:val="3"/>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83D39"/>
    <w:rsid w:val="00001259"/>
    <w:rsid w:val="00006A15"/>
    <w:rsid w:val="00020610"/>
    <w:rsid w:val="0002071B"/>
    <w:rsid w:val="00024179"/>
    <w:rsid w:val="00030220"/>
    <w:rsid w:val="00030F34"/>
    <w:rsid w:val="000320D1"/>
    <w:rsid w:val="000322BE"/>
    <w:rsid w:val="000342D0"/>
    <w:rsid w:val="000375D9"/>
    <w:rsid w:val="00040638"/>
    <w:rsid w:val="00040A45"/>
    <w:rsid w:val="000412C5"/>
    <w:rsid w:val="00044629"/>
    <w:rsid w:val="00064075"/>
    <w:rsid w:val="00073530"/>
    <w:rsid w:val="00073D0F"/>
    <w:rsid w:val="000815EE"/>
    <w:rsid w:val="00083DBA"/>
    <w:rsid w:val="0009032C"/>
    <w:rsid w:val="00092A14"/>
    <w:rsid w:val="00096BA6"/>
    <w:rsid w:val="000A17F2"/>
    <w:rsid w:val="000A2336"/>
    <w:rsid w:val="000A6018"/>
    <w:rsid w:val="000B0C3D"/>
    <w:rsid w:val="000B2B7B"/>
    <w:rsid w:val="000B2EB7"/>
    <w:rsid w:val="000B6F51"/>
    <w:rsid w:val="000B75CD"/>
    <w:rsid w:val="000C43E7"/>
    <w:rsid w:val="000C473C"/>
    <w:rsid w:val="000D2B2D"/>
    <w:rsid w:val="000E0572"/>
    <w:rsid w:val="000F0840"/>
    <w:rsid w:val="000F0E33"/>
    <w:rsid w:val="000F1EBE"/>
    <w:rsid w:val="000F4065"/>
    <w:rsid w:val="000F4423"/>
    <w:rsid w:val="000F55B2"/>
    <w:rsid w:val="000F5849"/>
    <w:rsid w:val="000F5B9D"/>
    <w:rsid w:val="00101568"/>
    <w:rsid w:val="001025E8"/>
    <w:rsid w:val="00103274"/>
    <w:rsid w:val="00104E48"/>
    <w:rsid w:val="00106159"/>
    <w:rsid w:val="00106F37"/>
    <w:rsid w:val="001073B1"/>
    <w:rsid w:val="0011332A"/>
    <w:rsid w:val="00113C60"/>
    <w:rsid w:val="00114299"/>
    <w:rsid w:val="00116BB8"/>
    <w:rsid w:val="0012366D"/>
    <w:rsid w:val="00124E9A"/>
    <w:rsid w:val="00127311"/>
    <w:rsid w:val="00134D64"/>
    <w:rsid w:val="001439E5"/>
    <w:rsid w:val="00144502"/>
    <w:rsid w:val="0015054F"/>
    <w:rsid w:val="00152605"/>
    <w:rsid w:val="00155AE9"/>
    <w:rsid w:val="00156752"/>
    <w:rsid w:val="00156DAD"/>
    <w:rsid w:val="00161934"/>
    <w:rsid w:val="00164DB6"/>
    <w:rsid w:val="0016607C"/>
    <w:rsid w:val="00167803"/>
    <w:rsid w:val="00172066"/>
    <w:rsid w:val="00172476"/>
    <w:rsid w:val="00176C61"/>
    <w:rsid w:val="00176C6C"/>
    <w:rsid w:val="00180092"/>
    <w:rsid w:val="00180F85"/>
    <w:rsid w:val="0018177D"/>
    <w:rsid w:val="001820ED"/>
    <w:rsid w:val="00183D39"/>
    <w:rsid w:val="00186DAB"/>
    <w:rsid w:val="00193A18"/>
    <w:rsid w:val="0019730C"/>
    <w:rsid w:val="001A2DBE"/>
    <w:rsid w:val="001A69A7"/>
    <w:rsid w:val="001A793A"/>
    <w:rsid w:val="001A7B50"/>
    <w:rsid w:val="001B2754"/>
    <w:rsid w:val="001B3FB1"/>
    <w:rsid w:val="001B7416"/>
    <w:rsid w:val="001C2815"/>
    <w:rsid w:val="001C5DBF"/>
    <w:rsid w:val="001C7D6D"/>
    <w:rsid w:val="001D2A90"/>
    <w:rsid w:val="001D4E02"/>
    <w:rsid w:val="001D7372"/>
    <w:rsid w:val="001E215C"/>
    <w:rsid w:val="001E3F00"/>
    <w:rsid w:val="001E5DA3"/>
    <w:rsid w:val="001F432F"/>
    <w:rsid w:val="00203276"/>
    <w:rsid w:val="00203AA5"/>
    <w:rsid w:val="00205A7B"/>
    <w:rsid w:val="00207FC1"/>
    <w:rsid w:val="0022270D"/>
    <w:rsid w:val="00225564"/>
    <w:rsid w:val="00232C69"/>
    <w:rsid w:val="002339F6"/>
    <w:rsid w:val="00233D68"/>
    <w:rsid w:val="0023510C"/>
    <w:rsid w:val="00240962"/>
    <w:rsid w:val="00242130"/>
    <w:rsid w:val="00245FB5"/>
    <w:rsid w:val="002503C9"/>
    <w:rsid w:val="00251C9E"/>
    <w:rsid w:val="00252848"/>
    <w:rsid w:val="00253BC5"/>
    <w:rsid w:val="00256F94"/>
    <w:rsid w:val="00257CDA"/>
    <w:rsid w:val="00257EA0"/>
    <w:rsid w:val="002637E5"/>
    <w:rsid w:val="0026549A"/>
    <w:rsid w:val="00270A35"/>
    <w:rsid w:val="00272350"/>
    <w:rsid w:val="002734B8"/>
    <w:rsid w:val="0027662B"/>
    <w:rsid w:val="00281FE7"/>
    <w:rsid w:val="00284795"/>
    <w:rsid w:val="00290000"/>
    <w:rsid w:val="00290F1D"/>
    <w:rsid w:val="002911B2"/>
    <w:rsid w:val="002919CD"/>
    <w:rsid w:val="00293789"/>
    <w:rsid w:val="00295EC6"/>
    <w:rsid w:val="002A3D25"/>
    <w:rsid w:val="002A4B95"/>
    <w:rsid w:val="002A793D"/>
    <w:rsid w:val="002B186C"/>
    <w:rsid w:val="002B43BA"/>
    <w:rsid w:val="002B514E"/>
    <w:rsid w:val="002B5261"/>
    <w:rsid w:val="002B5778"/>
    <w:rsid w:val="002C40BA"/>
    <w:rsid w:val="002C5A0B"/>
    <w:rsid w:val="002C5C86"/>
    <w:rsid w:val="002D02B7"/>
    <w:rsid w:val="002D29D6"/>
    <w:rsid w:val="002D7C55"/>
    <w:rsid w:val="002E44F2"/>
    <w:rsid w:val="002E48AC"/>
    <w:rsid w:val="002E5D97"/>
    <w:rsid w:val="002F79AD"/>
    <w:rsid w:val="003033D6"/>
    <w:rsid w:val="00303673"/>
    <w:rsid w:val="0030374B"/>
    <w:rsid w:val="00303E9D"/>
    <w:rsid w:val="003047BC"/>
    <w:rsid w:val="00305418"/>
    <w:rsid w:val="00305630"/>
    <w:rsid w:val="003076D8"/>
    <w:rsid w:val="00317B32"/>
    <w:rsid w:val="0032024D"/>
    <w:rsid w:val="00326497"/>
    <w:rsid w:val="00327145"/>
    <w:rsid w:val="00327BE9"/>
    <w:rsid w:val="00337435"/>
    <w:rsid w:val="0034006B"/>
    <w:rsid w:val="00343447"/>
    <w:rsid w:val="00344199"/>
    <w:rsid w:val="00347D7F"/>
    <w:rsid w:val="003500A7"/>
    <w:rsid w:val="003563A3"/>
    <w:rsid w:val="00357FE9"/>
    <w:rsid w:val="00360543"/>
    <w:rsid w:val="00360889"/>
    <w:rsid w:val="00361118"/>
    <w:rsid w:val="00361EE7"/>
    <w:rsid w:val="003662F6"/>
    <w:rsid w:val="00366B0C"/>
    <w:rsid w:val="00366CB2"/>
    <w:rsid w:val="00372ED0"/>
    <w:rsid w:val="00375039"/>
    <w:rsid w:val="003827FA"/>
    <w:rsid w:val="003850B4"/>
    <w:rsid w:val="00386F5C"/>
    <w:rsid w:val="0038756B"/>
    <w:rsid w:val="00390F19"/>
    <w:rsid w:val="00391436"/>
    <w:rsid w:val="00393EC8"/>
    <w:rsid w:val="003A091C"/>
    <w:rsid w:val="003A4615"/>
    <w:rsid w:val="003A5802"/>
    <w:rsid w:val="003A6739"/>
    <w:rsid w:val="003A75EB"/>
    <w:rsid w:val="003B594C"/>
    <w:rsid w:val="003B6308"/>
    <w:rsid w:val="003C05E0"/>
    <w:rsid w:val="003C6924"/>
    <w:rsid w:val="003D0757"/>
    <w:rsid w:val="003D3E8D"/>
    <w:rsid w:val="003D5EF6"/>
    <w:rsid w:val="003D685A"/>
    <w:rsid w:val="003E059E"/>
    <w:rsid w:val="003E19EC"/>
    <w:rsid w:val="003E7F40"/>
    <w:rsid w:val="004106FF"/>
    <w:rsid w:val="004129CD"/>
    <w:rsid w:val="00413856"/>
    <w:rsid w:val="004161B0"/>
    <w:rsid w:val="00416638"/>
    <w:rsid w:val="004166CE"/>
    <w:rsid w:val="00421DBF"/>
    <w:rsid w:val="00444BDF"/>
    <w:rsid w:val="00445662"/>
    <w:rsid w:val="00462F61"/>
    <w:rsid w:val="0046431C"/>
    <w:rsid w:val="00465E3A"/>
    <w:rsid w:val="0046759A"/>
    <w:rsid w:val="00474865"/>
    <w:rsid w:val="004842F4"/>
    <w:rsid w:val="00484F3B"/>
    <w:rsid w:val="0048694A"/>
    <w:rsid w:val="00486A77"/>
    <w:rsid w:val="00486CCA"/>
    <w:rsid w:val="00493840"/>
    <w:rsid w:val="00493C00"/>
    <w:rsid w:val="004945F3"/>
    <w:rsid w:val="004A1F8E"/>
    <w:rsid w:val="004A7D5A"/>
    <w:rsid w:val="004B7BE8"/>
    <w:rsid w:val="004C3D4A"/>
    <w:rsid w:val="004C4948"/>
    <w:rsid w:val="004C7730"/>
    <w:rsid w:val="004D07C9"/>
    <w:rsid w:val="004D3335"/>
    <w:rsid w:val="004E1D16"/>
    <w:rsid w:val="004E6038"/>
    <w:rsid w:val="004E6947"/>
    <w:rsid w:val="004E6D0B"/>
    <w:rsid w:val="004E7209"/>
    <w:rsid w:val="004F13A8"/>
    <w:rsid w:val="004F19A4"/>
    <w:rsid w:val="004F2D03"/>
    <w:rsid w:val="005001F2"/>
    <w:rsid w:val="00500F1A"/>
    <w:rsid w:val="005025EC"/>
    <w:rsid w:val="00504279"/>
    <w:rsid w:val="005054B2"/>
    <w:rsid w:val="005107EA"/>
    <w:rsid w:val="00510AE8"/>
    <w:rsid w:val="00513A7D"/>
    <w:rsid w:val="0051593B"/>
    <w:rsid w:val="0052599D"/>
    <w:rsid w:val="005271D8"/>
    <w:rsid w:val="00527F51"/>
    <w:rsid w:val="00547202"/>
    <w:rsid w:val="00547F49"/>
    <w:rsid w:val="00553B1A"/>
    <w:rsid w:val="005624A6"/>
    <w:rsid w:val="005649E9"/>
    <w:rsid w:val="00575506"/>
    <w:rsid w:val="00584B68"/>
    <w:rsid w:val="00584B76"/>
    <w:rsid w:val="00590A30"/>
    <w:rsid w:val="005926EA"/>
    <w:rsid w:val="00592840"/>
    <w:rsid w:val="005A3789"/>
    <w:rsid w:val="005B0C1E"/>
    <w:rsid w:val="005B6AEE"/>
    <w:rsid w:val="005C0255"/>
    <w:rsid w:val="005C378B"/>
    <w:rsid w:val="005C41F4"/>
    <w:rsid w:val="005C55EE"/>
    <w:rsid w:val="005C5E80"/>
    <w:rsid w:val="005D1344"/>
    <w:rsid w:val="005E21C2"/>
    <w:rsid w:val="005E2FA1"/>
    <w:rsid w:val="005F0197"/>
    <w:rsid w:val="005F2101"/>
    <w:rsid w:val="005F79C4"/>
    <w:rsid w:val="00600089"/>
    <w:rsid w:val="00602A71"/>
    <w:rsid w:val="006148E5"/>
    <w:rsid w:val="00616F94"/>
    <w:rsid w:val="00622CF4"/>
    <w:rsid w:val="00623B04"/>
    <w:rsid w:val="00623BA1"/>
    <w:rsid w:val="00633CF2"/>
    <w:rsid w:val="00633DA0"/>
    <w:rsid w:val="00635BDA"/>
    <w:rsid w:val="006459F6"/>
    <w:rsid w:val="0064688A"/>
    <w:rsid w:val="006540F6"/>
    <w:rsid w:val="00654A26"/>
    <w:rsid w:val="00656BB2"/>
    <w:rsid w:val="006570B8"/>
    <w:rsid w:val="006574CE"/>
    <w:rsid w:val="00660B01"/>
    <w:rsid w:val="00661114"/>
    <w:rsid w:val="00663C59"/>
    <w:rsid w:val="006654D4"/>
    <w:rsid w:val="00672592"/>
    <w:rsid w:val="00673158"/>
    <w:rsid w:val="00677CAD"/>
    <w:rsid w:val="00697456"/>
    <w:rsid w:val="00697557"/>
    <w:rsid w:val="006A12F8"/>
    <w:rsid w:val="006A1816"/>
    <w:rsid w:val="006A375E"/>
    <w:rsid w:val="006A4787"/>
    <w:rsid w:val="006A6154"/>
    <w:rsid w:val="006B296C"/>
    <w:rsid w:val="006B632B"/>
    <w:rsid w:val="006B7204"/>
    <w:rsid w:val="006B7DE7"/>
    <w:rsid w:val="006B7F15"/>
    <w:rsid w:val="006C04FF"/>
    <w:rsid w:val="006C06FD"/>
    <w:rsid w:val="006C5E4A"/>
    <w:rsid w:val="006C6989"/>
    <w:rsid w:val="006C70B5"/>
    <w:rsid w:val="006D03AD"/>
    <w:rsid w:val="006D2AC5"/>
    <w:rsid w:val="006E24AC"/>
    <w:rsid w:val="006E289D"/>
    <w:rsid w:val="006E4F0E"/>
    <w:rsid w:val="006E4F3D"/>
    <w:rsid w:val="006E6230"/>
    <w:rsid w:val="006F169F"/>
    <w:rsid w:val="006F2CDA"/>
    <w:rsid w:val="006F3416"/>
    <w:rsid w:val="006F410C"/>
    <w:rsid w:val="006F49E8"/>
    <w:rsid w:val="00703100"/>
    <w:rsid w:val="00704135"/>
    <w:rsid w:val="007148B0"/>
    <w:rsid w:val="00722C28"/>
    <w:rsid w:val="007263B4"/>
    <w:rsid w:val="00735795"/>
    <w:rsid w:val="00736541"/>
    <w:rsid w:val="007404A1"/>
    <w:rsid w:val="00740D11"/>
    <w:rsid w:val="00740F51"/>
    <w:rsid w:val="00743F99"/>
    <w:rsid w:val="007450F6"/>
    <w:rsid w:val="00745456"/>
    <w:rsid w:val="00751F45"/>
    <w:rsid w:val="007521E2"/>
    <w:rsid w:val="00756A89"/>
    <w:rsid w:val="00761BFF"/>
    <w:rsid w:val="00763992"/>
    <w:rsid w:val="007672DB"/>
    <w:rsid w:val="00772A0C"/>
    <w:rsid w:val="00776A14"/>
    <w:rsid w:val="00776D19"/>
    <w:rsid w:val="00792228"/>
    <w:rsid w:val="007931D9"/>
    <w:rsid w:val="00795C1B"/>
    <w:rsid w:val="00796025"/>
    <w:rsid w:val="007B2E00"/>
    <w:rsid w:val="007B599E"/>
    <w:rsid w:val="007C2A5E"/>
    <w:rsid w:val="007C2C26"/>
    <w:rsid w:val="007C4E7A"/>
    <w:rsid w:val="007D295E"/>
    <w:rsid w:val="007F31C3"/>
    <w:rsid w:val="008032EF"/>
    <w:rsid w:val="0080474C"/>
    <w:rsid w:val="00805896"/>
    <w:rsid w:val="008119FD"/>
    <w:rsid w:val="00811ECC"/>
    <w:rsid w:val="008126D8"/>
    <w:rsid w:val="008148C3"/>
    <w:rsid w:val="00822811"/>
    <w:rsid w:val="00822FCC"/>
    <w:rsid w:val="0082689C"/>
    <w:rsid w:val="008335F2"/>
    <w:rsid w:val="00836869"/>
    <w:rsid w:val="0083693F"/>
    <w:rsid w:val="00842E74"/>
    <w:rsid w:val="0084380F"/>
    <w:rsid w:val="00843B00"/>
    <w:rsid w:val="00846952"/>
    <w:rsid w:val="00847D00"/>
    <w:rsid w:val="00852A5F"/>
    <w:rsid w:val="00853D17"/>
    <w:rsid w:val="00862F56"/>
    <w:rsid w:val="00877531"/>
    <w:rsid w:val="00880B0E"/>
    <w:rsid w:val="00882374"/>
    <w:rsid w:val="00882FF9"/>
    <w:rsid w:val="008839B4"/>
    <w:rsid w:val="00883BF5"/>
    <w:rsid w:val="00886A93"/>
    <w:rsid w:val="00886AFA"/>
    <w:rsid w:val="00887D1E"/>
    <w:rsid w:val="00890881"/>
    <w:rsid w:val="008936BC"/>
    <w:rsid w:val="008A189B"/>
    <w:rsid w:val="008A58D4"/>
    <w:rsid w:val="008B10FE"/>
    <w:rsid w:val="008B1EEC"/>
    <w:rsid w:val="008B3F56"/>
    <w:rsid w:val="008B3F92"/>
    <w:rsid w:val="008C30F2"/>
    <w:rsid w:val="008C4055"/>
    <w:rsid w:val="008C4208"/>
    <w:rsid w:val="008D08F6"/>
    <w:rsid w:val="008D1816"/>
    <w:rsid w:val="008D27C0"/>
    <w:rsid w:val="008F46F7"/>
    <w:rsid w:val="008F5344"/>
    <w:rsid w:val="008F7D85"/>
    <w:rsid w:val="0090080C"/>
    <w:rsid w:val="009037B0"/>
    <w:rsid w:val="0090478D"/>
    <w:rsid w:val="009139B5"/>
    <w:rsid w:val="00913E19"/>
    <w:rsid w:val="00920A21"/>
    <w:rsid w:val="00926A84"/>
    <w:rsid w:val="00930CD1"/>
    <w:rsid w:val="00934293"/>
    <w:rsid w:val="00934767"/>
    <w:rsid w:val="00934C42"/>
    <w:rsid w:val="0093589A"/>
    <w:rsid w:val="009362BF"/>
    <w:rsid w:val="00936956"/>
    <w:rsid w:val="00940EAA"/>
    <w:rsid w:val="0094233D"/>
    <w:rsid w:val="0095081D"/>
    <w:rsid w:val="0095454A"/>
    <w:rsid w:val="009577EB"/>
    <w:rsid w:val="009651A4"/>
    <w:rsid w:val="00972518"/>
    <w:rsid w:val="009736B8"/>
    <w:rsid w:val="00973F3A"/>
    <w:rsid w:val="00974EA8"/>
    <w:rsid w:val="009777D0"/>
    <w:rsid w:val="00986C1F"/>
    <w:rsid w:val="009871FE"/>
    <w:rsid w:val="0099124F"/>
    <w:rsid w:val="009925CC"/>
    <w:rsid w:val="00993C5D"/>
    <w:rsid w:val="00996C42"/>
    <w:rsid w:val="009976C9"/>
    <w:rsid w:val="009A0311"/>
    <w:rsid w:val="009B18F9"/>
    <w:rsid w:val="009B26A8"/>
    <w:rsid w:val="009B2B2F"/>
    <w:rsid w:val="009B4878"/>
    <w:rsid w:val="009B4E88"/>
    <w:rsid w:val="009B69D3"/>
    <w:rsid w:val="009B6D57"/>
    <w:rsid w:val="009C5180"/>
    <w:rsid w:val="009D29E1"/>
    <w:rsid w:val="009D3030"/>
    <w:rsid w:val="009D59D6"/>
    <w:rsid w:val="009E1BCE"/>
    <w:rsid w:val="009E477C"/>
    <w:rsid w:val="009E6DAF"/>
    <w:rsid w:val="009F37C2"/>
    <w:rsid w:val="009F46CE"/>
    <w:rsid w:val="00A04797"/>
    <w:rsid w:val="00A21D22"/>
    <w:rsid w:val="00A21D32"/>
    <w:rsid w:val="00A236D1"/>
    <w:rsid w:val="00A31397"/>
    <w:rsid w:val="00A319AE"/>
    <w:rsid w:val="00A37286"/>
    <w:rsid w:val="00A41026"/>
    <w:rsid w:val="00A41375"/>
    <w:rsid w:val="00A420B8"/>
    <w:rsid w:val="00A47C37"/>
    <w:rsid w:val="00A51C43"/>
    <w:rsid w:val="00A643EA"/>
    <w:rsid w:val="00A75324"/>
    <w:rsid w:val="00A75AF7"/>
    <w:rsid w:val="00A775CC"/>
    <w:rsid w:val="00A80EEB"/>
    <w:rsid w:val="00A81984"/>
    <w:rsid w:val="00A821CD"/>
    <w:rsid w:val="00A863C4"/>
    <w:rsid w:val="00A906F2"/>
    <w:rsid w:val="00AA148D"/>
    <w:rsid w:val="00AA3FC7"/>
    <w:rsid w:val="00AA5603"/>
    <w:rsid w:val="00AB37F2"/>
    <w:rsid w:val="00AC2CC0"/>
    <w:rsid w:val="00AC495C"/>
    <w:rsid w:val="00AC51FD"/>
    <w:rsid w:val="00AC69DE"/>
    <w:rsid w:val="00AD0D8A"/>
    <w:rsid w:val="00AD131B"/>
    <w:rsid w:val="00AD3216"/>
    <w:rsid w:val="00AD6B24"/>
    <w:rsid w:val="00AD71DC"/>
    <w:rsid w:val="00AE00E8"/>
    <w:rsid w:val="00AF1BC7"/>
    <w:rsid w:val="00AF70A0"/>
    <w:rsid w:val="00B00DCF"/>
    <w:rsid w:val="00B05348"/>
    <w:rsid w:val="00B11139"/>
    <w:rsid w:val="00B12DC7"/>
    <w:rsid w:val="00B20F26"/>
    <w:rsid w:val="00B35749"/>
    <w:rsid w:val="00B37E84"/>
    <w:rsid w:val="00B40AA9"/>
    <w:rsid w:val="00B4542C"/>
    <w:rsid w:val="00B46321"/>
    <w:rsid w:val="00B56058"/>
    <w:rsid w:val="00B566DF"/>
    <w:rsid w:val="00B56B13"/>
    <w:rsid w:val="00B6479F"/>
    <w:rsid w:val="00B666DB"/>
    <w:rsid w:val="00B70AC2"/>
    <w:rsid w:val="00B73A6F"/>
    <w:rsid w:val="00B75858"/>
    <w:rsid w:val="00B77E9C"/>
    <w:rsid w:val="00B85BFC"/>
    <w:rsid w:val="00B870AD"/>
    <w:rsid w:val="00B90C6D"/>
    <w:rsid w:val="00B94368"/>
    <w:rsid w:val="00B956BE"/>
    <w:rsid w:val="00BB1AAF"/>
    <w:rsid w:val="00BB2CA1"/>
    <w:rsid w:val="00BB4EE5"/>
    <w:rsid w:val="00BC555D"/>
    <w:rsid w:val="00BC5FCD"/>
    <w:rsid w:val="00BC69B9"/>
    <w:rsid w:val="00BC6D83"/>
    <w:rsid w:val="00BD1898"/>
    <w:rsid w:val="00BD27E2"/>
    <w:rsid w:val="00BD5A00"/>
    <w:rsid w:val="00BD7A2B"/>
    <w:rsid w:val="00BD7D79"/>
    <w:rsid w:val="00BE1160"/>
    <w:rsid w:val="00BE5F94"/>
    <w:rsid w:val="00BF083D"/>
    <w:rsid w:val="00BF19EE"/>
    <w:rsid w:val="00BF25B2"/>
    <w:rsid w:val="00BF45CE"/>
    <w:rsid w:val="00BF4B07"/>
    <w:rsid w:val="00BF4DF2"/>
    <w:rsid w:val="00C03B4D"/>
    <w:rsid w:val="00C13479"/>
    <w:rsid w:val="00C13A34"/>
    <w:rsid w:val="00C23E10"/>
    <w:rsid w:val="00C25416"/>
    <w:rsid w:val="00C313FA"/>
    <w:rsid w:val="00C3147A"/>
    <w:rsid w:val="00C32E45"/>
    <w:rsid w:val="00C34EF4"/>
    <w:rsid w:val="00C36626"/>
    <w:rsid w:val="00C469AA"/>
    <w:rsid w:val="00C50A7F"/>
    <w:rsid w:val="00C51442"/>
    <w:rsid w:val="00C5229C"/>
    <w:rsid w:val="00C57730"/>
    <w:rsid w:val="00C633DB"/>
    <w:rsid w:val="00C65380"/>
    <w:rsid w:val="00C67345"/>
    <w:rsid w:val="00C742FB"/>
    <w:rsid w:val="00C74ECB"/>
    <w:rsid w:val="00C751CA"/>
    <w:rsid w:val="00C82D19"/>
    <w:rsid w:val="00C82EE4"/>
    <w:rsid w:val="00C83388"/>
    <w:rsid w:val="00C91393"/>
    <w:rsid w:val="00C9207F"/>
    <w:rsid w:val="00C94212"/>
    <w:rsid w:val="00C94695"/>
    <w:rsid w:val="00C95DDA"/>
    <w:rsid w:val="00CB06DC"/>
    <w:rsid w:val="00CB1650"/>
    <w:rsid w:val="00CB49A4"/>
    <w:rsid w:val="00CB736E"/>
    <w:rsid w:val="00CD0CD6"/>
    <w:rsid w:val="00CD6111"/>
    <w:rsid w:val="00CE59B7"/>
    <w:rsid w:val="00CF7551"/>
    <w:rsid w:val="00D003AA"/>
    <w:rsid w:val="00D01A5C"/>
    <w:rsid w:val="00D02542"/>
    <w:rsid w:val="00D029D8"/>
    <w:rsid w:val="00D135C1"/>
    <w:rsid w:val="00D158A9"/>
    <w:rsid w:val="00D35DBE"/>
    <w:rsid w:val="00D50874"/>
    <w:rsid w:val="00D50C03"/>
    <w:rsid w:val="00D6104B"/>
    <w:rsid w:val="00D61F7A"/>
    <w:rsid w:val="00D651AF"/>
    <w:rsid w:val="00D658AE"/>
    <w:rsid w:val="00D65D64"/>
    <w:rsid w:val="00D728C8"/>
    <w:rsid w:val="00D73C8D"/>
    <w:rsid w:val="00D759DE"/>
    <w:rsid w:val="00D854DC"/>
    <w:rsid w:val="00D86ED3"/>
    <w:rsid w:val="00D9147E"/>
    <w:rsid w:val="00D951D4"/>
    <w:rsid w:val="00D95C2B"/>
    <w:rsid w:val="00DA00B9"/>
    <w:rsid w:val="00DA4321"/>
    <w:rsid w:val="00DA72BA"/>
    <w:rsid w:val="00DB084D"/>
    <w:rsid w:val="00DB3264"/>
    <w:rsid w:val="00DB5579"/>
    <w:rsid w:val="00DB5B61"/>
    <w:rsid w:val="00DC6346"/>
    <w:rsid w:val="00DC664F"/>
    <w:rsid w:val="00DD0213"/>
    <w:rsid w:val="00DD0BCE"/>
    <w:rsid w:val="00DD1144"/>
    <w:rsid w:val="00DE0C43"/>
    <w:rsid w:val="00DE1906"/>
    <w:rsid w:val="00DE41A2"/>
    <w:rsid w:val="00E014CA"/>
    <w:rsid w:val="00E03510"/>
    <w:rsid w:val="00E0354C"/>
    <w:rsid w:val="00E06ACB"/>
    <w:rsid w:val="00E0789E"/>
    <w:rsid w:val="00E1208E"/>
    <w:rsid w:val="00E13E97"/>
    <w:rsid w:val="00E1523D"/>
    <w:rsid w:val="00E163A0"/>
    <w:rsid w:val="00E202DC"/>
    <w:rsid w:val="00E20EB2"/>
    <w:rsid w:val="00E21F1B"/>
    <w:rsid w:val="00E2488C"/>
    <w:rsid w:val="00E27836"/>
    <w:rsid w:val="00E30CA2"/>
    <w:rsid w:val="00E34D45"/>
    <w:rsid w:val="00E35FFB"/>
    <w:rsid w:val="00E3738B"/>
    <w:rsid w:val="00E41CC4"/>
    <w:rsid w:val="00E449B4"/>
    <w:rsid w:val="00E56309"/>
    <w:rsid w:val="00E60D81"/>
    <w:rsid w:val="00E61C7D"/>
    <w:rsid w:val="00E64C40"/>
    <w:rsid w:val="00E66E69"/>
    <w:rsid w:val="00E66F50"/>
    <w:rsid w:val="00E74B7C"/>
    <w:rsid w:val="00E75150"/>
    <w:rsid w:val="00E753E8"/>
    <w:rsid w:val="00E766E9"/>
    <w:rsid w:val="00E806AE"/>
    <w:rsid w:val="00E842F2"/>
    <w:rsid w:val="00E85166"/>
    <w:rsid w:val="00E85671"/>
    <w:rsid w:val="00E863D5"/>
    <w:rsid w:val="00E96D36"/>
    <w:rsid w:val="00E9722E"/>
    <w:rsid w:val="00E978AD"/>
    <w:rsid w:val="00EA1A7C"/>
    <w:rsid w:val="00EB737E"/>
    <w:rsid w:val="00ED09D2"/>
    <w:rsid w:val="00ED24C1"/>
    <w:rsid w:val="00ED2B9E"/>
    <w:rsid w:val="00EE4DB2"/>
    <w:rsid w:val="00EF6C80"/>
    <w:rsid w:val="00EF77B8"/>
    <w:rsid w:val="00F01357"/>
    <w:rsid w:val="00F061C0"/>
    <w:rsid w:val="00F06E89"/>
    <w:rsid w:val="00F070D6"/>
    <w:rsid w:val="00F102A8"/>
    <w:rsid w:val="00F173CC"/>
    <w:rsid w:val="00F253D3"/>
    <w:rsid w:val="00F42D8D"/>
    <w:rsid w:val="00F445A3"/>
    <w:rsid w:val="00F461C9"/>
    <w:rsid w:val="00F470B9"/>
    <w:rsid w:val="00F51F14"/>
    <w:rsid w:val="00F56AC9"/>
    <w:rsid w:val="00F5750B"/>
    <w:rsid w:val="00F57C90"/>
    <w:rsid w:val="00F64190"/>
    <w:rsid w:val="00F642D5"/>
    <w:rsid w:val="00F777CF"/>
    <w:rsid w:val="00F80B35"/>
    <w:rsid w:val="00F8242F"/>
    <w:rsid w:val="00F83D59"/>
    <w:rsid w:val="00F84994"/>
    <w:rsid w:val="00F873A8"/>
    <w:rsid w:val="00F9005A"/>
    <w:rsid w:val="00F92018"/>
    <w:rsid w:val="00F926C4"/>
    <w:rsid w:val="00FB2514"/>
    <w:rsid w:val="00FB459F"/>
    <w:rsid w:val="00FC32F3"/>
    <w:rsid w:val="00FC427A"/>
    <w:rsid w:val="00FC4456"/>
    <w:rsid w:val="00FC7791"/>
    <w:rsid w:val="00FD0702"/>
    <w:rsid w:val="00FD142C"/>
    <w:rsid w:val="00FD42FB"/>
    <w:rsid w:val="00FD6C8B"/>
    <w:rsid w:val="00FE1C6F"/>
    <w:rsid w:val="00FE2630"/>
    <w:rsid w:val="00FE55E0"/>
    <w:rsid w:val="00FF322E"/>
    <w:rsid w:val="00FF51DD"/>
    <w:rsid w:val="00FF6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4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4CE"/>
    <w:rPr>
      <w:sz w:val="24"/>
      <w:szCs w:val="24"/>
    </w:rPr>
  </w:style>
  <w:style w:type="paragraph" w:styleId="Heading1">
    <w:name w:val="heading 1"/>
    <w:basedOn w:val="Normal"/>
    <w:next w:val="Normal"/>
    <w:qFormat/>
    <w:rsid w:val="006574CE"/>
    <w:pPr>
      <w:keepNext/>
      <w:tabs>
        <w:tab w:val="left" w:pos="-720"/>
      </w:tabs>
      <w:suppressAutoHyphens/>
      <w:outlineLvl w:val="0"/>
    </w:pPr>
    <w:rPr>
      <w:b/>
      <w:sz w:val="28"/>
      <w:szCs w:val="20"/>
    </w:rPr>
  </w:style>
  <w:style w:type="paragraph" w:styleId="Heading2">
    <w:name w:val="heading 2"/>
    <w:basedOn w:val="Normal"/>
    <w:next w:val="Normal"/>
    <w:qFormat/>
    <w:rsid w:val="006574CE"/>
    <w:pPr>
      <w:keepNext/>
      <w:jc w:val="center"/>
      <w:outlineLvl w:val="1"/>
    </w:pPr>
    <w:rPr>
      <w:b/>
      <w:bCs/>
      <w:sz w:val="20"/>
      <w:szCs w:val="26"/>
    </w:rPr>
  </w:style>
  <w:style w:type="paragraph" w:styleId="Heading3">
    <w:name w:val="heading 3"/>
    <w:basedOn w:val="Normal"/>
    <w:next w:val="Normal"/>
    <w:link w:val="Heading3Char"/>
    <w:semiHidden/>
    <w:unhideWhenUsed/>
    <w:qFormat/>
    <w:rsid w:val="0079602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74CE"/>
    <w:pPr>
      <w:suppressAutoHyphens/>
      <w:jc w:val="center"/>
    </w:pPr>
    <w:rPr>
      <w:b/>
      <w:sz w:val="32"/>
      <w:szCs w:val="20"/>
    </w:rPr>
  </w:style>
  <w:style w:type="paragraph" w:styleId="BodyText3">
    <w:name w:val="Body Text 3"/>
    <w:basedOn w:val="Normal"/>
    <w:rsid w:val="006574CE"/>
    <w:pPr>
      <w:shd w:val="pct25" w:color="auto" w:fill="auto"/>
      <w:tabs>
        <w:tab w:val="left" w:pos="-720"/>
        <w:tab w:val="left" w:pos="720"/>
      </w:tabs>
      <w:suppressAutoHyphens/>
    </w:pPr>
    <w:rPr>
      <w:sz w:val="26"/>
      <w:szCs w:val="20"/>
    </w:rPr>
  </w:style>
  <w:style w:type="character" w:styleId="Hyperlink">
    <w:name w:val="Hyperlink"/>
    <w:basedOn w:val="DefaultParagraphFont"/>
    <w:rsid w:val="006574CE"/>
    <w:rPr>
      <w:color w:val="0000FF"/>
      <w:u w:val="single"/>
    </w:rPr>
  </w:style>
  <w:style w:type="paragraph" w:styleId="BodyText">
    <w:name w:val="Body Text"/>
    <w:basedOn w:val="Normal"/>
    <w:rsid w:val="006574CE"/>
    <w:pPr>
      <w:shd w:val="pct25" w:color="auto" w:fill="FFFFFF"/>
      <w:tabs>
        <w:tab w:val="left" w:pos="-720"/>
      </w:tabs>
      <w:suppressAutoHyphens/>
    </w:pPr>
    <w:rPr>
      <w:sz w:val="26"/>
    </w:rPr>
  </w:style>
  <w:style w:type="paragraph" w:styleId="BodyTextIndent">
    <w:name w:val="Body Text Indent"/>
    <w:basedOn w:val="Normal"/>
    <w:rsid w:val="006574CE"/>
    <w:pPr>
      <w:shd w:val="pct25" w:color="auto" w:fill="FFFFFF"/>
      <w:tabs>
        <w:tab w:val="left" w:pos="-720"/>
      </w:tabs>
      <w:suppressAutoHyphens/>
      <w:ind w:left="510"/>
    </w:pPr>
    <w:rPr>
      <w:sz w:val="26"/>
      <w:szCs w:val="20"/>
    </w:rPr>
  </w:style>
  <w:style w:type="paragraph" w:styleId="BodyText2">
    <w:name w:val="Body Text 2"/>
    <w:basedOn w:val="Normal"/>
    <w:rsid w:val="006574CE"/>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574CE"/>
    <w:pPr>
      <w:tabs>
        <w:tab w:val="center" w:pos="4320"/>
        <w:tab w:val="right" w:pos="8640"/>
      </w:tabs>
    </w:pPr>
  </w:style>
  <w:style w:type="character" w:styleId="PageNumber">
    <w:name w:val="page number"/>
    <w:basedOn w:val="DefaultParagraphFont"/>
    <w:rsid w:val="006574C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Emphasis">
    <w:name w:val="Emphasis"/>
    <w:basedOn w:val="DefaultParagraphFont"/>
    <w:uiPriority w:val="20"/>
    <w:qFormat/>
    <w:rsid w:val="00421DBF"/>
    <w:rPr>
      <w:i/>
      <w:iCs/>
    </w:rPr>
  </w:style>
  <w:style w:type="paragraph" w:styleId="ListParagraph">
    <w:name w:val="List Paragraph"/>
    <w:basedOn w:val="Normal"/>
    <w:uiPriority w:val="34"/>
    <w:qFormat/>
    <w:rsid w:val="004C7730"/>
    <w:pPr>
      <w:ind w:left="720"/>
      <w:contextualSpacing/>
    </w:pPr>
  </w:style>
  <w:style w:type="paragraph" w:customStyle="1" w:styleId="TableText">
    <w:name w:val="TableText"/>
    <w:basedOn w:val="Normal"/>
    <w:rsid w:val="00AD3216"/>
    <w:pPr>
      <w:spacing w:before="10" w:after="10"/>
    </w:pPr>
    <w:rPr>
      <w:rFonts w:ascii="Arial" w:hAnsi="Arial" w:cs="Arial"/>
      <w:sz w:val="20"/>
      <w:szCs w:val="20"/>
    </w:rPr>
  </w:style>
  <w:style w:type="paragraph" w:customStyle="1" w:styleId="TableHeader">
    <w:name w:val="TableHeader"/>
    <w:basedOn w:val="TableText"/>
    <w:rsid w:val="00AD3216"/>
    <w:pPr>
      <w:keepNext/>
      <w:spacing w:before="30" w:after="30"/>
      <w:jc w:val="center"/>
    </w:pPr>
    <w:rPr>
      <w:b/>
    </w:rPr>
  </w:style>
  <w:style w:type="paragraph" w:styleId="Caption">
    <w:name w:val="caption"/>
    <w:basedOn w:val="Normal"/>
    <w:next w:val="Normal"/>
    <w:qFormat/>
    <w:rsid w:val="00934293"/>
    <w:pPr>
      <w:spacing w:before="120" w:after="120"/>
      <w:jc w:val="center"/>
    </w:pPr>
    <w:rPr>
      <w:b/>
      <w:bCs/>
      <w:sz w:val="20"/>
      <w:szCs w:val="20"/>
    </w:rPr>
  </w:style>
  <w:style w:type="paragraph" w:customStyle="1" w:styleId="ResponseText">
    <w:name w:val="ResponseText"/>
    <w:basedOn w:val="TableText"/>
    <w:rsid w:val="00934293"/>
    <w:pPr>
      <w:jc w:val="center"/>
    </w:pPr>
  </w:style>
  <w:style w:type="character" w:customStyle="1" w:styleId="EmailStyle401">
    <w:name w:val="EmailStyle40"/>
    <w:aliases w:val="EmailStyle40"/>
    <w:basedOn w:val="DefaultParagraphFont"/>
    <w:semiHidden/>
    <w:personal/>
    <w:personalCompose/>
    <w:rsid w:val="008335F2"/>
    <w:rPr>
      <w:rFonts w:ascii="Arial" w:hAnsi="Arial" w:cs="Arial"/>
      <w:color w:val="auto"/>
      <w:sz w:val="20"/>
      <w:szCs w:val="20"/>
    </w:rPr>
  </w:style>
  <w:style w:type="paragraph" w:customStyle="1" w:styleId="Figure">
    <w:name w:val="Figure"/>
    <w:basedOn w:val="Normal"/>
    <w:rsid w:val="000C43E7"/>
    <w:pPr>
      <w:spacing w:before="120"/>
      <w:jc w:val="center"/>
    </w:pPr>
  </w:style>
  <w:style w:type="paragraph" w:styleId="FootnoteText">
    <w:name w:val="footnote text"/>
    <w:basedOn w:val="Normal"/>
    <w:link w:val="FootnoteTextChar"/>
    <w:rsid w:val="004C3D4A"/>
    <w:rPr>
      <w:sz w:val="20"/>
      <w:szCs w:val="20"/>
    </w:rPr>
  </w:style>
  <w:style w:type="character" w:customStyle="1" w:styleId="FootnoteTextChar">
    <w:name w:val="Footnote Text Char"/>
    <w:basedOn w:val="DefaultParagraphFont"/>
    <w:link w:val="FootnoteText"/>
    <w:rsid w:val="004C3D4A"/>
  </w:style>
  <w:style w:type="character" w:styleId="FootnoteReference">
    <w:name w:val="footnote reference"/>
    <w:basedOn w:val="DefaultParagraphFont"/>
    <w:rsid w:val="004C3D4A"/>
    <w:rPr>
      <w:vertAlign w:val="superscript"/>
    </w:rPr>
  </w:style>
  <w:style w:type="paragraph" w:customStyle="1" w:styleId="Question">
    <w:name w:val="Question"/>
    <w:basedOn w:val="Normal"/>
    <w:link w:val="QuestionChar"/>
    <w:rsid w:val="004C3D4A"/>
    <w:pPr>
      <w:numPr>
        <w:numId w:val="17"/>
      </w:numPr>
      <w:spacing w:before="240"/>
    </w:pPr>
    <w:rPr>
      <w:b/>
    </w:rPr>
  </w:style>
  <w:style w:type="character" w:customStyle="1" w:styleId="QuestionChar">
    <w:name w:val="Question Char"/>
    <w:basedOn w:val="DefaultParagraphFont"/>
    <w:link w:val="Question"/>
    <w:rsid w:val="004C3D4A"/>
    <w:rPr>
      <w:b/>
      <w:sz w:val="24"/>
      <w:szCs w:val="24"/>
    </w:rPr>
  </w:style>
  <w:style w:type="paragraph" w:customStyle="1" w:styleId="Bullet">
    <w:name w:val="Bullet"/>
    <w:basedOn w:val="Normal"/>
    <w:rsid w:val="004C3D4A"/>
    <w:pPr>
      <w:numPr>
        <w:numId w:val="18"/>
      </w:numPr>
      <w:spacing w:before="120"/>
    </w:pPr>
    <w:rPr>
      <w:szCs w:val="20"/>
    </w:rPr>
  </w:style>
  <w:style w:type="paragraph" w:styleId="CommentText">
    <w:name w:val="annotation text"/>
    <w:basedOn w:val="Normal"/>
    <w:link w:val="CommentTextChar"/>
    <w:rsid w:val="00BD27E2"/>
    <w:rPr>
      <w:szCs w:val="20"/>
    </w:rPr>
  </w:style>
  <w:style w:type="character" w:customStyle="1" w:styleId="CommentTextChar">
    <w:name w:val="Comment Text Char"/>
    <w:basedOn w:val="DefaultParagraphFont"/>
    <w:link w:val="CommentText"/>
    <w:rsid w:val="00BD27E2"/>
    <w:rPr>
      <w:sz w:val="24"/>
    </w:rPr>
  </w:style>
  <w:style w:type="character" w:styleId="CommentReference">
    <w:name w:val="annotation reference"/>
    <w:basedOn w:val="DefaultParagraphFont"/>
    <w:rsid w:val="00736541"/>
    <w:rPr>
      <w:sz w:val="16"/>
      <w:szCs w:val="16"/>
    </w:rPr>
  </w:style>
  <w:style w:type="paragraph" w:styleId="CommentSubject">
    <w:name w:val="annotation subject"/>
    <w:basedOn w:val="CommentText"/>
    <w:next w:val="CommentText"/>
    <w:link w:val="CommentSubjectChar"/>
    <w:rsid w:val="00736541"/>
    <w:rPr>
      <w:b/>
      <w:bCs/>
      <w:sz w:val="20"/>
    </w:rPr>
  </w:style>
  <w:style w:type="character" w:customStyle="1" w:styleId="CommentSubjectChar">
    <w:name w:val="Comment Subject Char"/>
    <w:basedOn w:val="CommentTextChar"/>
    <w:link w:val="CommentSubject"/>
    <w:rsid w:val="00736541"/>
    <w:rPr>
      <w:b/>
      <w:bCs/>
    </w:rPr>
  </w:style>
  <w:style w:type="character" w:customStyle="1" w:styleId="Heading3Char">
    <w:name w:val="Heading 3 Char"/>
    <w:basedOn w:val="DefaultParagraphFont"/>
    <w:link w:val="Heading3"/>
    <w:semiHidden/>
    <w:rsid w:val="00796025"/>
    <w:rPr>
      <w:rFonts w:ascii="Cambria" w:eastAsia="Times New Roman" w:hAnsi="Cambria" w:cs="Times New Roman"/>
      <w:b/>
      <w:bCs/>
      <w:color w:val="4F81BD"/>
      <w:sz w:val="24"/>
      <w:szCs w:val="24"/>
    </w:rPr>
  </w:style>
  <w:style w:type="paragraph" w:styleId="Revision">
    <w:name w:val="Revision"/>
    <w:hidden/>
    <w:uiPriority w:val="99"/>
    <w:semiHidden/>
    <w:rsid w:val="00F51F14"/>
    <w:rPr>
      <w:sz w:val="24"/>
      <w:szCs w:val="24"/>
    </w:rPr>
  </w:style>
  <w:style w:type="paragraph" w:styleId="BodyTextIndent3">
    <w:name w:val="Body Text Indent 3"/>
    <w:basedOn w:val="Normal"/>
    <w:link w:val="BodyTextIndent3Char"/>
    <w:rsid w:val="006C06FD"/>
    <w:pPr>
      <w:spacing w:after="120"/>
      <w:ind w:left="360"/>
    </w:pPr>
    <w:rPr>
      <w:sz w:val="16"/>
      <w:szCs w:val="16"/>
    </w:rPr>
  </w:style>
  <w:style w:type="character" w:customStyle="1" w:styleId="BodyTextIndent3Char">
    <w:name w:val="Body Text Indent 3 Char"/>
    <w:basedOn w:val="DefaultParagraphFont"/>
    <w:link w:val="BodyTextIndent3"/>
    <w:rsid w:val="006C06FD"/>
    <w:rPr>
      <w:sz w:val="16"/>
      <w:szCs w:val="16"/>
    </w:rPr>
  </w:style>
  <w:style w:type="paragraph" w:customStyle="1" w:styleId="Tablebullet">
    <w:name w:val="Tablebullet"/>
    <w:basedOn w:val="TableText"/>
    <w:rsid w:val="005001F2"/>
    <w:pPr>
      <w:numPr>
        <w:numId w:val="28"/>
      </w:numPr>
      <w:spacing w:before="60" w:after="60"/>
    </w:pPr>
    <w:rPr>
      <w:rFonts w:cs="Times New Roman"/>
      <w:noProof/>
    </w:rPr>
  </w:style>
  <w:style w:type="character" w:customStyle="1" w:styleId="FooterChar">
    <w:name w:val="Footer Char"/>
    <w:basedOn w:val="DefaultParagraphFont"/>
    <w:link w:val="Footer"/>
    <w:rsid w:val="00A906F2"/>
    <w:rPr>
      <w:sz w:val="24"/>
      <w:szCs w:val="24"/>
    </w:rPr>
  </w:style>
</w:styles>
</file>

<file path=word/webSettings.xml><?xml version="1.0" encoding="utf-8"?>
<w:webSettings xmlns:r="http://schemas.openxmlformats.org/officeDocument/2006/relationships" xmlns:w="http://schemas.openxmlformats.org/wordprocessingml/2006/main">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52015577">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67832731">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62680542">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2338717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hyperlink" Target="mailto:patty@crdynamics.com"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footer" Target="footer4.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footer" Target="footer3.xml"/><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19.bin"/><Relationship Id="rId10" Type="http://schemas.openxmlformats.org/officeDocument/2006/relationships/footer" Target="footer2.xml"/><Relationship Id="rId19" Type="http://schemas.openxmlformats.org/officeDocument/2006/relationships/image" Target="media/image6.wmf"/><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hyperlink" Target="mailto:ahyon@m-s-g.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8" Type="http://schemas.openxmlformats.org/officeDocument/2006/relationships/image" Target="media/image1.jpeg"/><Relationship Id="rId51" Type="http://schemas.openxmlformats.org/officeDocument/2006/relationships/hyperlink" Target="mailto:james@crdynamic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apor.org/default.asp?page=survey_methods/standards_and_best_practices/%20standard_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C142-12F8-4CC5-841B-F8F4CA96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3698</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24499</CharactersWithSpaces>
  <SharedDoc>false</SharedDoc>
  <HLinks>
    <vt:vector size="54" baseType="variant">
      <vt:variant>
        <vt:i4>6488140</vt:i4>
      </vt:variant>
      <vt:variant>
        <vt:i4>175</vt:i4>
      </vt:variant>
      <vt:variant>
        <vt:i4>0</vt:i4>
      </vt:variant>
      <vt:variant>
        <vt:i4>5</vt:i4>
      </vt:variant>
      <vt:variant>
        <vt:lpwstr>mailto:ahyon@m-s-g.com</vt:lpwstr>
      </vt:variant>
      <vt:variant>
        <vt:lpwstr/>
      </vt:variant>
      <vt:variant>
        <vt:i4>3145757</vt:i4>
      </vt:variant>
      <vt:variant>
        <vt:i4>172</vt:i4>
      </vt:variant>
      <vt:variant>
        <vt:i4>0</vt:i4>
      </vt:variant>
      <vt:variant>
        <vt:i4>5</vt:i4>
      </vt:variant>
      <vt:variant>
        <vt:lpwstr>mailto:james@crdynamics.com</vt:lpwstr>
      </vt:variant>
      <vt:variant>
        <vt:lpwstr/>
      </vt:variant>
      <vt:variant>
        <vt:i4>3735564</vt:i4>
      </vt:variant>
      <vt:variant>
        <vt:i4>169</vt:i4>
      </vt:variant>
      <vt:variant>
        <vt:i4>0</vt:i4>
      </vt:variant>
      <vt:variant>
        <vt:i4>5</vt:i4>
      </vt:variant>
      <vt:variant>
        <vt:lpwstr>mailto:patty@crdynamics.com</vt:lpwstr>
      </vt:variant>
      <vt:variant>
        <vt:lpwstr/>
      </vt:variant>
      <vt:variant>
        <vt:i4>2818173</vt:i4>
      </vt:variant>
      <vt:variant>
        <vt:i4>80</vt:i4>
      </vt:variant>
      <vt:variant>
        <vt:i4>0</vt:i4>
      </vt:variant>
      <vt:variant>
        <vt:i4>5</vt:i4>
      </vt:variant>
      <vt:variant>
        <vt:lpwstr>http://www.bls.gov/</vt:lpwstr>
      </vt:variant>
      <vt:variant>
        <vt:lpwstr/>
      </vt:variant>
      <vt:variant>
        <vt:i4>2818173</vt:i4>
      </vt:variant>
      <vt:variant>
        <vt:i4>77</vt:i4>
      </vt:variant>
      <vt:variant>
        <vt:i4>0</vt:i4>
      </vt:variant>
      <vt:variant>
        <vt:i4>5</vt:i4>
      </vt:variant>
      <vt:variant>
        <vt:lpwstr>http://www.bls.gov/</vt:lpwstr>
      </vt:variant>
      <vt:variant>
        <vt:lpwstr/>
      </vt:variant>
      <vt:variant>
        <vt:i4>2818173</vt:i4>
      </vt:variant>
      <vt:variant>
        <vt:i4>74</vt:i4>
      </vt:variant>
      <vt:variant>
        <vt:i4>0</vt:i4>
      </vt:variant>
      <vt:variant>
        <vt:i4>5</vt:i4>
      </vt:variant>
      <vt:variant>
        <vt:lpwstr>http://www.bls.gov/</vt:lpwstr>
      </vt:variant>
      <vt:variant>
        <vt:lpwstr/>
      </vt:variant>
      <vt:variant>
        <vt:i4>2818173</vt:i4>
      </vt:variant>
      <vt:variant>
        <vt:i4>71</vt:i4>
      </vt:variant>
      <vt:variant>
        <vt:i4>0</vt:i4>
      </vt:variant>
      <vt:variant>
        <vt:i4>5</vt:i4>
      </vt:variant>
      <vt:variant>
        <vt:lpwstr>http://www.bls.gov/</vt:lpwstr>
      </vt:variant>
      <vt:variant>
        <vt:lpwstr/>
      </vt:variant>
      <vt:variant>
        <vt:i4>327759</vt:i4>
      </vt:variant>
      <vt:variant>
        <vt:i4>4</vt:i4>
      </vt:variant>
      <vt:variant>
        <vt:i4>0</vt:i4>
      </vt:variant>
      <vt:variant>
        <vt:i4>5</vt:i4>
      </vt:variant>
      <vt:variant>
        <vt:lpwstr>http://www.fema.gov/about/divisions/npd.shtm</vt:lpwstr>
      </vt:variant>
      <vt:variant>
        <vt:lpwstr/>
      </vt:variant>
      <vt:variant>
        <vt:i4>131126</vt:i4>
      </vt:variant>
      <vt:variant>
        <vt:i4>0</vt:i4>
      </vt:variant>
      <vt:variant>
        <vt:i4>0</vt:i4>
      </vt:variant>
      <vt:variant>
        <vt:i4>5</vt:i4>
      </vt:variant>
      <vt:variant>
        <vt:lpwstr>http://www.aapor.org/default.asp?page=survey_methods/standards_and_best_practices/%20standard_definitions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nbouchet</cp:lastModifiedBy>
  <cp:revision>5</cp:revision>
  <cp:lastPrinted>2011-03-16T21:42:00Z</cp:lastPrinted>
  <dcterms:created xsi:type="dcterms:W3CDTF">2011-04-18T19:27:00Z</dcterms:created>
  <dcterms:modified xsi:type="dcterms:W3CDTF">2011-09-30T18:26:00Z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