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6E" w:rsidRPr="003F5B7E" w:rsidRDefault="00CC706E" w:rsidP="001C22EF">
      <w:pPr>
        <w:pStyle w:val="Default"/>
        <w:spacing w:line="198" w:lineRule="atLeast"/>
        <w:jc w:val="center"/>
        <w:rPr>
          <w:rFonts w:ascii="Times New Roman" w:hAnsi="Times New Roman" w:cs="Times New Roman"/>
        </w:rPr>
      </w:pPr>
      <w:r w:rsidRPr="003F5B7E">
        <w:rPr>
          <w:rFonts w:ascii="Times New Roman" w:hAnsi="Times New Roman" w:cs="Times New Roman"/>
        </w:rPr>
        <w:t>CMS Voluntary Self-Referral Disclosure Protocol</w:t>
      </w:r>
    </w:p>
    <w:p w:rsidR="00CC706E" w:rsidRPr="003F5B7E" w:rsidRDefault="00CC706E" w:rsidP="009C386B">
      <w:pPr>
        <w:pStyle w:val="Default"/>
        <w:spacing w:line="198" w:lineRule="atLeast"/>
        <w:rPr>
          <w:rFonts w:ascii="Times New Roman" w:hAnsi="Times New Roman" w:cs="Times New Roman"/>
        </w:rPr>
      </w:pPr>
    </w:p>
    <w:p w:rsidR="00CC706E" w:rsidRPr="003F5B7E" w:rsidRDefault="00890534" w:rsidP="00890534">
      <w:pPr>
        <w:pStyle w:val="Default"/>
        <w:spacing w:line="198" w:lineRule="atLeast"/>
        <w:rPr>
          <w:rFonts w:ascii="Times New Roman" w:hAnsi="Times New Roman" w:cs="Times New Roman"/>
          <w:i/>
        </w:rPr>
      </w:pPr>
      <w:r>
        <w:rPr>
          <w:rFonts w:ascii="Times New Roman" w:hAnsi="Times New Roman" w:cs="Times New Roman"/>
          <w:i/>
        </w:rPr>
        <w:t xml:space="preserve">I.  </w:t>
      </w:r>
      <w:r w:rsidR="00CC706E" w:rsidRPr="003F5B7E">
        <w:rPr>
          <w:rFonts w:ascii="Times New Roman" w:hAnsi="Times New Roman" w:cs="Times New Roman"/>
          <w:i/>
        </w:rPr>
        <w:t>Introduction</w:t>
      </w:r>
    </w:p>
    <w:p w:rsidR="00CC706E" w:rsidRDefault="00CC706E" w:rsidP="00BF3D1A">
      <w:pPr>
        <w:pStyle w:val="Default"/>
        <w:spacing w:line="198" w:lineRule="atLeast"/>
        <w:rPr>
          <w:rFonts w:ascii="Times New Roman" w:hAnsi="Times New Roman" w:cs="Times New Roman"/>
        </w:rPr>
      </w:pPr>
    </w:p>
    <w:p w:rsidR="00C44D38" w:rsidRDefault="00C44D38" w:rsidP="001613DC">
      <w:pPr>
        <w:pStyle w:val="Default"/>
        <w:spacing w:line="198" w:lineRule="atLeast"/>
        <w:rPr>
          <w:rFonts w:ascii="Times New Roman" w:hAnsi="Times New Roman" w:cs="Times New Roman"/>
        </w:rPr>
      </w:pPr>
      <w:r>
        <w:rPr>
          <w:rFonts w:ascii="Times New Roman" w:hAnsi="Times New Roman" w:cs="Times New Roman"/>
        </w:rPr>
        <w:t>The Affordable Care Act (ACA), enacted on March 23, 2010, provides for the establishment of a voluntary self-disclosure protocol, under which providers of services and suppliers may self-disclose actual or potential violations of the physicians self-referral statute (section 1877 of the Social Security Act).  The physician self-referral statute prohibits a physician from making referrals for certain designated health services (DHS) payable by Medicare to an entity with which he or she (or an immediate family member) has a financial relationship (ownership, investment, or compensation), unless an exception applies; prohibits the entity from presenting or causing to be presented claims to Medicare (or billing another individual, entity, or third-party payer) for those referred services; and establishes a number of specific exceptions and grants the Secretary of Health and Human Services (HHS) the authority to create regulatory exceptions for financial relationship</w:t>
      </w:r>
      <w:r w:rsidR="00DD2DE6">
        <w:rPr>
          <w:rFonts w:ascii="Times New Roman" w:hAnsi="Times New Roman" w:cs="Times New Roman"/>
        </w:rPr>
        <w:t>s</w:t>
      </w:r>
      <w:r>
        <w:rPr>
          <w:rFonts w:ascii="Times New Roman" w:hAnsi="Times New Roman" w:cs="Times New Roman"/>
        </w:rPr>
        <w:t xml:space="preserve"> that do not pose a risk of program or patient abuse.</w:t>
      </w:r>
    </w:p>
    <w:p w:rsidR="00C44D38" w:rsidRDefault="00C44D38" w:rsidP="001613DC">
      <w:pPr>
        <w:pStyle w:val="Default"/>
        <w:spacing w:line="198" w:lineRule="atLeast"/>
        <w:rPr>
          <w:rFonts w:ascii="Times New Roman" w:hAnsi="Times New Roman" w:cs="Times New Roman"/>
        </w:rPr>
      </w:pPr>
    </w:p>
    <w:p w:rsidR="00CC706E" w:rsidRPr="003F5B7E" w:rsidRDefault="00C44D38" w:rsidP="001613DC">
      <w:pPr>
        <w:pStyle w:val="Default"/>
        <w:spacing w:line="198" w:lineRule="atLeast"/>
        <w:rPr>
          <w:rFonts w:ascii="Times New Roman" w:hAnsi="Times New Roman" w:cs="Times New Roman"/>
        </w:rPr>
      </w:pPr>
      <w:r>
        <w:rPr>
          <w:rFonts w:ascii="Times New Roman" w:hAnsi="Times New Roman" w:cs="Times New Roman"/>
        </w:rPr>
        <w:t>Specifically, s</w:t>
      </w:r>
      <w:r w:rsidR="00CC706E" w:rsidRPr="003F5B7E">
        <w:rPr>
          <w:rFonts w:ascii="Times New Roman" w:hAnsi="Times New Roman" w:cs="Times New Roman"/>
        </w:rPr>
        <w:t xml:space="preserve">ection 6409 of the ACA requires the Secretary of HHS, in cooperation with the Inspector General of HHS to establish a Medicare self-referral disclosure protocol (SRDP) that sets forth a process for providers of services and suppliers to self-disclose actual or potential violations of the physician self-referral statute.  Section 6409 of the ACA requires the Secretary of HHS to inform providers of services and suppliers of how to disclose an actual or potential violation pursuant to the protocol through publication on the CMS website.  Furthermore, section 6409 of the ACA mandates that the SRDP include direction to health care providers of services and suppliers on the specific person, official, or office to whom such disclosures shall be made and instruction on the implication of the SRDP on corporate integrity agreements and corporate compliance agreements.  Section 6409(b) of the ACA grants the Secretary of HHS the authority to reduce the amount due and owing for all violations of the physician self-referral statute.  In establishing the amount </w:t>
      </w:r>
      <w:r w:rsidR="001623D8" w:rsidRPr="003F5B7E">
        <w:rPr>
          <w:rFonts w:ascii="Times New Roman" w:hAnsi="Times New Roman" w:cs="Times New Roman"/>
        </w:rPr>
        <w:t>by which an overpayment resulting from a violation(s) may be reduced</w:t>
      </w:r>
      <w:r w:rsidR="00CC706E" w:rsidRPr="003F5B7E">
        <w:rPr>
          <w:rFonts w:ascii="Times New Roman" w:hAnsi="Times New Roman" w:cs="Times New Roman"/>
        </w:rPr>
        <w:t xml:space="preserve">, the Secretary may consider:  the nature and extent of the improper or illegal practice; the timeliness of such disclosure; the cooperation in providing additional information related to the disclosure; and such other factors as the Secretary considers appropriate.  Section 6409(a)(3) of the ACA explicitly states that the SRDP is separate from the advisory opinion process </w:t>
      </w:r>
      <w:r>
        <w:rPr>
          <w:rFonts w:ascii="Times New Roman" w:hAnsi="Times New Roman" w:cs="Times New Roman"/>
        </w:rPr>
        <w:t xml:space="preserve">related to physician referrals </w:t>
      </w:r>
      <w:r w:rsidR="00CC706E" w:rsidRPr="003F5B7E">
        <w:rPr>
          <w:rFonts w:ascii="Times New Roman" w:hAnsi="Times New Roman" w:cs="Times New Roman"/>
        </w:rPr>
        <w:t>set forth in 42 C.F.R. §§ 411.370 through 411.389.  Thus, a provider of services or supplier may not disclose an actual or potential violation</w:t>
      </w:r>
      <w:r w:rsidR="001623D8" w:rsidRPr="003F5B7E">
        <w:rPr>
          <w:rFonts w:ascii="Times New Roman" w:hAnsi="Times New Roman" w:cs="Times New Roman"/>
        </w:rPr>
        <w:t>(s)</w:t>
      </w:r>
      <w:r w:rsidR="00CC706E" w:rsidRPr="003F5B7E">
        <w:rPr>
          <w:rFonts w:ascii="Times New Roman" w:hAnsi="Times New Roman" w:cs="Times New Roman"/>
        </w:rPr>
        <w:t xml:space="preserve"> through the SRDP and request an advisory opinion for conduct underlying the same arrangement(s)</w:t>
      </w:r>
      <w:r w:rsidR="001623D8" w:rsidRPr="003F5B7E">
        <w:rPr>
          <w:rFonts w:ascii="Times New Roman" w:hAnsi="Times New Roman" w:cs="Times New Roman"/>
        </w:rPr>
        <w:t xml:space="preserve"> concurrently</w:t>
      </w:r>
      <w:r w:rsidR="00CC706E" w:rsidRPr="003F5B7E">
        <w:rPr>
          <w:rFonts w:ascii="Times New Roman" w:hAnsi="Times New Roman" w:cs="Times New Roman"/>
        </w:rPr>
        <w:t xml:space="preserve">.  </w:t>
      </w:r>
    </w:p>
    <w:p w:rsidR="00CC706E" w:rsidRDefault="00CC706E" w:rsidP="001613DC">
      <w:pPr>
        <w:pStyle w:val="Default"/>
        <w:spacing w:line="198" w:lineRule="atLeast"/>
        <w:rPr>
          <w:rFonts w:ascii="Times New Roman" w:hAnsi="Times New Roman" w:cs="Times New Roman"/>
        </w:rPr>
      </w:pPr>
    </w:p>
    <w:p w:rsidR="00CC706E" w:rsidRPr="003F5B7E" w:rsidRDefault="00CC706E" w:rsidP="001613DC">
      <w:pPr>
        <w:pStyle w:val="Default"/>
        <w:spacing w:line="198" w:lineRule="atLeast"/>
        <w:rPr>
          <w:rFonts w:ascii="Times New Roman" w:hAnsi="Times New Roman" w:cs="Times New Roman"/>
        </w:rPr>
      </w:pPr>
      <w:r w:rsidRPr="003F5B7E">
        <w:rPr>
          <w:rFonts w:ascii="Times New Roman" w:hAnsi="Times New Roman" w:cs="Times New Roman"/>
        </w:rPr>
        <w:t>Section 6402 of the ACA establishes a deadline for reporting and returning overpayments by the later of:</w:t>
      </w:r>
      <w:r w:rsidR="00890534">
        <w:rPr>
          <w:rFonts w:ascii="Times New Roman" w:hAnsi="Times New Roman" w:cs="Times New Roman"/>
        </w:rPr>
        <w:t xml:space="preserve"> </w:t>
      </w:r>
      <w:r w:rsidRPr="003F5B7E">
        <w:rPr>
          <w:rFonts w:ascii="Times New Roman" w:hAnsi="Times New Roman" w:cs="Times New Roman"/>
        </w:rPr>
        <w:t xml:space="preserve"> (1) the date which is 60 days after the date on which the overpayment was identified; or (2) the date any corresponding cost report is due, if applicable.  At the time the provider of services or supplier electronically submits a disclosure under the SRDP (and receives email confirmation from CMS that the disclosure has been received), the obligation </w:t>
      </w:r>
      <w:r w:rsidR="00B434DB">
        <w:rPr>
          <w:rFonts w:ascii="Times New Roman" w:hAnsi="Times New Roman" w:cs="Times New Roman"/>
        </w:rPr>
        <w:t xml:space="preserve">under </w:t>
      </w:r>
      <w:r w:rsidR="00837E19">
        <w:rPr>
          <w:rFonts w:ascii="Times New Roman" w:hAnsi="Times New Roman" w:cs="Times New Roman"/>
        </w:rPr>
        <w:t>s</w:t>
      </w:r>
      <w:r w:rsidR="00CE1CB4">
        <w:rPr>
          <w:rFonts w:ascii="Times New Roman" w:hAnsi="Times New Roman" w:cs="Times New Roman"/>
        </w:rPr>
        <w:t xml:space="preserve">ection </w:t>
      </w:r>
      <w:r w:rsidR="00B434DB">
        <w:rPr>
          <w:rFonts w:ascii="Times New Roman" w:hAnsi="Times New Roman" w:cs="Times New Roman"/>
        </w:rPr>
        <w:t xml:space="preserve">6402 </w:t>
      </w:r>
      <w:r w:rsidR="0057694B">
        <w:rPr>
          <w:rFonts w:ascii="Times New Roman" w:hAnsi="Times New Roman" w:cs="Times New Roman"/>
        </w:rPr>
        <w:t xml:space="preserve">of </w:t>
      </w:r>
      <w:r w:rsidR="00B434DB">
        <w:rPr>
          <w:rFonts w:ascii="Times New Roman" w:hAnsi="Times New Roman" w:cs="Times New Roman"/>
        </w:rPr>
        <w:t xml:space="preserve">the ACA </w:t>
      </w:r>
      <w:r w:rsidRPr="003F5B7E">
        <w:rPr>
          <w:rFonts w:ascii="Times New Roman" w:hAnsi="Times New Roman" w:cs="Times New Roman"/>
        </w:rPr>
        <w:t xml:space="preserve">to return any potential overpayment within 60 days will </w:t>
      </w:r>
      <w:r w:rsidR="00B434DB">
        <w:rPr>
          <w:rFonts w:ascii="Times New Roman" w:hAnsi="Times New Roman" w:cs="Times New Roman"/>
        </w:rPr>
        <w:t xml:space="preserve">be suspended </w:t>
      </w:r>
      <w:r w:rsidRPr="003F5B7E">
        <w:rPr>
          <w:rFonts w:ascii="Times New Roman" w:hAnsi="Times New Roman" w:cs="Times New Roman"/>
        </w:rPr>
        <w:t xml:space="preserve">until a settlement agreement is entered, the provider of services or supplier withdraws from the SRDP, or CMS removes the provider of services or supplier from the SRDP. </w:t>
      </w:r>
    </w:p>
    <w:p w:rsidR="00CC706E" w:rsidRDefault="00CC706E" w:rsidP="009C386B">
      <w:pPr>
        <w:pStyle w:val="Default"/>
        <w:rPr>
          <w:rFonts w:ascii="Times New Roman" w:hAnsi="Times New Roman" w:cs="Times New Roman"/>
          <w:i/>
          <w:iCs/>
        </w:rPr>
      </w:pPr>
    </w:p>
    <w:p w:rsidR="00CC706E" w:rsidRPr="003F5B7E" w:rsidRDefault="00CC706E" w:rsidP="009C386B">
      <w:pPr>
        <w:pStyle w:val="Default"/>
        <w:rPr>
          <w:rFonts w:ascii="Times New Roman" w:hAnsi="Times New Roman" w:cs="Times New Roman"/>
        </w:rPr>
      </w:pPr>
      <w:r w:rsidRPr="003F5B7E">
        <w:rPr>
          <w:rFonts w:ascii="Times New Roman" w:hAnsi="Times New Roman" w:cs="Times New Roman"/>
          <w:i/>
          <w:iCs/>
        </w:rPr>
        <w:t>II</w:t>
      </w:r>
      <w:r w:rsidR="002254D6" w:rsidRPr="003F5B7E">
        <w:rPr>
          <w:rFonts w:ascii="Times New Roman" w:hAnsi="Times New Roman" w:cs="Times New Roman"/>
          <w:i/>
          <w:iCs/>
        </w:rPr>
        <w:t>.</w:t>
      </w:r>
      <w:r w:rsidR="002254D6">
        <w:rPr>
          <w:rFonts w:ascii="Times New Roman" w:hAnsi="Times New Roman" w:cs="Times New Roman"/>
          <w:i/>
          <w:iCs/>
        </w:rPr>
        <w:t xml:space="preserve"> </w:t>
      </w:r>
      <w:r w:rsidR="002254D6" w:rsidRPr="003F5B7E">
        <w:rPr>
          <w:rFonts w:ascii="Times New Roman" w:hAnsi="Times New Roman" w:cs="Times New Roman"/>
          <w:i/>
          <w:iCs/>
        </w:rPr>
        <w:t>The</w:t>
      </w:r>
      <w:r w:rsidRPr="003F5B7E">
        <w:rPr>
          <w:rFonts w:ascii="Times New Roman" w:hAnsi="Times New Roman" w:cs="Times New Roman"/>
          <w:i/>
          <w:iCs/>
        </w:rPr>
        <w:t xml:space="preserve"> SRDP </w:t>
      </w:r>
    </w:p>
    <w:p w:rsidR="00CC706E" w:rsidRPr="003F5B7E" w:rsidRDefault="00CC706E" w:rsidP="009C386B">
      <w:pPr>
        <w:pStyle w:val="Default"/>
        <w:rPr>
          <w:rFonts w:ascii="Times New Roman" w:hAnsi="Times New Roman" w:cs="Times New Roman"/>
        </w:rPr>
      </w:pPr>
    </w:p>
    <w:p w:rsidR="00CC706E" w:rsidRPr="003F5B7E" w:rsidRDefault="00CC706E" w:rsidP="009C386B">
      <w:pPr>
        <w:pStyle w:val="CM2"/>
        <w:rPr>
          <w:rFonts w:ascii="Times New Roman" w:hAnsi="Times New Roman"/>
          <w:color w:val="000000"/>
        </w:rPr>
      </w:pPr>
      <w:r w:rsidRPr="003F5B7E">
        <w:rPr>
          <w:rFonts w:ascii="Times New Roman" w:hAnsi="Times New Roman"/>
          <w:color w:val="000000"/>
        </w:rPr>
        <w:t xml:space="preserve">The </w:t>
      </w:r>
      <w:r w:rsidRPr="003F5B7E">
        <w:rPr>
          <w:rFonts w:ascii="Times New Roman" w:hAnsi="Times New Roman"/>
        </w:rPr>
        <w:t>SRDP</w:t>
      </w:r>
      <w:r w:rsidRPr="003F5B7E">
        <w:rPr>
          <w:rFonts w:ascii="Times New Roman" w:hAnsi="Times New Roman"/>
          <w:color w:val="000000"/>
        </w:rPr>
        <w:t xml:space="preserve"> is open to all health care providers of services and suppliers, whether individuals or entities, and is not limited to any particular industry, medical specialty, or type of service.  </w:t>
      </w:r>
      <w:r w:rsidR="001623D8" w:rsidRPr="003F5B7E">
        <w:rPr>
          <w:rFonts w:ascii="Times New Roman" w:hAnsi="Times New Roman"/>
          <w:color w:val="000000"/>
        </w:rPr>
        <w:t xml:space="preserve">For purposes of the SRDP, “providers of services” and “suppliers” will be referred to as “disclosing parties.”  </w:t>
      </w:r>
      <w:r w:rsidRPr="003F5B7E">
        <w:rPr>
          <w:rFonts w:ascii="Times New Roman" w:hAnsi="Times New Roman"/>
          <w:color w:val="000000"/>
        </w:rPr>
        <w:t xml:space="preserve">The fact that a disclosing party is already subject to Government inquiry (including investigations, audits or routine oversight activities) will not automatically preclude </w:t>
      </w:r>
      <w:r w:rsidR="00C44D38">
        <w:rPr>
          <w:rFonts w:ascii="Times New Roman" w:hAnsi="Times New Roman"/>
          <w:color w:val="000000"/>
        </w:rPr>
        <w:t xml:space="preserve">acceptance of </w:t>
      </w:r>
      <w:r w:rsidRPr="003F5B7E">
        <w:rPr>
          <w:rFonts w:ascii="Times New Roman" w:hAnsi="Times New Roman"/>
          <w:color w:val="000000"/>
        </w:rPr>
        <w:t xml:space="preserve">a disclosure.  The disclosure, however, must be made in good faith.  A disclosing party that attempts to circumvent an ongoing inquiry or fails to fully cooperate </w:t>
      </w:r>
      <w:r w:rsidR="00C44D38">
        <w:rPr>
          <w:rFonts w:ascii="Times New Roman" w:hAnsi="Times New Roman"/>
          <w:color w:val="000000"/>
        </w:rPr>
        <w:t xml:space="preserve">during </w:t>
      </w:r>
      <w:r w:rsidRPr="003F5B7E">
        <w:rPr>
          <w:rFonts w:ascii="Times New Roman" w:hAnsi="Times New Roman"/>
          <w:color w:val="000000"/>
        </w:rPr>
        <w:t>the self-disclosure process will be removed from the SRDP.</w:t>
      </w:r>
    </w:p>
    <w:p w:rsidR="00CC706E" w:rsidRPr="003F5B7E" w:rsidRDefault="00CC706E" w:rsidP="009C386B">
      <w:pPr>
        <w:pStyle w:val="Default"/>
        <w:rPr>
          <w:rFonts w:ascii="Times New Roman" w:hAnsi="Times New Roman" w:cs="Times New Roman"/>
        </w:rPr>
      </w:pPr>
    </w:p>
    <w:p w:rsidR="00CC706E" w:rsidRPr="003F5B7E" w:rsidRDefault="00BC3641" w:rsidP="009C386B">
      <w:pPr>
        <w:pStyle w:val="CM2"/>
        <w:rPr>
          <w:rFonts w:ascii="Times New Roman" w:hAnsi="Times New Roman"/>
        </w:rPr>
      </w:pPr>
      <w:r w:rsidRPr="003F5B7E">
        <w:rPr>
          <w:rFonts w:ascii="Times New Roman" w:hAnsi="Times New Roman"/>
        </w:rPr>
        <w:t>T</w:t>
      </w:r>
      <w:r w:rsidRPr="003F5B7E">
        <w:rPr>
          <w:rFonts w:ascii="Times New Roman" w:hAnsi="Times New Roman"/>
          <w:color w:val="000000"/>
        </w:rPr>
        <w:t xml:space="preserve">he SRDP cannot be used to obtain a CMS determination as to whether an actual or potential violation of the physician self-referral law occurred.  As stated </w:t>
      </w:r>
      <w:r w:rsidR="00C44D38">
        <w:rPr>
          <w:rFonts w:ascii="Times New Roman" w:hAnsi="Times New Roman"/>
          <w:color w:val="000000"/>
        </w:rPr>
        <w:t xml:space="preserve">above and </w:t>
      </w:r>
      <w:r w:rsidRPr="003F5B7E">
        <w:rPr>
          <w:rFonts w:ascii="Times New Roman" w:hAnsi="Times New Roman"/>
          <w:color w:val="000000"/>
        </w:rPr>
        <w:t xml:space="preserve">in </w:t>
      </w:r>
      <w:r w:rsidR="00837E19">
        <w:rPr>
          <w:rFonts w:ascii="Times New Roman" w:hAnsi="Times New Roman"/>
        </w:rPr>
        <w:t>s</w:t>
      </w:r>
      <w:r w:rsidRPr="003F5B7E">
        <w:rPr>
          <w:rFonts w:ascii="Times New Roman" w:hAnsi="Times New Roman"/>
        </w:rPr>
        <w:t xml:space="preserve">ection 6409(a)(3) of the ACA, the SRDP is separate from the </w:t>
      </w:r>
      <w:r w:rsidR="00DC4BA4" w:rsidRPr="003F5B7E">
        <w:rPr>
          <w:rFonts w:ascii="Times New Roman" w:hAnsi="Times New Roman"/>
        </w:rPr>
        <w:t xml:space="preserve">CMS physician self-referral </w:t>
      </w:r>
      <w:r w:rsidRPr="003F5B7E">
        <w:rPr>
          <w:rFonts w:ascii="Times New Roman" w:hAnsi="Times New Roman"/>
        </w:rPr>
        <w:t xml:space="preserve">advisory opinion process.  </w:t>
      </w:r>
      <w:r w:rsidR="00CC706E" w:rsidRPr="003F5B7E">
        <w:rPr>
          <w:rFonts w:ascii="Times New Roman" w:hAnsi="Times New Roman"/>
          <w:color w:val="000000"/>
        </w:rPr>
        <w:t xml:space="preserve">The </w:t>
      </w:r>
      <w:r w:rsidR="00CC706E" w:rsidRPr="003F5B7E">
        <w:rPr>
          <w:rFonts w:ascii="Times New Roman" w:hAnsi="Times New Roman"/>
        </w:rPr>
        <w:t>SRDP</w:t>
      </w:r>
      <w:r w:rsidR="00CC706E" w:rsidRPr="003F5B7E">
        <w:rPr>
          <w:rFonts w:ascii="Times New Roman" w:hAnsi="Times New Roman"/>
          <w:color w:val="000000"/>
        </w:rPr>
        <w:t xml:space="preserve"> is intended to facilitate the resolution of only matters that, in the disclosing party’s reasonable assessment, are actual or potential violations of the physician self-referral law.  Thus, a disclosing party should make a submission to the SRDP with the intention of resolving its overpayment liability exposure for the conduct it identified.  </w:t>
      </w:r>
    </w:p>
    <w:p w:rsidR="00E13BB2" w:rsidRPr="003F5B7E" w:rsidRDefault="00E13BB2">
      <w:pPr>
        <w:pStyle w:val="Default"/>
        <w:rPr>
          <w:rFonts w:ascii="Times New Roman" w:hAnsi="Times New Roman" w:cs="Times New Roman"/>
        </w:rPr>
      </w:pPr>
    </w:p>
    <w:p w:rsidR="00B434DB" w:rsidRDefault="00CC706E" w:rsidP="00B434DB">
      <w:pPr>
        <w:pStyle w:val="Default"/>
        <w:spacing w:line="198" w:lineRule="atLeast"/>
        <w:rPr>
          <w:rFonts w:ascii="Times New Roman" w:hAnsi="Times New Roman" w:cs="Times New Roman"/>
        </w:rPr>
      </w:pPr>
      <w:r w:rsidRPr="003F5B7E">
        <w:rPr>
          <w:rFonts w:ascii="Times New Roman" w:hAnsi="Times New Roman"/>
        </w:rPr>
        <w:t xml:space="preserve">CMS will review the circumstances surrounding the matter disclosed to determine an appropriate resolution.  </w:t>
      </w:r>
      <w:r w:rsidR="002E098C" w:rsidRPr="003F5B7E">
        <w:rPr>
          <w:rFonts w:ascii="Times New Roman" w:hAnsi="Times New Roman"/>
        </w:rPr>
        <w:t>I</w:t>
      </w:r>
      <w:r w:rsidRPr="003F5B7E">
        <w:rPr>
          <w:rFonts w:ascii="Times New Roman" w:hAnsi="Times New Roman"/>
        </w:rPr>
        <w:t xml:space="preserve">n some instances, Medicare contractors may be responsible for processing any identified overpayment.  CMS is not bound by any </w:t>
      </w:r>
      <w:r w:rsidR="00F65A7C">
        <w:rPr>
          <w:rFonts w:ascii="Times New Roman" w:hAnsi="Times New Roman"/>
        </w:rPr>
        <w:t xml:space="preserve">conclusions </w:t>
      </w:r>
      <w:r w:rsidRPr="003F5B7E">
        <w:rPr>
          <w:rFonts w:ascii="Times New Roman" w:hAnsi="Times New Roman"/>
        </w:rPr>
        <w:t xml:space="preserve">made by the disclosing party under </w:t>
      </w:r>
      <w:r w:rsidR="00C44D38">
        <w:rPr>
          <w:rFonts w:ascii="Times New Roman" w:hAnsi="Times New Roman"/>
        </w:rPr>
        <w:t xml:space="preserve">the SRDP </w:t>
      </w:r>
      <w:r w:rsidRPr="003F5B7E">
        <w:rPr>
          <w:rFonts w:ascii="Times New Roman" w:hAnsi="Times New Roman"/>
        </w:rPr>
        <w:t xml:space="preserve">and is not obligated to resolve the matter in any particular manner.  Nevertheless, CMS will work closely with a disclosing party that structures its disclosure in accordance with the SRDP to reach an effective and appropriate resolution.  As a condition of disclosing a matter pursuant to the SRDP, the disclosing party agrees that no appeal rights attach to claims relating to the conduct disclosed if resolved through a settlement agreement.  If the disclosing party withdraws or is removed from the </w:t>
      </w:r>
      <w:r w:rsidR="00C44D38">
        <w:rPr>
          <w:rFonts w:ascii="Times New Roman" w:hAnsi="Times New Roman"/>
        </w:rPr>
        <w:t>SRDP</w:t>
      </w:r>
      <w:r w:rsidRPr="003F5B7E">
        <w:rPr>
          <w:rFonts w:ascii="Times New Roman" w:hAnsi="Times New Roman"/>
        </w:rPr>
        <w:t>, the disclosing party may appeal any overpayment demand letter in accordance with applicable regulations.</w:t>
      </w:r>
      <w:r w:rsidR="00B434DB">
        <w:rPr>
          <w:rFonts w:ascii="Times New Roman" w:hAnsi="Times New Roman"/>
        </w:rPr>
        <w:t xml:space="preserve">  Furthermore, a</w:t>
      </w:r>
      <w:r w:rsidR="00B434DB">
        <w:rPr>
          <w:rFonts w:ascii="Times New Roman" w:hAnsi="Times New Roman" w:cs="Times New Roman"/>
        </w:rPr>
        <w:t xml:space="preserve">s a condition of entering the SRDP, providers of services and suppliers agree that if they are denied acceptance into the SRDP, </w:t>
      </w:r>
      <w:r w:rsidR="003C2FA3">
        <w:rPr>
          <w:rFonts w:ascii="Times New Roman" w:hAnsi="Times New Roman" w:cs="Times New Roman"/>
        </w:rPr>
        <w:t>withdraw</w:t>
      </w:r>
      <w:r w:rsidR="00B434DB">
        <w:rPr>
          <w:rFonts w:ascii="Times New Roman" w:hAnsi="Times New Roman" w:cs="Times New Roman"/>
        </w:rPr>
        <w:t xml:space="preserve"> from the SRDP, or are removed from the SRDP by CMS, the reopening rules at 42 C.F.R. </w:t>
      </w:r>
      <w:r w:rsidR="00B434DB" w:rsidRPr="003F5B7E">
        <w:rPr>
          <w:rFonts w:ascii="Times New Roman" w:hAnsi="Times New Roman" w:cs="Times New Roman"/>
        </w:rPr>
        <w:t>§§</w:t>
      </w:r>
      <w:r w:rsidR="00B434DB">
        <w:rPr>
          <w:rFonts w:ascii="Times New Roman" w:hAnsi="Times New Roman" w:cs="Times New Roman"/>
        </w:rPr>
        <w:t xml:space="preserve"> 405.980 </w:t>
      </w:r>
      <w:r w:rsidR="00B434DB" w:rsidRPr="003F5B7E">
        <w:rPr>
          <w:rFonts w:ascii="Times New Roman" w:hAnsi="Times New Roman" w:cs="Times New Roman"/>
        </w:rPr>
        <w:t>through</w:t>
      </w:r>
      <w:r w:rsidR="00B434DB">
        <w:rPr>
          <w:rFonts w:ascii="Times New Roman" w:hAnsi="Times New Roman" w:cs="Times New Roman"/>
        </w:rPr>
        <w:t xml:space="preserve"> 405.98</w:t>
      </w:r>
      <w:r w:rsidR="0057694B">
        <w:rPr>
          <w:rFonts w:ascii="Times New Roman" w:hAnsi="Times New Roman" w:cs="Times New Roman"/>
        </w:rPr>
        <w:t>6</w:t>
      </w:r>
      <w:r w:rsidR="00B434DB">
        <w:rPr>
          <w:rFonts w:ascii="Times New Roman" w:hAnsi="Times New Roman" w:cs="Times New Roman"/>
        </w:rPr>
        <w:t xml:space="preserve"> shall apply from the date of the initial disclosure to CMS.</w:t>
      </w:r>
    </w:p>
    <w:p w:rsidR="00B434DB" w:rsidRPr="003F5B7E" w:rsidRDefault="00B434DB" w:rsidP="00B434DB">
      <w:pPr>
        <w:pStyle w:val="Default"/>
        <w:spacing w:line="198" w:lineRule="atLeast"/>
        <w:rPr>
          <w:rFonts w:ascii="Times New Roman" w:hAnsi="Times New Roman" w:cs="Times New Roman"/>
        </w:rPr>
      </w:pPr>
    </w:p>
    <w:p w:rsidR="00CC706E" w:rsidRPr="003F5B7E" w:rsidRDefault="00890534" w:rsidP="00890534">
      <w:pPr>
        <w:pStyle w:val="Default"/>
        <w:rPr>
          <w:rFonts w:ascii="Times New Roman" w:hAnsi="Times New Roman" w:cs="Times New Roman"/>
          <w:i/>
        </w:rPr>
      </w:pPr>
      <w:r>
        <w:rPr>
          <w:rFonts w:ascii="Times New Roman" w:hAnsi="Times New Roman" w:cs="Times New Roman"/>
          <w:i/>
        </w:rPr>
        <w:t>III</w:t>
      </w:r>
      <w:r w:rsidR="002254D6">
        <w:rPr>
          <w:rFonts w:ascii="Times New Roman" w:hAnsi="Times New Roman" w:cs="Times New Roman"/>
          <w:i/>
        </w:rPr>
        <w:t>. Cooperation</w:t>
      </w:r>
      <w:r w:rsidR="00CC706E" w:rsidRPr="003F5B7E">
        <w:rPr>
          <w:rFonts w:ascii="Times New Roman" w:hAnsi="Times New Roman" w:cs="Times New Roman"/>
          <w:i/>
        </w:rPr>
        <w:t xml:space="preserve"> with OIG and the Department of Justice (DOJ)</w:t>
      </w:r>
    </w:p>
    <w:p w:rsidR="00CC706E" w:rsidRPr="003F5B7E" w:rsidRDefault="00CC706E" w:rsidP="007D3737">
      <w:pPr>
        <w:pStyle w:val="Default"/>
        <w:rPr>
          <w:rFonts w:ascii="Times New Roman" w:hAnsi="Times New Roman" w:cs="Times New Roman"/>
        </w:rPr>
      </w:pPr>
    </w:p>
    <w:p w:rsidR="00CC706E" w:rsidRPr="003F5B7E" w:rsidRDefault="00CC706E" w:rsidP="00535F63">
      <w:pPr>
        <w:pStyle w:val="CM2"/>
        <w:rPr>
          <w:rFonts w:ascii="Times New Roman" w:hAnsi="Times New Roman"/>
        </w:rPr>
      </w:pPr>
      <w:r w:rsidRPr="003F5B7E">
        <w:rPr>
          <w:rFonts w:ascii="Times New Roman" w:hAnsi="Times New Roman"/>
        </w:rPr>
        <w:t xml:space="preserve">Participation in the SRDP is limited to actual or potential violations of the physician self-referral statute.  The OIG’s Self-Disclosure Protocol is available for disclosing conduct that raises potential liabilities under other federal criminal, civil, or administrative laws.  </w:t>
      </w:r>
      <w:r w:rsidR="001845AD" w:rsidRPr="001845AD">
        <w:rPr>
          <w:rFonts w:ascii="Times New Roman" w:hAnsi="Times New Roman"/>
          <w:i/>
        </w:rPr>
        <w:t>See</w:t>
      </w:r>
      <w:r w:rsidRPr="003F5B7E">
        <w:rPr>
          <w:rFonts w:ascii="Times New Roman" w:hAnsi="Times New Roman"/>
        </w:rPr>
        <w:t xml:space="preserve"> 63 Fed. Reg. 58399 (Oct. 30, 1998); OIG’s Open Letter to Health Care Providers, March 24, 2009.  For example, conduct that raises liability risks under the physician self-referral statute may also raise liability risks under the OIG’s civil monetary penalty authorities regarding the federal anti-kickback statute and should be disclosed through the OIG’s Self-Disclosure Protocol.  Disclosing parties should not disclose the same conduct under both the SRDP and OIG’s Self-Disclosure Protocol.  </w:t>
      </w:r>
    </w:p>
    <w:p w:rsidR="00CC706E" w:rsidRPr="003F5B7E" w:rsidRDefault="00CC706E" w:rsidP="00535F63">
      <w:pPr>
        <w:pStyle w:val="CM2"/>
        <w:rPr>
          <w:rFonts w:ascii="Times New Roman" w:hAnsi="Times New Roman"/>
        </w:rPr>
      </w:pPr>
    </w:p>
    <w:p w:rsidR="00CC706E" w:rsidRPr="003F5B7E" w:rsidRDefault="00CC706E" w:rsidP="00535F63">
      <w:pPr>
        <w:pStyle w:val="CM2"/>
        <w:rPr>
          <w:rFonts w:ascii="Times New Roman" w:hAnsi="Times New Roman"/>
          <w:color w:val="000000"/>
        </w:rPr>
      </w:pPr>
      <w:r w:rsidRPr="003F5B7E">
        <w:rPr>
          <w:rFonts w:ascii="Times New Roman" w:hAnsi="Times New Roman"/>
          <w:color w:val="000000"/>
        </w:rPr>
        <w:lastRenderedPageBreak/>
        <w:t xml:space="preserve">Upon review of the disclosing party’s disclosure submission(s), CMS will coordinate with the OIG and DOJ.  CMS may conclude that the disclosed matter warrants a referral to law enforcement for consideration under its civil and/or criminal authorities.  </w:t>
      </w:r>
      <w:r w:rsidRPr="003F5B7E">
        <w:rPr>
          <w:rFonts w:ascii="Times New Roman" w:hAnsi="Times New Roman"/>
        </w:rPr>
        <w:t>When appropriate, CMS may use a disclosing party’s submission(s) to prepare a recommendation to OIG and DOJ for resolution of False Claims Act, civil monetary penalty, or other liability.</w:t>
      </w:r>
      <w:r w:rsidRPr="003F5B7E">
        <w:rPr>
          <w:rFonts w:ascii="Times New Roman" w:hAnsi="Times New Roman"/>
          <w:color w:val="000000"/>
        </w:rPr>
        <w:t xml:space="preserve">  Accordingly, the disclosing party’s initial decision of where to </w:t>
      </w:r>
      <w:r w:rsidR="00C44D38">
        <w:rPr>
          <w:rFonts w:ascii="Times New Roman" w:hAnsi="Times New Roman"/>
          <w:color w:val="000000"/>
        </w:rPr>
        <w:t>disclose</w:t>
      </w:r>
      <w:r w:rsidR="00C44D38" w:rsidRPr="003F5B7E">
        <w:rPr>
          <w:rFonts w:ascii="Times New Roman" w:hAnsi="Times New Roman"/>
          <w:color w:val="000000"/>
        </w:rPr>
        <w:t xml:space="preserve"> </w:t>
      </w:r>
      <w:r w:rsidRPr="003F5B7E">
        <w:rPr>
          <w:rFonts w:ascii="Times New Roman" w:hAnsi="Times New Roman"/>
          <w:color w:val="000000"/>
        </w:rPr>
        <w:t>a matter involving non-compliance with section 1877 of the Social Security Act should be made carefully.</w:t>
      </w:r>
    </w:p>
    <w:p w:rsidR="00CC706E" w:rsidRPr="003F5B7E" w:rsidRDefault="00CC706E" w:rsidP="009C386B">
      <w:pPr>
        <w:pStyle w:val="CM2"/>
        <w:rPr>
          <w:rFonts w:ascii="Times New Roman" w:hAnsi="Times New Roman"/>
          <w:color w:val="000000"/>
        </w:rPr>
      </w:pPr>
    </w:p>
    <w:p w:rsidR="00CC706E" w:rsidRPr="003F5B7E" w:rsidRDefault="00CC706E" w:rsidP="009C386B">
      <w:pPr>
        <w:pStyle w:val="Default"/>
        <w:rPr>
          <w:rFonts w:ascii="Times New Roman" w:hAnsi="Times New Roman" w:cs="Times New Roman"/>
        </w:rPr>
      </w:pPr>
      <w:r w:rsidRPr="003F5B7E">
        <w:rPr>
          <w:rFonts w:ascii="Times New Roman" w:hAnsi="Times New Roman" w:cs="Times New Roman"/>
        </w:rPr>
        <w:t xml:space="preserve">Disclosing parties who </w:t>
      </w:r>
      <w:r w:rsidR="00A375DB">
        <w:rPr>
          <w:rFonts w:ascii="Times New Roman" w:hAnsi="Times New Roman" w:cs="Times New Roman"/>
        </w:rPr>
        <w:t xml:space="preserve">currently </w:t>
      </w:r>
      <w:r w:rsidRPr="003F5B7E">
        <w:rPr>
          <w:rFonts w:ascii="Times New Roman" w:hAnsi="Times New Roman" w:cs="Times New Roman"/>
        </w:rPr>
        <w:t xml:space="preserve">have corporate integrity agreements </w:t>
      </w:r>
      <w:r w:rsidR="00DC4BA4" w:rsidRPr="003F5B7E">
        <w:rPr>
          <w:rFonts w:ascii="Times New Roman" w:hAnsi="Times New Roman" w:cs="Times New Roman"/>
        </w:rPr>
        <w:t xml:space="preserve">(CIAs) or certification of compliance agreements (CCAs) </w:t>
      </w:r>
      <w:r w:rsidRPr="003F5B7E">
        <w:rPr>
          <w:rFonts w:ascii="Times New Roman" w:hAnsi="Times New Roman" w:cs="Times New Roman"/>
        </w:rPr>
        <w:t xml:space="preserve">with </w:t>
      </w:r>
      <w:r w:rsidR="006A76F1" w:rsidRPr="003F5B7E">
        <w:rPr>
          <w:rFonts w:ascii="Times New Roman" w:hAnsi="Times New Roman" w:cs="Times New Roman"/>
        </w:rPr>
        <w:t xml:space="preserve">the </w:t>
      </w:r>
      <w:r w:rsidRPr="003F5B7E">
        <w:rPr>
          <w:rFonts w:ascii="Times New Roman" w:hAnsi="Times New Roman" w:cs="Times New Roman"/>
        </w:rPr>
        <w:t xml:space="preserve">OIG should also comply with any disclosure or reportable event requirements under such agreements.  </w:t>
      </w:r>
      <w:r w:rsidR="00A375DB">
        <w:rPr>
          <w:rFonts w:ascii="Times New Roman" w:hAnsi="Times New Roman" w:cs="Times New Roman"/>
        </w:rPr>
        <w:t>Effective September 23, 2010, a reportable event solely related to a Stark issue should be disclosed to CMS using the requirements set forth in this self-disclosure protocol with a copy to the disclosing party’s OIG monitor.  Any further q</w:t>
      </w:r>
      <w:r w:rsidRPr="003F5B7E">
        <w:rPr>
          <w:rFonts w:ascii="Times New Roman" w:hAnsi="Times New Roman" w:cs="Times New Roman"/>
        </w:rPr>
        <w:t xml:space="preserve">uestions about any applicable </w:t>
      </w:r>
      <w:r w:rsidR="00DC4BA4" w:rsidRPr="003F5B7E">
        <w:rPr>
          <w:rFonts w:ascii="Times New Roman" w:hAnsi="Times New Roman" w:cs="Times New Roman"/>
        </w:rPr>
        <w:t>CIA or CCA</w:t>
      </w:r>
      <w:r w:rsidRPr="003F5B7E">
        <w:rPr>
          <w:rFonts w:ascii="Times New Roman" w:hAnsi="Times New Roman" w:cs="Times New Roman"/>
        </w:rPr>
        <w:t xml:space="preserve"> requirements should be directed to the disclosing party’s OIG monitor.  </w:t>
      </w:r>
    </w:p>
    <w:p w:rsidR="00CC706E" w:rsidRPr="003F5B7E" w:rsidRDefault="00CC706E" w:rsidP="009C386B">
      <w:pPr>
        <w:pStyle w:val="Default"/>
        <w:rPr>
          <w:rFonts w:ascii="Times New Roman" w:hAnsi="Times New Roman" w:cs="Times New Roman"/>
          <w:i/>
          <w:iCs/>
        </w:rPr>
      </w:pPr>
    </w:p>
    <w:p w:rsidR="00CC706E" w:rsidRPr="003F5B7E" w:rsidRDefault="00CC706E" w:rsidP="009C386B">
      <w:pPr>
        <w:pStyle w:val="Default"/>
        <w:rPr>
          <w:rFonts w:ascii="Times New Roman" w:hAnsi="Times New Roman" w:cs="Times New Roman"/>
        </w:rPr>
      </w:pPr>
      <w:r w:rsidRPr="003F5B7E">
        <w:rPr>
          <w:rFonts w:ascii="Times New Roman" w:hAnsi="Times New Roman" w:cs="Times New Roman"/>
          <w:i/>
          <w:iCs/>
        </w:rPr>
        <w:t>IV</w:t>
      </w:r>
      <w:r w:rsidR="002254D6" w:rsidRPr="003F5B7E">
        <w:rPr>
          <w:rFonts w:ascii="Times New Roman" w:hAnsi="Times New Roman" w:cs="Times New Roman"/>
          <w:i/>
          <w:iCs/>
        </w:rPr>
        <w:t>.</w:t>
      </w:r>
      <w:r w:rsidR="002254D6">
        <w:rPr>
          <w:rFonts w:ascii="Times New Roman" w:hAnsi="Times New Roman" w:cs="Times New Roman"/>
          <w:i/>
          <w:iCs/>
        </w:rPr>
        <w:t xml:space="preserve"> Instructions</w:t>
      </w:r>
      <w:r w:rsidRPr="003F5B7E">
        <w:rPr>
          <w:rFonts w:ascii="Times New Roman" w:hAnsi="Times New Roman" w:cs="Times New Roman"/>
          <w:i/>
          <w:iCs/>
        </w:rPr>
        <w:t xml:space="preserve"> Regarding the Voluntary Disclosure Submission </w:t>
      </w:r>
    </w:p>
    <w:p w:rsidR="00CC706E" w:rsidRPr="003F5B7E" w:rsidRDefault="00CC706E" w:rsidP="009C386B">
      <w:pPr>
        <w:pStyle w:val="Default"/>
        <w:rPr>
          <w:rFonts w:ascii="Times New Roman" w:hAnsi="Times New Roman" w:cs="Times New Roman"/>
        </w:rPr>
      </w:pPr>
    </w:p>
    <w:p w:rsidR="00CC706E" w:rsidRPr="003F5B7E" w:rsidRDefault="00CC706E" w:rsidP="009C386B">
      <w:pPr>
        <w:pStyle w:val="Default"/>
        <w:spacing w:line="200" w:lineRule="atLeast"/>
        <w:rPr>
          <w:rFonts w:ascii="Times New Roman" w:hAnsi="Times New Roman" w:cs="Times New Roman"/>
        </w:rPr>
      </w:pPr>
      <w:r w:rsidRPr="003F5B7E">
        <w:rPr>
          <w:rFonts w:ascii="Times New Roman" w:hAnsi="Times New Roman" w:cs="Times New Roman"/>
        </w:rPr>
        <w:t xml:space="preserve">The disclosing party will be expected to make a submission as follows. </w:t>
      </w:r>
    </w:p>
    <w:p w:rsidR="00CC706E" w:rsidRPr="003F5B7E" w:rsidRDefault="00CC706E" w:rsidP="003E3923">
      <w:pPr>
        <w:pStyle w:val="CM5"/>
        <w:rPr>
          <w:rFonts w:ascii="Times New Roman" w:hAnsi="Times New Roman"/>
          <w:color w:val="000000"/>
        </w:rPr>
      </w:pPr>
    </w:p>
    <w:p w:rsidR="00CC706E" w:rsidRPr="003F5B7E" w:rsidRDefault="00CC706E" w:rsidP="003E3923">
      <w:pPr>
        <w:pStyle w:val="CM5"/>
        <w:numPr>
          <w:ilvl w:val="0"/>
          <w:numId w:val="5"/>
        </w:numPr>
        <w:rPr>
          <w:rFonts w:ascii="Times New Roman" w:hAnsi="Times New Roman"/>
          <w:color w:val="000000"/>
        </w:rPr>
      </w:pPr>
      <w:r w:rsidRPr="003F5B7E">
        <w:rPr>
          <w:rFonts w:ascii="Times New Roman" w:hAnsi="Times New Roman"/>
          <w:color w:val="000000"/>
        </w:rPr>
        <w:t xml:space="preserve">Disclosure </w:t>
      </w:r>
    </w:p>
    <w:p w:rsidR="00CC706E" w:rsidRPr="003F5B7E" w:rsidRDefault="00CC706E" w:rsidP="009C386B">
      <w:pPr>
        <w:pStyle w:val="CM2"/>
        <w:rPr>
          <w:rFonts w:ascii="Times New Roman" w:hAnsi="Times New Roman"/>
          <w:color w:val="000000"/>
        </w:rPr>
      </w:pPr>
    </w:p>
    <w:p w:rsidR="00CC706E" w:rsidRPr="003F5B7E" w:rsidRDefault="00CC706E" w:rsidP="009C386B">
      <w:pPr>
        <w:pStyle w:val="CM2"/>
        <w:rPr>
          <w:rFonts w:ascii="Times New Roman" w:hAnsi="Times New Roman"/>
          <w:color w:val="000000"/>
        </w:rPr>
      </w:pPr>
      <w:r w:rsidRPr="003F5B7E">
        <w:rPr>
          <w:rFonts w:ascii="Times New Roman" w:hAnsi="Times New Roman"/>
          <w:color w:val="000000"/>
        </w:rPr>
        <w:t xml:space="preserve">The disclosure must be submitted electronically to </w:t>
      </w:r>
      <w:r w:rsidR="006A76F1" w:rsidRPr="003F5B7E">
        <w:rPr>
          <w:rFonts w:ascii="Times New Roman" w:hAnsi="Times New Roman"/>
          <w:color w:val="000000"/>
        </w:rPr>
        <w:t>1877SRDP@cms.hhs.gov</w:t>
      </w:r>
      <w:r w:rsidRPr="003F5B7E">
        <w:rPr>
          <w:rFonts w:ascii="Times New Roman" w:hAnsi="Times New Roman"/>
          <w:color w:val="000000"/>
        </w:rPr>
        <w:t xml:space="preserve">.  In addition, the disclosing party must submit an original and </w:t>
      </w:r>
      <w:r w:rsidR="00BC3641" w:rsidRPr="003F5B7E">
        <w:rPr>
          <w:rFonts w:ascii="Times New Roman" w:hAnsi="Times New Roman"/>
          <w:color w:val="000000"/>
        </w:rPr>
        <w:t>1</w:t>
      </w:r>
      <w:r w:rsidRPr="003F5B7E">
        <w:rPr>
          <w:rFonts w:ascii="Times New Roman" w:hAnsi="Times New Roman"/>
          <w:color w:val="000000"/>
        </w:rPr>
        <w:t xml:space="preserve"> </w:t>
      </w:r>
      <w:r w:rsidR="00BC3641" w:rsidRPr="003F5B7E">
        <w:rPr>
          <w:rFonts w:ascii="Times New Roman" w:hAnsi="Times New Roman"/>
          <w:color w:val="000000"/>
        </w:rPr>
        <w:t>copy</w:t>
      </w:r>
      <w:r w:rsidRPr="003F5B7E">
        <w:rPr>
          <w:rFonts w:ascii="Times New Roman" w:hAnsi="Times New Roman"/>
          <w:color w:val="000000"/>
        </w:rPr>
        <w:t xml:space="preserve"> by mail to the Division of Technical Payment Policy, ATTN: Provider and Supplier Self-Disclosure, Centers for Medicare and Medicaid Services, 7500 Security Boulevard, Mailstop C4-25-02, Baltimore, MD </w:t>
      </w:r>
      <w:r w:rsidR="00C44D38" w:rsidRPr="003F5B7E">
        <w:rPr>
          <w:rFonts w:ascii="Times New Roman" w:hAnsi="Times New Roman"/>
          <w:color w:val="000000"/>
        </w:rPr>
        <w:t>212</w:t>
      </w:r>
      <w:r w:rsidR="00C44D38">
        <w:rPr>
          <w:rFonts w:ascii="Times New Roman" w:hAnsi="Times New Roman"/>
          <w:color w:val="000000"/>
        </w:rPr>
        <w:t>4</w:t>
      </w:r>
      <w:r w:rsidR="00C44D38" w:rsidRPr="003F5B7E">
        <w:rPr>
          <w:rFonts w:ascii="Times New Roman" w:hAnsi="Times New Roman"/>
          <w:color w:val="000000"/>
        </w:rPr>
        <w:t>4</w:t>
      </w:r>
      <w:r w:rsidRPr="003F5B7E">
        <w:rPr>
          <w:rFonts w:ascii="Times New Roman" w:hAnsi="Times New Roman"/>
          <w:color w:val="000000"/>
        </w:rPr>
        <w:t xml:space="preserve">-1850.  Submissions by facsimile will not be accepted.  When the disclosing party submits a disclosure electronically, CMS will immediately send a response email acknowledging receipt of the submission.  After reviewing the submission, CMS will send a letter to the disclosing party or its representative either accepting or rejecting the disclosure. </w:t>
      </w:r>
    </w:p>
    <w:p w:rsidR="00CC706E" w:rsidRPr="003F5B7E" w:rsidRDefault="00CC706E" w:rsidP="009C386B">
      <w:pPr>
        <w:pStyle w:val="CM5"/>
        <w:rPr>
          <w:rFonts w:ascii="Times New Roman" w:hAnsi="Times New Roman"/>
          <w:color w:val="000000"/>
        </w:rPr>
      </w:pPr>
    </w:p>
    <w:p w:rsidR="00CC706E" w:rsidRPr="003F5B7E" w:rsidRDefault="00CC706E" w:rsidP="00891BC2">
      <w:pPr>
        <w:pStyle w:val="CM5"/>
        <w:numPr>
          <w:ilvl w:val="0"/>
          <w:numId w:val="5"/>
        </w:numPr>
        <w:rPr>
          <w:rFonts w:ascii="Times New Roman" w:hAnsi="Times New Roman"/>
          <w:color w:val="000000"/>
        </w:rPr>
      </w:pPr>
      <w:r w:rsidRPr="003F5B7E">
        <w:rPr>
          <w:rFonts w:ascii="Times New Roman" w:hAnsi="Times New Roman"/>
          <w:color w:val="000000"/>
        </w:rPr>
        <w:t xml:space="preserve">Required Information Related to the Matter Disclosed </w:t>
      </w:r>
    </w:p>
    <w:p w:rsidR="00CC706E" w:rsidRPr="003F5B7E" w:rsidRDefault="00CC706E" w:rsidP="009C386B">
      <w:pPr>
        <w:pStyle w:val="CM6"/>
        <w:rPr>
          <w:rFonts w:ascii="Times New Roman" w:hAnsi="Times New Roman"/>
          <w:color w:val="000000"/>
        </w:rPr>
      </w:pPr>
    </w:p>
    <w:p w:rsidR="00E13BB2" w:rsidRPr="003F5B7E" w:rsidRDefault="00243D75">
      <w:pPr>
        <w:pStyle w:val="Default"/>
        <w:numPr>
          <w:ilvl w:val="0"/>
          <w:numId w:val="12"/>
        </w:numPr>
        <w:rPr>
          <w:rFonts w:ascii="Times New Roman" w:hAnsi="Times New Roman" w:cs="Times New Roman"/>
        </w:rPr>
      </w:pPr>
      <w:r w:rsidRPr="003F5B7E">
        <w:rPr>
          <w:rFonts w:ascii="Times New Roman" w:hAnsi="Times New Roman" w:cs="Times New Roman"/>
        </w:rPr>
        <w:t>Description of Actual or Potential Violation(s)</w:t>
      </w:r>
    </w:p>
    <w:p w:rsidR="00E13BB2" w:rsidRPr="003F5B7E" w:rsidRDefault="00E13BB2">
      <w:pPr>
        <w:pStyle w:val="Default"/>
        <w:rPr>
          <w:rFonts w:ascii="Times New Roman" w:hAnsi="Times New Roman" w:cs="Times New Roman"/>
        </w:rPr>
      </w:pPr>
    </w:p>
    <w:p w:rsidR="00CC706E" w:rsidRPr="003F5B7E" w:rsidRDefault="00CC706E" w:rsidP="009C386B">
      <w:pPr>
        <w:pStyle w:val="CM6"/>
        <w:rPr>
          <w:rFonts w:ascii="Times New Roman" w:hAnsi="Times New Roman"/>
          <w:color w:val="000000"/>
        </w:rPr>
      </w:pPr>
      <w:r w:rsidRPr="003F5B7E">
        <w:rPr>
          <w:rFonts w:ascii="Times New Roman" w:hAnsi="Times New Roman"/>
          <w:color w:val="000000"/>
        </w:rPr>
        <w:t xml:space="preserve">The submission should include the following— </w:t>
      </w:r>
    </w:p>
    <w:p w:rsidR="00CC706E" w:rsidRPr="003F5B7E" w:rsidRDefault="00CC706E" w:rsidP="009C386B">
      <w:pPr>
        <w:pStyle w:val="Default"/>
        <w:rPr>
          <w:rFonts w:ascii="Times New Roman" w:hAnsi="Times New Roman" w:cs="Times New Roman"/>
        </w:rPr>
      </w:pPr>
    </w:p>
    <w:p w:rsidR="00CC706E" w:rsidRPr="003F5B7E" w:rsidRDefault="00243D75" w:rsidP="009C386B">
      <w:pPr>
        <w:pStyle w:val="Default"/>
        <w:rPr>
          <w:rFonts w:ascii="Times New Roman" w:hAnsi="Times New Roman" w:cs="Times New Roman"/>
        </w:rPr>
      </w:pPr>
      <w:r w:rsidRPr="003F5B7E">
        <w:rPr>
          <w:rFonts w:ascii="Times New Roman" w:hAnsi="Times New Roman" w:cs="Times New Roman"/>
        </w:rPr>
        <w:t>a</w:t>
      </w:r>
      <w:r w:rsidR="00CC706E" w:rsidRPr="003F5B7E">
        <w:rPr>
          <w:rFonts w:ascii="Times New Roman" w:hAnsi="Times New Roman" w:cs="Times New Roman"/>
        </w:rPr>
        <w:t xml:space="preserve">. The name, address, national provider identification numbers (NPIs), </w:t>
      </w:r>
      <w:r w:rsidRPr="003F5B7E">
        <w:rPr>
          <w:rFonts w:ascii="Times New Roman" w:hAnsi="Times New Roman" w:cs="Times New Roman"/>
        </w:rPr>
        <w:t>CMS Certification Number</w:t>
      </w:r>
      <w:r w:rsidR="00BC3641" w:rsidRPr="003F5B7E">
        <w:rPr>
          <w:rFonts w:ascii="Times New Roman" w:hAnsi="Times New Roman" w:cs="Times New Roman"/>
        </w:rPr>
        <w:t>(s)</w:t>
      </w:r>
      <w:r w:rsidRPr="003F5B7E">
        <w:rPr>
          <w:rFonts w:ascii="Times New Roman" w:hAnsi="Times New Roman" w:cs="Times New Roman"/>
        </w:rPr>
        <w:t xml:space="preserve"> (CCN), </w:t>
      </w:r>
      <w:r w:rsidR="00CC706E" w:rsidRPr="003F5B7E">
        <w:rPr>
          <w:rFonts w:ascii="Times New Roman" w:hAnsi="Times New Roman" w:cs="Times New Roman"/>
        </w:rPr>
        <w:t>and tax identification number(s) of the disclosing party.  If the disclosing party is an entity that is owned, controlled</w:t>
      </w:r>
      <w:r w:rsidR="00C44D38">
        <w:rPr>
          <w:rFonts w:ascii="Times New Roman" w:hAnsi="Times New Roman" w:cs="Times New Roman"/>
        </w:rPr>
        <w:t>,</w:t>
      </w:r>
      <w:r w:rsidR="00CC706E" w:rsidRPr="003F5B7E">
        <w:rPr>
          <w:rFonts w:ascii="Times New Roman" w:hAnsi="Times New Roman" w:cs="Times New Roman"/>
        </w:rPr>
        <w:t xml:space="preserve"> or is otherwise part of a system or network, include a description or diagram that explains the pertinent relationships and the names and addresses of any related entities, as well as any affected corporate divisions, departments</w:t>
      </w:r>
      <w:r w:rsidR="00C44D38">
        <w:rPr>
          <w:rFonts w:ascii="Times New Roman" w:hAnsi="Times New Roman" w:cs="Times New Roman"/>
        </w:rPr>
        <w:t>,</w:t>
      </w:r>
      <w:r w:rsidR="00CC706E" w:rsidRPr="003F5B7E">
        <w:rPr>
          <w:rFonts w:ascii="Times New Roman" w:hAnsi="Times New Roman" w:cs="Times New Roman"/>
        </w:rPr>
        <w:t xml:space="preserve"> or branches. Additionally, provide the name and address of the disclosing party’s designated representative for purposes of the voluntary disclosure. </w:t>
      </w:r>
    </w:p>
    <w:p w:rsidR="00CC706E" w:rsidRPr="003F5B7E" w:rsidRDefault="00CC706E" w:rsidP="009C386B">
      <w:pPr>
        <w:pStyle w:val="Default"/>
        <w:rPr>
          <w:rFonts w:ascii="Times New Roman" w:hAnsi="Times New Roman" w:cs="Times New Roman"/>
        </w:rPr>
      </w:pPr>
    </w:p>
    <w:p w:rsidR="00CC706E" w:rsidRPr="003F5B7E" w:rsidRDefault="00243D75" w:rsidP="009C386B">
      <w:pPr>
        <w:pStyle w:val="Default"/>
        <w:rPr>
          <w:rFonts w:ascii="Times New Roman" w:hAnsi="Times New Roman" w:cs="Times New Roman"/>
        </w:rPr>
      </w:pPr>
      <w:r w:rsidRPr="003F5B7E">
        <w:rPr>
          <w:rFonts w:ascii="Times New Roman" w:hAnsi="Times New Roman" w:cs="Times New Roman"/>
        </w:rPr>
        <w:lastRenderedPageBreak/>
        <w:t>b</w:t>
      </w:r>
      <w:r w:rsidR="00CC706E" w:rsidRPr="003F5B7E">
        <w:rPr>
          <w:rFonts w:ascii="Times New Roman" w:hAnsi="Times New Roman" w:cs="Times New Roman"/>
        </w:rPr>
        <w:t xml:space="preserve">. A description of the nature of the matter being disclosed, including the type of financial relationship(s), </w:t>
      </w:r>
      <w:r w:rsidR="00447D57" w:rsidRPr="003F5B7E">
        <w:rPr>
          <w:rFonts w:ascii="Times New Roman" w:hAnsi="Times New Roman" w:cs="Times New Roman"/>
        </w:rPr>
        <w:t>the parties involved, the specific time periods the disclosing party may have been out of compliance (and, if applicable, the dates or a range of dates whereby the conduct was cured), and type of designated health service claims at issue</w:t>
      </w:r>
      <w:r w:rsidR="00CC706E" w:rsidRPr="003F5B7E">
        <w:rPr>
          <w:rFonts w:ascii="Times New Roman" w:hAnsi="Times New Roman" w:cs="Times New Roman"/>
        </w:rPr>
        <w:t xml:space="preserve">.  In addition, the description must include the type of transaction or other conduct giving rise to the matter, and the names of entities and individuals believed to be implicated and an explanation of their roles in the matter.  </w:t>
      </w:r>
    </w:p>
    <w:p w:rsidR="00CC706E" w:rsidRPr="003F5B7E" w:rsidRDefault="00CC706E" w:rsidP="009C386B">
      <w:pPr>
        <w:pStyle w:val="Default"/>
        <w:rPr>
          <w:rFonts w:ascii="Times New Roman" w:hAnsi="Times New Roman" w:cs="Times New Roman"/>
        </w:rPr>
      </w:pPr>
    </w:p>
    <w:p w:rsidR="00CC706E" w:rsidRPr="003F5B7E" w:rsidRDefault="00243D75" w:rsidP="00E84CF7">
      <w:pPr>
        <w:pStyle w:val="Default"/>
        <w:rPr>
          <w:rFonts w:ascii="Times New Roman" w:hAnsi="Times New Roman" w:cs="Times New Roman"/>
        </w:rPr>
      </w:pPr>
      <w:r w:rsidRPr="003F5B7E">
        <w:rPr>
          <w:rFonts w:ascii="Times New Roman" w:hAnsi="Times New Roman" w:cs="Times New Roman"/>
        </w:rPr>
        <w:t>c</w:t>
      </w:r>
      <w:r w:rsidR="00CC706E" w:rsidRPr="003F5B7E">
        <w:rPr>
          <w:rFonts w:ascii="Times New Roman" w:hAnsi="Times New Roman" w:cs="Times New Roman"/>
        </w:rPr>
        <w:t xml:space="preserve">. </w:t>
      </w:r>
      <w:r w:rsidR="007452B1" w:rsidRPr="003F5B7E">
        <w:rPr>
          <w:rFonts w:ascii="Times New Roman" w:hAnsi="Times New Roman" w:cs="Times New Roman"/>
        </w:rPr>
        <w:t>A statement from t</w:t>
      </w:r>
      <w:r w:rsidR="00CC706E" w:rsidRPr="003F5B7E">
        <w:rPr>
          <w:rFonts w:ascii="Times New Roman" w:hAnsi="Times New Roman" w:cs="Times New Roman"/>
        </w:rPr>
        <w:t xml:space="preserve">he disclosing party </w:t>
      </w:r>
      <w:r w:rsidR="007452B1" w:rsidRPr="003F5B7E">
        <w:rPr>
          <w:rFonts w:ascii="Times New Roman" w:hAnsi="Times New Roman" w:cs="Times New Roman"/>
        </w:rPr>
        <w:t xml:space="preserve">regarding </w:t>
      </w:r>
      <w:r w:rsidR="00CC706E" w:rsidRPr="003F5B7E">
        <w:rPr>
          <w:rFonts w:ascii="Times New Roman" w:hAnsi="Times New Roman" w:cs="Times New Roman"/>
        </w:rPr>
        <w:t xml:space="preserve">why it believes a violation of the physician self-referral law may have occurred, including a complete legal analysis of the application of the physician self-referral law to the conduct and any physician self-referral exception that applies to the conduct and/or that the disclosing party attempted to use.  This analysis must identify and explain which element(s) of the applicable exception(s) were met and which element(s) were not met.  In addition, the submission should include a description of the potential causes of the incident or practice (e.g., intentional conduct, lack of internal controls, circumvention of corporate procedures or Government regulations).    </w:t>
      </w:r>
    </w:p>
    <w:p w:rsidR="00CC706E" w:rsidRPr="003F5B7E" w:rsidRDefault="00CC706E" w:rsidP="00AB5215">
      <w:pPr>
        <w:pStyle w:val="CM9"/>
        <w:ind w:right="70"/>
        <w:rPr>
          <w:rFonts w:ascii="Times New Roman" w:hAnsi="Times New Roman"/>
          <w:color w:val="000000"/>
        </w:rPr>
      </w:pPr>
    </w:p>
    <w:p w:rsidR="00CC706E" w:rsidRPr="003F5B7E" w:rsidRDefault="00243D75">
      <w:pPr>
        <w:pStyle w:val="CM9"/>
        <w:ind w:right="70"/>
        <w:rPr>
          <w:rFonts w:ascii="Times New Roman" w:hAnsi="Times New Roman"/>
          <w:color w:val="000000"/>
        </w:rPr>
      </w:pPr>
      <w:r w:rsidRPr="003F5B7E">
        <w:rPr>
          <w:rFonts w:ascii="Times New Roman" w:hAnsi="Times New Roman"/>
          <w:color w:val="000000"/>
        </w:rPr>
        <w:t>d</w:t>
      </w:r>
      <w:r w:rsidR="00CC706E" w:rsidRPr="003F5B7E">
        <w:rPr>
          <w:rFonts w:ascii="Times New Roman" w:hAnsi="Times New Roman"/>
          <w:color w:val="000000"/>
        </w:rPr>
        <w:t xml:space="preserve">. The circumstances under which the disclosed matter was discovered and the measures taken upon discovery to address the </w:t>
      </w:r>
      <w:r w:rsidR="00C44D38">
        <w:rPr>
          <w:rFonts w:ascii="Times New Roman" w:hAnsi="Times New Roman"/>
          <w:color w:val="000000"/>
        </w:rPr>
        <w:t xml:space="preserve">actual or potential violation </w:t>
      </w:r>
      <w:r w:rsidR="00CC706E" w:rsidRPr="003F5B7E">
        <w:rPr>
          <w:rFonts w:ascii="Times New Roman" w:hAnsi="Times New Roman"/>
          <w:color w:val="000000"/>
        </w:rPr>
        <w:t xml:space="preserve">and prevent future </w:t>
      </w:r>
      <w:r w:rsidR="00C44D38">
        <w:rPr>
          <w:rFonts w:ascii="Times New Roman" w:hAnsi="Times New Roman"/>
          <w:color w:val="000000"/>
        </w:rPr>
        <w:t>instances of noncompliance</w:t>
      </w:r>
      <w:r w:rsidR="00CC706E" w:rsidRPr="003F5B7E">
        <w:rPr>
          <w:rFonts w:ascii="Times New Roman" w:hAnsi="Times New Roman"/>
          <w:color w:val="000000"/>
        </w:rPr>
        <w:t xml:space="preserve">. </w:t>
      </w:r>
    </w:p>
    <w:p w:rsidR="00CC706E" w:rsidRPr="003F5B7E" w:rsidRDefault="00CC706E" w:rsidP="00592BD5">
      <w:pPr>
        <w:pStyle w:val="Default"/>
        <w:rPr>
          <w:rFonts w:ascii="Times New Roman" w:hAnsi="Times New Roman" w:cs="Times New Roman"/>
        </w:rPr>
      </w:pPr>
    </w:p>
    <w:p w:rsidR="00CC706E" w:rsidRPr="003F5B7E" w:rsidRDefault="00243D75" w:rsidP="00FF6D26">
      <w:pPr>
        <w:pStyle w:val="Default"/>
        <w:rPr>
          <w:rFonts w:ascii="Times New Roman" w:hAnsi="Times New Roman" w:cs="Times New Roman"/>
        </w:rPr>
      </w:pPr>
      <w:r w:rsidRPr="003F5B7E">
        <w:rPr>
          <w:rFonts w:ascii="Times New Roman" w:hAnsi="Times New Roman" w:cs="Times New Roman"/>
        </w:rPr>
        <w:t>e</w:t>
      </w:r>
      <w:r w:rsidR="00CC706E" w:rsidRPr="003F5B7E">
        <w:rPr>
          <w:rFonts w:ascii="Times New Roman" w:hAnsi="Times New Roman" w:cs="Times New Roman"/>
        </w:rPr>
        <w:t xml:space="preserve">. </w:t>
      </w:r>
      <w:r w:rsidR="007452B1" w:rsidRPr="003F5B7E">
        <w:rPr>
          <w:rFonts w:ascii="Times New Roman" w:hAnsi="Times New Roman" w:cs="Times New Roman"/>
        </w:rPr>
        <w:t>A statement identifying</w:t>
      </w:r>
      <w:r w:rsidR="00CC706E" w:rsidRPr="003F5B7E">
        <w:rPr>
          <w:rFonts w:ascii="Times New Roman" w:hAnsi="Times New Roman" w:cs="Times New Roman"/>
        </w:rPr>
        <w:t xml:space="preserve"> whether the disclosing party has a history of similar conduct, or has any prior criminal, civil, and regulatory enforcement actions (including payment suspensions) against it.</w:t>
      </w:r>
    </w:p>
    <w:p w:rsidR="00CC706E" w:rsidRPr="003F5B7E" w:rsidRDefault="00CC706E" w:rsidP="00592BD5">
      <w:pPr>
        <w:pStyle w:val="Default"/>
        <w:rPr>
          <w:rFonts w:ascii="Times New Roman" w:hAnsi="Times New Roman" w:cs="Times New Roman"/>
        </w:rPr>
      </w:pPr>
    </w:p>
    <w:p w:rsidR="00CC706E" w:rsidRPr="003F5B7E" w:rsidRDefault="00243D75" w:rsidP="00592BD5">
      <w:pPr>
        <w:pStyle w:val="Default"/>
        <w:rPr>
          <w:rFonts w:ascii="Times New Roman" w:hAnsi="Times New Roman" w:cs="Times New Roman"/>
        </w:rPr>
      </w:pPr>
      <w:r w:rsidRPr="003F5B7E">
        <w:rPr>
          <w:rFonts w:ascii="Times New Roman" w:hAnsi="Times New Roman" w:cs="Times New Roman"/>
        </w:rPr>
        <w:t>f</w:t>
      </w:r>
      <w:r w:rsidR="00CC706E" w:rsidRPr="003F5B7E">
        <w:rPr>
          <w:rFonts w:ascii="Times New Roman" w:hAnsi="Times New Roman" w:cs="Times New Roman"/>
        </w:rPr>
        <w:t xml:space="preserve">. </w:t>
      </w:r>
      <w:r w:rsidR="007452B1" w:rsidRPr="003F5B7E">
        <w:rPr>
          <w:rFonts w:ascii="Times New Roman" w:hAnsi="Times New Roman" w:cs="Times New Roman"/>
        </w:rPr>
        <w:t>A description of</w:t>
      </w:r>
      <w:r w:rsidR="00CC706E" w:rsidRPr="003F5B7E">
        <w:rPr>
          <w:rFonts w:ascii="Times New Roman" w:hAnsi="Times New Roman" w:cs="Times New Roman"/>
        </w:rPr>
        <w:t xml:space="preserve"> the existence and adequacy of a pre-existing compliance program that the disclosing party had, and all efforts by the disclosing party to prevent a recurrence of the incident or practice in the affected division as well as in any related health care entities (e.g., new accounting or internal control procedures, </w:t>
      </w:r>
      <w:r w:rsidR="00623F43">
        <w:rPr>
          <w:rFonts w:ascii="Times New Roman" w:hAnsi="Times New Roman" w:cs="Times New Roman"/>
        </w:rPr>
        <w:t xml:space="preserve">new training programs, </w:t>
      </w:r>
      <w:r w:rsidR="00CC706E" w:rsidRPr="003F5B7E">
        <w:rPr>
          <w:rFonts w:ascii="Times New Roman" w:hAnsi="Times New Roman" w:cs="Times New Roman"/>
        </w:rPr>
        <w:t xml:space="preserve">increased internal audit efforts, increased supervision by higher management).  Further describe the measures or actions taken by the disclosing party to restructure the arrangement or non-compliant relationship.  </w:t>
      </w:r>
    </w:p>
    <w:p w:rsidR="00CC706E" w:rsidRPr="003F5B7E" w:rsidRDefault="00CC706E" w:rsidP="00592BD5">
      <w:pPr>
        <w:pStyle w:val="Default"/>
        <w:rPr>
          <w:rFonts w:ascii="Times New Roman" w:hAnsi="Times New Roman" w:cs="Times New Roman"/>
        </w:rPr>
      </w:pPr>
    </w:p>
    <w:p w:rsidR="00CC706E" w:rsidRPr="003F5B7E" w:rsidRDefault="00243D75" w:rsidP="00592BD5">
      <w:pPr>
        <w:pStyle w:val="Default"/>
        <w:rPr>
          <w:rFonts w:ascii="Times New Roman" w:hAnsi="Times New Roman" w:cs="Times New Roman"/>
        </w:rPr>
      </w:pPr>
      <w:r w:rsidRPr="003F5B7E">
        <w:rPr>
          <w:rFonts w:ascii="Times New Roman" w:hAnsi="Times New Roman" w:cs="Times New Roman"/>
        </w:rPr>
        <w:t>g</w:t>
      </w:r>
      <w:r w:rsidR="00CC706E" w:rsidRPr="003F5B7E">
        <w:rPr>
          <w:rFonts w:ascii="Times New Roman" w:hAnsi="Times New Roman" w:cs="Times New Roman"/>
        </w:rPr>
        <w:t xml:space="preserve">. </w:t>
      </w:r>
      <w:r w:rsidR="007452B1" w:rsidRPr="003F5B7E">
        <w:rPr>
          <w:rFonts w:ascii="Times New Roman" w:hAnsi="Times New Roman" w:cs="Times New Roman"/>
        </w:rPr>
        <w:t>A description of</w:t>
      </w:r>
      <w:r w:rsidR="00CC706E" w:rsidRPr="003F5B7E">
        <w:rPr>
          <w:rFonts w:ascii="Times New Roman" w:hAnsi="Times New Roman" w:cs="Times New Roman"/>
        </w:rPr>
        <w:t xml:space="preserve"> appropriate notices, if applicable, provided to other Government agencies, (e.g., Securities and Exchange Commission</w:t>
      </w:r>
      <w:r w:rsidR="00623F43">
        <w:rPr>
          <w:rFonts w:ascii="Times New Roman" w:hAnsi="Times New Roman" w:cs="Times New Roman"/>
        </w:rPr>
        <w:t>,</w:t>
      </w:r>
      <w:r w:rsidR="00CC706E" w:rsidRPr="003F5B7E">
        <w:rPr>
          <w:rFonts w:ascii="Times New Roman" w:hAnsi="Times New Roman" w:cs="Times New Roman"/>
        </w:rPr>
        <w:t xml:space="preserve"> Internal Revenue Service) in connection with the disclosed matter. </w:t>
      </w:r>
    </w:p>
    <w:p w:rsidR="00CC706E" w:rsidRPr="003F5B7E" w:rsidRDefault="00CC706E" w:rsidP="004E6A85">
      <w:pPr>
        <w:pStyle w:val="Default"/>
        <w:rPr>
          <w:rFonts w:ascii="Times New Roman" w:hAnsi="Times New Roman" w:cs="Times New Roman"/>
        </w:rPr>
      </w:pPr>
    </w:p>
    <w:p w:rsidR="00CC706E" w:rsidRPr="003F5B7E" w:rsidRDefault="00243D75" w:rsidP="00D21919">
      <w:pPr>
        <w:pStyle w:val="Default"/>
        <w:rPr>
          <w:rFonts w:ascii="Times New Roman" w:hAnsi="Times New Roman" w:cs="Times New Roman"/>
        </w:rPr>
      </w:pPr>
      <w:r w:rsidRPr="003F5B7E">
        <w:rPr>
          <w:rFonts w:ascii="Times New Roman" w:hAnsi="Times New Roman" w:cs="Times New Roman"/>
        </w:rPr>
        <w:t>h</w:t>
      </w:r>
      <w:r w:rsidR="00CC706E" w:rsidRPr="003F5B7E">
        <w:rPr>
          <w:rFonts w:ascii="Times New Roman" w:hAnsi="Times New Roman" w:cs="Times New Roman"/>
        </w:rPr>
        <w:t xml:space="preserve">. </w:t>
      </w:r>
      <w:r w:rsidR="007452B1" w:rsidRPr="003F5B7E">
        <w:rPr>
          <w:rFonts w:ascii="Times New Roman" w:hAnsi="Times New Roman" w:cs="Times New Roman"/>
        </w:rPr>
        <w:t xml:space="preserve">An indication of </w:t>
      </w:r>
      <w:r w:rsidR="00CC706E" w:rsidRPr="003F5B7E">
        <w:rPr>
          <w:rFonts w:ascii="Times New Roman" w:hAnsi="Times New Roman" w:cs="Times New Roman"/>
        </w:rPr>
        <w:t xml:space="preserve">whether the disclosing party has knowledge that the matter is under current inquiry by a Government agency or contractor.  If the disclosing party has knowledge of a pending inquiry, identify any such Government </w:t>
      </w:r>
      <w:r w:rsidR="00623F43">
        <w:rPr>
          <w:rFonts w:ascii="Times New Roman" w:hAnsi="Times New Roman" w:cs="Times New Roman"/>
        </w:rPr>
        <w:t>agency or contractor,</w:t>
      </w:r>
      <w:r w:rsidR="00623F43" w:rsidRPr="003F5B7E">
        <w:rPr>
          <w:rFonts w:ascii="Times New Roman" w:hAnsi="Times New Roman" w:cs="Times New Roman"/>
        </w:rPr>
        <w:t xml:space="preserve"> </w:t>
      </w:r>
      <w:r w:rsidR="00623F43">
        <w:rPr>
          <w:rFonts w:ascii="Times New Roman" w:hAnsi="Times New Roman" w:cs="Times New Roman"/>
        </w:rPr>
        <w:t xml:space="preserve">and the </w:t>
      </w:r>
      <w:r w:rsidR="00CC706E" w:rsidRPr="003F5B7E">
        <w:rPr>
          <w:rFonts w:ascii="Times New Roman" w:hAnsi="Times New Roman" w:cs="Times New Roman"/>
        </w:rPr>
        <w:t>individual representatives involved</w:t>
      </w:r>
      <w:r w:rsidR="00623F43">
        <w:rPr>
          <w:rFonts w:ascii="Times New Roman" w:hAnsi="Times New Roman" w:cs="Times New Roman"/>
        </w:rPr>
        <w:t>, if known</w:t>
      </w:r>
      <w:r w:rsidR="00CC706E" w:rsidRPr="003F5B7E">
        <w:rPr>
          <w:rFonts w:ascii="Times New Roman" w:hAnsi="Times New Roman" w:cs="Times New Roman"/>
        </w:rPr>
        <w:t xml:space="preserve">.  The disclosing party must also disclose whether it is under investigation or other inquiry for other matters relating to a Federal health care program, including any matters it has disclosed to other Government entities, and provide similar information relating to those other matters. </w:t>
      </w:r>
    </w:p>
    <w:p w:rsidR="00CC706E" w:rsidRPr="003F5B7E" w:rsidRDefault="00CC706E" w:rsidP="004E6A85">
      <w:pPr>
        <w:pStyle w:val="Default"/>
        <w:rPr>
          <w:rFonts w:ascii="Times New Roman" w:hAnsi="Times New Roman" w:cs="Times New Roman"/>
        </w:rPr>
      </w:pPr>
    </w:p>
    <w:p w:rsidR="00CC706E" w:rsidRPr="003F5B7E" w:rsidRDefault="00CC706E" w:rsidP="00336077">
      <w:pPr>
        <w:pStyle w:val="Default"/>
        <w:keepNext/>
        <w:keepLines/>
        <w:numPr>
          <w:ilvl w:val="0"/>
          <w:numId w:val="12"/>
        </w:numPr>
        <w:rPr>
          <w:rFonts w:ascii="Times New Roman" w:hAnsi="Times New Roman" w:cs="Times New Roman"/>
        </w:rPr>
      </w:pPr>
      <w:r w:rsidRPr="003F5B7E">
        <w:rPr>
          <w:rFonts w:ascii="Times New Roman" w:hAnsi="Times New Roman" w:cs="Times New Roman"/>
        </w:rPr>
        <w:lastRenderedPageBreak/>
        <w:t>Financial Analysis</w:t>
      </w:r>
    </w:p>
    <w:p w:rsidR="00CC706E" w:rsidRPr="003F5B7E" w:rsidRDefault="00CC706E" w:rsidP="00336077">
      <w:pPr>
        <w:pStyle w:val="CM2"/>
        <w:keepNext/>
        <w:keepLines/>
        <w:rPr>
          <w:rFonts w:ascii="Times New Roman" w:hAnsi="Times New Roman"/>
          <w:color w:val="000000"/>
        </w:rPr>
      </w:pPr>
    </w:p>
    <w:p w:rsidR="00CC706E" w:rsidRPr="003F5B7E" w:rsidRDefault="00CC706E" w:rsidP="00336077">
      <w:pPr>
        <w:pStyle w:val="CM8"/>
        <w:keepNext/>
        <w:keepLines/>
        <w:spacing w:before="80"/>
        <w:ind w:right="95"/>
        <w:rPr>
          <w:rFonts w:ascii="Times New Roman" w:hAnsi="Times New Roman"/>
          <w:color w:val="000000"/>
        </w:rPr>
      </w:pPr>
      <w:r w:rsidRPr="003F5B7E">
        <w:rPr>
          <w:rFonts w:ascii="Times New Roman" w:hAnsi="Times New Roman"/>
          <w:color w:val="000000"/>
        </w:rPr>
        <w:t xml:space="preserve">As part of its </w:t>
      </w:r>
      <w:r w:rsidR="00243D75" w:rsidRPr="003F5B7E">
        <w:rPr>
          <w:rFonts w:ascii="Times New Roman" w:hAnsi="Times New Roman"/>
          <w:color w:val="000000"/>
        </w:rPr>
        <w:t xml:space="preserve">initial </w:t>
      </w:r>
      <w:r w:rsidR="00DD2DE6">
        <w:rPr>
          <w:rFonts w:ascii="Times New Roman" w:hAnsi="Times New Roman"/>
          <w:color w:val="000000"/>
        </w:rPr>
        <w:t xml:space="preserve">disclosure </w:t>
      </w:r>
      <w:r w:rsidR="00243D75" w:rsidRPr="003F5B7E">
        <w:rPr>
          <w:rFonts w:ascii="Times New Roman" w:hAnsi="Times New Roman"/>
          <w:color w:val="000000"/>
        </w:rPr>
        <w:t>submission</w:t>
      </w:r>
      <w:r w:rsidRPr="003F5B7E">
        <w:rPr>
          <w:rFonts w:ascii="Times New Roman" w:hAnsi="Times New Roman"/>
          <w:color w:val="000000"/>
        </w:rPr>
        <w:t xml:space="preserve">, the disclosing party </w:t>
      </w:r>
      <w:r w:rsidR="00623F43">
        <w:rPr>
          <w:rFonts w:ascii="Times New Roman" w:hAnsi="Times New Roman"/>
          <w:color w:val="000000"/>
        </w:rPr>
        <w:t xml:space="preserve">must </w:t>
      </w:r>
      <w:r w:rsidRPr="003F5B7E">
        <w:rPr>
          <w:rFonts w:ascii="Times New Roman" w:hAnsi="Times New Roman"/>
          <w:color w:val="000000"/>
        </w:rPr>
        <w:t>conduct a financial analysis</w:t>
      </w:r>
      <w:r w:rsidR="002F1C1C">
        <w:rPr>
          <w:rFonts w:ascii="Times New Roman" w:hAnsi="Times New Roman"/>
          <w:color w:val="000000"/>
        </w:rPr>
        <w:t xml:space="preserve"> relating to the actual or potential violation(s) of the physician self-referral law</w:t>
      </w:r>
      <w:r w:rsidRPr="003F5B7E">
        <w:rPr>
          <w:rFonts w:ascii="Times New Roman" w:hAnsi="Times New Roman"/>
          <w:color w:val="000000"/>
        </w:rPr>
        <w:t xml:space="preserve">, and report its findings to CMS.  A disclosing party should demonstrate that a full examination of the disclosed conduct has occurred.   The financial analysis should— </w:t>
      </w:r>
    </w:p>
    <w:p w:rsidR="00CC706E" w:rsidRPr="003F5B7E" w:rsidRDefault="00CC706E" w:rsidP="004E6A85">
      <w:pPr>
        <w:pStyle w:val="Default"/>
        <w:rPr>
          <w:rFonts w:ascii="Times New Roman" w:hAnsi="Times New Roman" w:cs="Times New Roman"/>
        </w:rPr>
      </w:pPr>
    </w:p>
    <w:p w:rsidR="00CC706E" w:rsidRPr="003F5B7E" w:rsidRDefault="00243D75" w:rsidP="0078390B">
      <w:pPr>
        <w:pStyle w:val="Default"/>
        <w:rPr>
          <w:rFonts w:ascii="Times New Roman" w:hAnsi="Times New Roman" w:cs="Times New Roman"/>
        </w:rPr>
      </w:pPr>
      <w:r w:rsidRPr="003F5B7E">
        <w:rPr>
          <w:rFonts w:ascii="Times New Roman" w:hAnsi="Times New Roman" w:cs="Times New Roman"/>
        </w:rPr>
        <w:t>a</w:t>
      </w:r>
      <w:r w:rsidR="00CC706E" w:rsidRPr="003F5B7E">
        <w:rPr>
          <w:rFonts w:ascii="Times New Roman" w:hAnsi="Times New Roman" w:cs="Times New Roman"/>
        </w:rPr>
        <w:t xml:space="preserve">. </w:t>
      </w:r>
      <w:r w:rsidR="00BC3641" w:rsidRPr="003F5B7E">
        <w:rPr>
          <w:rFonts w:ascii="Times New Roman" w:hAnsi="Times New Roman" w:cs="Times New Roman"/>
        </w:rPr>
        <w:t xml:space="preserve">Set forth the </w:t>
      </w:r>
      <w:r w:rsidR="00A375DB">
        <w:rPr>
          <w:rFonts w:ascii="Times New Roman" w:hAnsi="Times New Roman" w:cs="Times New Roman"/>
        </w:rPr>
        <w:t xml:space="preserve">total </w:t>
      </w:r>
      <w:r w:rsidR="00BC3641" w:rsidRPr="003F5B7E">
        <w:rPr>
          <w:rFonts w:ascii="Times New Roman" w:hAnsi="Times New Roman" w:cs="Times New Roman"/>
        </w:rPr>
        <w:t>amount</w:t>
      </w:r>
      <w:r w:rsidR="00A375DB">
        <w:rPr>
          <w:rFonts w:ascii="Times New Roman" w:hAnsi="Times New Roman" w:cs="Times New Roman"/>
        </w:rPr>
        <w:t xml:space="preserve">, itemized by year, </w:t>
      </w:r>
      <w:r w:rsidR="00536198" w:rsidRPr="003F5B7E">
        <w:rPr>
          <w:rFonts w:ascii="Times New Roman" w:hAnsi="Times New Roman" w:cs="Times New Roman"/>
        </w:rPr>
        <w:t xml:space="preserve">that is </w:t>
      </w:r>
      <w:r w:rsidR="002B29EA" w:rsidRPr="003F5B7E">
        <w:rPr>
          <w:rFonts w:ascii="Times New Roman" w:hAnsi="Times New Roman" w:cs="Times New Roman"/>
        </w:rPr>
        <w:t xml:space="preserve">actually or </w:t>
      </w:r>
      <w:r w:rsidR="00536198" w:rsidRPr="003F5B7E">
        <w:rPr>
          <w:rFonts w:ascii="Times New Roman" w:hAnsi="Times New Roman" w:cs="Times New Roman"/>
        </w:rPr>
        <w:t>potentially due and owing</w:t>
      </w:r>
      <w:r w:rsidR="00BC3641" w:rsidRPr="003F5B7E">
        <w:rPr>
          <w:rFonts w:ascii="Times New Roman" w:hAnsi="Times New Roman" w:cs="Times New Roman"/>
        </w:rPr>
        <w:t xml:space="preserve"> based upon the applicable “look back” period</w:t>
      </w:r>
      <w:r w:rsidR="00BE0627">
        <w:rPr>
          <w:rFonts w:ascii="Times New Roman" w:hAnsi="Times New Roman" w:cs="Times New Roman"/>
        </w:rPr>
        <w:t>.  The “look back” period is the time</w:t>
      </w:r>
      <w:r w:rsidR="00BC3641" w:rsidRPr="003F5B7E">
        <w:rPr>
          <w:rFonts w:ascii="Times New Roman" w:hAnsi="Times New Roman" w:cs="Times New Roman"/>
        </w:rPr>
        <w:t xml:space="preserve"> during which the disclosing party may not have been in compliance with the physician self-referral law</w:t>
      </w:r>
      <w:r w:rsidR="00801FBE">
        <w:rPr>
          <w:rFonts w:ascii="Times New Roman" w:hAnsi="Times New Roman" w:cs="Times New Roman"/>
        </w:rPr>
        <w:t>.</w:t>
      </w:r>
      <w:r w:rsidR="00CC706E" w:rsidRPr="003F5B7E">
        <w:rPr>
          <w:rFonts w:ascii="Times New Roman" w:hAnsi="Times New Roman" w:cs="Times New Roman"/>
        </w:rPr>
        <w:t xml:space="preserve">  </w:t>
      </w:r>
    </w:p>
    <w:p w:rsidR="00BC3641" w:rsidRPr="003F5B7E" w:rsidRDefault="00BC3641" w:rsidP="00AB5215">
      <w:pPr>
        <w:pStyle w:val="Default"/>
        <w:rPr>
          <w:rFonts w:ascii="Times New Roman" w:hAnsi="Times New Roman" w:cs="Times New Roman"/>
        </w:rPr>
      </w:pPr>
    </w:p>
    <w:p w:rsidR="00CC706E" w:rsidRDefault="00BC3641" w:rsidP="00AB5215">
      <w:pPr>
        <w:pStyle w:val="Default"/>
        <w:rPr>
          <w:rFonts w:ascii="Times New Roman" w:hAnsi="Times New Roman" w:cs="Times New Roman"/>
        </w:rPr>
      </w:pPr>
      <w:r w:rsidRPr="003F5B7E">
        <w:rPr>
          <w:rFonts w:ascii="Times New Roman" w:hAnsi="Times New Roman" w:cs="Times New Roman"/>
        </w:rPr>
        <w:t xml:space="preserve">b. </w:t>
      </w:r>
      <w:r w:rsidR="00243D75" w:rsidRPr="003F5B7E">
        <w:rPr>
          <w:rFonts w:ascii="Times New Roman" w:hAnsi="Times New Roman" w:cs="Times New Roman"/>
        </w:rPr>
        <w:t>D</w:t>
      </w:r>
      <w:r w:rsidR="00CC706E" w:rsidRPr="003F5B7E">
        <w:rPr>
          <w:rFonts w:ascii="Times New Roman" w:hAnsi="Times New Roman" w:cs="Times New Roman"/>
        </w:rPr>
        <w:t xml:space="preserve">escribe the methodology used to </w:t>
      </w:r>
      <w:r w:rsidR="00536198" w:rsidRPr="003F5B7E">
        <w:rPr>
          <w:rFonts w:ascii="Times New Roman" w:hAnsi="Times New Roman" w:cs="Times New Roman"/>
        </w:rPr>
        <w:t>set forth the amount that is</w:t>
      </w:r>
      <w:r w:rsidR="003F5B7E" w:rsidRPr="003F5B7E">
        <w:rPr>
          <w:rFonts w:ascii="Times New Roman" w:hAnsi="Times New Roman" w:cs="Times New Roman"/>
        </w:rPr>
        <w:t xml:space="preserve"> actually or </w:t>
      </w:r>
      <w:r w:rsidR="00536198" w:rsidRPr="003F5B7E">
        <w:rPr>
          <w:rFonts w:ascii="Times New Roman" w:hAnsi="Times New Roman" w:cs="Times New Roman"/>
        </w:rPr>
        <w:t>potentially due and owing</w:t>
      </w:r>
      <w:r w:rsidR="00CC706E" w:rsidRPr="003F5B7E">
        <w:rPr>
          <w:rFonts w:ascii="Times New Roman" w:hAnsi="Times New Roman" w:cs="Times New Roman"/>
        </w:rPr>
        <w:t xml:space="preserve">.  </w:t>
      </w:r>
      <w:r w:rsidR="00A375DB">
        <w:rPr>
          <w:rFonts w:ascii="Times New Roman" w:hAnsi="Times New Roman" w:cs="Times New Roman"/>
        </w:rPr>
        <w:t>Indicate whether estimates were used, and, if so, how they were calculated.</w:t>
      </w:r>
      <w:r w:rsidR="00CC706E" w:rsidRPr="003F5B7E">
        <w:rPr>
          <w:rFonts w:ascii="Times New Roman" w:hAnsi="Times New Roman" w:cs="Times New Roman"/>
        </w:rPr>
        <w:t xml:space="preserve">  </w:t>
      </w:r>
    </w:p>
    <w:p w:rsidR="002F1C1C" w:rsidRDefault="002F1C1C" w:rsidP="00AB5215">
      <w:pPr>
        <w:pStyle w:val="Default"/>
        <w:rPr>
          <w:rFonts w:ascii="Times New Roman" w:hAnsi="Times New Roman" w:cs="Times New Roman"/>
        </w:rPr>
      </w:pPr>
    </w:p>
    <w:p w:rsidR="002F1C1C" w:rsidRPr="003F5B7E" w:rsidRDefault="002F1C1C" w:rsidP="00AB5215">
      <w:pPr>
        <w:pStyle w:val="Default"/>
        <w:rPr>
          <w:rFonts w:ascii="Times New Roman" w:hAnsi="Times New Roman" w:cs="Times New Roman"/>
        </w:rPr>
      </w:pPr>
      <w:r>
        <w:rPr>
          <w:rFonts w:ascii="Times New Roman" w:hAnsi="Times New Roman" w:cs="Times New Roman"/>
        </w:rPr>
        <w:t>c. Set forth the total amount of remuneration a physician(s) received as a result</w:t>
      </w:r>
      <w:r w:rsidR="00DD2DE6">
        <w:rPr>
          <w:rFonts w:ascii="Times New Roman" w:hAnsi="Times New Roman" w:cs="Times New Roman"/>
        </w:rPr>
        <w:t xml:space="preserve"> of </w:t>
      </w:r>
      <w:r>
        <w:rPr>
          <w:rFonts w:ascii="Times New Roman" w:hAnsi="Times New Roman" w:cs="Times New Roman"/>
        </w:rPr>
        <w:t>an actual or potential violation(s) based upon the applicable “look back” period.</w:t>
      </w:r>
    </w:p>
    <w:p w:rsidR="00CC706E" w:rsidRPr="003F5B7E" w:rsidRDefault="00CC706E" w:rsidP="00AB5215">
      <w:pPr>
        <w:pStyle w:val="Default"/>
        <w:rPr>
          <w:rFonts w:ascii="Times New Roman" w:hAnsi="Times New Roman" w:cs="Times New Roman"/>
        </w:rPr>
      </w:pPr>
    </w:p>
    <w:p w:rsidR="00CC706E" w:rsidRPr="003F5B7E" w:rsidRDefault="002F1C1C" w:rsidP="006F7231">
      <w:pPr>
        <w:pStyle w:val="Default"/>
        <w:rPr>
          <w:rFonts w:ascii="Times New Roman" w:hAnsi="Times New Roman" w:cs="Times New Roman"/>
        </w:rPr>
      </w:pPr>
      <w:r>
        <w:rPr>
          <w:rFonts w:ascii="Times New Roman" w:hAnsi="Times New Roman" w:cs="Times New Roman"/>
        </w:rPr>
        <w:t>d</w:t>
      </w:r>
      <w:r w:rsidR="00CC706E" w:rsidRPr="003F5B7E">
        <w:rPr>
          <w:rFonts w:ascii="Times New Roman" w:hAnsi="Times New Roman" w:cs="Times New Roman"/>
        </w:rPr>
        <w:t xml:space="preserve">. Provide a summary of </w:t>
      </w:r>
      <w:r>
        <w:rPr>
          <w:rFonts w:ascii="Times New Roman" w:hAnsi="Times New Roman" w:cs="Times New Roman"/>
        </w:rPr>
        <w:t xml:space="preserve">any </w:t>
      </w:r>
      <w:r w:rsidR="00CC706E" w:rsidRPr="003F5B7E">
        <w:rPr>
          <w:rFonts w:ascii="Times New Roman" w:hAnsi="Times New Roman" w:cs="Times New Roman"/>
        </w:rPr>
        <w:t>auditing activity undertaken and a summary of the documents</w:t>
      </w:r>
      <w:r>
        <w:rPr>
          <w:rFonts w:ascii="Times New Roman" w:hAnsi="Times New Roman" w:cs="Times New Roman"/>
        </w:rPr>
        <w:t xml:space="preserve"> the disclosing party has</w:t>
      </w:r>
      <w:r w:rsidR="00CC706E" w:rsidRPr="003F5B7E">
        <w:rPr>
          <w:rFonts w:ascii="Times New Roman" w:hAnsi="Times New Roman" w:cs="Times New Roman"/>
        </w:rPr>
        <w:t xml:space="preserve"> relied upon</w:t>
      </w:r>
      <w:r>
        <w:rPr>
          <w:rFonts w:ascii="Times New Roman" w:hAnsi="Times New Roman" w:cs="Times New Roman"/>
        </w:rPr>
        <w:t xml:space="preserve"> </w:t>
      </w:r>
      <w:r w:rsidR="009C6AD8">
        <w:rPr>
          <w:rFonts w:ascii="Times New Roman" w:hAnsi="Times New Roman" w:cs="Times New Roman"/>
        </w:rPr>
        <w:t xml:space="preserve">relating </w:t>
      </w:r>
      <w:r>
        <w:rPr>
          <w:rFonts w:ascii="Times New Roman" w:hAnsi="Times New Roman" w:cs="Times New Roman"/>
        </w:rPr>
        <w:t>to the actual or potential violation(s) disclosed</w:t>
      </w:r>
      <w:r w:rsidR="00CC706E" w:rsidRPr="003F5B7E">
        <w:rPr>
          <w:rFonts w:ascii="Times New Roman" w:hAnsi="Times New Roman" w:cs="Times New Roman"/>
        </w:rPr>
        <w:t xml:space="preserve">. </w:t>
      </w:r>
    </w:p>
    <w:p w:rsidR="00CC706E" w:rsidRPr="003F5B7E" w:rsidRDefault="00CC706E" w:rsidP="004E6A85">
      <w:pPr>
        <w:pStyle w:val="Default"/>
        <w:rPr>
          <w:rFonts w:ascii="Times New Roman" w:hAnsi="Times New Roman" w:cs="Times New Roman"/>
        </w:rPr>
      </w:pPr>
    </w:p>
    <w:p w:rsidR="00CC706E" w:rsidRPr="003F5B7E" w:rsidRDefault="00CC706E" w:rsidP="004E6A85">
      <w:pPr>
        <w:pStyle w:val="Default"/>
        <w:rPr>
          <w:rFonts w:ascii="Times New Roman" w:hAnsi="Times New Roman" w:cs="Times New Roman"/>
        </w:rPr>
      </w:pPr>
      <w:r w:rsidRPr="003F5B7E">
        <w:rPr>
          <w:rFonts w:ascii="Times New Roman" w:hAnsi="Times New Roman" w:cs="Times New Roman"/>
        </w:rPr>
        <w:tab/>
      </w:r>
      <w:r w:rsidR="00243D75" w:rsidRPr="003F5B7E">
        <w:rPr>
          <w:rFonts w:ascii="Times New Roman" w:hAnsi="Times New Roman" w:cs="Times New Roman"/>
        </w:rPr>
        <w:t>C</w:t>
      </w:r>
      <w:r w:rsidRPr="003F5B7E">
        <w:rPr>
          <w:rFonts w:ascii="Times New Roman" w:hAnsi="Times New Roman" w:cs="Times New Roman"/>
        </w:rPr>
        <w:t>.  Certification</w:t>
      </w:r>
    </w:p>
    <w:p w:rsidR="00CC706E" w:rsidRPr="003F5B7E" w:rsidRDefault="00CC706E" w:rsidP="004E6A85">
      <w:pPr>
        <w:pStyle w:val="Default"/>
        <w:rPr>
          <w:rFonts w:ascii="Times New Roman" w:hAnsi="Times New Roman" w:cs="Times New Roman"/>
        </w:rPr>
      </w:pPr>
    </w:p>
    <w:p w:rsidR="00CC706E" w:rsidRPr="003F5B7E" w:rsidRDefault="00CC706E" w:rsidP="00C05763">
      <w:pPr>
        <w:pStyle w:val="Default"/>
        <w:spacing w:line="200" w:lineRule="atLeast"/>
        <w:rPr>
          <w:rFonts w:ascii="Times New Roman" w:hAnsi="Times New Roman" w:cs="Times New Roman"/>
        </w:rPr>
      </w:pPr>
      <w:r w:rsidRPr="003F5B7E">
        <w:rPr>
          <w:rFonts w:ascii="Times New Roman" w:hAnsi="Times New Roman" w:cs="Times New Roman"/>
        </w:rPr>
        <w:t xml:space="preserve">The disclosing party, or in the case of an entity its Chief Executive </w:t>
      </w:r>
      <w:r w:rsidR="002F1C1C">
        <w:rPr>
          <w:rFonts w:ascii="Times New Roman" w:hAnsi="Times New Roman" w:cs="Times New Roman"/>
        </w:rPr>
        <w:t>Officer</w:t>
      </w:r>
      <w:r w:rsidRPr="003F5B7E">
        <w:rPr>
          <w:rFonts w:ascii="Times New Roman" w:hAnsi="Times New Roman" w:cs="Times New Roman"/>
        </w:rPr>
        <w:t xml:space="preserve">, Chief Financial Officer, or other authorized representative, must submit to CMS, along with all submissions, a </w:t>
      </w:r>
      <w:r w:rsidR="00032FAE" w:rsidRPr="003F5B7E">
        <w:rPr>
          <w:rFonts w:ascii="Times New Roman" w:hAnsi="Times New Roman" w:cs="Times New Roman"/>
        </w:rPr>
        <w:t xml:space="preserve">signed </w:t>
      </w:r>
      <w:r w:rsidRPr="003F5B7E">
        <w:rPr>
          <w:rFonts w:ascii="Times New Roman" w:hAnsi="Times New Roman" w:cs="Times New Roman"/>
        </w:rPr>
        <w:t xml:space="preserve">certification stating that, to the best of the individual’s knowledge, the information provided contains truthful information and is based on a good faith effort to bring the matter to CMS’ attention for the purpose of resolving </w:t>
      </w:r>
      <w:r w:rsidR="00623F43">
        <w:rPr>
          <w:rFonts w:ascii="Times New Roman" w:hAnsi="Times New Roman" w:cs="Times New Roman"/>
        </w:rPr>
        <w:t xml:space="preserve">the disclosed </w:t>
      </w:r>
      <w:r w:rsidRPr="003F5B7E">
        <w:rPr>
          <w:rFonts w:ascii="Times New Roman" w:hAnsi="Times New Roman" w:cs="Times New Roman"/>
        </w:rPr>
        <w:t xml:space="preserve">potential liabilities relating to the physician self-referral law.  </w:t>
      </w:r>
    </w:p>
    <w:p w:rsidR="00CC706E" w:rsidRPr="003F5B7E" w:rsidRDefault="00CC706E" w:rsidP="004E6A85">
      <w:pPr>
        <w:pStyle w:val="Default"/>
        <w:rPr>
          <w:rFonts w:ascii="Times New Roman" w:hAnsi="Times New Roman" w:cs="Times New Roman"/>
          <w:i/>
          <w:iCs/>
          <w:color w:val="auto"/>
        </w:rPr>
      </w:pPr>
    </w:p>
    <w:p w:rsidR="00CC706E" w:rsidRPr="003F5B7E" w:rsidRDefault="00CC706E" w:rsidP="004E6A85">
      <w:pPr>
        <w:pStyle w:val="Default"/>
        <w:rPr>
          <w:rFonts w:ascii="Times New Roman" w:hAnsi="Times New Roman" w:cs="Times New Roman"/>
        </w:rPr>
      </w:pPr>
      <w:r w:rsidRPr="003F5B7E">
        <w:rPr>
          <w:rFonts w:ascii="Times New Roman" w:hAnsi="Times New Roman" w:cs="Times New Roman"/>
          <w:i/>
          <w:iCs/>
        </w:rPr>
        <w:t>V.</w:t>
      </w:r>
      <w:r w:rsidR="00890534">
        <w:rPr>
          <w:rFonts w:ascii="Times New Roman" w:hAnsi="Times New Roman" w:cs="Times New Roman"/>
          <w:i/>
          <w:iCs/>
        </w:rPr>
        <w:t xml:space="preserve"> </w:t>
      </w:r>
      <w:r w:rsidRPr="003F5B7E">
        <w:rPr>
          <w:rFonts w:ascii="Times New Roman" w:hAnsi="Times New Roman" w:cs="Times New Roman"/>
          <w:i/>
          <w:iCs/>
        </w:rPr>
        <w:t xml:space="preserve"> CMS’ Verification </w:t>
      </w:r>
    </w:p>
    <w:p w:rsidR="00CC706E" w:rsidRPr="003F5B7E" w:rsidRDefault="00CC706E" w:rsidP="004E6A85">
      <w:pPr>
        <w:pStyle w:val="Default"/>
        <w:rPr>
          <w:rFonts w:ascii="Times New Roman" w:hAnsi="Times New Roman" w:cs="Times New Roman"/>
        </w:rPr>
      </w:pPr>
    </w:p>
    <w:p w:rsidR="00CC706E" w:rsidRPr="003F5B7E" w:rsidRDefault="00CC706E" w:rsidP="004E6A85">
      <w:pPr>
        <w:pStyle w:val="CM2"/>
        <w:rPr>
          <w:rFonts w:ascii="Times New Roman" w:hAnsi="Times New Roman"/>
          <w:color w:val="000000"/>
        </w:rPr>
      </w:pPr>
      <w:r w:rsidRPr="003F5B7E">
        <w:rPr>
          <w:rFonts w:ascii="Times New Roman" w:hAnsi="Times New Roman"/>
          <w:color w:val="000000"/>
        </w:rPr>
        <w:t>Upon receipt of a disclosing party’s disclosure submission, CMS will begin its verification of the disclos</w:t>
      </w:r>
      <w:r w:rsidR="00623F43">
        <w:rPr>
          <w:rFonts w:ascii="Times New Roman" w:hAnsi="Times New Roman"/>
          <w:color w:val="000000"/>
        </w:rPr>
        <w:t>ed</w:t>
      </w:r>
      <w:r w:rsidRPr="003F5B7E">
        <w:rPr>
          <w:rFonts w:ascii="Times New Roman" w:hAnsi="Times New Roman"/>
          <w:color w:val="000000"/>
        </w:rPr>
        <w:t xml:space="preserve"> information. </w:t>
      </w:r>
      <w:r w:rsidR="00623F43">
        <w:rPr>
          <w:rFonts w:ascii="Times New Roman" w:hAnsi="Times New Roman"/>
          <w:color w:val="000000"/>
        </w:rPr>
        <w:t xml:space="preserve"> </w:t>
      </w:r>
      <w:r w:rsidRPr="003F5B7E">
        <w:rPr>
          <w:rFonts w:ascii="Times New Roman" w:hAnsi="Times New Roman"/>
          <w:color w:val="000000"/>
        </w:rPr>
        <w:t xml:space="preserve">The extent of CMS’ verification effort will depend, in large part, upon the quality and thoroughness of the submissions received.  Matters uncovered during the verification process, which are outside of the scope of the matter disclosed to CMS, may be treated as new matters outside the </w:t>
      </w:r>
      <w:r w:rsidRPr="003F5B7E">
        <w:rPr>
          <w:rFonts w:ascii="Times New Roman" w:hAnsi="Times New Roman"/>
        </w:rPr>
        <w:t>SRDP</w:t>
      </w:r>
      <w:r w:rsidRPr="003F5B7E">
        <w:rPr>
          <w:rFonts w:ascii="Times New Roman" w:hAnsi="Times New Roman"/>
          <w:color w:val="000000"/>
        </w:rPr>
        <w:t xml:space="preserve">. </w:t>
      </w:r>
    </w:p>
    <w:p w:rsidR="00CC706E" w:rsidRPr="003F5B7E" w:rsidRDefault="00CC706E" w:rsidP="004E6A85">
      <w:pPr>
        <w:pStyle w:val="Default"/>
        <w:rPr>
          <w:rFonts w:ascii="Times New Roman" w:hAnsi="Times New Roman" w:cs="Times New Roman"/>
          <w:i/>
          <w:iCs/>
          <w:color w:val="auto"/>
        </w:rPr>
      </w:pPr>
    </w:p>
    <w:p w:rsidR="00336077" w:rsidRDefault="00CC706E" w:rsidP="00336077">
      <w:pPr>
        <w:pStyle w:val="Default"/>
      </w:pPr>
      <w:r w:rsidRPr="003F5B7E">
        <w:rPr>
          <w:rFonts w:ascii="Times New Roman" w:hAnsi="Times New Roman"/>
        </w:rPr>
        <w:t xml:space="preserve">To facilitate CMS’ verification and validation processes, CMS must have access to all financial statements, notes, disclosures, and other supporting documents without the assertion of privileges or limitations on the information produced. In the normal course of verification, CMS will not request production of written communications subject to the attorney-client privilege. </w:t>
      </w:r>
      <w:r w:rsidR="00623F43">
        <w:rPr>
          <w:rFonts w:ascii="Times New Roman" w:hAnsi="Times New Roman"/>
        </w:rPr>
        <w:t xml:space="preserve"> However, t</w:t>
      </w:r>
      <w:r w:rsidRPr="003F5B7E">
        <w:rPr>
          <w:rFonts w:ascii="Times New Roman" w:hAnsi="Times New Roman"/>
        </w:rPr>
        <w:t xml:space="preserve">here may be documents or other materials, </w:t>
      </w:r>
      <w:r w:rsidR="00623F43" w:rsidRPr="003F5B7E">
        <w:rPr>
          <w:rFonts w:ascii="Times New Roman" w:hAnsi="Times New Roman"/>
        </w:rPr>
        <w:t>which CMS believes are critical to resolving the disclosure</w:t>
      </w:r>
      <w:r w:rsidRPr="003F5B7E">
        <w:rPr>
          <w:rFonts w:ascii="Times New Roman" w:hAnsi="Times New Roman"/>
        </w:rPr>
        <w:t>, that may be covered by the work product doctrine</w:t>
      </w:r>
      <w:r w:rsidR="00623F43">
        <w:rPr>
          <w:rFonts w:ascii="Times New Roman" w:hAnsi="Times New Roman"/>
        </w:rPr>
        <w:t>.</w:t>
      </w:r>
      <w:r w:rsidRPr="003F5B7E">
        <w:rPr>
          <w:rFonts w:ascii="Times New Roman" w:hAnsi="Times New Roman"/>
        </w:rPr>
        <w:t xml:space="preserve">  CMS is prepared to discuss with a disclosing party’s counsel ways to gain access to the underlying information without </w:t>
      </w:r>
      <w:r w:rsidR="00623F43">
        <w:rPr>
          <w:rFonts w:ascii="Times New Roman" w:hAnsi="Times New Roman"/>
        </w:rPr>
        <w:t xml:space="preserve">waiver of </w:t>
      </w:r>
      <w:r w:rsidRPr="003F5B7E">
        <w:rPr>
          <w:rFonts w:ascii="Times New Roman" w:hAnsi="Times New Roman"/>
        </w:rPr>
        <w:t>protections provided by an appropriately asserted claim of privilege.</w:t>
      </w:r>
    </w:p>
    <w:p w:rsidR="00336077" w:rsidRPr="00336077" w:rsidRDefault="00336077" w:rsidP="00336077">
      <w:pPr>
        <w:pStyle w:val="Default"/>
      </w:pPr>
    </w:p>
    <w:p w:rsidR="00CC706E" w:rsidRPr="003F5B7E" w:rsidRDefault="00CC706E" w:rsidP="004E6A85">
      <w:pPr>
        <w:pStyle w:val="CM2"/>
        <w:spacing w:after="97"/>
        <w:rPr>
          <w:rFonts w:ascii="Times New Roman" w:hAnsi="Times New Roman"/>
        </w:rPr>
      </w:pPr>
      <w:r w:rsidRPr="003F5B7E">
        <w:rPr>
          <w:rFonts w:ascii="Times New Roman" w:hAnsi="Times New Roman"/>
        </w:rPr>
        <w:lastRenderedPageBreak/>
        <w:t xml:space="preserve">CMS may request additional information, such as financial statements, income tax returns, and other documents, if needed.  If additional information is requested, a disclosing party will be given at least 30 days to furnish the information. </w:t>
      </w:r>
    </w:p>
    <w:p w:rsidR="00EF66BD" w:rsidRPr="003F5B7E" w:rsidRDefault="00EF66BD" w:rsidP="004E6A85">
      <w:pPr>
        <w:pStyle w:val="Default"/>
        <w:rPr>
          <w:rFonts w:ascii="Times New Roman" w:hAnsi="Times New Roman" w:cs="Times New Roman"/>
          <w:i/>
          <w:iCs/>
          <w:color w:val="auto"/>
        </w:rPr>
      </w:pPr>
    </w:p>
    <w:p w:rsidR="00CC706E" w:rsidRPr="003F5B7E" w:rsidRDefault="00CC706E" w:rsidP="00336077">
      <w:pPr>
        <w:pStyle w:val="Default"/>
        <w:keepNext/>
        <w:keepLines/>
        <w:rPr>
          <w:rFonts w:ascii="Times New Roman" w:hAnsi="Times New Roman" w:cs="Times New Roman"/>
          <w:color w:val="auto"/>
        </w:rPr>
      </w:pPr>
      <w:r w:rsidRPr="003F5B7E">
        <w:rPr>
          <w:rFonts w:ascii="Times New Roman" w:hAnsi="Times New Roman" w:cs="Times New Roman"/>
          <w:i/>
          <w:iCs/>
          <w:color w:val="auto"/>
        </w:rPr>
        <w:t>VI</w:t>
      </w:r>
      <w:r w:rsidR="002254D6" w:rsidRPr="003F5B7E">
        <w:rPr>
          <w:rFonts w:ascii="Times New Roman" w:hAnsi="Times New Roman" w:cs="Times New Roman"/>
          <w:i/>
          <w:iCs/>
          <w:color w:val="auto"/>
        </w:rPr>
        <w:t>.</w:t>
      </w:r>
      <w:r w:rsidR="002254D6">
        <w:rPr>
          <w:rFonts w:ascii="Times New Roman" w:hAnsi="Times New Roman" w:cs="Times New Roman"/>
          <w:i/>
          <w:iCs/>
          <w:color w:val="auto"/>
        </w:rPr>
        <w:t xml:space="preserve"> </w:t>
      </w:r>
      <w:r w:rsidR="002254D6" w:rsidRPr="003F5B7E">
        <w:rPr>
          <w:rFonts w:ascii="Times New Roman" w:hAnsi="Times New Roman" w:cs="Times New Roman"/>
          <w:i/>
          <w:iCs/>
          <w:color w:val="auto"/>
        </w:rPr>
        <w:t>Payments</w:t>
      </w:r>
      <w:r w:rsidRPr="003F5B7E">
        <w:rPr>
          <w:rFonts w:ascii="Times New Roman" w:hAnsi="Times New Roman" w:cs="Times New Roman"/>
          <w:i/>
          <w:iCs/>
          <w:color w:val="auto"/>
        </w:rPr>
        <w:t xml:space="preserve"> </w:t>
      </w:r>
    </w:p>
    <w:p w:rsidR="00CC706E" w:rsidRPr="003F5B7E" w:rsidRDefault="00CC706E" w:rsidP="00336077">
      <w:pPr>
        <w:pStyle w:val="Default"/>
        <w:keepNext/>
        <w:keepLines/>
        <w:rPr>
          <w:rFonts w:ascii="Times New Roman" w:hAnsi="Times New Roman" w:cs="Times New Roman"/>
          <w:color w:val="auto"/>
        </w:rPr>
      </w:pPr>
    </w:p>
    <w:p w:rsidR="00CC706E" w:rsidRPr="003F5B7E" w:rsidRDefault="00CC706E" w:rsidP="00336077">
      <w:pPr>
        <w:pStyle w:val="Default"/>
        <w:keepNext/>
        <w:keepLines/>
        <w:spacing w:before="62" w:after="97" w:line="200" w:lineRule="atLeast"/>
        <w:ind w:right="60"/>
        <w:rPr>
          <w:rFonts w:ascii="Times New Roman" w:hAnsi="Times New Roman" w:cs="Times New Roman"/>
          <w:color w:val="auto"/>
        </w:rPr>
      </w:pPr>
      <w:r w:rsidRPr="003F5B7E">
        <w:rPr>
          <w:rFonts w:ascii="Times New Roman" w:hAnsi="Times New Roman" w:cs="Times New Roman"/>
          <w:color w:val="auto"/>
        </w:rPr>
        <w:t xml:space="preserve">Because of the need to verify the information provided by a disclosing party, CMS will not accept payments of presumed overpayments determined by the disclosing party prior to the completion of CMS’ inquiry.  However, the disclosing party is encouraged to place the funds in an interest-bearing escrow account to ensure adequate resources have been set aside to repay amounts owed. </w:t>
      </w:r>
      <w:r w:rsidR="001C3A74">
        <w:rPr>
          <w:rFonts w:ascii="Times New Roman" w:hAnsi="Times New Roman" w:cs="Times New Roman"/>
          <w:color w:val="auto"/>
        </w:rPr>
        <w:t xml:space="preserve"> </w:t>
      </w:r>
      <w:r w:rsidRPr="003F5B7E">
        <w:rPr>
          <w:rFonts w:ascii="Times New Roman" w:hAnsi="Times New Roman" w:cs="Times New Roman"/>
          <w:color w:val="auto"/>
        </w:rPr>
        <w:t xml:space="preserve">While the matter is under CMS inquiry, the disclosing party must refrain from making payment relating to the disclosed matter to the Federal health care programs or their contractors without CMS’ prior consent. </w:t>
      </w:r>
      <w:r w:rsidR="001C3A74">
        <w:rPr>
          <w:rFonts w:ascii="Times New Roman" w:hAnsi="Times New Roman" w:cs="Times New Roman"/>
          <w:color w:val="auto"/>
        </w:rPr>
        <w:t xml:space="preserve"> </w:t>
      </w:r>
      <w:r w:rsidRPr="003F5B7E">
        <w:rPr>
          <w:rFonts w:ascii="Times New Roman" w:hAnsi="Times New Roman" w:cs="Times New Roman"/>
          <w:color w:val="auto"/>
        </w:rPr>
        <w:t xml:space="preserve">If CMS consents, the disclosing party will be required to acknowledge in writing that the acceptance of the payment does not constitute the Government’s agreement as to the amount of losses suffered by the programs as a result of the disclosed matter, and does not relieve </w:t>
      </w:r>
      <w:r w:rsidRPr="003F5B7E">
        <w:rPr>
          <w:rFonts w:ascii="Times New Roman" w:hAnsi="Times New Roman" w:cs="Times New Roman"/>
        </w:rPr>
        <w:t>the disclosing party of any criminal, civil, or civil monetary penalty liability, nor does it offer a defense to any further administrative, civil, or criminal actions against the disclosing party</w:t>
      </w:r>
      <w:r w:rsidRPr="003F5B7E">
        <w:rPr>
          <w:rFonts w:ascii="Times New Roman" w:hAnsi="Times New Roman" w:cs="Times New Roman"/>
          <w:color w:val="auto"/>
        </w:rPr>
        <w:t xml:space="preserve">.  We remind disclosing parties, pursuant to section 1877(g)(2) of the Act, that any amounts collected from individuals that were billed in violation of the physician self-referral law must be refunded to the individuals on a timely basis.  </w:t>
      </w:r>
    </w:p>
    <w:p w:rsidR="00CC706E" w:rsidRPr="003F5B7E" w:rsidRDefault="00CC706E" w:rsidP="004E6A85">
      <w:pPr>
        <w:pStyle w:val="Default"/>
        <w:rPr>
          <w:rFonts w:ascii="Times New Roman" w:hAnsi="Times New Roman" w:cs="Times New Roman"/>
          <w:i/>
          <w:iCs/>
          <w:color w:val="auto"/>
        </w:rPr>
      </w:pPr>
    </w:p>
    <w:p w:rsidR="00CC706E" w:rsidRPr="003F5B7E" w:rsidRDefault="00CC706E" w:rsidP="004E6A85">
      <w:pPr>
        <w:pStyle w:val="Default"/>
        <w:rPr>
          <w:rFonts w:ascii="Times New Roman" w:hAnsi="Times New Roman" w:cs="Times New Roman"/>
          <w:color w:val="auto"/>
        </w:rPr>
      </w:pPr>
      <w:r w:rsidRPr="003F5B7E">
        <w:rPr>
          <w:rFonts w:ascii="Times New Roman" w:hAnsi="Times New Roman" w:cs="Times New Roman"/>
          <w:i/>
          <w:iCs/>
          <w:color w:val="auto"/>
        </w:rPr>
        <w:t>VII.</w:t>
      </w:r>
      <w:r w:rsidR="00890534">
        <w:rPr>
          <w:rFonts w:ascii="Times New Roman" w:hAnsi="Times New Roman" w:cs="Times New Roman"/>
          <w:i/>
          <w:iCs/>
          <w:color w:val="auto"/>
        </w:rPr>
        <w:t xml:space="preserve"> </w:t>
      </w:r>
      <w:r w:rsidRPr="003F5B7E">
        <w:rPr>
          <w:rFonts w:ascii="Times New Roman" w:hAnsi="Times New Roman" w:cs="Times New Roman"/>
          <w:i/>
          <w:iCs/>
          <w:color w:val="auto"/>
        </w:rPr>
        <w:t xml:space="preserve"> Cooperation and Removal from the </w:t>
      </w:r>
      <w:r w:rsidRPr="003F5B7E">
        <w:rPr>
          <w:rFonts w:ascii="Times New Roman" w:hAnsi="Times New Roman" w:cs="Times New Roman"/>
          <w:i/>
        </w:rPr>
        <w:t>SRDP</w:t>
      </w:r>
      <w:r w:rsidRPr="003F5B7E">
        <w:rPr>
          <w:rFonts w:ascii="Times New Roman" w:hAnsi="Times New Roman" w:cs="Times New Roman"/>
          <w:i/>
          <w:iCs/>
          <w:color w:val="auto"/>
        </w:rPr>
        <w:t xml:space="preserve"> and Timeliness of Disclosure</w:t>
      </w:r>
    </w:p>
    <w:p w:rsidR="00CC706E" w:rsidRPr="003F5B7E" w:rsidRDefault="00CC706E" w:rsidP="004E6A85">
      <w:pPr>
        <w:pStyle w:val="Default"/>
        <w:rPr>
          <w:rFonts w:ascii="Times New Roman" w:hAnsi="Times New Roman" w:cs="Times New Roman"/>
          <w:color w:val="auto"/>
        </w:rPr>
      </w:pPr>
    </w:p>
    <w:p w:rsidR="00CC706E" w:rsidRPr="003F5B7E" w:rsidRDefault="00CC706E" w:rsidP="00557192">
      <w:pPr>
        <w:pStyle w:val="CM2"/>
        <w:spacing w:before="102" w:after="57"/>
        <w:rPr>
          <w:rFonts w:ascii="Times New Roman" w:hAnsi="Times New Roman"/>
        </w:rPr>
      </w:pPr>
      <w:r w:rsidRPr="003F5B7E">
        <w:rPr>
          <w:rFonts w:ascii="Times New Roman" w:hAnsi="Times New Roman"/>
        </w:rPr>
        <w:t xml:space="preserve">The disclosing party’s diligent and good faith cooperation throughout the entire process is essential.  Accordingly, CMS expects to receive documents and information from the disclosing party that relate to the disclosed matter without the need to resort to compulsory methods.  If a disclosing party fails to work in good faith with CMS to resolve the disclosed matter, that lack of cooperation will be considered when CMS assesses the appropriate resolution of the matter. Similarly, the intentional submission of false or otherwise untruthful information, as well as the intentional omission of relevant information, will be referred to DOJ or other Federal agencies and could, in itself, result in criminal and/or civil sanctions, as well as exclusion from participation in the Federal health care programs.  Furthermore, it is imperative for disclosing parties to disclose matters in a timely fashion once identified.  As stated above, section 6402 of the ACA establishes a deadline for reporting and returning overpayments by the later of: (1) the date which is 60 days after the date on which the overpayment was identified; or (2) the date any corresponding cost report is due, if applicable.     </w:t>
      </w:r>
    </w:p>
    <w:p w:rsidR="00CC706E" w:rsidRPr="003F5B7E" w:rsidRDefault="00CC706E">
      <w:pPr>
        <w:pStyle w:val="Default"/>
        <w:rPr>
          <w:rFonts w:ascii="Times New Roman" w:hAnsi="Times New Roman" w:cs="Times New Roman"/>
        </w:rPr>
      </w:pPr>
    </w:p>
    <w:p w:rsidR="00CC706E" w:rsidRPr="003F5B7E" w:rsidRDefault="00CC706E">
      <w:pPr>
        <w:pStyle w:val="Default"/>
        <w:rPr>
          <w:rFonts w:ascii="Times New Roman" w:hAnsi="Times New Roman" w:cs="Times New Roman"/>
          <w:i/>
        </w:rPr>
      </w:pPr>
      <w:r w:rsidRPr="003F5B7E">
        <w:rPr>
          <w:rFonts w:ascii="Times New Roman" w:hAnsi="Times New Roman" w:cs="Times New Roman"/>
          <w:i/>
        </w:rPr>
        <w:t>VIII</w:t>
      </w:r>
      <w:r w:rsidR="002254D6" w:rsidRPr="003F5B7E">
        <w:rPr>
          <w:rFonts w:ascii="Times New Roman" w:hAnsi="Times New Roman" w:cs="Times New Roman"/>
          <w:i/>
        </w:rPr>
        <w:t>. Factors</w:t>
      </w:r>
      <w:r w:rsidRPr="003F5B7E">
        <w:rPr>
          <w:rFonts w:ascii="Times New Roman" w:hAnsi="Times New Roman" w:cs="Times New Roman"/>
          <w:i/>
        </w:rPr>
        <w:t xml:space="preserve"> Considered in Reducing the Amounts Owed</w:t>
      </w:r>
    </w:p>
    <w:p w:rsidR="00CC706E" w:rsidRPr="003F5B7E" w:rsidRDefault="00CC706E">
      <w:pPr>
        <w:pStyle w:val="Default"/>
        <w:rPr>
          <w:rFonts w:ascii="Times New Roman" w:hAnsi="Times New Roman" w:cs="Times New Roman"/>
          <w:i/>
        </w:rPr>
      </w:pPr>
    </w:p>
    <w:p w:rsidR="004C796F" w:rsidRDefault="00CC706E">
      <w:pPr>
        <w:pStyle w:val="Default"/>
        <w:rPr>
          <w:rFonts w:ascii="Times New Roman" w:hAnsi="Times New Roman" w:cs="Times New Roman"/>
        </w:rPr>
      </w:pPr>
      <w:r w:rsidRPr="003F5B7E">
        <w:rPr>
          <w:rFonts w:ascii="Times New Roman" w:hAnsi="Times New Roman" w:cs="Times New Roman"/>
        </w:rPr>
        <w:t xml:space="preserve">The factors CMS may consider in reducing the amounts otherwise owed include:  (1) the nature and extent of the improper or illegal practice; (2) the timeliness of the self-disclosure; (3) the cooperation in providing additional information related to the disclosure; (4) the litigation risk associated with the matter disclosed; and (5) the financial position of the disclosing party.  While CMS may consider these factors in determining whether reduction in any amounts owed is appropriate, CMS </w:t>
      </w:r>
      <w:r w:rsidR="004B35F7">
        <w:rPr>
          <w:rFonts w:ascii="Times New Roman" w:hAnsi="Times New Roman" w:cs="Times New Roman"/>
        </w:rPr>
        <w:t xml:space="preserve">is not obligated to </w:t>
      </w:r>
      <w:r w:rsidRPr="003F5B7E">
        <w:rPr>
          <w:rFonts w:ascii="Times New Roman" w:hAnsi="Times New Roman" w:cs="Times New Roman"/>
        </w:rPr>
        <w:t xml:space="preserve">reduce any </w:t>
      </w:r>
      <w:r w:rsidR="003F5B7E" w:rsidRPr="003F5B7E">
        <w:rPr>
          <w:rFonts w:ascii="Times New Roman" w:hAnsi="Times New Roman" w:cs="Times New Roman"/>
        </w:rPr>
        <w:t xml:space="preserve">amounts due and owing. </w:t>
      </w:r>
      <w:r w:rsidR="004B35F7">
        <w:rPr>
          <w:rFonts w:ascii="Times New Roman" w:hAnsi="Times New Roman" w:cs="Times New Roman"/>
        </w:rPr>
        <w:t xml:space="preserve"> </w:t>
      </w:r>
      <w:r w:rsidRPr="003F5B7E">
        <w:rPr>
          <w:rFonts w:ascii="Times New Roman" w:hAnsi="Times New Roman" w:cs="Times New Roman"/>
        </w:rPr>
        <w:t xml:space="preserve">CMS will make an </w:t>
      </w:r>
      <w:r w:rsidRPr="003F5B7E">
        <w:rPr>
          <w:rFonts w:ascii="Times New Roman" w:hAnsi="Times New Roman" w:cs="Times New Roman"/>
        </w:rPr>
        <w:lastRenderedPageBreak/>
        <w:t xml:space="preserve">individual determination as to whether </w:t>
      </w:r>
      <w:r w:rsidR="003F5B7E" w:rsidRPr="003F5B7E">
        <w:rPr>
          <w:rFonts w:ascii="Times New Roman" w:hAnsi="Times New Roman" w:cs="Times New Roman"/>
        </w:rPr>
        <w:t xml:space="preserve">a reduction </w:t>
      </w:r>
      <w:r w:rsidRPr="003F5B7E">
        <w:rPr>
          <w:rFonts w:ascii="Times New Roman" w:hAnsi="Times New Roman" w:cs="Times New Roman"/>
        </w:rPr>
        <w:t xml:space="preserve">is appropriate based on the facts and circumstances of each disclosed </w:t>
      </w:r>
      <w:r w:rsidR="00981C3C" w:rsidRPr="003F5B7E">
        <w:rPr>
          <w:rFonts w:ascii="Times New Roman" w:hAnsi="Times New Roman" w:cs="Times New Roman"/>
        </w:rPr>
        <w:t xml:space="preserve">actual or potential </w:t>
      </w:r>
      <w:r w:rsidRPr="003F5B7E">
        <w:rPr>
          <w:rFonts w:ascii="Times New Roman" w:hAnsi="Times New Roman" w:cs="Times New Roman"/>
        </w:rPr>
        <w:t xml:space="preserve">violation.  The nature and circumstances concerning a physician self-referral violation can vary given the scope of the physician self-referral law and the health care industry.  Given this variability, CMS needs to evaluate each matter in order to determine the severity of the physician self-referral law violation and an appropriate resolution for the conduct.  </w:t>
      </w:r>
    </w:p>
    <w:p w:rsidR="00463B31" w:rsidRDefault="00463B31">
      <w:pPr>
        <w:pStyle w:val="Default"/>
        <w:rPr>
          <w:rFonts w:ascii="Times New Roman" w:hAnsi="Times New Roman" w:cs="Times New Roman"/>
        </w:rPr>
      </w:pPr>
    </w:p>
    <w:p w:rsidR="00463B31" w:rsidRPr="00922D75" w:rsidRDefault="00C2730E" w:rsidP="00922D75">
      <w:pPr>
        <w:suppressAutoHyphens/>
        <w:spacing w:line="240" w:lineRule="atLeast"/>
        <w:jc w:val="center"/>
        <w:rPr>
          <w:rFonts w:ascii="Times New Roman" w:hAnsi="Times New Roman"/>
          <w:sz w:val="24"/>
          <w:szCs w:val="24"/>
        </w:rPr>
      </w:pPr>
      <w:r w:rsidRPr="00922D75">
        <w:rPr>
          <w:rFonts w:ascii="Times New Roman" w:hAnsi="Times New Roman"/>
          <w:sz w:val="24"/>
          <w:szCs w:val="24"/>
        </w:rPr>
        <w:t>PRA Disclosure Statement</w:t>
      </w:r>
    </w:p>
    <w:p w:rsidR="00463B31" w:rsidRPr="00CB1E23" w:rsidRDefault="00C2730E" w:rsidP="00463B31">
      <w:pPr>
        <w:suppressAutoHyphens/>
        <w:spacing w:line="240" w:lineRule="atLeast"/>
        <w:rPr>
          <w:rFonts w:ascii="Times New Roman" w:hAnsi="Times New Roman"/>
          <w:sz w:val="24"/>
          <w:szCs w:val="24"/>
        </w:rPr>
      </w:pPr>
      <w:r w:rsidRPr="00C2730E">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EF66BD">
        <w:rPr>
          <w:rFonts w:ascii="Times New Roman" w:hAnsi="Times New Roman"/>
          <w:sz w:val="24"/>
          <w:szCs w:val="24"/>
        </w:rPr>
        <w:t>0938-</w:t>
      </w:r>
      <w:r w:rsidR="00C15B79" w:rsidRPr="00EF66BD">
        <w:rPr>
          <w:rFonts w:ascii="Times New Roman" w:hAnsi="Times New Roman"/>
          <w:sz w:val="24"/>
          <w:szCs w:val="24"/>
        </w:rPr>
        <w:t>1106</w:t>
      </w:r>
      <w:r w:rsidRPr="00EF66BD">
        <w:rPr>
          <w:rFonts w:ascii="Times New Roman" w:hAnsi="Times New Roman"/>
          <w:sz w:val="24"/>
          <w:szCs w:val="24"/>
        </w:rPr>
        <w:t>.</w:t>
      </w:r>
      <w:r w:rsidRPr="00C2730E">
        <w:rPr>
          <w:rFonts w:ascii="Times New Roman" w:hAnsi="Times New Roman"/>
          <w:sz w:val="24"/>
          <w:szCs w:val="24"/>
        </w:rPr>
        <w:t xml:space="preserve">  The time required to complete this information collection is estimated to average </w:t>
      </w:r>
      <w:r w:rsidR="00093672">
        <w:rPr>
          <w:rFonts w:ascii="Times New Roman" w:hAnsi="Times New Roman"/>
          <w:sz w:val="24"/>
          <w:szCs w:val="24"/>
        </w:rPr>
        <w:t xml:space="preserve">24 </w:t>
      </w:r>
      <w:r w:rsidRPr="00EF66BD">
        <w:rPr>
          <w:rFonts w:ascii="Times New Roman" w:hAnsi="Times New Roman"/>
          <w:sz w:val="24"/>
          <w:szCs w:val="24"/>
        </w:rPr>
        <w:t>hours</w:t>
      </w:r>
      <w:r w:rsidR="00EF66BD">
        <w:rPr>
          <w:rFonts w:ascii="Times New Roman" w:hAnsi="Times New Roman"/>
          <w:b/>
          <w:sz w:val="24"/>
          <w:szCs w:val="24"/>
        </w:rPr>
        <w:t xml:space="preserve"> </w:t>
      </w:r>
      <w:r w:rsidRPr="00C2730E">
        <w:rPr>
          <w:rFonts w:ascii="Times New Roman" w:hAnsi="Times New Roman"/>
          <w:sz w:val="24"/>
          <w:szCs w:val="24"/>
        </w:rPr>
        <w:t xml:space="preserve">per response, including the time to review instructions, </w:t>
      </w:r>
      <w:r w:rsidR="00093672">
        <w:rPr>
          <w:rFonts w:ascii="Times New Roman" w:hAnsi="Times New Roman"/>
          <w:sz w:val="24"/>
          <w:szCs w:val="24"/>
        </w:rPr>
        <w:t xml:space="preserve">search existing data resources, </w:t>
      </w:r>
      <w:r w:rsidRPr="00C2730E">
        <w:rPr>
          <w:rFonts w:ascii="Times New Roman" w:hAnsi="Times New Roman"/>
          <w:sz w:val="24"/>
          <w:szCs w:val="24"/>
        </w:rPr>
        <w:t xml:space="preserve">gather the data needed, and complete and review the information collection.  If you have comments concerning the accuracy of the time estimate(s) or suggestions for improving this form, please write to: </w:t>
      </w:r>
      <w:r w:rsidR="004B35F7">
        <w:rPr>
          <w:rFonts w:ascii="Times New Roman" w:hAnsi="Times New Roman"/>
          <w:sz w:val="24"/>
          <w:szCs w:val="24"/>
        </w:rPr>
        <w:t xml:space="preserve"> </w:t>
      </w:r>
      <w:r w:rsidRPr="00C2730E">
        <w:rPr>
          <w:rFonts w:ascii="Times New Roman" w:hAnsi="Times New Roman"/>
          <w:sz w:val="24"/>
          <w:szCs w:val="24"/>
        </w:rPr>
        <w:t xml:space="preserve">CMS, 7500 Security Boulevard, Attn: PRA Reports Clearance Officer, Mail Stop C4-26-05, Baltimore, </w:t>
      </w:r>
      <w:r w:rsidR="00284107" w:rsidRPr="00C2730E">
        <w:rPr>
          <w:rFonts w:ascii="Times New Roman" w:hAnsi="Times New Roman"/>
          <w:sz w:val="24"/>
          <w:szCs w:val="24"/>
        </w:rPr>
        <w:t>M</w:t>
      </w:r>
      <w:r w:rsidR="00284107">
        <w:rPr>
          <w:rFonts w:ascii="Times New Roman" w:hAnsi="Times New Roman"/>
          <w:sz w:val="24"/>
          <w:szCs w:val="24"/>
        </w:rPr>
        <w:t>D</w:t>
      </w:r>
      <w:r w:rsidR="00284107" w:rsidRPr="00C2730E">
        <w:rPr>
          <w:rFonts w:ascii="Times New Roman" w:hAnsi="Times New Roman"/>
          <w:sz w:val="24"/>
          <w:szCs w:val="24"/>
        </w:rPr>
        <w:t xml:space="preserve"> </w:t>
      </w:r>
      <w:r w:rsidRPr="00C2730E">
        <w:rPr>
          <w:rFonts w:ascii="Times New Roman" w:hAnsi="Times New Roman"/>
          <w:sz w:val="24"/>
          <w:szCs w:val="24"/>
        </w:rPr>
        <w:t xml:space="preserve">21244-1850. </w:t>
      </w:r>
    </w:p>
    <w:p w:rsidR="00463B31" w:rsidRPr="003F5B7E" w:rsidRDefault="00463B31">
      <w:pPr>
        <w:pStyle w:val="Default"/>
        <w:rPr>
          <w:rFonts w:ascii="Times New Roman" w:hAnsi="Times New Roman" w:cs="Times New Roman"/>
        </w:rPr>
      </w:pPr>
    </w:p>
    <w:sectPr w:rsidR="00463B31" w:rsidRPr="003F5B7E" w:rsidSect="008454B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58E" w:rsidRDefault="0012458E" w:rsidP="00DE70DF">
      <w:pPr>
        <w:spacing w:after="0" w:line="240" w:lineRule="auto"/>
      </w:pPr>
      <w:r>
        <w:separator/>
      </w:r>
    </w:p>
  </w:endnote>
  <w:endnote w:type="continuationSeparator" w:id="0">
    <w:p w:rsidR="0012458E" w:rsidRDefault="0012458E" w:rsidP="00DE7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elio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34" w:rsidRPr="00182BF5" w:rsidRDefault="00890534" w:rsidP="00466601">
    <w:pPr>
      <w:pStyle w:val="Footer"/>
      <w:jc w:val="center"/>
      <w:rPr>
        <w:b/>
      </w:rPr>
    </w:pPr>
    <w:r>
      <w:rPr>
        <w:b/>
      </w:rPr>
      <w:tab/>
    </w:r>
    <w:r>
      <w:rPr>
        <w:b/>
      </w:rPr>
      <w:tab/>
    </w:r>
    <w:r w:rsidR="0062655A" w:rsidRPr="001F71D5">
      <w:rPr>
        <w:b/>
      </w:rPr>
      <w:fldChar w:fldCharType="begin"/>
    </w:r>
    <w:r w:rsidRPr="001F71D5">
      <w:rPr>
        <w:b/>
      </w:rPr>
      <w:instrText xml:space="preserve"> PAGE   \* MERGEFORMAT </w:instrText>
    </w:r>
    <w:r w:rsidR="0062655A" w:rsidRPr="001F71D5">
      <w:rPr>
        <w:b/>
      </w:rPr>
      <w:fldChar w:fldCharType="separate"/>
    </w:r>
    <w:r w:rsidR="007935FF">
      <w:rPr>
        <w:b/>
        <w:noProof/>
      </w:rPr>
      <w:t>1</w:t>
    </w:r>
    <w:r w:rsidR="0062655A" w:rsidRPr="001F71D5">
      <w:rPr>
        <w:b/>
      </w:rPr>
      <w:fldChar w:fldCharType="end"/>
    </w:r>
  </w:p>
  <w:p w:rsidR="00890534" w:rsidRDefault="00890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58E" w:rsidRDefault="0012458E" w:rsidP="00DE70DF">
      <w:pPr>
        <w:spacing w:after="0" w:line="240" w:lineRule="auto"/>
      </w:pPr>
      <w:r>
        <w:separator/>
      </w:r>
    </w:p>
  </w:footnote>
  <w:footnote w:type="continuationSeparator" w:id="0">
    <w:p w:rsidR="0012458E" w:rsidRDefault="0012458E" w:rsidP="00DE7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73" w:rsidRPr="007F1DF6" w:rsidRDefault="00932373">
    <w:pPr>
      <w:pStyle w:val="Header"/>
      <w:rPr>
        <w:rFonts w:ascii="Times New Roman" w:hAnsi="Times New Roman"/>
      </w:rPr>
    </w:pPr>
    <w:r w:rsidRPr="007F1DF6">
      <w:rPr>
        <w:rFonts w:ascii="Times New Roman" w:hAnsi="Times New Roman"/>
      </w:rPr>
      <w:ptab w:relativeTo="margin" w:alignment="center" w:leader="none"/>
    </w:r>
    <w:r w:rsidRPr="007F1DF6">
      <w:rPr>
        <w:rFonts w:ascii="Times New Roman" w:hAnsi="Times New Roman"/>
      </w:rPr>
      <w:ptab w:relativeTo="margin" w:alignment="right" w:leader="none"/>
    </w:r>
    <w:r w:rsidRPr="007F1DF6">
      <w:rPr>
        <w:rFonts w:ascii="Times New Roman" w:hAnsi="Times New Roman"/>
      </w:rPr>
      <w:t>OMB CONTROL NUMBER: 0938-1106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A95"/>
    <w:multiLevelType w:val="hybridMultilevel"/>
    <w:tmpl w:val="A816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67877"/>
    <w:multiLevelType w:val="hybridMultilevel"/>
    <w:tmpl w:val="A4A4BB6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01D604A"/>
    <w:multiLevelType w:val="hybridMultilevel"/>
    <w:tmpl w:val="E8164FA2"/>
    <w:lvl w:ilvl="0" w:tplc="7E341C2A">
      <w:start w:val="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71AAA"/>
    <w:multiLevelType w:val="hybridMultilevel"/>
    <w:tmpl w:val="7AA6C71E"/>
    <w:lvl w:ilvl="0" w:tplc="4EB6133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6C42D73"/>
    <w:multiLevelType w:val="hybridMultilevel"/>
    <w:tmpl w:val="224C40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2B30758"/>
    <w:multiLevelType w:val="hybridMultilevel"/>
    <w:tmpl w:val="C800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53668F"/>
    <w:multiLevelType w:val="hybridMultilevel"/>
    <w:tmpl w:val="6026FC8C"/>
    <w:lvl w:ilvl="0" w:tplc="41EE9EEC">
      <w:start w:val="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F07325"/>
    <w:multiLevelType w:val="hybridMultilevel"/>
    <w:tmpl w:val="1C1A5FB6"/>
    <w:lvl w:ilvl="0" w:tplc="FDD4522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5A33695"/>
    <w:multiLevelType w:val="hybridMultilevel"/>
    <w:tmpl w:val="41A613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8B1581"/>
    <w:multiLevelType w:val="hybridMultilevel"/>
    <w:tmpl w:val="7B7A83EE"/>
    <w:lvl w:ilvl="0" w:tplc="8CF89924">
      <w:start w:val="3"/>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9B90C73"/>
    <w:multiLevelType w:val="hybridMultilevel"/>
    <w:tmpl w:val="9C56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EC4FAB"/>
    <w:multiLevelType w:val="hybridMultilevel"/>
    <w:tmpl w:val="696A643C"/>
    <w:lvl w:ilvl="0" w:tplc="A4DAB1B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7"/>
  </w:num>
  <w:num w:numId="4">
    <w:abstractNumId w:val="4"/>
  </w:num>
  <w:num w:numId="5">
    <w:abstractNumId w:val="3"/>
  </w:num>
  <w:num w:numId="6">
    <w:abstractNumId w:val="6"/>
  </w:num>
  <w:num w:numId="7">
    <w:abstractNumId w:val="2"/>
  </w:num>
  <w:num w:numId="8">
    <w:abstractNumId w:val="5"/>
  </w:num>
  <w:num w:numId="9">
    <w:abstractNumId w:val="10"/>
  </w:num>
  <w:num w:numId="10">
    <w:abstractNumId w:val="9"/>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efaultTabStop w:val="720"/>
  <w:characterSpacingControl w:val="doNotCompress"/>
  <w:footnotePr>
    <w:footnote w:id="-1"/>
    <w:footnote w:id="0"/>
  </w:footnotePr>
  <w:endnotePr>
    <w:endnote w:id="-1"/>
    <w:endnote w:id="0"/>
  </w:endnotePr>
  <w:compat/>
  <w:rsids>
    <w:rsidRoot w:val="009C386B"/>
    <w:rsid w:val="00006259"/>
    <w:rsid w:val="00026010"/>
    <w:rsid w:val="00032FAE"/>
    <w:rsid w:val="0004486D"/>
    <w:rsid w:val="00052D8F"/>
    <w:rsid w:val="00054E41"/>
    <w:rsid w:val="00063E99"/>
    <w:rsid w:val="0007375D"/>
    <w:rsid w:val="000825C9"/>
    <w:rsid w:val="0008262F"/>
    <w:rsid w:val="00090194"/>
    <w:rsid w:val="0009102A"/>
    <w:rsid w:val="00091D96"/>
    <w:rsid w:val="00093672"/>
    <w:rsid w:val="000947DA"/>
    <w:rsid w:val="00095E84"/>
    <w:rsid w:val="000A6235"/>
    <w:rsid w:val="000A7974"/>
    <w:rsid w:val="000B19C2"/>
    <w:rsid w:val="000C6836"/>
    <w:rsid w:val="000D1964"/>
    <w:rsid w:val="000D2F38"/>
    <w:rsid w:val="000D7053"/>
    <w:rsid w:val="000E20DD"/>
    <w:rsid w:val="000F28D7"/>
    <w:rsid w:val="000F3B94"/>
    <w:rsid w:val="000F6FBA"/>
    <w:rsid w:val="000F7CEC"/>
    <w:rsid w:val="001024B6"/>
    <w:rsid w:val="00102F72"/>
    <w:rsid w:val="00103854"/>
    <w:rsid w:val="001040C7"/>
    <w:rsid w:val="00107B50"/>
    <w:rsid w:val="00114755"/>
    <w:rsid w:val="0012019D"/>
    <w:rsid w:val="001211E2"/>
    <w:rsid w:val="0012458E"/>
    <w:rsid w:val="00124DA0"/>
    <w:rsid w:val="00126C07"/>
    <w:rsid w:val="00130733"/>
    <w:rsid w:val="0013086A"/>
    <w:rsid w:val="00146935"/>
    <w:rsid w:val="00157E59"/>
    <w:rsid w:val="001613DC"/>
    <w:rsid w:val="001623D8"/>
    <w:rsid w:val="00170E53"/>
    <w:rsid w:val="00182BF5"/>
    <w:rsid w:val="001845AD"/>
    <w:rsid w:val="0018465E"/>
    <w:rsid w:val="001B5489"/>
    <w:rsid w:val="001C22EF"/>
    <w:rsid w:val="001C3A74"/>
    <w:rsid w:val="001D6744"/>
    <w:rsid w:val="001E26B8"/>
    <w:rsid w:val="001E71DA"/>
    <w:rsid w:val="001E7218"/>
    <w:rsid w:val="001F6A16"/>
    <w:rsid w:val="001F71D5"/>
    <w:rsid w:val="0021006C"/>
    <w:rsid w:val="00214495"/>
    <w:rsid w:val="002254D6"/>
    <w:rsid w:val="00227747"/>
    <w:rsid w:val="0023064A"/>
    <w:rsid w:val="00236660"/>
    <w:rsid w:val="00243D75"/>
    <w:rsid w:val="0025334C"/>
    <w:rsid w:val="00284107"/>
    <w:rsid w:val="00286744"/>
    <w:rsid w:val="00290341"/>
    <w:rsid w:val="00294ACB"/>
    <w:rsid w:val="002968DB"/>
    <w:rsid w:val="002A2A26"/>
    <w:rsid w:val="002A2E9D"/>
    <w:rsid w:val="002A3794"/>
    <w:rsid w:val="002A6D65"/>
    <w:rsid w:val="002A7172"/>
    <w:rsid w:val="002A7B41"/>
    <w:rsid w:val="002B29EA"/>
    <w:rsid w:val="002B61F8"/>
    <w:rsid w:val="002B7D85"/>
    <w:rsid w:val="002E098C"/>
    <w:rsid w:val="002F1C1C"/>
    <w:rsid w:val="002F5955"/>
    <w:rsid w:val="002F7DDC"/>
    <w:rsid w:val="00304179"/>
    <w:rsid w:val="003234B2"/>
    <w:rsid w:val="003267EA"/>
    <w:rsid w:val="003327FE"/>
    <w:rsid w:val="003333B6"/>
    <w:rsid w:val="003347E8"/>
    <w:rsid w:val="00336077"/>
    <w:rsid w:val="00340FD0"/>
    <w:rsid w:val="003426D6"/>
    <w:rsid w:val="003547EB"/>
    <w:rsid w:val="00354DE4"/>
    <w:rsid w:val="00356E30"/>
    <w:rsid w:val="00361D60"/>
    <w:rsid w:val="003635C6"/>
    <w:rsid w:val="00387FD7"/>
    <w:rsid w:val="00395E5F"/>
    <w:rsid w:val="003A66BC"/>
    <w:rsid w:val="003A7F9C"/>
    <w:rsid w:val="003B4890"/>
    <w:rsid w:val="003B4E19"/>
    <w:rsid w:val="003C2FA3"/>
    <w:rsid w:val="003D2B5B"/>
    <w:rsid w:val="003D56D7"/>
    <w:rsid w:val="003D74F7"/>
    <w:rsid w:val="003E0B95"/>
    <w:rsid w:val="003E2184"/>
    <w:rsid w:val="003E3923"/>
    <w:rsid w:val="003F5B7E"/>
    <w:rsid w:val="0040582F"/>
    <w:rsid w:val="00411C63"/>
    <w:rsid w:val="00412640"/>
    <w:rsid w:val="00423682"/>
    <w:rsid w:val="004368CB"/>
    <w:rsid w:val="00447D57"/>
    <w:rsid w:val="0046008C"/>
    <w:rsid w:val="00463B31"/>
    <w:rsid w:val="00464CC2"/>
    <w:rsid w:val="00466601"/>
    <w:rsid w:val="00472E72"/>
    <w:rsid w:val="004B35F7"/>
    <w:rsid w:val="004C1B78"/>
    <w:rsid w:val="004C634E"/>
    <w:rsid w:val="004C796F"/>
    <w:rsid w:val="004E5FAD"/>
    <w:rsid w:val="004E6A85"/>
    <w:rsid w:val="004F4465"/>
    <w:rsid w:val="00501AD0"/>
    <w:rsid w:val="005041C7"/>
    <w:rsid w:val="00514043"/>
    <w:rsid w:val="00525235"/>
    <w:rsid w:val="005328C4"/>
    <w:rsid w:val="00535F63"/>
    <w:rsid w:val="00536198"/>
    <w:rsid w:val="00544D3F"/>
    <w:rsid w:val="00544DD6"/>
    <w:rsid w:val="005566F0"/>
    <w:rsid w:val="00557192"/>
    <w:rsid w:val="00571627"/>
    <w:rsid w:val="0057694B"/>
    <w:rsid w:val="005860B5"/>
    <w:rsid w:val="0058785E"/>
    <w:rsid w:val="00587951"/>
    <w:rsid w:val="00592BD5"/>
    <w:rsid w:val="005A65A3"/>
    <w:rsid w:val="005B3515"/>
    <w:rsid w:val="005C75AA"/>
    <w:rsid w:val="005D2B8D"/>
    <w:rsid w:val="00622EF4"/>
    <w:rsid w:val="00623F43"/>
    <w:rsid w:val="0062494D"/>
    <w:rsid w:val="0062655A"/>
    <w:rsid w:val="00634168"/>
    <w:rsid w:val="00635A83"/>
    <w:rsid w:val="00637FD0"/>
    <w:rsid w:val="006520FF"/>
    <w:rsid w:val="00661789"/>
    <w:rsid w:val="00663E56"/>
    <w:rsid w:val="00691B01"/>
    <w:rsid w:val="006A0631"/>
    <w:rsid w:val="006A76F1"/>
    <w:rsid w:val="006B3F97"/>
    <w:rsid w:val="006C0C0D"/>
    <w:rsid w:val="006C33A1"/>
    <w:rsid w:val="006C3513"/>
    <w:rsid w:val="006D72F9"/>
    <w:rsid w:val="006E5E3C"/>
    <w:rsid w:val="006F7231"/>
    <w:rsid w:val="007021F9"/>
    <w:rsid w:val="00721E42"/>
    <w:rsid w:val="00725BF5"/>
    <w:rsid w:val="007265AD"/>
    <w:rsid w:val="007319EA"/>
    <w:rsid w:val="00734BDC"/>
    <w:rsid w:val="0074083B"/>
    <w:rsid w:val="00743312"/>
    <w:rsid w:val="00744E7D"/>
    <w:rsid w:val="007452B1"/>
    <w:rsid w:val="007510DA"/>
    <w:rsid w:val="00753C13"/>
    <w:rsid w:val="0075452F"/>
    <w:rsid w:val="0077263A"/>
    <w:rsid w:val="00777B88"/>
    <w:rsid w:val="00777C25"/>
    <w:rsid w:val="00781BF3"/>
    <w:rsid w:val="007820D7"/>
    <w:rsid w:val="0078390B"/>
    <w:rsid w:val="00783D33"/>
    <w:rsid w:val="00792CBF"/>
    <w:rsid w:val="007935FF"/>
    <w:rsid w:val="007949F7"/>
    <w:rsid w:val="007A2D92"/>
    <w:rsid w:val="007C7536"/>
    <w:rsid w:val="007D3737"/>
    <w:rsid w:val="007E4329"/>
    <w:rsid w:val="007E4C10"/>
    <w:rsid w:val="007E6548"/>
    <w:rsid w:val="007F1DF6"/>
    <w:rsid w:val="007F3E96"/>
    <w:rsid w:val="00801FBE"/>
    <w:rsid w:val="00805E9B"/>
    <w:rsid w:val="0080772C"/>
    <w:rsid w:val="0081249D"/>
    <w:rsid w:val="00820979"/>
    <w:rsid w:val="00836C03"/>
    <w:rsid w:val="00837E19"/>
    <w:rsid w:val="00842EE6"/>
    <w:rsid w:val="008454B2"/>
    <w:rsid w:val="00850748"/>
    <w:rsid w:val="00855D84"/>
    <w:rsid w:val="0086607D"/>
    <w:rsid w:val="0087778B"/>
    <w:rsid w:val="00890534"/>
    <w:rsid w:val="00891BC2"/>
    <w:rsid w:val="00895A79"/>
    <w:rsid w:val="008A213A"/>
    <w:rsid w:val="008F0778"/>
    <w:rsid w:val="008F40C7"/>
    <w:rsid w:val="008F583D"/>
    <w:rsid w:val="008F59F8"/>
    <w:rsid w:val="008F6108"/>
    <w:rsid w:val="009009C4"/>
    <w:rsid w:val="009042C0"/>
    <w:rsid w:val="00913020"/>
    <w:rsid w:val="00922D75"/>
    <w:rsid w:val="00931C63"/>
    <w:rsid w:val="00932373"/>
    <w:rsid w:val="0094032B"/>
    <w:rsid w:val="009425D0"/>
    <w:rsid w:val="00946ADF"/>
    <w:rsid w:val="009541DA"/>
    <w:rsid w:val="00981C3C"/>
    <w:rsid w:val="00983429"/>
    <w:rsid w:val="00986CEA"/>
    <w:rsid w:val="009914E6"/>
    <w:rsid w:val="00993DD8"/>
    <w:rsid w:val="0099776C"/>
    <w:rsid w:val="009977D8"/>
    <w:rsid w:val="009A1382"/>
    <w:rsid w:val="009C0713"/>
    <w:rsid w:val="009C386B"/>
    <w:rsid w:val="009C4C75"/>
    <w:rsid w:val="009C5779"/>
    <w:rsid w:val="009C6AD8"/>
    <w:rsid w:val="009E09DB"/>
    <w:rsid w:val="009E3567"/>
    <w:rsid w:val="009F08F0"/>
    <w:rsid w:val="009F4954"/>
    <w:rsid w:val="00A142B9"/>
    <w:rsid w:val="00A215E0"/>
    <w:rsid w:val="00A21F3E"/>
    <w:rsid w:val="00A24148"/>
    <w:rsid w:val="00A26EA6"/>
    <w:rsid w:val="00A31775"/>
    <w:rsid w:val="00A375DB"/>
    <w:rsid w:val="00A4143D"/>
    <w:rsid w:val="00A6686C"/>
    <w:rsid w:val="00A72D56"/>
    <w:rsid w:val="00A92747"/>
    <w:rsid w:val="00A940C0"/>
    <w:rsid w:val="00AA43DC"/>
    <w:rsid w:val="00AB5215"/>
    <w:rsid w:val="00AC10E1"/>
    <w:rsid w:val="00AD066C"/>
    <w:rsid w:val="00AE2F83"/>
    <w:rsid w:val="00B42011"/>
    <w:rsid w:val="00B434DB"/>
    <w:rsid w:val="00B47DDC"/>
    <w:rsid w:val="00B65029"/>
    <w:rsid w:val="00B74185"/>
    <w:rsid w:val="00B74C0C"/>
    <w:rsid w:val="00B906D1"/>
    <w:rsid w:val="00B9537B"/>
    <w:rsid w:val="00BA7528"/>
    <w:rsid w:val="00BA7A88"/>
    <w:rsid w:val="00BB6935"/>
    <w:rsid w:val="00BC2B6E"/>
    <w:rsid w:val="00BC3641"/>
    <w:rsid w:val="00BD7359"/>
    <w:rsid w:val="00BE0627"/>
    <w:rsid w:val="00BE6278"/>
    <w:rsid w:val="00BE6BFD"/>
    <w:rsid w:val="00BF03B3"/>
    <w:rsid w:val="00BF3D1A"/>
    <w:rsid w:val="00BF5B12"/>
    <w:rsid w:val="00C043C7"/>
    <w:rsid w:val="00C04759"/>
    <w:rsid w:val="00C05763"/>
    <w:rsid w:val="00C12F7F"/>
    <w:rsid w:val="00C15B79"/>
    <w:rsid w:val="00C2404E"/>
    <w:rsid w:val="00C2730E"/>
    <w:rsid w:val="00C279B0"/>
    <w:rsid w:val="00C431A0"/>
    <w:rsid w:val="00C43F90"/>
    <w:rsid w:val="00C44D38"/>
    <w:rsid w:val="00C4774E"/>
    <w:rsid w:val="00C47DC0"/>
    <w:rsid w:val="00C62C6C"/>
    <w:rsid w:val="00C63E07"/>
    <w:rsid w:val="00C7344E"/>
    <w:rsid w:val="00C7689F"/>
    <w:rsid w:val="00C86160"/>
    <w:rsid w:val="00CA1C15"/>
    <w:rsid w:val="00CA595B"/>
    <w:rsid w:val="00CB1E23"/>
    <w:rsid w:val="00CB246C"/>
    <w:rsid w:val="00CB6FF3"/>
    <w:rsid w:val="00CC56EF"/>
    <w:rsid w:val="00CC706E"/>
    <w:rsid w:val="00CD1389"/>
    <w:rsid w:val="00CD3C64"/>
    <w:rsid w:val="00CE0328"/>
    <w:rsid w:val="00CE1CB4"/>
    <w:rsid w:val="00CE4DF8"/>
    <w:rsid w:val="00CF09CE"/>
    <w:rsid w:val="00CF2527"/>
    <w:rsid w:val="00CF5775"/>
    <w:rsid w:val="00CF7B5D"/>
    <w:rsid w:val="00D0054D"/>
    <w:rsid w:val="00D159DA"/>
    <w:rsid w:val="00D21919"/>
    <w:rsid w:val="00D27886"/>
    <w:rsid w:val="00D31A3C"/>
    <w:rsid w:val="00D32813"/>
    <w:rsid w:val="00D4360F"/>
    <w:rsid w:val="00D43E38"/>
    <w:rsid w:val="00D45875"/>
    <w:rsid w:val="00D477D2"/>
    <w:rsid w:val="00D51C59"/>
    <w:rsid w:val="00D52B8A"/>
    <w:rsid w:val="00D540F4"/>
    <w:rsid w:val="00D55826"/>
    <w:rsid w:val="00D608E9"/>
    <w:rsid w:val="00D718BB"/>
    <w:rsid w:val="00D74115"/>
    <w:rsid w:val="00D9624B"/>
    <w:rsid w:val="00DA17CE"/>
    <w:rsid w:val="00DA366A"/>
    <w:rsid w:val="00DA631C"/>
    <w:rsid w:val="00DB5444"/>
    <w:rsid w:val="00DC4BA4"/>
    <w:rsid w:val="00DC5BF5"/>
    <w:rsid w:val="00DD2DE6"/>
    <w:rsid w:val="00DD3210"/>
    <w:rsid w:val="00DE70DF"/>
    <w:rsid w:val="00DE7207"/>
    <w:rsid w:val="00E05079"/>
    <w:rsid w:val="00E13BB2"/>
    <w:rsid w:val="00E2355E"/>
    <w:rsid w:val="00E235D6"/>
    <w:rsid w:val="00E34148"/>
    <w:rsid w:val="00E41447"/>
    <w:rsid w:val="00E42426"/>
    <w:rsid w:val="00E60EBE"/>
    <w:rsid w:val="00E63FBF"/>
    <w:rsid w:val="00E76545"/>
    <w:rsid w:val="00E80E18"/>
    <w:rsid w:val="00E84CF7"/>
    <w:rsid w:val="00E87AA1"/>
    <w:rsid w:val="00E915B5"/>
    <w:rsid w:val="00EB5A4C"/>
    <w:rsid w:val="00EE242A"/>
    <w:rsid w:val="00EE3238"/>
    <w:rsid w:val="00EE5720"/>
    <w:rsid w:val="00EF66BD"/>
    <w:rsid w:val="00EF7C03"/>
    <w:rsid w:val="00F02D97"/>
    <w:rsid w:val="00F24667"/>
    <w:rsid w:val="00F2488D"/>
    <w:rsid w:val="00F435A9"/>
    <w:rsid w:val="00F62105"/>
    <w:rsid w:val="00F65A7C"/>
    <w:rsid w:val="00F6687D"/>
    <w:rsid w:val="00F74D0E"/>
    <w:rsid w:val="00F767EA"/>
    <w:rsid w:val="00F867C9"/>
    <w:rsid w:val="00F941F2"/>
    <w:rsid w:val="00FA398B"/>
    <w:rsid w:val="00FA4DC3"/>
    <w:rsid w:val="00FC1FA4"/>
    <w:rsid w:val="00FC4A91"/>
    <w:rsid w:val="00FC6E8F"/>
    <w:rsid w:val="00FD585D"/>
    <w:rsid w:val="00FF6D26"/>
    <w:rsid w:val="00FF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4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4D3F"/>
    <w:rPr>
      <w:rFonts w:ascii="Tahoma" w:hAnsi="Tahoma" w:cs="Tahoma"/>
      <w:sz w:val="16"/>
      <w:szCs w:val="16"/>
    </w:rPr>
  </w:style>
  <w:style w:type="paragraph" w:customStyle="1" w:styleId="Default">
    <w:name w:val="Default"/>
    <w:uiPriority w:val="99"/>
    <w:rsid w:val="009C386B"/>
    <w:pPr>
      <w:autoSpaceDE w:val="0"/>
      <w:autoSpaceDN w:val="0"/>
      <w:adjustRightInd w:val="0"/>
    </w:pPr>
    <w:rPr>
      <w:rFonts w:ascii="Melior" w:hAnsi="Melior" w:cs="Melior"/>
      <w:color w:val="000000"/>
      <w:sz w:val="24"/>
      <w:szCs w:val="24"/>
    </w:rPr>
  </w:style>
  <w:style w:type="paragraph" w:customStyle="1" w:styleId="CM2">
    <w:name w:val="CM2"/>
    <w:basedOn w:val="Default"/>
    <w:next w:val="Default"/>
    <w:uiPriority w:val="99"/>
    <w:rsid w:val="009C386B"/>
    <w:pPr>
      <w:spacing w:line="198" w:lineRule="atLeast"/>
    </w:pPr>
    <w:rPr>
      <w:rFonts w:cs="Times New Roman"/>
      <w:color w:val="auto"/>
    </w:rPr>
  </w:style>
  <w:style w:type="paragraph" w:customStyle="1" w:styleId="CM1">
    <w:name w:val="CM1"/>
    <w:basedOn w:val="Default"/>
    <w:next w:val="Default"/>
    <w:uiPriority w:val="99"/>
    <w:rsid w:val="009C386B"/>
    <w:rPr>
      <w:rFonts w:cs="Times New Roman"/>
      <w:color w:val="auto"/>
    </w:rPr>
  </w:style>
  <w:style w:type="paragraph" w:customStyle="1" w:styleId="CM5">
    <w:name w:val="CM5"/>
    <w:basedOn w:val="Default"/>
    <w:next w:val="Default"/>
    <w:uiPriority w:val="99"/>
    <w:rsid w:val="009C386B"/>
    <w:pPr>
      <w:spacing w:line="200" w:lineRule="atLeast"/>
    </w:pPr>
    <w:rPr>
      <w:rFonts w:cs="Times New Roman"/>
      <w:color w:val="auto"/>
    </w:rPr>
  </w:style>
  <w:style w:type="paragraph" w:customStyle="1" w:styleId="CM6">
    <w:name w:val="CM6"/>
    <w:basedOn w:val="Default"/>
    <w:next w:val="Default"/>
    <w:uiPriority w:val="99"/>
    <w:rsid w:val="009C386B"/>
    <w:pPr>
      <w:spacing w:line="200" w:lineRule="atLeast"/>
    </w:pPr>
    <w:rPr>
      <w:rFonts w:cs="Times New Roman"/>
      <w:color w:val="auto"/>
    </w:rPr>
  </w:style>
  <w:style w:type="paragraph" w:customStyle="1" w:styleId="CM8">
    <w:name w:val="CM8"/>
    <w:basedOn w:val="Default"/>
    <w:next w:val="Default"/>
    <w:uiPriority w:val="99"/>
    <w:rsid w:val="009C386B"/>
    <w:pPr>
      <w:spacing w:line="200" w:lineRule="atLeast"/>
    </w:pPr>
    <w:rPr>
      <w:rFonts w:cs="Times New Roman"/>
      <w:color w:val="auto"/>
    </w:rPr>
  </w:style>
  <w:style w:type="paragraph" w:customStyle="1" w:styleId="CM9">
    <w:name w:val="CM9"/>
    <w:basedOn w:val="Default"/>
    <w:next w:val="Default"/>
    <w:uiPriority w:val="99"/>
    <w:rsid w:val="009C386B"/>
    <w:pPr>
      <w:spacing w:line="200" w:lineRule="atLeast"/>
    </w:pPr>
    <w:rPr>
      <w:rFonts w:cs="Times New Roman"/>
      <w:color w:val="auto"/>
    </w:rPr>
  </w:style>
  <w:style w:type="paragraph" w:customStyle="1" w:styleId="CM7">
    <w:name w:val="CM7"/>
    <w:basedOn w:val="Default"/>
    <w:next w:val="Default"/>
    <w:uiPriority w:val="99"/>
    <w:rsid w:val="009C386B"/>
    <w:pPr>
      <w:spacing w:line="200" w:lineRule="atLeast"/>
    </w:pPr>
    <w:rPr>
      <w:rFonts w:cs="Times New Roman"/>
      <w:color w:val="auto"/>
    </w:rPr>
  </w:style>
  <w:style w:type="paragraph" w:customStyle="1" w:styleId="CM3">
    <w:name w:val="CM3"/>
    <w:basedOn w:val="Default"/>
    <w:next w:val="Default"/>
    <w:uiPriority w:val="99"/>
    <w:rsid w:val="009C386B"/>
    <w:rPr>
      <w:rFonts w:cs="Times New Roman"/>
      <w:color w:val="auto"/>
    </w:rPr>
  </w:style>
  <w:style w:type="paragraph" w:styleId="ListParagraph">
    <w:name w:val="List Paragraph"/>
    <w:basedOn w:val="Normal"/>
    <w:uiPriority w:val="99"/>
    <w:qFormat/>
    <w:rsid w:val="00D718BB"/>
    <w:pPr>
      <w:ind w:left="720"/>
      <w:contextualSpacing/>
    </w:pPr>
  </w:style>
  <w:style w:type="paragraph" w:styleId="Header">
    <w:name w:val="header"/>
    <w:basedOn w:val="Normal"/>
    <w:link w:val="HeaderChar"/>
    <w:uiPriority w:val="99"/>
    <w:rsid w:val="00DE70D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70DF"/>
    <w:rPr>
      <w:rFonts w:cs="Times New Roman"/>
    </w:rPr>
  </w:style>
  <w:style w:type="paragraph" w:styleId="Footer">
    <w:name w:val="footer"/>
    <w:basedOn w:val="Normal"/>
    <w:link w:val="FooterChar"/>
    <w:uiPriority w:val="99"/>
    <w:rsid w:val="00DE70D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70DF"/>
    <w:rPr>
      <w:rFonts w:cs="Times New Roman"/>
    </w:rPr>
  </w:style>
  <w:style w:type="character" w:styleId="CommentReference">
    <w:name w:val="annotation reference"/>
    <w:basedOn w:val="DefaultParagraphFont"/>
    <w:uiPriority w:val="99"/>
    <w:semiHidden/>
    <w:rsid w:val="00544D3F"/>
    <w:rPr>
      <w:rFonts w:cs="Times New Roman"/>
      <w:sz w:val="16"/>
      <w:szCs w:val="16"/>
    </w:rPr>
  </w:style>
  <w:style w:type="paragraph" w:styleId="CommentText">
    <w:name w:val="annotation text"/>
    <w:basedOn w:val="Normal"/>
    <w:link w:val="CommentTextChar"/>
    <w:uiPriority w:val="99"/>
    <w:semiHidden/>
    <w:rsid w:val="00544D3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44D3F"/>
    <w:rPr>
      <w:rFonts w:cs="Times New Roman"/>
      <w:sz w:val="20"/>
      <w:szCs w:val="20"/>
    </w:rPr>
  </w:style>
  <w:style w:type="paragraph" w:styleId="CommentSubject">
    <w:name w:val="annotation subject"/>
    <w:basedOn w:val="CommentText"/>
    <w:next w:val="CommentText"/>
    <w:link w:val="CommentSubjectChar"/>
    <w:uiPriority w:val="99"/>
    <w:semiHidden/>
    <w:rsid w:val="00544D3F"/>
    <w:rPr>
      <w:b/>
      <w:bCs/>
    </w:rPr>
  </w:style>
  <w:style w:type="character" w:customStyle="1" w:styleId="CommentSubjectChar">
    <w:name w:val="Comment Subject Char"/>
    <w:basedOn w:val="CommentTextChar"/>
    <w:link w:val="CommentSubject"/>
    <w:uiPriority w:val="99"/>
    <w:semiHidden/>
    <w:locked/>
    <w:rsid w:val="00544D3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5CFA-BC9D-49BF-888D-2CF1B7B4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3107</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OMB CONTROL NUMBER: 0938-1106</vt:lpstr>
    </vt:vector>
  </TitlesOfParts>
  <Company/>
  <LinksUpToDate>false</LinksUpToDate>
  <CharactersWithSpaces>20622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0938-1106</dc:title>
  <dc:subject/>
  <dc:creator/>
  <cp:keywords/>
  <dc:description/>
  <cp:lastModifiedBy/>
  <cp:revision>1</cp:revision>
  <dcterms:created xsi:type="dcterms:W3CDTF">2011-01-05T18:30:00Z</dcterms:created>
  <dcterms:modified xsi:type="dcterms:W3CDTF">2011-01-05T18:30:00Z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-12603354</vt:i4>
  </property>
</Properties>
</file>