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931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2455"/>
        <w:gridCol w:w="2917"/>
        <w:gridCol w:w="2156"/>
        <w:gridCol w:w="2364"/>
        <w:gridCol w:w="2467"/>
        <w:gridCol w:w="2271"/>
      </w:tblGrid>
      <w:tr w:rsidR="00CA07B0" w:rsidTr="00FC5C48">
        <w:trPr>
          <w:trHeight w:val="604"/>
        </w:trPr>
        <w:tc>
          <w:tcPr>
            <w:tcW w:w="839" w:type="pc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4" w:space="0" w:color="365F91" w:themeColor="accent1" w:themeShade="BF"/>
              <w:right w:val="threeDEngrave" w:sz="24" w:space="0" w:color="365F91" w:themeColor="accent1" w:themeShade="BF"/>
            </w:tcBorders>
          </w:tcPr>
          <w:p w:rsidR="00CA07B0" w:rsidRPr="000927F7" w:rsidRDefault="00CA07B0" w:rsidP="00FC5C48">
            <w:pPr>
              <w:spacing w:before="60" w:after="60" w:line="240" w:lineRule="auto"/>
              <w:ind w:firstLine="0"/>
              <w:jc w:val="left"/>
              <w:rPr>
                <w:rFonts w:ascii="Verdana" w:hAnsi="Verdana"/>
                <w:b/>
                <w:bCs/>
                <w:color w:val="154979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154979"/>
                <w:sz w:val="20"/>
                <w:szCs w:val="20"/>
              </w:rPr>
              <w:t>Serious Complications</w:t>
            </w:r>
          </w:p>
        </w:tc>
        <w:tc>
          <w:tcPr>
            <w:tcW w:w="4161" w:type="pct"/>
            <w:gridSpan w:val="5"/>
            <w:tcBorders>
              <w:top w:val="single" w:sz="48" w:space="0" w:color="365F91" w:themeColor="accent1" w:themeShade="BF"/>
              <w:left w:val="threeDEngrave" w:sz="24" w:space="0" w:color="365F91" w:themeColor="accent1" w:themeShade="BF"/>
              <w:right w:val="threeDEngrave" w:sz="24" w:space="0" w:color="365F91" w:themeColor="accent1" w:themeShade="BF"/>
            </w:tcBorders>
            <w:vAlign w:val="center"/>
          </w:tcPr>
          <w:p w:rsidR="00CA07B0" w:rsidRDefault="00CA07B0" w:rsidP="00FC5C48">
            <w:pPr>
              <w:spacing w:before="60" w:after="60" w:line="240" w:lineRule="auto"/>
              <w:ind w:firstLine="0"/>
              <w:jc w:val="left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Healthcare-Associated Infections</w:t>
            </w:r>
          </w:p>
          <w:p w:rsidR="00CA07B0" w:rsidRPr="00237377" w:rsidRDefault="00CA07B0" w:rsidP="00FC5C48">
            <w:pPr>
              <w:spacing w:line="240" w:lineRule="auto"/>
              <w:jc w:val="center"/>
              <w:outlineLvl w:val="0"/>
              <w:rPr>
                <w:rFonts w:ascii="Verdana" w:hAnsi="Verdana"/>
                <w:i/>
                <w:sz w:val="28"/>
                <w:szCs w:val="28"/>
              </w:rPr>
            </w:pPr>
            <w:r w:rsidRPr="00237377">
              <w:rPr>
                <w:rFonts w:ascii="Verdana" w:hAnsi="Verdana"/>
                <w:i/>
                <w:color w:val="557D3E"/>
                <w:sz w:val="28"/>
                <w:szCs w:val="28"/>
              </w:rPr>
              <w:t>Lower Rates Are Better</w:t>
            </w:r>
          </w:p>
        </w:tc>
      </w:tr>
      <w:tr w:rsidR="00CA07B0" w:rsidTr="00FC5C48">
        <w:trPr>
          <w:trHeight w:val="604"/>
        </w:trPr>
        <w:tc>
          <w:tcPr>
            <w:tcW w:w="839" w:type="pct"/>
            <w:tcBorders>
              <w:top w:val="single" w:sz="4" w:space="0" w:color="365F91" w:themeColor="accent1" w:themeShade="BF"/>
              <w:left w:val="single" w:sz="8" w:space="0" w:color="365F91" w:themeColor="accent1" w:themeShade="BF"/>
              <w:bottom w:val="single" w:sz="4" w:space="0" w:color="365F91" w:themeColor="accent1" w:themeShade="BF"/>
              <w:right w:val="threeDEngrave" w:sz="24" w:space="0" w:color="365F91" w:themeColor="accent1" w:themeShade="BF"/>
            </w:tcBorders>
          </w:tcPr>
          <w:p w:rsidR="00CA07B0" w:rsidRPr="000927F7" w:rsidRDefault="00CA07B0" w:rsidP="00FC5C48">
            <w:pPr>
              <w:spacing w:before="60" w:after="60" w:line="240" w:lineRule="auto"/>
              <w:ind w:firstLine="0"/>
              <w:jc w:val="left"/>
              <w:rPr>
                <w:rFonts w:ascii="Verdana" w:hAnsi="Verdana"/>
                <w:b/>
                <w:bCs/>
                <w:color w:val="154979"/>
                <w:sz w:val="20"/>
                <w:szCs w:val="20"/>
              </w:rPr>
            </w:pPr>
            <w:r w:rsidRPr="000927F7">
              <w:rPr>
                <w:rFonts w:ascii="Verdana" w:hAnsi="Verdana"/>
                <w:b/>
                <w:bCs/>
                <w:color w:val="154979"/>
                <w:sz w:val="20"/>
                <w:szCs w:val="20"/>
              </w:rPr>
              <w:t>Deaths from Selected Medical Conditions</w:t>
            </w:r>
          </w:p>
        </w:tc>
        <w:tc>
          <w:tcPr>
            <w:tcW w:w="997" w:type="pct"/>
            <w:vMerge w:val="restart"/>
            <w:tcBorders>
              <w:top w:val="single" w:sz="18" w:space="0" w:color="808080" w:themeColor="background1" w:themeShade="80"/>
              <w:left w:val="threeDEngrave" w:sz="24" w:space="0" w:color="365F91" w:themeColor="accent1" w:themeShade="BF"/>
              <w:right w:val="single" w:sz="8" w:space="0" w:color="BFBFBF" w:themeColor="background1" w:themeShade="BF"/>
            </w:tcBorders>
          </w:tcPr>
          <w:p w:rsidR="00CA07B0" w:rsidRDefault="00CA07B0" w:rsidP="00FC5C48">
            <w:pPr>
              <w:ind w:firstLine="0"/>
            </w:pPr>
          </w:p>
        </w:tc>
        <w:tc>
          <w:tcPr>
            <w:tcW w:w="737" w:type="pct"/>
            <w:vMerge w:val="restart"/>
            <w:tcBorders>
              <w:top w:val="single" w:sz="18" w:space="0" w:color="808080" w:themeColor="background1" w:themeShade="80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99"/>
            <w:vAlign w:val="bottom"/>
          </w:tcPr>
          <w:p w:rsidR="00CA07B0" w:rsidRDefault="00CA07B0" w:rsidP="00FC5C48">
            <w:pPr>
              <w:spacing w:before="60" w:after="60" w:line="240" w:lineRule="auto"/>
              <w:ind w:firstLine="0"/>
              <w:jc w:val="center"/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t>AVERAGE FOR ALL REPORTING HOSPITALS IN THE U.S.</w:t>
            </w:r>
          </w:p>
        </w:tc>
        <w:tc>
          <w:tcPr>
            <w:tcW w:w="808" w:type="pct"/>
            <w:vMerge w:val="restart"/>
            <w:tcBorders>
              <w:top w:val="single" w:sz="18" w:space="0" w:color="808080" w:themeColor="background1" w:themeShade="80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CA07B0" w:rsidRPr="008A653D" w:rsidRDefault="00CA07B0" w:rsidP="00FC5C48">
            <w:pPr>
              <w:spacing w:before="60" w:after="60" w:line="240" w:lineRule="auto"/>
              <w:ind w:firstLine="0"/>
              <w:jc w:val="center"/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t>EDGEFIELD</w:t>
            </w:r>
            <w:r w:rsidRPr="0098706B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t xml:space="preserve"> HOSPITAL</w:t>
            </w:r>
          </w:p>
        </w:tc>
        <w:tc>
          <w:tcPr>
            <w:tcW w:w="843" w:type="pct"/>
            <w:vMerge w:val="restart"/>
            <w:tcBorders>
              <w:top w:val="single" w:sz="18" w:space="0" w:color="808080" w:themeColor="background1" w:themeShade="80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CA07B0" w:rsidRPr="008A653D" w:rsidRDefault="00CA07B0" w:rsidP="00FC5C48">
            <w:pPr>
              <w:spacing w:before="60" w:after="60" w:line="240" w:lineRule="auto"/>
              <w:ind w:firstLine="0"/>
              <w:jc w:val="center"/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</w:rPr>
              <w:t>RIVER VIEW HOSPITAL</w:t>
            </w:r>
          </w:p>
        </w:tc>
        <w:tc>
          <w:tcPr>
            <w:tcW w:w="776" w:type="pct"/>
            <w:vMerge w:val="restart"/>
            <w:tcBorders>
              <w:top w:val="single" w:sz="18" w:space="0" w:color="808080" w:themeColor="background1" w:themeShade="80"/>
              <w:left w:val="single" w:sz="8" w:space="0" w:color="BFBFBF" w:themeColor="background1" w:themeShade="BF"/>
              <w:right w:val="threeDEngrave" w:sz="24" w:space="0" w:color="365F91" w:themeColor="accent1" w:themeShade="BF"/>
            </w:tcBorders>
            <w:shd w:val="clear" w:color="auto" w:fill="D9D9D9" w:themeFill="background1" w:themeFillShade="D9"/>
            <w:vAlign w:val="bottom"/>
          </w:tcPr>
          <w:p w:rsidR="00CA07B0" w:rsidRPr="008A653D" w:rsidRDefault="00CA07B0" w:rsidP="00FC5C48">
            <w:pPr>
              <w:spacing w:before="60" w:after="60" w:line="240" w:lineRule="auto"/>
              <w:ind w:firstLine="0"/>
              <w:jc w:val="center"/>
              <w:rPr>
                <w:rFonts w:ascii="Verdana" w:hAnsi="Verdana"/>
                <w:b/>
                <w:bCs/>
                <w:color w:val="154979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154979"/>
                <w:sz w:val="18"/>
                <w:szCs w:val="18"/>
              </w:rPr>
              <w:t>MITCHELL HOSPITAL</w:t>
            </w:r>
          </w:p>
        </w:tc>
      </w:tr>
      <w:tr w:rsidR="00CA07B0" w:rsidTr="00FC5C48">
        <w:trPr>
          <w:trHeight w:val="604"/>
        </w:trPr>
        <w:tc>
          <w:tcPr>
            <w:tcW w:w="839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threeDEngrave" w:sz="24" w:space="0" w:color="365F91" w:themeColor="accent1" w:themeShade="BF"/>
              <w:right w:val="threeDEngrave" w:sz="24" w:space="0" w:color="365F91" w:themeColor="accent1" w:themeShade="BF"/>
            </w:tcBorders>
            <w:shd w:val="clear" w:color="auto" w:fill="FFFFFF" w:themeFill="background1"/>
          </w:tcPr>
          <w:p w:rsidR="00CA07B0" w:rsidRPr="009673A6" w:rsidRDefault="00CA07B0" w:rsidP="00FC5C48">
            <w:pPr>
              <w:spacing w:before="60" w:after="60" w:line="240" w:lineRule="auto"/>
              <w:ind w:firstLine="0"/>
              <w:jc w:val="left"/>
              <w:rPr>
                <w:rFonts w:ascii="Verdana" w:hAnsi="Verdana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9673A6">
              <w:rPr>
                <w:rFonts w:ascii="Verdana" w:hAnsi="Verdana"/>
                <w:b/>
                <w:bCs/>
                <w:color w:val="365F91" w:themeColor="accent1" w:themeShade="BF"/>
                <w:sz w:val="20"/>
                <w:szCs w:val="20"/>
              </w:rPr>
              <w:t>Hospital-Acquired Conditions</w:t>
            </w:r>
          </w:p>
        </w:tc>
        <w:tc>
          <w:tcPr>
            <w:tcW w:w="997" w:type="pct"/>
            <w:vMerge/>
            <w:tcBorders>
              <w:left w:val="threeDEngrave" w:sz="24" w:space="0" w:color="365F91" w:themeColor="accent1" w:themeShade="BF"/>
              <w:right w:val="single" w:sz="8" w:space="0" w:color="BFBFBF" w:themeColor="background1" w:themeShade="BF"/>
            </w:tcBorders>
          </w:tcPr>
          <w:p w:rsidR="00CA07B0" w:rsidRDefault="00CA07B0" w:rsidP="00FC5C48">
            <w:pPr>
              <w:ind w:firstLine="0"/>
            </w:pPr>
          </w:p>
        </w:tc>
        <w:tc>
          <w:tcPr>
            <w:tcW w:w="737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99"/>
          </w:tcPr>
          <w:p w:rsidR="00CA07B0" w:rsidRDefault="00CA07B0" w:rsidP="00FC5C48">
            <w:pPr>
              <w:ind w:firstLine="0"/>
            </w:pPr>
          </w:p>
        </w:tc>
        <w:tc>
          <w:tcPr>
            <w:tcW w:w="808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CA07B0" w:rsidRDefault="00CA07B0" w:rsidP="00FC5C48">
            <w:pPr>
              <w:ind w:firstLine="0"/>
            </w:pPr>
          </w:p>
        </w:tc>
        <w:tc>
          <w:tcPr>
            <w:tcW w:w="843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CA07B0" w:rsidRDefault="00CA07B0" w:rsidP="00FC5C48">
            <w:pPr>
              <w:ind w:firstLine="0"/>
            </w:pPr>
          </w:p>
        </w:tc>
        <w:tc>
          <w:tcPr>
            <w:tcW w:w="776" w:type="pct"/>
            <w:vMerge/>
            <w:tcBorders>
              <w:left w:val="single" w:sz="8" w:space="0" w:color="BFBFBF" w:themeColor="background1" w:themeShade="BF"/>
              <w:right w:val="threeDEngrave" w:sz="24" w:space="0" w:color="365F91" w:themeColor="accent1" w:themeShade="BF"/>
            </w:tcBorders>
            <w:shd w:val="clear" w:color="auto" w:fill="D9D9D9" w:themeFill="background1" w:themeFillShade="D9"/>
          </w:tcPr>
          <w:p w:rsidR="00CA07B0" w:rsidRDefault="00CA07B0" w:rsidP="00FC5C48">
            <w:pPr>
              <w:ind w:firstLine="0"/>
            </w:pPr>
          </w:p>
        </w:tc>
      </w:tr>
      <w:tr w:rsidR="00CA07B0" w:rsidTr="00FC5C48">
        <w:trPr>
          <w:trHeight w:val="615"/>
        </w:trPr>
        <w:tc>
          <w:tcPr>
            <w:tcW w:w="839" w:type="pct"/>
            <w:tcBorders>
              <w:top w:val="threeDEngrave" w:sz="24" w:space="0" w:color="365F91" w:themeColor="accent1" w:themeShade="BF"/>
              <w:left w:val="single" w:sz="4" w:space="0" w:color="365F91" w:themeColor="accent1" w:themeShade="BF"/>
              <w:bottom w:val="single" w:sz="36" w:space="0" w:color="365F91" w:themeColor="accent1" w:themeShade="BF"/>
              <w:right w:val="threeDEngrave" w:sz="24" w:space="0" w:color="365F91" w:themeColor="accent1" w:themeShade="BF"/>
            </w:tcBorders>
            <w:shd w:val="clear" w:color="auto" w:fill="365F91" w:themeFill="accent1" w:themeFillShade="BF"/>
          </w:tcPr>
          <w:p w:rsidR="00CA07B0" w:rsidRPr="009673A6" w:rsidRDefault="00CA07B0" w:rsidP="00FC5C48">
            <w:pPr>
              <w:spacing w:before="60" w:after="60" w:line="240" w:lineRule="auto"/>
              <w:ind w:firstLine="0"/>
              <w:jc w:val="left"/>
              <w:rPr>
                <w:rFonts w:ascii="Verdana" w:hAnsi="Verdana"/>
                <w:b/>
                <w:bCs/>
                <w:shadow/>
                <w:color w:val="FFFFFF" w:themeColor="background1"/>
                <w:sz w:val="20"/>
                <w:szCs w:val="20"/>
              </w:rPr>
            </w:pPr>
            <w:r w:rsidRPr="009673A6">
              <w:rPr>
                <w:rFonts w:ascii="Verdana" w:hAnsi="Verdana"/>
                <w:b/>
                <w:bCs/>
                <w:shadow/>
                <w:color w:val="FFFFFF" w:themeColor="background1"/>
                <w:sz w:val="20"/>
                <w:szCs w:val="20"/>
              </w:rPr>
              <w:t>Healthcare-Associated Infections</w:t>
            </w:r>
          </w:p>
        </w:tc>
        <w:tc>
          <w:tcPr>
            <w:tcW w:w="997" w:type="pct"/>
            <w:vMerge/>
            <w:tcBorders>
              <w:left w:val="threeDEngrave" w:sz="24" w:space="0" w:color="365F91" w:themeColor="accent1" w:themeShade="BF"/>
              <w:right w:val="single" w:sz="8" w:space="0" w:color="BFBFBF" w:themeColor="background1" w:themeShade="BF"/>
            </w:tcBorders>
          </w:tcPr>
          <w:p w:rsidR="00CA07B0" w:rsidRDefault="00CA07B0" w:rsidP="00FC5C48">
            <w:pPr>
              <w:ind w:firstLine="0"/>
            </w:pPr>
          </w:p>
        </w:tc>
        <w:tc>
          <w:tcPr>
            <w:tcW w:w="737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99"/>
          </w:tcPr>
          <w:p w:rsidR="00CA07B0" w:rsidRDefault="00CA07B0" w:rsidP="00FC5C48">
            <w:pPr>
              <w:ind w:firstLine="0"/>
            </w:pPr>
          </w:p>
        </w:tc>
        <w:tc>
          <w:tcPr>
            <w:tcW w:w="808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CA07B0" w:rsidRDefault="00CA07B0" w:rsidP="00FC5C48">
            <w:pPr>
              <w:ind w:firstLine="0"/>
            </w:pPr>
          </w:p>
        </w:tc>
        <w:tc>
          <w:tcPr>
            <w:tcW w:w="843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CA07B0" w:rsidRDefault="00CA07B0" w:rsidP="00FC5C48">
            <w:pPr>
              <w:ind w:firstLine="0"/>
            </w:pPr>
          </w:p>
        </w:tc>
        <w:tc>
          <w:tcPr>
            <w:tcW w:w="776" w:type="pct"/>
            <w:vMerge/>
            <w:tcBorders>
              <w:left w:val="single" w:sz="8" w:space="0" w:color="BFBFBF" w:themeColor="background1" w:themeShade="BF"/>
              <w:right w:val="threeDEngrave" w:sz="24" w:space="0" w:color="365F91" w:themeColor="accent1" w:themeShade="BF"/>
            </w:tcBorders>
            <w:shd w:val="clear" w:color="auto" w:fill="D9D9D9" w:themeFill="background1" w:themeFillShade="D9"/>
          </w:tcPr>
          <w:p w:rsidR="00CA07B0" w:rsidRDefault="00CA07B0" w:rsidP="00FC5C48">
            <w:pPr>
              <w:ind w:firstLine="0"/>
            </w:pPr>
          </w:p>
        </w:tc>
      </w:tr>
      <w:tr w:rsidR="00CA07B0" w:rsidTr="00FC5C48">
        <w:trPr>
          <w:trHeight w:val="676"/>
        </w:trPr>
        <w:tc>
          <w:tcPr>
            <w:tcW w:w="839" w:type="pct"/>
            <w:tcBorders>
              <w:top w:val="single" w:sz="36" w:space="0" w:color="365F91" w:themeColor="accent1" w:themeShade="BF"/>
              <w:left w:val="nil"/>
              <w:bottom w:val="nil"/>
              <w:right w:val="threeDEngrave" w:sz="24" w:space="0" w:color="365F91" w:themeColor="accent1" w:themeShade="BF"/>
            </w:tcBorders>
          </w:tcPr>
          <w:p w:rsidR="00CA07B0" w:rsidRDefault="00CA07B0" w:rsidP="00FC5C48">
            <w:pPr>
              <w:spacing w:before="60" w:after="60" w:line="240" w:lineRule="auto"/>
              <w:ind w:firstLine="0"/>
              <w:jc w:val="left"/>
            </w:pPr>
          </w:p>
        </w:tc>
        <w:tc>
          <w:tcPr>
            <w:tcW w:w="997" w:type="pct"/>
            <w:tcBorders>
              <w:top w:val="single" w:sz="18" w:space="0" w:color="A6A6A6" w:themeColor="background1" w:themeShade="A6"/>
              <w:left w:val="threeDEngrave" w:sz="24" w:space="0" w:color="365F91" w:themeColor="accent1" w:themeShade="BF"/>
              <w:bottom w:val="single" w:sz="36" w:space="0" w:color="365F91" w:themeColor="accent1" w:themeShade="BF"/>
              <w:right w:val="single" w:sz="8" w:space="0" w:color="BFBFBF" w:themeColor="background1" w:themeShade="BF"/>
            </w:tcBorders>
            <w:vAlign w:val="center"/>
          </w:tcPr>
          <w:p w:rsidR="00CA07B0" w:rsidRPr="002F4615" w:rsidRDefault="00CA07B0" w:rsidP="00FC5C48">
            <w:pPr>
              <w:spacing w:line="240" w:lineRule="auto"/>
              <w:ind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Central Line-Associated Bloodstream Infection</w:t>
            </w:r>
          </w:p>
        </w:tc>
        <w:tc>
          <w:tcPr>
            <w:tcW w:w="737" w:type="pct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36" w:space="0" w:color="365F91" w:themeColor="accent1" w:themeShade="BF"/>
              <w:right w:val="single" w:sz="8" w:space="0" w:color="BFBFBF" w:themeColor="background1" w:themeShade="BF"/>
            </w:tcBorders>
            <w:shd w:val="clear" w:color="auto" w:fill="FFFF99"/>
            <w:vAlign w:val="center"/>
          </w:tcPr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88508B">
              <w:rPr>
                <w:rFonts w:ascii="Verdana" w:hAnsi="Verdana"/>
                <w:b/>
                <w:sz w:val="20"/>
                <w:szCs w:val="20"/>
              </w:rPr>
              <w:t>0.70</w:t>
            </w:r>
            <w:r w:rsidRPr="0088508B">
              <w:rPr>
                <w:rFonts w:ascii="Verdana" w:hAnsi="Verdana"/>
                <w:sz w:val="20"/>
                <w:szCs w:val="20"/>
              </w:rPr>
              <w:t xml:space="preserve"> infections</w:t>
            </w:r>
          </w:p>
          <w:p w:rsidR="00CA07B0" w:rsidRPr="00D35DDF" w:rsidRDefault="00CA07B0" w:rsidP="00FC5C48">
            <w:pPr>
              <w:spacing w:line="240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508B">
              <w:rPr>
                <w:rFonts w:ascii="Verdana" w:hAnsi="Verdana"/>
                <w:sz w:val="18"/>
                <w:szCs w:val="18"/>
              </w:rPr>
              <w:t>for every 1,000 days central line catheter in place</w:t>
            </w:r>
          </w:p>
        </w:tc>
        <w:tc>
          <w:tcPr>
            <w:tcW w:w="808" w:type="pct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36" w:space="0" w:color="365F91" w:themeColor="accent1" w:themeShade="BF"/>
              <w:right w:val="single" w:sz="8" w:space="0" w:color="BFBFBF" w:themeColor="background1" w:themeShade="BF"/>
            </w:tcBorders>
            <w:vAlign w:val="center"/>
          </w:tcPr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88508B">
              <w:rPr>
                <w:rFonts w:ascii="Verdana" w:hAnsi="Verdana"/>
                <w:b/>
                <w:sz w:val="20"/>
                <w:szCs w:val="20"/>
              </w:rPr>
              <w:t>0.70</w:t>
            </w:r>
            <w:r w:rsidRPr="0088508B">
              <w:rPr>
                <w:rFonts w:ascii="Verdana" w:hAnsi="Verdana"/>
                <w:sz w:val="20"/>
                <w:szCs w:val="20"/>
              </w:rPr>
              <w:t xml:space="preserve"> infections</w:t>
            </w:r>
          </w:p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8508B">
              <w:rPr>
                <w:rFonts w:ascii="Verdana" w:hAnsi="Verdana"/>
                <w:sz w:val="18"/>
                <w:szCs w:val="18"/>
              </w:rPr>
              <w:t>for every 1,000 days central line catheter in place</w:t>
            </w:r>
          </w:p>
        </w:tc>
        <w:tc>
          <w:tcPr>
            <w:tcW w:w="843" w:type="pct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36" w:space="0" w:color="365F91" w:themeColor="accent1" w:themeShade="BF"/>
              <w:right w:val="single" w:sz="8" w:space="0" w:color="BFBFBF" w:themeColor="background1" w:themeShade="BF"/>
            </w:tcBorders>
            <w:vAlign w:val="center"/>
          </w:tcPr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88508B">
              <w:rPr>
                <w:rFonts w:ascii="Verdana" w:hAnsi="Verdana"/>
                <w:b/>
                <w:sz w:val="20"/>
                <w:szCs w:val="20"/>
              </w:rPr>
              <w:t>1.59</w:t>
            </w:r>
            <w:r w:rsidRPr="0088508B">
              <w:rPr>
                <w:rFonts w:ascii="Verdana" w:hAnsi="Verdana"/>
                <w:sz w:val="20"/>
                <w:szCs w:val="20"/>
              </w:rPr>
              <w:t xml:space="preserve"> infections</w:t>
            </w:r>
          </w:p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8508B">
              <w:rPr>
                <w:rFonts w:ascii="Verdana" w:hAnsi="Verdana"/>
                <w:sz w:val="18"/>
                <w:szCs w:val="18"/>
              </w:rPr>
              <w:t>for every 1,000 days central line catheter in place</w:t>
            </w:r>
          </w:p>
        </w:tc>
        <w:tc>
          <w:tcPr>
            <w:tcW w:w="776" w:type="pct"/>
            <w:tcBorders>
              <w:top w:val="single" w:sz="18" w:space="0" w:color="A6A6A6" w:themeColor="background1" w:themeShade="A6"/>
              <w:left w:val="single" w:sz="8" w:space="0" w:color="BFBFBF" w:themeColor="background1" w:themeShade="BF"/>
              <w:bottom w:val="single" w:sz="36" w:space="0" w:color="365F91" w:themeColor="accent1" w:themeShade="BF"/>
              <w:right w:val="threeDEngrave" w:sz="24" w:space="0" w:color="365F91" w:themeColor="accent1" w:themeShade="BF"/>
            </w:tcBorders>
            <w:vAlign w:val="center"/>
          </w:tcPr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88508B">
              <w:rPr>
                <w:rFonts w:ascii="Verdana" w:hAnsi="Verdana"/>
                <w:b/>
                <w:sz w:val="20"/>
                <w:szCs w:val="20"/>
              </w:rPr>
              <w:t>0.45</w:t>
            </w:r>
            <w:r w:rsidRPr="0088508B">
              <w:rPr>
                <w:rFonts w:ascii="Verdana" w:hAnsi="Verdana"/>
                <w:sz w:val="20"/>
                <w:szCs w:val="20"/>
              </w:rPr>
              <w:t xml:space="preserve"> infections</w:t>
            </w:r>
          </w:p>
          <w:p w:rsidR="00CA07B0" w:rsidRPr="0088508B" w:rsidRDefault="00CA07B0" w:rsidP="00FC5C48">
            <w:pPr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88508B">
              <w:rPr>
                <w:rFonts w:ascii="Verdana" w:hAnsi="Verdana"/>
                <w:sz w:val="18"/>
                <w:szCs w:val="18"/>
              </w:rPr>
              <w:t>for every 1,000 days central line catheter in place</w:t>
            </w:r>
          </w:p>
        </w:tc>
      </w:tr>
    </w:tbl>
    <w:p w:rsidR="00E33FB4" w:rsidRDefault="00E33FB4" w:rsidP="00641AC0"/>
    <w:p w:rsidR="00CA07B0" w:rsidRDefault="00CA07B0" w:rsidP="00641AC0"/>
    <w:p w:rsidR="00CA07B0" w:rsidRDefault="00CA07B0" w:rsidP="00641AC0"/>
    <w:p w:rsidR="00CA07B0" w:rsidRDefault="00CA07B0" w:rsidP="00641AC0"/>
    <w:p w:rsidR="00CA07B0" w:rsidRDefault="00CA07B0" w:rsidP="00641AC0"/>
    <w:p w:rsidR="00CA07B0" w:rsidRDefault="00CA07B0">
      <w:pPr>
        <w:tabs>
          <w:tab w:val="clear" w:pos="432"/>
        </w:tabs>
        <w:spacing w:line="240" w:lineRule="auto"/>
        <w:ind w:firstLine="0"/>
      </w:pPr>
      <w:r>
        <w:br w:type="page"/>
      </w:r>
    </w:p>
    <w:tbl>
      <w:tblPr>
        <w:tblStyle w:val="TableGrid"/>
        <w:tblpPr w:leftFromText="180" w:rightFromText="180" w:horzAnchor="margin" w:tblpXSpec="center" w:tblpY="1138"/>
        <w:tblW w:w="0" w:type="auto"/>
        <w:tblLook w:val="04A0"/>
      </w:tblPr>
      <w:tblGrid>
        <w:gridCol w:w="2970"/>
        <w:gridCol w:w="10908"/>
      </w:tblGrid>
      <w:tr w:rsidR="00CA07B0" w:rsidTr="00CA07B0">
        <w:trPr>
          <w:tblHeader/>
        </w:trPr>
        <w:tc>
          <w:tcPr>
            <w:tcW w:w="2970" w:type="dxa"/>
          </w:tcPr>
          <w:p w:rsidR="00CA07B0" w:rsidRPr="00D14F29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before="100" w:after="100" w:line="240" w:lineRule="auto"/>
              <w:ind w:right="1800" w:firstLine="0"/>
              <w:jc w:val="center"/>
              <w:outlineLvl w:val="3"/>
              <w:rPr>
                <w:rFonts w:ascii="Verdana" w:hAnsi="Verdana"/>
                <w:b/>
              </w:rPr>
            </w:pPr>
            <w:r w:rsidRPr="00D14F29">
              <w:rPr>
                <w:rFonts w:ascii="Verdana" w:hAnsi="Verdana"/>
                <w:b/>
              </w:rPr>
              <w:lastRenderedPageBreak/>
              <w:t>Name</w:t>
            </w:r>
          </w:p>
        </w:tc>
        <w:tc>
          <w:tcPr>
            <w:tcW w:w="10908" w:type="dxa"/>
          </w:tcPr>
          <w:p w:rsidR="00CA07B0" w:rsidRPr="00D14F29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before="100" w:after="100" w:line="240" w:lineRule="auto"/>
              <w:ind w:right="1800" w:firstLine="0"/>
              <w:jc w:val="center"/>
              <w:outlineLvl w:val="3"/>
              <w:rPr>
                <w:rFonts w:ascii="Verdana" w:hAnsi="Verdana"/>
                <w:b/>
              </w:rPr>
            </w:pPr>
            <w:r w:rsidRPr="00D14F29">
              <w:rPr>
                <w:rFonts w:ascii="Verdana" w:hAnsi="Verdana"/>
                <w:b/>
              </w:rPr>
              <w:t>Description</w:t>
            </w:r>
          </w:p>
        </w:tc>
      </w:tr>
      <w:tr w:rsidR="00CA07B0" w:rsidTr="00CA07B0">
        <w:tc>
          <w:tcPr>
            <w:tcW w:w="2970" w:type="dxa"/>
          </w:tcPr>
          <w:p w:rsidR="00CA07B0" w:rsidRPr="00031001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  <w:r w:rsidRPr="00E3000A">
              <w:rPr>
                <w:rFonts w:ascii="Verdana" w:hAnsi="Verdana"/>
              </w:rPr>
              <w:t>Central line-associated bloodstream infe</w:t>
            </w:r>
            <w:r w:rsidRPr="00031001">
              <w:rPr>
                <w:rFonts w:ascii="Verdana" w:hAnsi="Verdana"/>
              </w:rPr>
              <w:t>ction (CLABSI)</w:t>
            </w: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  <w:r w:rsidRPr="00031001">
              <w:rPr>
                <w:rFonts w:ascii="Verdana" w:hAnsi="Verdana"/>
              </w:rPr>
              <w:t>(Bloodstream infections caused by a central catheter)</w:t>
            </w:r>
          </w:p>
        </w:tc>
        <w:tc>
          <w:tcPr>
            <w:tcW w:w="10908" w:type="dxa"/>
          </w:tcPr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3"/>
              <w:rPr>
                <w:rFonts w:ascii="Verdana" w:hAnsi="Verdana"/>
              </w:rPr>
            </w:pPr>
            <w:r w:rsidRPr="002C10C1">
              <w:rPr>
                <w:rFonts w:ascii="Verdana" w:hAnsi="Verdana"/>
              </w:rPr>
              <w:t>A central line-associated bloodstream infection is a serious infection that occurs when germs enter the bloodstream through a central line.  A central line is a tube that healthcare providers place in a large vein in the neck, chest, or arm to give fluids, blood, or medications or to do certain medical tests quickly.</w:t>
            </w:r>
            <w:r>
              <w:rPr>
                <w:rFonts w:ascii="Georgia" w:hAnsi="Georgia"/>
                <w:color w:val="000000"/>
              </w:rPr>
              <w:t xml:space="preserve">  </w:t>
            </w:r>
            <w:r w:rsidRPr="00031001">
              <w:rPr>
                <w:rFonts w:ascii="Verdana" w:hAnsi="Verdana"/>
              </w:rPr>
              <w:t xml:space="preserve">It may be left in place for several weeks. </w:t>
            </w:r>
            <w:r>
              <w:rPr>
                <w:rFonts w:ascii="Verdana" w:hAnsi="Verdana"/>
              </w:rPr>
              <w:t xml:space="preserve"> Patients who</w:t>
            </w:r>
            <w:r w:rsidRPr="00031001">
              <w:rPr>
                <w:rFonts w:ascii="Verdana" w:hAnsi="Verdana"/>
              </w:rPr>
              <w:t xml:space="preserve"> develop a catheter-associated blood</w:t>
            </w:r>
            <w:r w:rsidRPr="00031001">
              <w:rPr>
                <w:rFonts w:ascii="Verdana" w:hAnsi="Verdana"/>
              </w:rPr>
              <w:softHyphen/>
              <w:t>stream infection may become ill with fevers and chills or the skin around the catheter may become sore and red.</w:t>
            </w: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Hospital staff can </w:t>
            </w:r>
            <w:r w:rsidRPr="00031001">
              <w:rPr>
                <w:rFonts w:ascii="Verdana" w:hAnsi="Verdana"/>
              </w:rPr>
              <w:t xml:space="preserve">prevent catheter-associated bloodstream infections </w:t>
            </w:r>
            <w:r>
              <w:rPr>
                <w:rFonts w:ascii="Verdana" w:hAnsi="Verdana"/>
              </w:rPr>
              <w:t>by:</w:t>
            </w: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</w:p>
          <w:p w:rsidR="00CA07B0" w:rsidRDefault="00CA07B0" w:rsidP="00CA07B0">
            <w:pPr>
              <w:pStyle w:val="ListParagraph"/>
              <w:keepNext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3"/>
              <w:rPr>
                <w:rFonts w:ascii="Verdana" w:hAnsi="Verdana"/>
              </w:rPr>
            </w:pPr>
            <w:r w:rsidRPr="00031001">
              <w:rPr>
                <w:rFonts w:ascii="Verdana" w:hAnsi="Verdana"/>
              </w:rPr>
              <w:t xml:space="preserve">Choosing a vein where the catheter can be safely inserted and where the risk for infection is small; </w:t>
            </w:r>
          </w:p>
          <w:p w:rsidR="00CA07B0" w:rsidRDefault="00CA07B0" w:rsidP="00CA07B0">
            <w:pPr>
              <w:pStyle w:val="ListParagraph"/>
              <w:keepNext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Keeping the catheter sterile when putting it in place by cleaning their hands beforehand; wearing a mask, cap, sterile gown, and sterile gloves; covering the patient with a sterile sheet; and cleaning the patient’s skin</w:t>
            </w:r>
          </w:p>
          <w:p w:rsidR="00CA07B0" w:rsidRDefault="00CA07B0" w:rsidP="00CA07B0">
            <w:pPr>
              <w:pStyle w:val="ListParagraph"/>
              <w:keepNext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Keeping the opening clean, washing their hands, and using sterile gloves, when using the catheter to draw blood or give medications, or when changing the bandage</w:t>
            </w:r>
          </w:p>
          <w:p w:rsidR="00CA07B0" w:rsidRPr="00031001" w:rsidRDefault="00CA07B0" w:rsidP="00CA07B0">
            <w:pPr>
              <w:pStyle w:val="ListParagraph"/>
              <w:keepNext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3"/>
              <w:rPr>
                <w:rFonts w:ascii="Verdana" w:hAnsi="Verdana"/>
              </w:rPr>
            </w:pPr>
            <w:r w:rsidRPr="00031001">
              <w:rPr>
                <w:rFonts w:ascii="Verdana" w:hAnsi="Verdana"/>
              </w:rPr>
              <w:t xml:space="preserve">Removing the catheter </w:t>
            </w:r>
            <w:r>
              <w:rPr>
                <w:rFonts w:ascii="Verdana" w:hAnsi="Verdana"/>
              </w:rPr>
              <w:t>as soon as</w:t>
            </w:r>
            <w:r w:rsidRPr="00031001">
              <w:rPr>
                <w:rFonts w:ascii="Verdana" w:hAnsi="Verdana"/>
              </w:rPr>
              <w:t xml:space="preserve"> it is no longer needed.</w:t>
            </w: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</w:p>
          <w:p w:rsidR="00CA07B0" w:rsidRDefault="00CA07B0" w:rsidP="00CA07B0">
            <w:pPr>
              <w:keepNext/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3"/>
              <w:rPr>
                <w:rFonts w:ascii="Verdana" w:hAnsi="Verdana"/>
              </w:rPr>
            </w:pPr>
          </w:p>
        </w:tc>
      </w:tr>
    </w:tbl>
    <w:p w:rsidR="00CA07B0" w:rsidRPr="00E33FB4" w:rsidRDefault="00CA07B0" w:rsidP="00641AC0"/>
    <w:sectPr w:rsidR="00CA07B0" w:rsidRPr="00E33FB4" w:rsidSect="00CA07B0">
      <w:headerReference w:type="default" r:id="rId7"/>
      <w:footerReference w:type="default" r:id="rId8"/>
      <w:endnotePr>
        <w:numFmt w:val="decimal"/>
      </w:endnotePr>
      <w:pgSz w:w="15840" w:h="12240" w:orient="landscape" w:code="1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FF0" w:rsidRDefault="00627FF0">
      <w:pPr>
        <w:spacing w:line="240" w:lineRule="auto"/>
        <w:ind w:firstLine="0"/>
      </w:pPr>
    </w:p>
  </w:endnote>
  <w:endnote w:type="continuationSeparator" w:id="0">
    <w:p w:rsidR="00627FF0" w:rsidRDefault="00627FF0">
      <w:pPr>
        <w:spacing w:line="240" w:lineRule="auto"/>
        <w:ind w:firstLine="0"/>
      </w:pPr>
    </w:p>
  </w:endnote>
  <w:endnote w:type="continuationNotice" w:id="1">
    <w:p w:rsidR="00627FF0" w:rsidRDefault="00627FF0">
      <w:pPr>
        <w:spacing w:line="240" w:lineRule="auto"/>
        <w:ind w:firstLine="0"/>
      </w:pPr>
    </w:p>
    <w:p w:rsidR="00627FF0" w:rsidRDefault="00627FF0"/>
    <w:p w:rsidR="00627FF0" w:rsidRDefault="00627FF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F97196" w:rsidP="00CA07B0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center"/>
      <w:rPr>
        <w:rStyle w:val="PageNumber"/>
        <w:b/>
        <w:sz w:val="17"/>
      </w:rPr>
    </w:pPr>
    <w:r>
      <w:rPr>
        <w:rStyle w:val="PageNumber"/>
      </w:rPr>
      <w:fldChar w:fldCharType="begin"/>
    </w:r>
    <w:r w:rsidR="00EF776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3B2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FF0" w:rsidRDefault="00627FF0">
      <w:pPr>
        <w:spacing w:line="240" w:lineRule="auto"/>
        <w:ind w:firstLine="0"/>
      </w:pPr>
      <w:r>
        <w:separator/>
      </w:r>
    </w:p>
  </w:footnote>
  <w:footnote w:type="continuationSeparator" w:id="0">
    <w:p w:rsidR="00627FF0" w:rsidRDefault="00627FF0">
      <w:pPr>
        <w:spacing w:line="240" w:lineRule="auto"/>
        <w:ind w:firstLine="0"/>
      </w:pPr>
      <w:r>
        <w:separator/>
      </w:r>
    </w:p>
    <w:p w:rsidR="00627FF0" w:rsidRDefault="00627FF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27FF0" w:rsidRDefault="00627FF0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B0" w:rsidRDefault="00CA07B0">
    <w:pPr>
      <w:pStyle w:val="Header"/>
    </w:pPr>
    <w:r>
      <w:t>Formative Research</w:t>
    </w:r>
  </w:p>
  <w:p w:rsidR="00CA07B0" w:rsidRDefault="00CA07B0">
    <w:pPr>
      <w:pStyle w:val="Header"/>
    </w:pPr>
    <w:r>
      <w:t>Focus Group Handout #5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920"/>
    <w:multiLevelType w:val="hybridMultilevel"/>
    <w:tmpl w:val="1CC4FD0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878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DD3CA5"/>
    <w:rsid w:val="00037098"/>
    <w:rsid w:val="000812AE"/>
    <w:rsid w:val="00081D47"/>
    <w:rsid w:val="000B3A77"/>
    <w:rsid w:val="000C0118"/>
    <w:rsid w:val="000E6D11"/>
    <w:rsid w:val="00105D23"/>
    <w:rsid w:val="0013282C"/>
    <w:rsid w:val="001933B1"/>
    <w:rsid w:val="001A07D4"/>
    <w:rsid w:val="00200B10"/>
    <w:rsid w:val="00241F8D"/>
    <w:rsid w:val="002849EE"/>
    <w:rsid w:val="002C413C"/>
    <w:rsid w:val="002F7C83"/>
    <w:rsid w:val="00336A60"/>
    <w:rsid w:val="00342CD8"/>
    <w:rsid w:val="003A1506"/>
    <w:rsid w:val="003A1774"/>
    <w:rsid w:val="003A17E0"/>
    <w:rsid w:val="003A26BB"/>
    <w:rsid w:val="00417B7A"/>
    <w:rsid w:val="00446CE2"/>
    <w:rsid w:val="0047478B"/>
    <w:rsid w:val="004B0D54"/>
    <w:rsid w:val="004D62CD"/>
    <w:rsid w:val="00531424"/>
    <w:rsid w:val="00581EE2"/>
    <w:rsid w:val="00591AE6"/>
    <w:rsid w:val="005A66CB"/>
    <w:rsid w:val="006150A8"/>
    <w:rsid w:val="00627FF0"/>
    <w:rsid w:val="00635EC3"/>
    <w:rsid w:val="00641AC0"/>
    <w:rsid w:val="00690B57"/>
    <w:rsid w:val="0069513D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64C58"/>
    <w:rsid w:val="007C4167"/>
    <w:rsid w:val="007D64C8"/>
    <w:rsid w:val="007E2EB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07EEF"/>
    <w:rsid w:val="00912344"/>
    <w:rsid w:val="0091618D"/>
    <w:rsid w:val="00931BDB"/>
    <w:rsid w:val="0095754B"/>
    <w:rsid w:val="00980DB0"/>
    <w:rsid w:val="00994EDD"/>
    <w:rsid w:val="00997375"/>
    <w:rsid w:val="009B20BD"/>
    <w:rsid w:val="009B61A1"/>
    <w:rsid w:val="00A60FFF"/>
    <w:rsid w:val="00A80A4F"/>
    <w:rsid w:val="00B13000"/>
    <w:rsid w:val="00B43B21"/>
    <w:rsid w:val="00B714B7"/>
    <w:rsid w:val="00B82E71"/>
    <w:rsid w:val="00B83493"/>
    <w:rsid w:val="00BA65A5"/>
    <w:rsid w:val="00C14296"/>
    <w:rsid w:val="00C2695D"/>
    <w:rsid w:val="00C450AE"/>
    <w:rsid w:val="00C758F5"/>
    <w:rsid w:val="00C90E85"/>
    <w:rsid w:val="00C92E5D"/>
    <w:rsid w:val="00C93509"/>
    <w:rsid w:val="00C9777C"/>
    <w:rsid w:val="00CA07B0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A39C5"/>
    <w:rsid w:val="00DC05C1"/>
    <w:rsid w:val="00DD3CA5"/>
    <w:rsid w:val="00E03491"/>
    <w:rsid w:val="00E0544B"/>
    <w:rsid w:val="00E33FB4"/>
    <w:rsid w:val="00E35802"/>
    <w:rsid w:val="00ED47C6"/>
    <w:rsid w:val="00EF776D"/>
    <w:rsid w:val="00F142BF"/>
    <w:rsid w:val="00F33334"/>
    <w:rsid w:val="00F40E54"/>
    <w:rsid w:val="00F45261"/>
    <w:rsid w:val="00F5243D"/>
    <w:rsid w:val="00F738C5"/>
    <w:rsid w:val="00F97196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B0"/>
    <w:pPr>
      <w:tabs>
        <w:tab w:val="left" w:pos="432"/>
      </w:tabs>
      <w:spacing w:line="480" w:lineRule="auto"/>
      <w:ind w:firstLine="432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CA07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>Mathematica, Inc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Gerteis</dc:creator>
  <cp:keywords/>
  <dc:description/>
  <cp:lastModifiedBy>NB</cp:lastModifiedBy>
  <cp:revision>2</cp:revision>
  <cp:lastPrinted>2001-03-07T19:36:00Z</cp:lastPrinted>
  <dcterms:created xsi:type="dcterms:W3CDTF">2011-01-28T16:23:00Z</dcterms:created>
  <dcterms:modified xsi:type="dcterms:W3CDTF">2011-01-28T16:23:00Z</dcterms:modified>
</cp:coreProperties>
</file>