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D7" w:rsidRPr="00121A23" w:rsidRDefault="006055D7" w:rsidP="006055D7">
      <w:pPr>
        <w:jc w:val="center"/>
        <w:rPr>
          <w:b/>
          <w:sz w:val="28"/>
          <w:szCs w:val="28"/>
        </w:rPr>
      </w:pPr>
      <w:r w:rsidRPr="00121A23">
        <w:rPr>
          <w:b/>
          <w:sz w:val="28"/>
          <w:szCs w:val="28"/>
        </w:rPr>
        <w:t xml:space="preserve">Customer Feedback Survey on SAMHSA Publication: </w:t>
      </w:r>
    </w:p>
    <w:p w:rsidR="006055D7" w:rsidRPr="00121A23" w:rsidRDefault="006055D7" w:rsidP="006055D7">
      <w:pPr>
        <w:jc w:val="center"/>
        <w:rPr>
          <w:b/>
          <w:i/>
          <w:sz w:val="28"/>
          <w:szCs w:val="28"/>
        </w:rPr>
      </w:pPr>
      <w:r w:rsidRPr="00121A23">
        <w:rPr>
          <w:b/>
          <w:i/>
          <w:sz w:val="28"/>
          <w:szCs w:val="28"/>
        </w:rPr>
        <w:t xml:space="preserve">Medication-Assisted Treatment for Opioid Addiction: </w:t>
      </w:r>
      <w:r w:rsidR="001036FA" w:rsidRPr="00121A23">
        <w:rPr>
          <w:b/>
          <w:i/>
          <w:sz w:val="28"/>
          <w:szCs w:val="28"/>
        </w:rPr>
        <w:t xml:space="preserve">2013 </w:t>
      </w:r>
      <w:r w:rsidRPr="00121A23">
        <w:rPr>
          <w:b/>
          <w:i/>
          <w:sz w:val="28"/>
          <w:szCs w:val="28"/>
        </w:rPr>
        <w:t>State Profiles</w:t>
      </w:r>
    </w:p>
    <w:p w:rsidR="00D67CDC" w:rsidRPr="00121A23" w:rsidRDefault="00D67CDC" w:rsidP="00D67CDC">
      <w:pPr>
        <w:jc w:val="center"/>
        <w:rPr>
          <w:b/>
          <w:i/>
          <w:sz w:val="28"/>
          <w:szCs w:val="28"/>
        </w:rPr>
      </w:pPr>
    </w:p>
    <w:p w:rsidR="00D67CDC" w:rsidRPr="00121A23" w:rsidRDefault="00D67CDC" w:rsidP="00D67CDC">
      <w:pPr>
        <w:numPr>
          <w:ilvl w:val="0"/>
          <w:numId w:val="1"/>
        </w:numPr>
        <w:rPr>
          <w:b/>
        </w:rPr>
      </w:pPr>
      <w:r w:rsidRPr="00121A23">
        <w:rPr>
          <w:b/>
        </w:rPr>
        <w:t>Product/Activity to be Assessed</w:t>
      </w:r>
    </w:p>
    <w:p w:rsidR="00121A23" w:rsidRPr="00121A23" w:rsidRDefault="006055D7" w:rsidP="006055D7">
      <w:pPr>
        <w:ind w:left="720"/>
      </w:pPr>
      <w:r w:rsidRPr="00121A23">
        <w:t xml:space="preserve">The Substance Abuse and Mental Health Services Administration (SAMHSA), Center for Substance Abuse Treatment (CSAT) and Center for Behavioral Health Statistics and Quality (CBHSQ), </w:t>
      </w:r>
      <w:r w:rsidR="001036FA" w:rsidRPr="00121A23">
        <w:t xml:space="preserve">periodically </w:t>
      </w:r>
      <w:r w:rsidRPr="00121A23">
        <w:t>produce</w:t>
      </w:r>
      <w:r w:rsidR="00B22759">
        <w:t xml:space="preserve"> a report called</w:t>
      </w:r>
      <w:r w:rsidRPr="00121A23">
        <w:t xml:space="preserve"> the </w:t>
      </w:r>
      <w:r w:rsidRPr="00121A23">
        <w:rPr>
          <w:i/>
        </w:rPr>
        <w:t>Medication-Assisted Treatment for Opioid Addiction: State Profiles</w:t>
      </w:r>
      <w:r w:rsidRPr="00121A23">
        <w:t xml:space="preserve">.  Information included in the </w:t>
      </w:r>
      <w:r w:rsidRPr="00121A23">
        <w:rPr>
          <w:i/>
        </w:rPr>
        <w:t xml:space="preserve">State Profiles </w:t>
      </w:r>
      <w:r w:rsidRPr="00121A23">
        <w:t>is obtained from the annual National Survey of Substance Abuse Treatment Services (N-SSATS) conducted by CBHSQ (OMB</w:t>
      </w:r>
      <w:r w:rsidR="00C9276D" w:rsidRPr="00121A23">
        <w:t xml:space="preserve"> </w:t>
      </w:r>
      <w:r w:rsidRPr="00121A23">
        <w:t xml:space="preserve">No. </w:t>
      </w:r>
      <w:r w:rsidR="00121A23" w:rsidRPr="00121A23">
        <w:t>0930</w:t>
      </w:r>
      <w:r w:rsidRPr="00121A23">
        <w:t>-</w:t>
      </w:r>
      <w:r w:rsidR="00121A23" w:rsidRPr="00121A23">
        <w:t>0106</w:t>
      </w:r>
      <w:r w:rsidRPr="00121A23">
        <w:t>)</w:t>
      </w:r>
      <w:r w:rsidR="00121A23" w:rsidRPr="00121A23">
        <w:t xml:space="preserve"> as well as other publicly-available datasets</w:t>
      </w:r>
      <w:r w:rsidR="00B22759">
        <w:t xml:space="preserve"> including data from the first N-SSATS survey of Opioid Treatment Programs (OTPs).  </w:t>
      </w:r>
      <w:r w:rsidRPr="00121A23">
        <w:t xml:space="preserve">The </w:t>
      </w:r>
      <w:r w:rsidRPr="00121A23">
        <w:rPr>
          <w:i/>
        </w:rPr>
        <w:t xml:space="preserve">State Profiles </w:t>
      </w:r>
      <w:r w:rsidRPr="00121A23">
        <w:t xml:space="preserve">include the following information about each </w:t>
      </w:r>
      <w:r w:rsidR="00BD3044" w:rsidRPr="00121A23">
        <w:t>state</w:t>
      </w:r>
      <w:r w:rsidRPr="00121A23">
        <w:t>:</w:t>
      </w:r>
    </w:p>
    <w:p w:rsidR="00121A23" w:rsidRPr="00121A23" w:rsidRDefault="00121A23" w:rsidP="00121A23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r w:rsidRPr="00121A23">
        <w:rPr>
          <w:rFonts w:ascii="Times New Roman" w:hAnsi="Times New Roman" w:cs="Times New Roman"/>
        </w:rPr>
        <w:t>a box with :</w:t>
      </w:r>
    </w:p>
    <w:p w:rsidR="00121A23" w:rsidRPr="00121A23" w:rsidRDefault="00121A23" w:rsidP="00121A23">
      <w:pPr>
        <w:pStyle w:val="ListParagraph"/>
        <w:numPr>
          <w:ilvl w:val="1"/>
          <w:numId w:val="4"/>
        </w:numPr>
        <w:ind w:left="1800"/>
        <w:rPr>
          <w:rFonts w:ascii="Times New Roman" w:hAnsi="Times New Roman" w:cs="Times New Roman"/>
        </w:rPr>
      </w:pPr>
      <w:r w:rsidRPr="00121A23">
        <w:rPr>
          <w:rFonts w:ascii="Times New Roman" w:hAnsi="Times New Roman" w:cs="Times New Roman"/>
        </w:rPr>
        <w:t>state population (from the US Census)</w:t>
      </w:r>
    </w:p>
    <w:p w:rsidR="00121A23" w:rsidRPr="00121A23" w:rsidRDefault="00121A23" w:rsidP="00121A23">
      <w:pPr>
        <w:pStyle w:val="ListParagraph"/>
        <w:numPr>
          <w:ilvl w:val="1"/>
          <w:numId w:val="4"/>
        </w:numPr>
        <w:ind w:left="1800"/>
        <w:rPr>
          <w:rFonts w:ascii="Times New Roman" w:hAnsi="Times New Roman" w:cs="Times New Roman"/>
        </w:rPr>
      </w:pPr>
      <w:r w:rsidRPr="00121A23">
        <w:rPr>
          <w:rFonts w:ascii="Times New Roman" w:hAnsi="Times New Roman" w:cs="Times New Roman"/>
        </w:rPr>
        <w:t>number of patients in substance abuse treatment (from N-SSATS)</w:t>
      </w:r>
    </w:p>
    <w:p w:rsidR="00121A23" w:rsidRPr="00121A23" w:rsidRDefault="00121A23" w:rsidP="00121A23">
      <w:pPr>
        <w:pStyle w:val="ListParagraph"/>
        <w:numPr>
          <w:ilvl w:val="1"/>
          <w:numId w:val="4"/>
        </w:numPr>
        <w:ind w:left="1800"/>
        <w:rPr>
          <w:rFonts w:ascii="Times New Roman" w:hAnsi="Times New Roman" w:cs="Times New Roman"/>
        </w:rPr>
      </w:pPr>
      <w:r w:rsidRPr="00121A23">
        <w:rPr>
          <w:rFonts w:ascii="Times New Roman" w:hAnsi="Times New Roman" w:cs="Times New Roman"/>
        </w:rPr>
        <w:t>number of all substance abuse treatment facilities (from N-SSATS)</w:t>
      </w:r>
    </w:p>
    <w:p w:rsidR="00121A23" w:rsidRPr="00121A23" w:rsidRDefault="00121A23" w:rsidP="00121A23">
      <w:pPr>
        <w:pStyle w:val="ListParagraph"/>
        <w:numPr>
          <w:ilvl w:val="1"/>
          <w:numId w:val="4"/>
        </w:numPr>
        <w:ind w:left="1800"/>
        <w:rPr>
          <w:rFonts w:ascii="Times New Roman" w:hAnsi="Times New Roman" w:cs="Times New Roman"/>
        </w:rPr>
      </w:pPr>
      <w:r w:rsidRPr="00121A23">
        <w:rPr>
          <w:rFonts w:ascii="Times New Roman" w:hAnsi="Times New Roman" w:cs="Times New Roman"/>
        </w:rPr>
        <w:t>contact information</w:t>
      </w:r>
      <w:r w:rsidR="00B22759">
        <w:rPr>
          <w:rFonts w:ascii="Times New Roman" w:hAnsi="Times New Roman" w:cs="Times New Roman"/>
        </w:rPr>
        <w:t xml:space="preserve"> for the State’s Opioid Treatment Authority (SOTA)</w:t>
      </w:r>
    </w:p>
    <w:p w:rsidR="00121A23" w:rsidRPr="00121A23" w:rsidRDefault="00121A23" w:rsidP="00121A23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r w:rsidRPr="00121A23">
        <w:rPr>
          <w:rFonts w:ascii="Times New Roman" w:hAnsi="Times New Roman" w:cs="Times New Roman"/>
        </w:rPr>
        <w:t xml:space="preserve">a map of </w:t>
      </w:r>
      <w:r w:rsidR="00B22759">
        <w:rPr>
          <w:rFonts w:ascii="Times New Roman" w:hAnsi="Times New Roman" w:cs="Times New Roman"/>
        </w:rPr>
        <w:t>each</w:t>
      </w:r>
      <w:r w:rsidR="00B22759" w:rsidRPr="00121A23">
        <w:rPr>
          <w:rFonts w:ascii="Times New Roman" w:hAnsi="Times New Roman" w:cs="Times New Roman"/>
        </w:rPr>
        <w:t xml:space="preserve"> </w:t>
      </w:r>
      <w:r w:rsidRPr="00121A23">
        <w:rPr>
          <w:rFonts w:ascii="Times New Roman" w:hAnsi="Times New Roman" w:cs="Times New Roman"/>
        </w:rPr>
        <w:t>state showing OTP locations (from N-SSATS)</w:t>
      </w:r>
    </w:p>
    <w:p w:rsidR="00121A23" w:rsidRPr="00121A23" w:rsidRDefault="00121A23" w:rsidP="00121A23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r w:rsidRPr="00121A23">
        <w:rPr>
          <w:rFonts w:ascii="Times New Roman" w:hAnsi="Times New Roman" w:cs="Times New Roman"/>
        </w:rPr>
        <w:t>a table with the following state and national comparisons:</w:t>
      </w:r>
    </w:p>
    <w:p w:rsidR="00121A23" w:rsidRPr="00121A23" w:rsidRDefault="00121A23" w:rsidP="00121A23">
      <w:pPr>
        <w:pStyle w:val="ListParagraph"/>
        <w:numPr>
          <w:ilvl w:val="1"/>
          <w:numId w:val="4"/>
        </w:numPr>
        <w:ind w:left="1800"/>
        <w:rPr>
          <w:rFonts w:ascii="Times New Roman" w:hAnsi="Times New Roman" w:cs="Times New Roman"/>
        </w:rPr>
      </w:pPr>
      <w:r w:rsidRPr="00121A23">
        <w:rPr>
          <w:rFonts w:ascii="Times New Roman" w:hAnsi="Times New Roman" w:cs="Times New Roman"/>
        </w:rPr>
        <w:t xml:space="preserve">type of treatment (from N-SSATS): maintenance only, </w:t>
      </w:r>
      <w:proofErr w:type="spellStart"/>
      <w:r w:rsidRPr="00121A23">
        <w:rPr>
          <w:rFonts w:ascii="Times New Roman" w:hAnsi="Times New Roman" w:cs="Times New Roman"/>
        </w:rPr>
        <w:t>detox</w:t>
      </w:r>
      <w:proofErr w:type="spellEnd"/>
      <w:r w:rsidRPr="00121A23">
        <w:rPr>
          <w:rFonts w:ascii="Times New Roman" w:hAnsi="Times New Roman" w:cs="Times New Roman"/>
        </w:rPr>
        <w:t xml:space="preserve"> only, both</w:t>
      </w:r>
    </w:p>
    <w:p w:rsidR="00121A23" w:rsidRPr="00121A23" w:rsidRDefault="00121A23" w:rsidP="00121A23">
      <w:pPr>
        <w:pStyle w:val="ListParagraph"/>
        <w:numPr>
          <w:ilvl w:val="1"/>
          <w:numId w:val="4"/>
        </w:numPr>
        <w:ind w:left="1800"/>
        <w:rPr>
          <w:rFonts w:ascii="Times New Roman" w:hAnsi="Times New Roman" w:cs="Times New Roman"/>
        </w:rPr>
      </w:pPr>
      <w:r w:rsidRPr="00121A23">
        <w:rPr>
          <w:rFonts w:ascii="Times New Roman" w:hAnsi="Times New Roman" w:cs="Times New Roman"/>
        </w:rPr>
        <w:t xml:space="preserve">number of patients (from N-SSATS): total, methadone, </w:t>
      </w:r>
      <w:proofErr w:type="spellStart"/>
      <w:r w:rsidRPr="00121A23">
        <w:rPr>
          <w:rFonts w:ascii="Times New Roman" w:hAnsi="Times New Roman" w:cs="Times New Roman"/>
        </w:rPr>
        <w:t>buprenorphine</w:t>
      </w:r>
      <w:proofErr w:type="spellEnd"/>
    </w:p>
    <w:p w:rsidR="00121A23" w:rsidRPr="00121A23" w:rsidRDefault="00121A23" w:rsidP="00121A23">
      <w:pPr>
        <w:pStyle w:val="ListParagraph"/>
        <w:numPr>
          <w:ilvl w:val="1"/>
          <w:numId w:val="4"/>
        </w:numPr>
        <w:ind w:left="1800"/>
        <w:rPr>
          <w:rFonts w:ascii="Times New Roman" w:hAnsi="Times New Roman" w:cs="Times New Roman"/>
        </w:rPr>
      </w:pPr>
      <w:r w:rsidRPr="00121A23">
        <w:rPr>
          <w:rFonts w:ascii="Times New Roman" w:hAnsi="Times New Roman" w:cs="Times New Roman"/>
        </w:rPr>
        <w:t xml:space="preserve">type of payment accepted (from N-SSATS): cash, </w:t>
      </w:r>
      <w:r w:rsidR="00CA7D14">
        <w:rPr>
          <w:rFonts w:ascii="Times New Roman" w:hAnsi="Times New Roman" w:cs="Times New Roman"/>
        </w:rPr>
        <w:t xml:space="preserve">private health insurance </w:t>
      </w:r>
      <w:r w:rsidR="008222F9" w:rsidRPr="00CA7D14">
        <w:rPr>
          <w:rFonts w:ascii="Times New Roman" w:hAnsi="Times New Roman" w:cs="Times New Roman"/>
        </w:rPr>
        <w:t>,</w:t>
      </w:r>
      <w:r w:rsidRPr="00121A23">
        <w:rPr>
          <w:rFonts w:ascii="Times New Roman" w:hAnsi="Times New Roman" w:cs="Times New Roman"/>
        </w:rPr>
        <w:t xml:space="preserve"> Medicare, Medicaid, state, military, sliding scale, no charge</w:t>
      </w:r>
    </w:p>
    <w:p w:rsidR="00121A23" w:rsidRPr="00121A23" w:rsidRDefault="00121A23" w:rsidP="00121A23">
      <w:pPr>
        <w:pStyle w:val="ListParagraph"/>
        <w:numPr>
          <w:ilvl w:val="1"/>
          <w:numId w:val="4"/>
        </w:numPr>
        <w:ind w:left="1800"/>
        <w:rPr>
          <w:rFonts w:ascii="Times New Roman" w:hAnsi="Times New Roman" w:cs="Times New Roman"/>
        </w:rPr>
      </w:pPr>
      <w:r w:rsidRPr="00121A23">
        <w:rPr>
          <w:rFonts w:ascii="Times New Roman" w:hAnsi="Times New Roman" w:cs="Times New Roman"/>
        </w:rPr>
        <w:t xml:space="preserve">type of OTP operation (from N-SSATS): </w:t>
      </w:r>
      <w:r w:rsidR="00CA7D14">
        <w:rPr>
          <w:rFonts w:ascii="Times New Roman" w:hAnsi="Times New Roman" w:cs="Times New Roman"/>
        </w:rPr>
        <w:t xml:space="preserve">private non-profit </w:t>
      </w:r>
      <w:r w:rsidRPr="00121A23">
        <w:rPr>
          <w:rFonts w:ascii="Times New Roman" w:hAnsi="Times New Roman" w:cs="Times New Roman"/>
        </w:rPr>
        <w:t xml:space="preserve">, </w:t>
      </w:r>
      <w:r w:rsidR="00CA7D14">
        <w:rPr>
          <w:rFonts w:ascii="Times New Roman" w:hAnsi="Times New Roman" w:cs="Times New Roman"/>
        </w:rPr>
        <w:t xml:space="preserve">private for-profit </w:t>
      </w:r>
      <w:r w:rsidRPr="00121A23">
        <w:rPr>
          <w:rFonts w:ascii="Times New Roman" w:hAnsi="Times New Roman" w:cs="Times New Roman"/>
        </w:rPr>
        <w:t>, local gov</w:t>
      </w:r>
      <w:r w:rsidR="004960F6">
        <w:rPr>
          <w:rFonts w:ascii="Times New Roman" w:hAnsi="Times New Roman" w:cs="Times New Roman"/>
        </w:rPr>
        <w:t>ernment</w:t>
      </w:r>
      <w:r w:rsidRPr="00121A23">
        <w:rPr>
          <w:rFonts w:ascii="Times New Roman" w:hAnsi="Times New Roman" w:cs="Times New Roman"/>
        </w:rPr>
        <w:t>, state gov</w:t>
      </w:r>
      <w:r w:rsidR="004960F6">
        <w:rPr>
          <w:rFonts w:ascii="Times New Roman" w:hAnsi="Times New Roman" w:cs="Times New Roman"/>
        </w:rPr>
        <w:t>ernmen</w:t>
      </w:r>
      <w:r w:rsidRPr="00121A23">
        <w:rPr>
          <w:rFonts w:ascii="Times New Roman" w:hAnsi="Times New Roman" w:cs="Times New Roman"/>
        </w:rPr>
        <w:t>t, federal gov</w:t>
      </w:r>
      <w:r w:rsidR="005E0830">
        <w:rPr>
          <w:rFonts w:ascii="Times New Roman" w:hAnsi="Times New Roman" w:cs="Times New Roman"/>
        </w:rPr>
        <w:t>ernmen</w:t>
      </w:r>
      <w:r w:rsidRPr="00121A23">
        <w:rPr>
          <w:rFonts w:ascii="Times New Roman" w:hAnsi="Times New Roman" w:cs="Times New Roman"/>
        </w:rPr>
        <w:t>t, tribal</w:t>
      </w:r>
    </w:p>
    <w:p w:rsidR="00121A23" w:rsidRPr="00121A23" w:rsidRDefault="00121A23" w:rsidP="00121A23">
      <w:pPr>
        <w:pStyle w:val="ListParagraph"/>
        <w:numPr>
          <w:ilvl w:val="0"/>
          <w:numId w:val="5"/>
        </w:numPr>
        <w:ind w:left="1080"/>
        <w:rPr>
          <w:rFonts w:ascii="Times New Roman" w:hAnsi="Times New Roman" w:cs="Times New Roman"/>
        </w:rPr>
      </w:pPr>
      <w:r w:rsidRPr="00121A23">
        <w:rPr>
          <w:rFonts w:ascii="Times New Roman" w:hAnsi="Times New Roman" w:cs="Times New Roman"/>
        </w:rPr>
        <w:t>a table with state and national comparisons of relative percentages of OTP</w:t>
      </w:r>
      <w:r w:rsidR="007B7993">
        <w:rPr>
          <w:rFonts w:ascii="Times New Roman" w:hAnsi="Times New Roman" w:cs="Times New Roman"/>
        </w:rPr>
        <w:t>s’</w:t>
      </w:r>
      <w:r w:rsidRPr="00121A23">
        <w:rPr>
          <w:rFonts w:ascii="Times New Roman" w:hAnsi="Times New Roman" w:cs="Times New Roman"/>
        </w:rPr>
        <w:t xml:space="preserve"> accrediting</w:t>
      </w:r>
      <w:r w:rsidR="007B7993">
        <w:rPr>
          <w:rFonts w:ascii="Times New Roman" w:hAnsi="Times New Roman" w:cs="Times New Roman"/>
        </w:rPr>
        <w:t xml:space="preserve"> bod</w:t>
      </w:r>
      <w:r w:rsidR="00CA7D14">
        <w:rPr>
          <w:rFonts w:ascii="Times New Roman" w:hAnsi="Times New Roman" w:cs="Times New Roman"/>
        </w:rPr>
        <w:t>ie</w:t>
      </w:r>
      <w:r w:rsidR="007B7993">
        <w:rPr>
          <w:rFonts w:ascii="Times New Roman" w:hAnsi="Times New Roman" w:cs="Times New Roman"/>
        </w:rPr>
        <w:t>s</w:t>
      </w:r>
      <w:r w:rsidRPr="00121A23">
        <w:rPr>
          <w:rFonts w:ascii="Times New Roman" w:hAnsi="Times New Roman" w:cs="Times New Roman"/>
        </w:rPr>
        <w:t xml:space="preserve"> (from CSAT/DPT OTP database): JCAHO, CARF, COA, NCCHC,</w:t>
      </w:r>
      <w:r w:rsidR="00156E70">
        <w:rPr>
          <w:rFonts w:ascii="Times New Roman" w:hAnsi="Times New Roman" w:cs="Times New Roman"/>
        </w:rPr>
        <w:t xml:space="preserve"> </w:t>
      </w:r>
      <w:r w:rsidR="005E0830">
        <w:rPr>
          <w:rFonts w:ascii="Times New Roman" w:hAnsi="Times New Roman" w:cs="Times New Roman"/>
        </w:rPr>
        <w:t>state accreditation authority</w:t>
      </w:r>
    </w:p>
    <w:p w:rsidR="00121A23" w:rsidRPr="00121A23" w:rsidRDefault="00121A23" w:rsidP="00121A23">
      <w:pPr>
        <w:pStyle w:val="ListParagraph"/>
        <w:numPr>
          <w:ilvl w:val="0"/>
          <w:numId w:val="5"/>
        </w:numPr>
        <w:ind w:left="1080"/>
        <w:rPr>
          <w:rFonts w:ascii="Times New Roman" w:hAnsi="Times New Roman" w:cs="Times New Roman"/>
        </w:rPr>
      </w:pPr>
      <w:r w:rsidRPr="00121A23">
        <w:rPr>
          <w:rFonts w:ascii="Times New Roman" w:hAnsi="Times New Roman" w:cs="Times New Roman"/>
        </w:rPr>
        <w:t>a map of the state showing locations of DATA-certified physicians</w:t>
      </w:r>
    </w:p>
    <w:p w:rsidR="00121A23" w:rsidRPr="00121A23" w:rsidRDefault="00121A23" w:rsidP="00121A23">
      <w:pPr>
        <w:pStyle w:val="ListParagraph"/>
        <w:numPr>
          <w:ilvl w:val="0"/>
          <w:numId w:val="5"/>
        </w:numPr>
        <w:ind w:left="1080"/>
        <w:rPr>
          <w:rFonts w:ascii="Times New Roman" w:hAnsi="Times New Roman" w:cs="Times New Roman"/>
        </w:rPr>
      </w:pPr>
      <w:r w:rsidRPr="00121A23">
        <w:rPr>
          <w:rFonts w:ascii="Times New Roman" w:hAnsi="Times New Roman" w:cs="Times New Roman"/>
        </w:rPr>
        <w:t xml:space="preserve">a table of the state cumulative distribution of </w:t>
      </w:r>
      <w:proofErr w:type="spellStart"/>
      <w:r w:rsidRPr="00121A23">
        <w:rPr>
          <w:rFonts w:ascii="Times New Roman" w:hAnsi="Times New Roman" w:cs="Times New Roman"/>
        </w:rPr>
        <w:t>buprenorphine</w:t>
      </w:r>
      <w:proofErr w:type="spellEnd"/>
      <w:r w:rsidRPr="00121A23">
        <w:rPr>
          <w:rFonts w:ascii="Times New Roman" w:hAnsi="Times New Roman" w:cs="Times New Roman"/>
        </w:rPr>
        <w:t xml:space="preserve"> per 100K population by grams weight (from </w:t>
      </w:r>
      <w:r w:rsidR="00FD6E50">
        <w:rPr>
          <w:rFonts w:ascii="Times New Roman" w:hAnsi="Times New Roman" w:cs="Times New Roman"/>
        </w:rPr>
        <w:t xml:space="preserve">the Drug Enforcement Administration, or </w:t>
      </w:r>
      <w:r w:rsidRPr="00121A23">
        <w:rPr>
          <w:rFonts w:ascii="Times New Roman" w:hAnsi="Times New Roman" w:cs="Times New Roman"/>
        </w:rPr>
        <w:t>DEA) compared to the national distribution</w:t>
      </w:r>
      <w:r w:rsidR="00FD6E50">
        <w:rPr>
          <w:rFonts w:ascii="Times New Roman" w:hAnsi="Times New Roman" w:cs="Times New Roman"/>
        </w:rPr>
        <w:t xml:space="preserve">; </w:t>
      </w:r>
      <w:r w:rsidRPr="00121A23">
        <w:rPr>
          <w:rFonts w:ascii="Times New Roman" w:hAnsi="Times New Roman" w:cs="Times New Roman"/>
        </w:rPr>
        <w:t>and rank out of the 54 states and territories)</w:t>
      </w:r>
    </w:p>
    <w:p w:rsidR="00121A23" w:rsidRPr="00121A23" w:rsidRDefault="00121A23" w:rsidP="00121A23"/>
    <w:p w:rsidR="00F9280B" w:rsidRPr="00121A23" w:rsidRDefault="00F9280B" w:rsidP="005F1AB2">
      <w:pPr>
        <w:ind w:left="720"/>
      </w:pPr>
      <w:r w:rsidRPr="00121A23">
        <w:t xml:space="preserve">The </w:t>
      </w:r>
      <w:r w:rsidR="001036FA" w:rsidRPr="00121A23">
        <w:rPr>
          <w:i/>
        </w:rPr>
        <w:t>2013</w:t>
      </w:r>
      <w:r w:rsidR="000C420E" w:rsidRPr="00121A23">
        <w:rPr>
          <w:i/>
        </w:rPr>
        <w:t xml:space="preserve"> State Profiles</w:t>
      </w:r>
      <w:r w:rsidR="000C420E" w:rsidRPr="00121A23">
        <w:t xml:space="preserve"> serves as an important resource for service providers</w:t>
      </w:r>
      <w:r w:rsidR="00E42723" w:rsidRPr="00121A23">
        <w:t xml:space="preserve"> (staff and administrators </w:t>
      </w:r>
      <w:r w:rsidR="00A14C69" w:rsidRPr="00121A23">
        <w:t>of</w:t>
      </w:r>
      <w:r w:rsidR="00E42723" w:rsidRPr="00121A23">
        <w:t xml:space="preserve"> opioid treatment programs, or OTPs)</w:t>
      </w:r>
      <w:r w:rsidR="000C420E" w:rsidRPr="00121A23">
        <w:t xml:space="preserve">; </w:t>
      </w:r>
      <w:r w:rsidR="00E42723" w:rsidRPr="00121A23">
        <w:t xml:space="preserve">accreditation bodies for OTPs; </w:t>
      </w:r>
      <w:r w:rsidR="000C420E" w:rsidRPr="00121A23">
        <w:t>researchers; advocacy groups;</w:t>
      </w:r>
      <w:r w:rsidRPr="00121A23">
        <w:t xml:space="preserve"> </w:t>
      </w:r>
      <w:r w:rsidR="000C420E" w:rsidRPr="00121A23">
        <w:t>policy-makers at local, State and Federal levels; other Federal agencies</w:t>
      </w:r>
      <w:r w:rsidR="00E42723" w:rsidRPr="00121A23">
        <w:t xml:space="preserve"> (</w:t>
      </w:r>
      <w:r w:rsidR="00617A4F">
        <w:t xml:space="preserve">e.g. </w:t>
      </w:r>
      <w:r w:rsidR="00E42723" w:rsidRPr="00121A23">
        <w:t>DEA)</w:t>
      </w:r>
      <w:r w:rsidR="001036FA" w:rsidRPr="00121A23">
        <w:t>;</w:t>
      </w:r>
      <w:r w:rsidR="000C420E" w:rsidRPr="00121A23">
        <w:t xml:space="preserve"> </w:t>
      </w:r>
      <w:r w:rsidR="002A6339" w:rsidRPr="00121A23">
        <w:t xml:space="preserve">as well as  individuals seeking  </w:t>
      </w:r>
      <w:r w:rsidR="00A14C69" w:rsidRPr="00121A23">
        <w:t>relatively current information concerning opioid treatment across the country</w:t>
      </w:r>
      <w:r w:rsidRPr="00121A23">
        <w:t xml:space="preserve">. </w:t>
      </w:r>
      <w:r w:rsidR="000C420E" w:rsidRPr="00121A23">
        <w:t xml:space="preserve">The State Profiles report was issued </w:t>
      </w:r>
      <w:r w:rsidR="001036FA" w:rsidRPr="00121A23">
        <w:t xml:space="preserve">most recently </w:t>
      </w:r>
      <w:r w:rsidR="000C420E" w:rsidRPr="00121A23">
        <w:t xml:space="preserve">in 2010 and in </w:t>
      </w:r>
      <w:r w:rsidR="001036FA" w:rsidRPr="00121A23">
        <w:t xml:space="preserve">that </w:t>
      </w:r>
      <w:r w:rsidR="000C420E" w:rsidRPr="00121A23">
        <w:t>year was mailed to</w:t>
      </w:r>
      <w:r w:rsidR="00A14C69" w:rsidRPr="00121A23">
        <w:t>,</w:t>
      </w:r>
      <w:r w:rsidR="000C420E" w:rsidRPr="00121A23">
        <w:t xml:space="preserve"> or downloaded by</w:t>
      </w:r>
      <w:r w:rsidR="00A14C69" w:rsidRPr="00121A23">
        <w:t xml:space="preserve">, </w:t>
      </w:r>
      <w:r w:rsidR="000C420E" w:rsidRPr="00121A23">
        <w:t>members of the</w:t>
      </w:r>
      <w:r w:rsidRPr="00121A23">
        <w:t xml:space="preserve"> following groups</w:t>
      </w:r>
      <w:r w:rsidR="001036FA" w:rsidRPr="00121A23">
        <w:t xml:space="preserve"> (among others)</w:t>
      </w:r>
      <w:r w:rsidRPr="00121A23">
        <w:t>:</w:t>
      </w:r>
    </w:p>
    <w:p w:rsidR="000C420E" w:rsidRPr="00121A23" w:rsidRDefault="000C420E" w:rsidP="005F1AB2">
      <w:pPr>
        <w:ind w:left="720"/>
      </w:pPr>
    </w:p>
    <w:p w:rsidR="00F9280B" w:rsidRPr="00121A23" w:rsidRDefault="000C420E" w:rsidP="001E40A5">
      <w:pPr>
        <w:numPr>
          <w:ilvl w:val="0"/>
          <w:numId w:val="3"/>
        </w:numPr>
      </w:pPr>
      <w:r w:rsidRPr="00121A23">
        <w:t xml:space="preserve">Opioid treatment </w:t>
      </w:r>
      <w:r w:rsidR="00A14C69" w:rsidRPr="00121A23">
        <w:t>programs (OTPs)</w:t>
      </w:r>
      <w:r w:rsidR="0037339D" w:rsidRPr="00121A23">
        <w:t>;</w:t>
      </w:r>
    </w:p>
    <w:p w:rsidR="000C420E" w:rsidRPr="00121A23" w:rsidRDefault="000C420E" w:rsidP="001E40A5">
      <w:pPr>
        <w:numPr>
          <w:ilvl w:val="0"/>
          <w:numId w:val="3"/>
        </w:numPr>
      </w:pPr>
      <w:r w:rsidRPr="00121A23">
        <w:t>State Op</w:t>
      </w:r>
      <w:r w:rsidR="00617A4F">
        <w:t>i</w:t>
      </w:r>
      <w:r w:rsidRPr="00121A23">
        <w:t>oid Treatment Authorities</w:t>
      </w:r>
      <w:r w:rsidR="00A14C69" w:rsidRPr="00121A23">
        <w:t xml:space="preserve"> (SOTAs)</w:t>
      </w:r>
      <w:r w:rsidRPr="00121A23">
        <w:t xml:space="preserve"> and other State-level officials interested more generally in substance abuse treatment;</w:t>
      </w:r>
    </w:p>
    <w:p w:rsidR="000C420E" w:rsidRPr="00121A23" w:rsidRDefault="000C420E" w:rsidP="001E40A5">
      <w:pPr>
        <w:numPr>
          <w:ilvl w:val="0"/>
          <w:numId w:val="3"/>
        </w:numPr>
      </w:pPr>
      <w:r w:rsidRPr="00121A23">
        <w:lastRenderedPageBreak/>
        <w:t>Members of advocacy groups, including the American Association for the Treatment of Opioid Dependence, Inc. (AATOD), which has major represen</w:t>
      </w:r>
      <w:r w:rsidR="0037339D" w:rsidRPr="00121A23">
        <w:t>tation from OTPs in most States</w:t>
      </w:r>
      <w:r w:rsidR="001036FA" w:rsidRPr="00121A23">
        <w:t>;</w:t>
      </w:r>
    </w:p>
    <w:p w:rsidR="000C420E" w:rsidRPr="00121A23" w:rsidRDefault="000C420E" w:rsidP="001E40A5">
      <w:pPr>
        <w:numPr>
          <w:ilvl w:val="0"/>
          <w:numId w:val="3"/>
        </w:numPr>
      </w:pPr>
      <w:r w:rsidRPr="00121A23">
        <w:t xml:space="preserve">Members of </w:t>
      </w:r>
      <w:r w:rsidR="001036FA" w:rsidRPr="00121A23">
        <w:t>state methadone provider associations</w:t>
      </w:r>
      <w:r w:rsidRPr="00121A23">
        <w:t>, largely informal organizations whose membership for th</w:t>
      </w:r>
      <w:r w:rsidR="0037339D" w:rsidRPr="00121A23">
        <w:t>e most part belongs to AATOD</w:t>
      </w:r>
      <w:r w:rsidR="001036FA" w:rsidRPr="00121A23">
        <w:t>;</w:t>
      </w:r>
    </w:p>
    <w:p w:rsidR="0037339D" w:rsidRPr="00121A23" w:rsidRDefault="0037339D" w:rsidP="001E40A5">
      <w:pPr>
        <w:numPr>
          <w:ilvl w:val="0"/>
          <w:numId w:val="3"/>
        </w:numPr>
      </w:pPr>
      <w:r w:rsidRPr="00121A23">
        <w:t xml:space="preserve">Members of </w:t>
      </w:r>
      <w:r w:rsidR="002A6339" w:rsidRPr="00121A23">
        <w:t xml:space="preserve">the </w:t>
      </w:r>
      <w:r w:rsidRPr="00121A23">
        <w:t>media who cover issues related to behavioral health</w:t>
      </w:r>
      <w:r w:rsidR="00A14C69" w:rsidRPr="00121A23">
        <w:t>,</w:t>
      </w:r>
      <w:r w:rsidRPr="00121A23">
        <w:t xml:space="preserve"> including prescription drug abuse, pain medications, etc.</w:t>
      </w:r>
      <w:r w:rsidR="001036FA" w:rsidRPr="00121A23">
        <w:t>;</w:t>
      </w:r>
    </w:p>
    <w:p w:rsidR="00FD25B8" w:rsidRPr="00121A23" w:rsidRDefault="001036FA" w:rsidP="0037339D">
      <w:pPr>
        <w:numPr>
          <w:ilvl w:val="0"/>
          <w:numId w:val="3"/>
        </w:numPr>
      </w:pPr>
      <w:r w:rsidRPr="00121A23">
        <w:t>P</w:t>
      </w:r>
      <w:r w:rsidR="0037339D" w:rsidRPr="00121A23">
        <w:t>atients in opioid treatment and/or their families</w:t>
      </w:r>
      <w:r w:rsidRPr="00121A23">
        <w:t>;</w:t>
      </w:r>
    </w:p>
    <w:p w:rsidR="0037339D" w:rsidRPr="00121A23" w:rsidRDefault="00E42723" w:rsidP="0037339D">
      <w:pPr>
        <w:numPr>
          <w:ilvl w:val="0"/>
          <w:numId w:val="3"/>
        </w:numPr>
      </w:pPr>
      <w:r w:rsidRPr="00121A23">
        <w:t>Accreditation bodies for opioid treatment facilities</w:t>
      </w:r>
    </w:p>
    <w:p w:rsidR="00FD25B8" w:rsidRPr="00121A23" w:rsidRDefault="00FD25B8" w:rsidP="00FD25B8">
      <w:pPr>
        <w:ind w:left="720"/>
      </w:pPr>
    </w:p>
    <w:p w:rsidR="0037339D" w:rsidRPr="00121A23" w:rsidRDefault="0037339D" w:rsidP="0037339D">
      <w:pPr>
        <w:ind w:left="720"/>
      </w:pPr>
      <w:r w:rsidRPr="00121A23">
        <w:t xml:space="preserve">State Profiles </w:t>
      </w:r>
      <w:r w:rsidR="001036FA" w:rsidRPr="00121A23">
        <w:t>2013</w:t>
      </w:r>
      <w:r w:rsidR="00A24D4E" w:rsidRPr="00121A23">
        <w:t xml:space="preserve">, currently under development, </w:t>
      </w:r>
      <w:r w:rsidRPr="00121A23">
        <w:t>is being enhanced to appeal to more members of these important stakeholder groups</w:t>
      </w:r>
      <w:r w:rsidR="001036FA" w:rsidRPr="00121A23">
        <w:t>,</w:t>
      </w:r>
      <w:r w:rsidRPr="00121A23">
        <w:t xml:space="preserve"> and substantial efforts are planned to ‘push’ news of the next report out to these groups</w:t>
      </w:r>
      <w:r w:rsidR="00FD25B8" w:rsidRPr="00121A23">
        <w:t>. In addition to disseminating information about the new report through traditional SAMHSA communication channels, additional efforts will be employed to heighten awareness about the upcoming report.</w:t>
      </w:r>
    </w:p>
    <w:p w:rsidR="001D67FF" w:rsidRPr="00121A23" w:rsidRDefault="001D67FF" w:rsidP="000C420E">
      <w:pPr>
        <w:rPr>
          <w:b/>
        </w:rPr>
      </w:pPr>
    </w:p>
    <w:p w:rsidR="00D67CDC" w:rsidRPr="00121A23" w:rsidRDefault="00D67CDC" w:rsidP="00D67CDC">
      <w:pPr>
        <w:numPr>
          <w:ilvl w:val="0"/>
          <w:numId w:val="1"/>
        </w:numPr>
        <w:rPr>
          <w:b/>
        </w:rPr>
      </w:pPr>
      <w:r w:rsidRPr="00121A23">
        <w:rPr>
          <w:b/>
        </w:rPr>
        <w:t>Summary of Prior Customer Satisfaction Assessments of this Product</w:t>
      </w:r>
    </w:p>
    <w:p w:rsidR="00506BEA" w:rsidRPr="00121A23" w:rsidRDefault="00617A4F" w:rsidP="00506BEA">
      <w:pPr>
        <w:ind w:left="720"/>
      </w:pPr>
      <w:r>
        <w:t>This is a new, one-time data collection.</w:t>
      </w:r>
    </w:p>
    <w:p w:rsidR="001D67FF" w:rsidRPr="00121A23" w:rsidRDefault="001D67FF" w:rsidP="001D67FF">
      <w:pPr>
        <w:ind w:left="360"/>
        <w:rPr>
          <w:b/>
        </w:rPr>
      </w:pPr>
    </w:p>
    <w:p w:rsidR="00D67CDC" w:rsidRPr="00121A23" w:rsidRDefault="00D67CDC" w:rsidP="00D67CDC">
      <w:pPr>
        <w:numPr>
          <w:ilvl w:val="0"/>
          <w:numId w:val="1"/>
        </w:numPr>
        <w:rPr>
          <w:b/>
        </w:rPr>
      </w:pPr>
      <w:r w:rsidRPr="00121A23">
        <w:rPr>
          <w:b/>
        </w:rPr>
        <w:t>Objective of Proposed Customer Satisfaction Effort</w:t>
      </w:r>
    </w:p>
    <w:p w:rsidR="003B0E48" w:rsidRPr="00121A23" w:rsidRDefault="003B0E48" w:rsidP="003B0E48">
      <w:pPr>
        <w:ind w:left="720"/>
      </w:pPr>
      <w:r w:rsidRPr="00121A23">
        <w:t xml:space="preserve">The </w:t>
      </w:r>
      <w:r w:rsidR="007A71F8" w:rsidRPr="00121A23">
        <w:t>purpose</w:t>
      </w:r>
      <w:r w:rsidRPr="00121A23">
        <w:t xml:space="preserve"> of the customer feedback </w:t>
      </w:r>
      <w:r w:rsidR="003C1498" w:rsidRPr="00121A23">
        <w:t xml:space="preserve">questionnaire </w:t>
      </w:r>
      <w:r w:rsidRPr="00121A23">
        <w:t xml:space="preserve">is to determine </w:t>
      </w:r>
      <w:r w:rsidR="00C63019" w:rsidRPr="00121A23">
        <w:t xml:space="preserve">the </w:t>
      </w:r>
      <w:r w:rsidR="003C1498" w:rsidRPr="00121A23">
        <w:t>reader</w:t>
      </w:r>
      <w:r w:rsidR="007A2ABC" w:rsidRPr="00121A23">
        <w:t>-</w:t>
      </w:r>
      <w:r w:rsidR="003C1498" w:rsidRPr="00121A23">
        <w:t>audiences</w:t>
      </w:r>
      <w:r w:rsidR="00FD6E50">
        <w:t>’</w:t>
      </w:r>
      <w:r w:rsidR="003C1498" w:rsidRPr="00121A23">
        <w:t xml:space="preserve"> needs</w:t>
      </w:r>
      <w:r w:rsidRPr="00121A23">
        <w:t xml:space="preserve"> regarding the format </w:t>
      </w:r>
      <w:r w:rsidR="00AC364C" w:rsidRPr="00121A23">
        <w:t xml:space="preserve">and content </w:t>
      </w:r>
      <w:r w:rsidRPr="00121A23">
        <w:t xml:space="preserve">of the </w:t>
      </w:r>
      <w:r w:rsidR="00AC364C" w:rsidRPr="00121A23">
        <w:rPr>
          <w:i/>
        </w:rPr>
        <w:t>State Profiles</w:t>
      </w:r>
      <w:r w:rsidRPr="00121A23">
        <w:t xml:space="preserve">.  The goal is to </w:t>
      </w:r>
      <w:r w:rsidR="00FD6E50">
        <w:t xml:space="preserve">use that information </w:t>
      </w:r>
      <w:r w:rsidR="00826C05">
        <w:t xml:space="preserve">to enhance the next State Profiles Report toward better </w:t>
      </w:r>
      <w:r w:rsidRPr="00121A23">
        <w:t>meet</w:t>
      </w:r>
      <w:r w:rsidR="00826C05">
        <w:t>ing</w:t>
      </w:r>
      <w:r w:rsidRPr="00121A23">
        <w:t xml:space="preserve"> the needs of those who </w:t>
      </w:r>
      <w:r w:rsidR="00826C05">
        <w:t>consult it</w:t>
      </w:r>
      <w:r w:rsidRPr="00121A23">
        <w:t xml:space="preserve">.  </w:t>
      </w:r>
      <w:r w:rsidR="00BD2C92" w:rsidRPr="00121A23">
        <w:t>The</w:t>
      </w:r>
      <w:r w:rsidR="007A71F8" w:rsidRPr="00121A23">
        <w:t xml:space="preserve"> objectives</w:t>
      </w:r>
      <w:r w:rsidR="00BD2C92" w:rsidRPr="00121A23">
        <w:t xml:space="preserve"> of the survey </w:t>
      </w:r>
      <w:r w:rsidR="007A71F8" w:rsidRPr="00121A23">
        <w:t>are</w:t>
      </w:r>
      <w:r w:rsidR="00BD2C92" w:rsidRPr="00121A23">
        <w:t xml:space="preserve"> to:  1) determine the </w:t>
      </w:r>
      <w:r w:rsidR="00AC364C" w:rsidRPr="00121A23">
        <w:t xml:space="preserve">readership </w:t>
      </w:r>
      <w:r w:rsidR="00BD2C92" w:rsidRPr="00121A23">
        <w:t xml:space="preserve">of the </w:t>
      </w:r>
      <w:r w:rsidR="00AC364C" w:rsidRPr="00121A23">
        <w:rPr>
          <w:i/>
        </w:rPr>
        <w:t>State Profiles Report</w:t>
      </w:r>
      <w:r w:rsidR="00BD2C92" w:rsidRPr="00121A23">
        <w:t>;</w:t>
      </w:r>
      <w:r w:rsidR="00826C05">
        <w:t xml:space="preserve"> </w:t>
      </w:r>
      <w:r w:rsidR="00BD2C92" w:rsidRPr="00121A23">
        <w:t xml:space="preserve">and 2) determine </w:t>
      </w:r>
      <w:r w:rsidR="00AC364C" w:rsidRPr="00121A23">
        <w:t>preferences for it</w:t>
      </w:r>
      <w:r w:rsidR="00A24D4E" w:rsidRPr="00121A23">
        <w:t>s</w:t>
      </w:r>
      <w:r w:rsidR="00BD2C92" w:rsidRPr="00121A23">
        <w:t xml:space="preserve"> </w:t>
      </w:r>
      <w:r w:rsidR="00AC364C" w:rsidRPr="00121A23">
        <w:t>format and content</w:t>
      </w:r>
      <w:r w:rsidR="00BD2C92" w:rsidRPr="00121A23">
        <w:t xml:space="preserve">.  </w:t>
      </w:r>
      <w:r w:rsidR="00B6312D" w:rsidRPr="00121A23">
        <w:t>As computers and web access have become more widely available, it is important</w:t>
      </w:r>
      <w:r w:rsidRPr="00121A23">
        <w:t xml:space="preserve"> </w:t>
      </w:r>
      <w:r w:rsidR="00B6312D" w:rsidRPr="00121A23">
        <w:t>to receive curr</w:t>
      </w:r>
      <w:r w:rsidR="002521BD" w:rsidRPr="00121A23">
        <w:t xml:space="preserve">ent feedback from </w:t>
      </w:r>
      <w:r w:rsidR="00931FBD">
        <w:t>SAMHSA</w:t>
      </w:r>
      <w:r w:rsidR="00931FBD" w:rsidRPr="00121A23">
        <w:t xml:space="preserve"> </w:t>
      </w:r>
      <w:r w:rsidR="002521BD" w:rsidRPr="00121A23">
        <w:t>customers about preferred formats</w:t>
      </w:r>
      <w:r w:rsidR="00413DB0">
        <w:t>, including what kinds of information they would like available in an interactive form</w:t>
      </w:r>
      <w:r w:rsidR="002521BD" w:rsidRPr="00121A23">
        <w:t>.</w:t>
      </w:r>
    </w:p>
    <w:p w:rsidR="009E4393" w:rsidRPr="00121A23" w:rsidRDefault="009E4393" w:rsidP="003B0E48">
      <w:pPr>
        <w:ind w:left="720"/>
      </w:pPr>
    </w:p>
    <w:p w:rsidR="00EB4CDE" w:rsidRPr="00121A23" w:rsidRDefault="00D67CDC" w:rsidP="00EB4CDE">
      <w:pPr>
        <w:numPr>
          <w:ilvl w:val="0"/>
          <w:numId w:val="1"/>
        </w:numPr>
        <w:rPr>
          <w:b/>
        </w:rPr>
      </w:pPr>
      <w:r w:rsidRPr="00121A23">
        <w:rPr>
          <w:b/>
        </w:rPr>
        <w:t>Data Analysis Plan</w:t>
      </w:r>
    </w:p>
    <w:p w:rsidR="001D67FF" w:rsidRPr="00121A23" w:rsidRDefault="009E4393" w:rsidP="00EB4CDE">
      <w:pPr>
        <w:ind w:left="720"/>
      </w:pPr>
      <w:r w:rsidRPr="00121A23">
        <w:t xml:space="preserve">Qualitative and </w:t>
      </w:r>
      <w:r w:rsidR="00582CCA" w:rsidRPr="00121A23">
        <w:t>q</w:t>
      </w:r>
      <w:r w:rsidRPr="00121A23">
        <w:t>uantitative data will be compiled from responses</w:t>
      </w:r>
      <w:r w:rsidR="000501E6" w:rsidRPr="00121A23">
        <w:t xml:space="preserve"> to </w:t>
      </w:r>
      <w:proofErr w:type="spellStart"/>
      <w:r w:rsidR="00FD25B8" w:rsidRPr="00121A23">
        <w:t>L</w:t>
      </w:r>
      <w:r w:rsidR="00A24D4E" w:rsidRPr="00121A23">
        <w:t>ikert</w:t>
      </w:r>
      <w:proofErr w:type="spellEnd"/>
      <w:r w:rsidR="00A24D4E" w:rsidRPr="00121A23">
        <w:t xml:space="preserve"> scale</w:t>
      </w:r>
      <w:r w:rsidR="00AB4FCF" w:rsidRPr="00121A23">
        <w:t xml:space="preserve"> and open-ended </w:t>
      </w:r>
      <w:r w:rsidR="00A24D4E" w:rsidRPr="00121A23">
        <w:t xml:space="preserve">survey </w:t>
      </w:r>
      <w:r w:rsidR="00AB4FCF" w:rsidRPr="00121A23">
        <w:t>questions</w:t>
      </w:r>
      <w:r w:rsidRPr="00121A23">
        <w:t>.</w:t>
      </w:r>
      <w:r w:rsidR="00582CCA" w:rsidRPr="00121A23">
        <w:t xml:space="preserve"> The quantitative analysis will include frequency </w:t>
      </w:r>
      <w:r w:rsidR="00B80421" w:rsidRPr="00121A23">
        <w:t xml:space="preserve">and percentage </w:t>
      </w:r>
      <w:r w:rsidR="00033375" w:rsidRPr="00121A23">
        <w:t xml:space="preserve">distributions of </w:t>
      </w:r>
      <w:r w:rsidR="00DD0B8F" w:rsidRPr="00121A23">
        <w:t xml:space="preserve">the </w:t>
      </w:r>
      <w:r w:rsidR="00033375" w:rsidRPr="00121A23">
        <w:t>responses</w:t>
      </w:r>
      <w:r w:rsidR="00582CCA" w:rsidRPr="00121A23">
        <w:t xml:space="preserve">. The qualitative and quantitative data will be summarized in a report to highlight important findings and to present the information to </w:t>
      </w:r>
      <w:r w:rsidR="00AC364C" w:rsidRPr="00121A23">
        <w:t>CBHSQ and CSAT</w:t>
      </w:r>
      <w:r w:rsidR="00582CCA" w:rsidRPr="00121A23">
        <w:t xml:space="preserve"> management for decision making</w:t>
      </w:r>
      <w:r w:rsidR="00413DB0">
        <w:t xml:space="preserve"> concerning changes and additions to the format and/or content of the next edition of the State Profiles report</w:t>
      </w:r>
      <w:r w:rsidR="00582CCA" w:rsidRPr="00121A23">
        <w:t>.</w:t>
      </w:r>
    </w:p>
    <w:p w:rsidR="00D67CDC" w:rsidRPr="00121A23" w:rsidRDefault="00D67CDC" w:rsidP="00D67CDC">
      <w:pPr>
        <w:ind w:left="1080"/>
      </w:pPr>
      <w:r w:rsidRPr="00121A23">
        <w:rPr>
          <w:b/>
        </w:rPr>
        <w:t xml:space="preserve"> </w:t>
      </w:r>
    </w:p>
    <w:p w:rsidR="00D67CDC" w:rsidRPr="00121A23" w:rsidRDefault="001D67FF" w:rsidP="00D67CDC">
      <w:pPr>
        <w:numPr>
          <w:ilvl w:val="0"/>
          <w:numId w:val="1"/>
        </w:numPr>
        <w:rPr>
          <w:b/>
        </w:rPr>
      </w:pPr>
      <w:r w:rsidRPr="00121A23">
        <w:rPr>
          <w:b/>
        </w:rPr>
        <w:t>Overview of Methods to be Used to Collect the Information</w:t>
      </w:r>
    </w:p>
    <w:p w:rsidR="001D67FF" w:rsidRPr="00121A23" w:rsidRDefault="001D67FF" w:rsidP="001D67FF">
      <w:pPr>
        <w:numPr>
          <w:ilvl w:val="1"/>
          <w:numId w:val="1"/>
        </w:numPr>
        <w:rPr>
          <w:b/>
        </w:rPr>
      </w:pPr>
      <w:r w:rsidRPr="00121A23">
        <w:rPr>
          <w:b/>
        </w:rPr>
        <w:t xml:space="preserve">Data Collection Method  </w:t>
      </w:r>
    </w:p>
    <w:p w:rsidR="005E0702" w:rsidRPr="00121A23" w:rsidRDefault="00A24D4E" w:rsidP="005E0702">
      <w:pPr>
        <w:ind w:left="1080"/>
      </w:pPr>
      <w:r w:rsidRPr="00121A23">
        <w:t>Data collection for this survey effort</w:t>
      </w:r>
      <w:r w:rsidR="00C5251B" w:rsidRPr="00121A23">
        <w:t xml:space="preserve"> will </w:t>
      </w:r>
      <w:r w:rsidR="00EF676D" w:rsidRPr="00121A23">
        <w:t>involve similar approaches to those used in</w:t>
      </w:r>
      <w:r w:rsidRPr="00121A23">
        <w:t xml:space="preserve"> </w:t>
      </w:r>
      <w:r w:rsidR="002D1D42" w:rsidRPr="00121A23">
        <w:t xml:space="preserve">2000 </w:t>
      </w:r>
      <w:r w:rsidR="000C743B" w:rsidRPr="00121A23">
        <w:t xml:space="preserve">to obtain feedback </w:t>
      </w:r>
      <w:r w:rsidR="00151F98" w:rsidRPr="00121A23">
        <w:t xml:space="preserve">on the content and format of other </w:t>
      </w:r>
      <w:r w:rsidR="00931FBD">
        <w:t>SAMHSA</w:t>
      </w:r>
      <w:r w:rsidR="00931FBD" w:rsidRPr="00121A23">
        <w:t xml:space="preserve"> </w:t>
      </w:r>
      <w:r w:rsidR="000C743B" w:rsidRPr="00121A23">
        <w:t>publications</w:t>
      </w:r>
      <w:r w:rsidR="00AC364C" w:rsidRPr="00121A23">
        <w:t xml:space="preserve">. </w:t>
      </w:r>
      <w:r w:rsidR="00931FBD">
        <w:t>SAMHSA</w:t>
      </w:r>
      <w:r w:rsidR="00931FBD" w:rsidRPr="00121A23">
        <w:t xml:space="preserve"> </w:t>
      </w:r>
      <w:r w:rsidR="00AC364C" w:rsidRPr="00121A23">
        <w:t>will recruit participants</w:t>
      </w:r>
      <w:r w:rsidR="001036FA" w:rsidRPr="00121A23">
        <w:t xml:space="preserve"> via multiple </w:t>
      </w:r>
      <w:proofErr w:type="spellStart"/>
      <w:r w:rsidR="001036FA" w:rsidRPr="00121A23">
        <w:t>listservs</w:t>
      </w:r>
      <w:proofErr w:type="spellEnd"/>
      <w:r w:rsidR="001036FA" w:rsidRPr="00121A23">
        <w:t xml:space="preserve"> of potential readers and conduct</w:t>
      </w:r>
      <w:r w:rsidR="00AC364C" w:rsidRPr="00121A23">
        <w:t xml:space="preserve"> data collection </w:t>
      </w:r>
      <w:r w:rsidR="001036FA" w:rsidRPr="00121A23">
        <w:t xml:space="preserve">electronically </w:t>
      </w:r>
      <w:r w:rsidR="00AC364C" w:rsidRPr="00121A23">
        <w:t xml:space="preserve">through </w:t>
      </w:r>
      <w:r w:rsidR="00646F89">
        <w:t xml:space="preserve">the </w:t>
      </w:r>
      <w:r w:rsidR="001036FA" w:rsidRPr="00121A23">
        <w:t xml:space="preserve">Google Forms </w:t>
      </w:r>
      <w:r w:rsidR="00AC364C" w:rsidRPr="00121A23">
        <w:t>web-based survey tool</w:t>
      </w:r>
      <w:r w:rsidR="001036FA" w:rsidRPr="00121A23">
        <w:t>.</w:t>
      </w:r>
      <w:r w:rsidR="00647B08">
        <w:t xml:space="preserve"> Attachment A is a </w:t>
      </w:r>
      <w:proofErr w:type="spellStart"/>
      <w:r w:rsidR="00647B08">
        <w:t>pdf</w:t>
      </w:r>
      <w:proofErr w:type="spellEnd"/>
      <w:r w:rsidR="00647B08">
        <w:t xml:space="preserve"> that includes all screen shots of the web-based survey. Please note that the phrase “Edit this form” will not appear on the respondent version of this web-based survey. </w:t>
      </w:r>
    </w:p>
    <w:p w:rsidR="00AC364C" w:rsidRPr="00121A23" w:rsidRDefault="00AC364C" w:rsidP="005E0702">
      <w:pPr>
        <w:ind w:left="1080"/>
      </w:pPr>
    </w:p>
    <w:p w:rsidR="00EB4CDE" w:rsidRPr="00121A23" w:rsidRDefault="00D014CB" w:rsidP="002E31FD">
      <w:pPr>
        <w:numPr>
          <w:ilvl w:val="1"/>
          <w:numId w:val="1"/>
        </w:numPr>
      </w:pPr>
      <w:r w:rsidRPr="00121A23">
        <w:rPr>
          <w:b/>
        </w:rPr>
        <w:t xml:space="preserve">Target </w:t>
      </w:r>
      <w:r w:rsidR="002E31FD" w:rsidRPr="00121A23">
        <w:rPr>
          <w:b/>
        </w:rPr>
        <w:t>A</w:t>
      </w:r>
      <w:r w:rsidRPr="00121A23">
        <w:rPr>
          <w:b/>
        </w:rPr>
        <w:t>udience</w:t>
      </w:r>
    </w:p>
    <w:p w:rsidR="00CD38B1" w:rsidRPr="00121A23" w:rsidRDefault="00E42723" w:rsidP="00EB4CDE">
      <w:pPr>
        <w:ind w:left="1080"/>
      </w:pPr>
      <w:r w:rsidRPr="00121A23">
        <w:t>Since the next report will be published onlin</w:t>
      </w:r>
      <w:r w:rsidR="00CD38B1" w:rsidRPr="00121A23">
        <w:t>e (not available in paper copy),</w:t>
      </w:r>
      <w:r w:rsidRPr="00121A23">
        <w:t xml:space="preserve"> this survey will be sent electronically to representatives of </w:t>
      </w:r>
      <w:r w:rsidR="00A14C69" w:rsidRPr="00121A23">
        <w:t>the following audiences, including some that were potentially not aware of past reports</w:t>
      </w:r>
      <w:r w:rsidR="00A24D4E" w:rsidRPr="00121A23">
        <w:t xml:space="preserve"> </w:t>
      </w:r>
      <w:r w:rsidR="00A14C69" w:rsidRPr="00121A23">
        <w:t xml:space="preserve">but </w:t>
      </w:r>
      <w:r w:rsidR="00875892" w:rsidRPr="00121A23">
        <w:t>for</w:t>
      </w:r>
      <w:r w:rsidRPr="00121A23">
        <w:t xml:space="preserve"> </w:t>
      </w:r>
      <w:r w:rsidR="00A14C69" w:rsidRPr="00121A23">
        <w:t>whom</w:t>
      </w:r>
      <w:r w:rsidRPr="00121A23">
        <w:t xml:space="preserve"> </w:t>
      </w:r>
      <w:r w:rsidR="00413DB0">
        <w:t>an</w:t>
      </w:r>
      <w:r w:rsidR="00413DB0" w:rsidRPr="00121A23">
        <w:t xml:space="preserve"> </w:t>
      </w:r>
      <w:r w:rsidRPr="00121A23">
        <w:t>enhanced report is expected to</w:t>
      </w:r>
      <w:r w:rsidR="00875892" w:rsidRPr="00121A23">
        <w:t xml:space="preserve"> be of interest</w:t>
      </w:r>
      <w:r w:rsidR="00D014CB" w:rsidRPr="00121A23">
        <w:t>.</w:t>
      </w:r>
      <w:r w:rsidR="00CD38B1" w:rsidRPr="00121A23">
        <w:t xml:space="preserve"> These include:</w:t>
      </w:r>
    </w:p>
    <w:p w:rsidR="00CD38B1" w:rsidRPr="00121A23" w:rsidRDefault="00CD38B1" w:rsidP="00CD38B1">
      <w:pPr>
        <w:numPr>
          <w:ilvl w:val="1"/>
          <w:numId w:val="3"/>
        </w:numPr>
      </w:pPr>
      <w:r w:rsidRPr="00121A23">
        <w:t>State Opioid Treatment Authorities (SOTAs) and other State-level officials interested more generally in substance abuse treatment;</w:t>
      </w:r>
    </w:p>
    <w:p w:rsidR="00CD38B1" w:rsidRPr="00121A23" w:rsidRDefault="00CD38B1" w:rsidP="00CD38B1">
      <w:pPr>
        <w:numPr>
          <w:ilvl w:val="1"/>
          <w:numId w:val="3"/>
        </w:numPr>
      </w:pPr>
      <w:r w:rsidRPr="00121A23">
        <w:t>Board Members of advocacy groups, including the American Association for the Treatment of Opioid Dependence, Inc. (AATOD), which has major represen</w:t>
      </w:r>
      <w:r w:rsidR="00834964" w:rsidRPr="00121A23">
        <w:t>tation from OTPs in most States</w:t>
      </w:r>
      <w:r w:rsidR="009C4A6D" w:rsidRPr="00121A23">
        <w:t xml:space="preserve"> (</w:t>
      </w:r>
      <w:r w:rsidR="00834964" w:rsidRPr="00121A23">
        <w:t>this will provide key perspectives from the providers/administrators etc. of opioid treatment facilities and ‘the field’</w:t>
      </w:r>
      <w:r w:rsidR="009C4A6D" w:rsidRPr="00121A23">
        <w:t>);</w:t>
      </w:r>
    </w:p>
    <w:p w:rsidR="00A14C69" w:rsidRPr="00121A23" w:rsidRDefault="009C4A6D" w:rsidP="00CD38B1">
      <w:pPr>
        <w:numPr>
          <w:ilvl w:val="1"/>
          <w:numId w:val="3"/>
        </w:numPr>
      </w:pPr>
      <w:r w:rsidRPr="00121A23">
        <w:t>A</w:t>
      </w:r>
      <w:r w:rsidR="00A14C69" w:rsidRPr="00121A23">
        <w:t xml:space="preserve"> select</w:t>
      </w:r>
      <w:r w:rsidRPr="00121A23">
        <w:t>ion</w:t>
      </w:r>
      <w:r w:rsidR="00A14C69" w:rsidRPr="00121A23">
        <w:t xml:space="preserve"> </w:t>
      </w:r>
      <w:r w:rsidRPr="00121A23">
        <w:t xml:space="preserve">of </w:t>
      </w:r>
      <w:r w:rsidR="00A14C69" w:rsidRPr="00121A23">
        <w:t>OTPs to be contacted directly</w:t>
      </w:r>
      <w:r w:rsidRPr="00121A23">
        <w:t>;</w:t>
      </w:r>
    </w:p>
    <w:p w:rsidR="00CD38B1" w:rsidRPr="00121A23" w:rsidRDefault="00CD38B1" w:rsidP="00CD38B1">
      <w:pPr>
        <w:numPr>
          <w:ilvl w:val="1"/>
          <w:numId w:val="3"/>
        </w:numPr>
      </w:pPr>
      <w:r w:rsidRPr="00121A23">
        <w:t xml:space="preserve">Federal Agencies, </w:t>
      </w:r>
      <w:r w:rsidR="009C4A6D" w:rsidRPr="00121A23">
        <w:t xml:space="preserve">such as </w:t>
      </w:r>
      <w:r w:rsidRPr="00121A23">
        <w:t>the Drug Enforcement Administration;</w:t>
      </w:r>
    </w:p>
    <w:p w:rsidR="00CD38B1" w:rsidRPr="00121A23" w:rsidRDefault="009C4A6D" w:rsidP="00CD38B1">
      <w:pPr>
        <w:numPr>
          <w:ilvl w:val="1"/>
          <w:numId w:val="3"/>
        </w:numPr>
      </w:pPr>
      <w:r w:rsidRPr="00121A23">
        <w:t>Patient advocacy groups;</w:t>
      </w:r>
    </w:p>
    <w:p w:rsidR="00CD38B1" w:rsidRPr="00121A23" w:rsidRDefault="00CD38B1" w:rsidP="00CD38B1">
      <w:pPr>
        <w:numPr>
          <w:ilvl w:val="1"/>
          <w:numId w:val="3"/>
        </w:numPr>
      </w:pPr>
      <w:r w:rsidRPr="00121A23">
        <w:t>Members of media who cover issues related to behavioral health including prescription drug abuse, pain medications, etc.</w:t>
      </w:r>
      <w:r w:rsidR="009C4A6D" w:rsidRPr="00121A23">
        <w:t>;</w:t>
      </w:r>
    </w:p>
    <w:p w:rsidR="00CD38B1" w:rsidRPr="00121A23" w:rsidRDefault="00CD38B1" w:rsidP="00CD38B1">
      <w:pPr>
        <w:numPr>
          <w:ilvl w:val="1"/>
          <w:numId w:val="3"/>
        </w:numPr>
      </w:pPr>
      <w:r w:rsidRPr="00121A23">
        <w:t>Accreditation bodies for opioid treatment facilities</w:t>
      </w:r>
      <w:r w:rsidR="009C4A6D" w:rsidRPr="00121A23">
        <w:t>;</w:t>
      </w:r>
      <w:r w:rsidRPr="00121A23">
        <w:t xml:space="preserve"> </w:t>
      </w:r>
    </w:p>
    <w:p w:rsidR="00CD38B1" w:rsidRPr="00121A23" w:rsidRDefault="00CD38B1" w:rsidP="00CD38B1">
      <w:pPr>
        <w:numPr>
          <w:ilvl w:val="1"/>
          <w:numId w:val="3"/>
        </w:numPr>
      </w:pPr>
      <w:r w:rsidRPr="00121A23">
        <w:t xml:space="preserve">A few known ‘experts in the field’ who do not fall into </w:t>
      </w:r>
      <w:r w:rsidR="00A14C69" w:rsidRPr="00121A23">
        <w:t>above-mentioned groups</w:t>
      </w:r>
      <w:r w:rsidR="009C4A6D" w:rsidRPr="00121A23">
        <w:t>;</w:t>
      </w:r>
    </w:p>
    <w:p w:rsidR="00CD38B1" w:rsidRPr="00121A23" w:rsidRDefault="009C4A6D" w:rsidP="00CD38B1">
      <w:pPr>
        <w:numPr>
          <w:ilvl w:val="1"/>
          <w:numId w:val="3"/>
        </w:numPr>
      </w:pPr>
      <w:r w:rsidRPr="00121A23">
        <w:t>Those who downloaded the 2010 State Profiles;</w:t>
      </w:r>
    </w:p>
    <w:p w:rsidR="002D2013" w:rsidRPr="00121A23" w:rsidRDefault="009C4A6D" w:rsidP="00CD38B1">
      <w:pPr>
        <w:numPr>
          <w:ilvl w:val="1"/>
          <w:numId w:val="3"/>
        </w:numPr>
      </w:pPr>
      <w:r w:rsidRPr="00121A23">
        <w:t xml:space="preserve">SAMHSA contractors </w:t>
      </w:r>
      <w:r w:rsidR="00623F04" w:rsidRPr="00121A23">
        <w:t>dealing with OTPs.</w:t>
      </w:r>
    </w:p>
    <w:p w:rsidR="00D014CB" w:rsidRPr="00121A23" w:rsidRDefault="00D014CB" w:rsidP="00EB4CDE">
      <w:pPr>
        <w:ind w:left="1080"/>
      </w:pPr>
    </w:p>
    <w:p w:rsidR="002E31FD" w:rsidRPr="00121A23" w:rsidRDefault="002E31FD" w:rsidP="002E31FD">
      <w:pPr>
        <w:numPr>
          <w:ilvl w:val="1"/>
          <w:numId w:val="1"/>
        </w:numPr>
      </w:pPr>
      <w:r w:rsidRPr="00121A23">
        <w:rPr>
          <w:b/>
        </w:rPr>
        <w:t>Method for Identifying Respondents</w:t>
      </w:r>
    </w:p>
    <w:p w:rsidR="00840B08" w:rsidRPr="00121A23" w:rsidRDefault="009A70C2" w:rsidP="00840B08">
      <w:pPr>
        <w:ind w:left="1080"/>
        <w:rPr>
          <w:b/>
        </w:rPr>
      </w:pPr>
      <w:r>
        <w:t>A number of r</w:t>
      </w:r>
      <w:r w:rsidR="00CD38B1" w:rsidRPr="00121A23">
        <w:t xml:space="preserve">espondents </w:t>
      </w:r>
      <w:r>
        <w:t>will</w:t>
      </w:r>
      <w:r w:rsidRPr="00121A23">
        <w:t xml:space="preserve"> </w:t>
      </w:r>
      <w:r w:rsidR="00CD38B1" w:rsidRPr="00121A23">
        <w:t>be identified by examining data provided by SAMHSA</w:t>
      </w:r>
      <w:r w:rsidR="005F4518" w:rsidRPr="00121A23">
        <w:t>’s</w:t>
      </w:r>
      <w:r w:rsidR="00CD38B1" w:rsidRPr="00121A23">
        <w:t xml:space="preserve"> Office of Communications concerning </w:t>
      </w:r>
      <w:r w:rsidR="005F4518" w:rsidRPr="00121A23">
        <w:t>individuals</w:t>
      </w:r>
      <w:r w:rsidR="00F12076" w:rsidRPr="00121A23">
        <w:t xml:space="preserve"> who </w:t>
      </w:r>
      <w:r w:rsidR="00CD38B1" w:rsidRPr="00121A23">
        <w:t>downloaded the 2010 (most recent) State Profiles</w:t>
      </w:r>
      <w:r w:rsidR="00CA7D14">
        <w:t xml:space="preserve"> and provided contact information</w:t>
      </w:r>
      <w:r w:rsidR="008222F9" w:rsidRPr="00CA7D14">
        <w:t xml:space="preserve">. </w:t>
      </w:r>
      <w:r w:rsidR="00CD38B1" w:rsidRPr="00121A23">
        <w:t xml:space="preserve">In addition, </w:t>
      </w:r>
      <w:r w:rsidR="00420B23">
        <w:t>SAMHSA</w:t>
      </w:r>
      <w:r w:rsidR="00420B23" w:rsidRPr="00121A23">
        <w:t xml:space="preserve"> </w:t>
      </w:r>
      <w:r w:rsidR="00CD38B1" w:rsidRPr="00121A23">
        <w:t>routinely communicate</w:t>
      </w:r>
      <w:r w:rsidR="00420B23">
        <w:t>s</w:t>
      </w:r>
      <w:r w:rsidR="00CD38B1" w:rsidRPr="00121A23">
        <w:t xml:space="preserve"> with individuals in the desired categories and can easily identify </w:t>
      </w:r>
      <w:r w:rsidR="005F4518" w:rsidRPr="00121A23">
        <w:t xml:space="preserve">those </w:t>
      </w:r>
      <w:r w:rsidR="00420B23">
        <w:t>SAMHSA</w:t>
      </w:r>
      <w:r w:rsidR="005F4518" w:rsidRPr="00121A23">
        <w:t xml:space="preserve"> would like </w:t>
      </w:r>
      <w:r w:rsidR="00CD38B1" w:rsidRPr="00121A23">
        <w:t xml:space="preserve">to include in </w:t>
      </w:r>
      <w:r w:rsidR="00420B23">
        <w:t>the</w:t>
      </w:r>
      <w:r w:rsidR="00420B23" w:rsidRPr="00121A23">
        <w:t xml:space="preserve"> </w:t>
      </w:r>
      <w:r w:rsidR="00CD38B1" w:rsidRPr="00121A23">
        <w:t>respondent group.</w:t>
      </w:r>
      <w:r w:rsidR="00203757" w:rsidRPr="00121A23">
        <w:t xml:space="preserve"> </w:t>
      </w:r>
    </w:p>
    <w:p w:rsidR="00840B08" w:rsidRPr="00121A23" w:rsidRDefault="00840B08" w:rsidP="00840B08">
      <w:pPr>
        <w:ind w:left="1080"/>
      </w:pPr>
    </w:p>
    <w:p w:rsidR="0097714A" w:rsidRPr="00121A23" w:rsidRDefault="001D67FF" w:rsidP="001D67FF">
      <w:pPr>
        <w:numPr>
          <w:ilvl w:val="1"/>
          <w:numId w:val="1"/>
        </w:numPr>
        <w:rPr>
          <w:b/>
        </w:rPr>
      </w:pPr>
      <w:r w:rsidRPr="00121A23">
        <w:rPr>
          <w:b/>
        </w:rPr>
        <w:t xml:space="preserve">Universe of Potential Respondents </w:t>
      </w:r>
    </w:p>
    <w:p w:rsidR="001D67FF" w:rsidRPr="00121A23" w:rsidRDefault="00CD38B1" w:rsidP="0097714A">
      <w:pPr>
        <w:ind w:left="1080"/>
      </w:pPr>
      <w:r w:rsidRPr="00121A23">
        <w:t>The audience</w:t>
      </w:r>
      <w:r w:rsidR="00834964" w:rsidRPr="00121A23">
        <w:t>s</w:t>
      </w:r>
      <w:r w:rsidRPr="00121A23">
        <w:t xml:space="preserve"> for the report</w:t>
      </w:r>
      <w:r w:rsidR="00834964" w:rsidRPr="00121A23">
        <w:t xml:space="preserve"> itself</w:t>
      </w:r>
      <w:r w:rsidRPr="00121A23">
        <w:t xml:space="preserve">, and for this survey, </w:t>
      </w:r>
      <w:r w:rsidR="00834964" w:rsidRPr="00121A23">
        <w:t>are</w:t>
      </w:r>
      <w:r w:rsidR="00A14C69" w:rsidRPr="00121A23">
        <w:t xml:space="preserve"> </w:t>
      </w:r>
      <w:r w:rsidRPr="00121A23">
        <w:t>small</w:t>
      </w:r>
      <w:r w:rsidR="00DF51C5">
        <w:t xml:space="preserve"> but important</w:t>
      </w:r>
      <w:r w:rsidRPr="00121A23">
        <w:t xml:space="preserve">; </w:t>
      </w:r>
      <w:r w:rsidR="00834964" w:rsidRPr="00121A23">
        <w:t xml:space="preserve">for this reason, </w:t>
      </w:r>
      <w:r w:rsidRPr="00121A23">
        <w:t>the number of survey respondents will be kept</w:t>
      </w:r>
      <w:r w:rsidR="00DF51C5">
        <w:t xml:space="preserve"> well</w:t>
      </w:r>
      <w:r w:rsidRPr="00121A23">
        <w:t xml:space="preserve"> below 200:</w:t>
      </w:r>
    </w:p>
    <w:p w:rsidR="004E3589" w:rsidRPr="00121A23" w:rsidRDefault="004E3589" w:rsidP="0097714A">
      <w:pPr>
        <w:ind w:left="1080"/>
      </w:pPr>
    </w:p>
    <w:p w:rsidR="00446EF5" w:rsidRPr="00121A23" w:rsidRDefault="00446EF5" w:rsidP="0097714A">
      <w:pPr>
        <w:ind w:left="1080"/>
        <w:rPr>
          <w:b/>
        </w:rPr>
      </w:pPr>
      <w:r w:rsidRPr="00121A23">
        <w:rPr>
          <w:b/>
        </w:rPr>
        <w:t>Estimated Distribution:</w:t>
      </w:r>
    </w:p>
    <w:tbl>
      <w:tblPr>
        <w:tblW w:w="85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0"/>
        <w:gridCol w:w="2040"/>
      </w:tblGrid>
      <w:tr w:rsidR="00566E39" w:rsidRPr="00121A23" w:rsidTr="003D295F">
        <w:trPr>
          <w:cantSplit/>
        </w:trPr>
        <w:tc>
          <w:tcPr>
            <w:tcW w:w="6480" w:type="dxa"/>
          </w:tcPr>
          <w:p w:rsidR="00566E39" w:rsidRPr="00121A23" w:rsidRDefault="00566E39" w:rsidP="00E616BD">
            <w:pPr>
              <w:rPr>
                <w:b/>
              </w:rPr>
            </w:pPr>
          </w:p>
        </w:tc>
        <w:tc>
          <w:tcPr>
            <w:tcW w:w="2040" w:type="dxa"/>
          </w:tcPr>
          <w:p w:rsidR="00566E39" w:rsidRPr="00121A23" w:rsidRDefault="00566E39" w:rsidP="00E616BD">
            <w:pPr>
              <w:rPr>
                <w:b/>
              </w:rPr>
            </w:pPr>
            <w:r w:rsidRPr="00121A23">
              <w:rPr>
                <w:b/>
              </w:rPr>
              <w:t>Quantity on List</w:t>
            </w:r>
          </w:p>
        </w:tc>
      </w:tr>
      <w:tr w:rsidR="00566E39" w:rsidRPr="00121A23" w:rsidTr="003D295F">
        <w:tc>
          <w:tcPr>
            <w:tcW w:w="6480" w:type="dxa"/>
          </w:tcPr>
          <w:p w:rsidR="00566E39" w:rsidRPr="00121A23" w:rsidRDefault="00834964" w:rsidP="00DE6CD9">
            <w:pPr>
              <w:rPr>
                <w:sz w:val="22"/>
              </w:rPr>
            </w:pPr>
            <w:r w:rsidRPr="00121A23">
              <w:rPr>
                <w:b/>
                <w:sz w:val="22"/>
              </w:rPr>
              <w:t>Board Members, AATOD</w:t>
            </w:r>
          </w:p>
        </w:tc>
        <w:tc>
          <w:tcPr>
            <w:tcW w:w="2040" w:type="dxa"/>
          </w:tcPr>
          <w:p w:rsidR="00566E39" w:rsidRPr="00121A23" w:rsidRDefault="00834964" w:rsidP="0015394D">
            <w:pPr>
              <w:jc w:val="right"/>
            </w:pPr>
            <w:r w:rsidRPr="00121A23">
              <w:t>20-30</w:t>
            </w:r>
          </w:p>
        </w:tc>
      </w:tr>
      <w:tr w:rsidR="00E85FDF" w:rsidRPr="00121A23" w:rsidTr="003D295F">
        <w:tc>
          <w:tcPr>
            <w:tcW w:w="6480" w:type="dxa"/>
          </w:tcPr>
          <w:p w:rsidR="00E85FDF" w:rsidRPr="00121A23" w:rsidRDefault="00E85FDF" w:rsidP="00623F04">
            <w:pPr>
              <w:rPr>
                <w:b/>
                <w:sz w:val="22"/>
              </w:rPr>
            </w:pPr>
            <w:r w:rsidRPr="00121A23">
              <w:rPr>
                <w:b/>
                <w:sz w:val="22"/>
              </w:rPr>
              <w:t>OTPs</w:t>
            </w:r>
          </w:p>
        </w:tc>
        <w:tc>
          <w:tcPr>
            <w:tcW w:w="2040" w:type="dxa"/>
          </w:tcPr>
          <w:p w:rsidR="00E85FDF" w:rsidRPr="00121A23" w:rsidRDefault="00E85FDF" w:rsidP="0015394D">
            <w:pPr>
              <w:jc w:val="right"/>
            </w:pPr>
            <w:r w:rsidRPr="00121A23">
              <w:t>25</w:t>
            </w:r>
          </w:p>
        </w:tc>
      </w:tr>
      <w:tr w:rsidR="00566E39" w:rsidRPr="00121A23" w:rsidTr="003D295F">
        <w:tc>
          <w:tcPr>
            <w:tcW w:w="6480" w:type="dxa"/>
          </w:tcPr>
          <w:p w:rsidR="00566E39" w:rsidRPr="00121A23" w:rsidRDefault="00834964" w:rsidP="00623F04">
            <w:pPr>
              <w:rPr>
                <w:sz w:val="22"/>
              </w:rPr>
            </w:pPr>
            <w:r w:rsidRPr="00121A23">
              <w:rPr>
                <w:b/>
                <w:sz w:val="22"/>
              </w:rPr>
              <w:t>SOTAs</w:t>
            </w:r>
            <w:r w:rsidR="002D2013" w:rsidRPr="00121A23">
              <w:rPr>
                <w:b/>
                <w:sz w:val="22"/>
              </w:rPr>
              <w:t xml:space="preserve"> </w:t>
            </w:r>
            <w:r w:rsidR="00623F04" w:rsidRPr="00121A23">
              <w:rPr>
                <w:b/>
                <w:sz w:val="22"/>
              </w:rPr>
              <w:t xml:space="preserve">and </w:t>
            </w:r>
            <w:r w:rsidR="002D2013" w:rsidRPr="00121A23">
              <w:rPr>
                <w:b/>
                <w:sz w:val="22"/>
              </w:rPr>
              <w:t>monitors</w:t>
            </w:r>
          </w:p>
        </w:tc>
        <w:tc>
          <w:tcPr>
            <w:tcW w:w="2040" w:type="dxa"/>
          </w:tcPr>
          <w:p w:rsidR="00566E39" w:rsidRPr="00121A23" w:rsidRDefault="00834964" w:rsidP="00623F04">
            <w:pPr>
              <w:jc w:val="right"/>
            </w:pPr>
            <w:r w:rsidRPr="00121A23">
              <w:t xml:space="preserve">Approx. </w:t>
            </w:r>
            <w:r w:rsidR="00623F04" w:rsidRPr="00121A23">
              <w:t>70</w:t>
            </w:r>
          </w:p>
        </w:tc>
      </w:tr>
      <w:tr w:rsidR="00566E39" w:rsidRPr="00121A23" w:rsidTr="003D295F">
        <w:tc>
          <w:tcPr>
            <w:tcW w:w="6480" w:type="dxa"/>
          </w:tcPr>
          <w:p w:rsidR="00834964" w:rsidRPr="00121A23" w:rsidRDefault="00834964" w:rsidP="00DE6CD9">
            <w:pPr>
              <w:rPr>
                <w:b/>
                <w:sz w:val="22"/>
              </w:rPr>
            </w:pPr>
            <w:r w:rsidRPr="00121A23">
              <w:rPr>
                <w:b/>
                <w:sz w:val="22"/>
              </w:rPr>
              <w:t>Accrediting Bodies</w:t>
            </w:r>
          </w:p>
        </w:tc>
        <w:tc>
          <w:tcPr>
            <w:tcW w:w="2040" w:type="dxa"/>
          </w:tcPr>
          <w:p w:rsidR="00566E39" w:rsidRPr="00121A23" w:rsidRDefault="00834964" w:rsidP="0015394D">
            <w:pPr>
              <w:jc w:val="right"/>
            </w:pPr>
            <w:r w:rsidRPr="00121A23">
              <w:t>Approx. 6</w:t>
            </w:r>
          </w:p>
        </w:tc>
      </w:tr>
      <w:tr w:rsidR="00834964" w:rsidRPr="00121A23" w:rsidTr="003D295F">
        <w:tc>
          <w:tcPr>
            <w:tcW w:w="6480" w:type="dxa"/>
          </w:tcPr>
          <w:p w:rsidR="00834964" w:rsidRPr="00121A23" w:rsidRDefault="00834964" w:rsidP="00834964">
            <w:pPr>
              <w:tabs>
                <w:tab w:val="left" w:pos="1125"/>
              </w:tabs>
              <w:rPr>
                <w:b/>
              </w:rPr>
            </w:pPr>
            <w:r w:rsidRPr="00121A23">
              <w:rPr>
                <w:b/>
              </w:rPr>
              <w:t xml:space="preserve">Key Patient Advocacy groups for methadone and </w:t>
            </w:r>
            <w:proofErr w:type="spellStart"/>
            <w:r w:rsidRPr="00121A23">
              <w:rPr>
                <w:b/>
              </w:rPr>
              <w:t>buprenorphine</w:t>
            </w:r>
            <w:proofErr w:type="spellEnd"/>
            <w:r w:rsidRPr="00121A23">
              <w:rPr>
                <w:b/>
              </w:rPr>
              <w:t xml:space="preserve"> patients</w:t>
            </w:r>
          </w:p>
        </w:tc>
        <w:tc>
          <w:tcPr>
            <w:tcW w:w="2040" w:type="dxa"/>
          </w:tcPr>
          <w:p w:rsidR="00834964" w:rsidRPr="00121A23" w:rsidRDefault="00834964" w:rsidP="0015394D">
            <w:pPr>
              <w:jc w:val="right"/>
            </w:pPr>
            <w:r w:rsidRPr="00121A23">
              <w:t>2</w:t>
            </w:r>
          </w:p>
        </w:tc>
      </w:tr>
      <w:tr w:rsidR="00834964" w:rsidRPr="00121A23" w:rsidTr="003D295F">
        <w:tc>
          <w:tcPr>
            <w:tcW w:w="6480" w:type="dxa"/>
          </w:tcPr>
          <w:p w:rsidR="00834964" w:rsidRPr="00121A23" w:rsidRDefault="00834964" w:rsidP="00E616BD">
            <w:pPr>
              <w:rPr>
                <w:b/>
              </w:rPr>
            </w:pPr>
            <w:r w:rsidRPr="00121A23">
              <w:rPr>
                <w:b/>
              </w:rPr>
              <w:t>Federal agencies</w:t>
            </w:r>
          </w:p>
        </w:tc>
        <w:tc>
          <w:tcPr>
            <w:tcW w:w="2040" w:type="dxa"/>
          </w:tcPr>
          <w:p w:rsidR="00834964" w:rsidRPr="00121A23" w:rsidRDefault="00834964" w:rsidP="0015394D">
            <w:pPr>
              <w:jc w:val="right"/>
            </w:pPr>
            <w:r w:rsidRPr="00121A23">
              <w:t>Approx. 2-3</w:t>
            </w:r>
          </w:p>
        </w:tc>
      </w:tr>
      <w:tr w:rsidR="002D2013" w:rsidRPr="00121A23" w:rsidTr="003D295F">
        <w:tc>
          <w:tcPr>
            <w:tcW w:w="6480" w:type="dxa"/>
          </w:tcPr>
          <w:p w:rsidR="002D2013" w:rsidRPr="00121A23" w:rsidRDefault="002D2013" w:rsidP="00E616BD">
            <w:pPr>
              <w:rPr>
                <w:b/>
              </w:rPr>
            </w:pPr>
            <w:r w:rsidRPr="00121A23">
              <w:rPr>
                <w:b/>
              </w:rPr>
              <w:t xml:space="preserve">Misc. experts in the field of opioid treatment </w:t>
            </w:r>
          </w:p>
        </w:tc>
        <w:tc>
          <w:tcPr>
            <w:tcW w:w="2040" w:type="dxa"/>
          </w:tcPr>
          <w:p w:rsidR="002D2013" w:rsidRPr="00121A23" w:rsidRDefault="002D2013" w:rsidP="0015394D">
            <w:pPr>
              <w:jc w:val="right"/>
            </w:pPr>
            <w:r w:rsidRPr="00121A23">
              <w:t>Approx. 5-10</w:t>
            </w:r>
          </w:p>
        </w:tc>
      </w:tr>
      <w:tr w:rsidR="00566E39" w:rsidRPr="00121A23" w:rsidTr="003D295F">
        <w:tc>
          <w:tcPr>
            <w:tcW w:w="6480" w:type="dxa"/>
          </w:tcPr>
          <w:p w:rsidR="00566E39" w:rsidRPr="00121A23" w:rsidRDefault="00566E39" w:rsidP="00E616BD">
            <w:pPr>
              <w:rPr>
                <w:b/>
              </w:rPr>
            </w:pPr>
            <w:r w:rsidRPr="00121A23">
              <w:rPr>
                <w:b/>
              </w:rPr>
              <w:t xml:space="preserve">TOTAL </w:t>
            </w:r>
            <w:r w:rsidR="00DE6CD9" w:rsidRPr="00121A23">
              <w:rPr>
                <w:b/>
              </w:rPr>
              <w:t xml:space="preserve">Estimated </w:t>
            </w:r>
            <w:r w:rsidRPr="00121A23">
              <w:rPr>
                <w:b/>
              </w:rPr>
              <w:t>Distribution:</w:t>
            </w:r>
          </w:p>
        </w:tc>
        <w:tc>
          <w:tcPr>
            <w:tcW w:w="2040" w:type="dxa"/>
          </w:tcPr>
          <w:p w:rsidR="00566E39" w:rsidRPr="00121A23" w:rsidRDefault="00203757" w:rsidP="00623F04">
            <w:pPr>
              <w:jc w:val="right"/>
            </w:pPr>
            <w:r w:rsidRPr="00121A23">
              <w:t xml:space="preserve">Max. </w:t>
            </w:r>
            <w:r w:rsidR="00623F04" w:rsidRPr="00121A23">
              <w:t>146</w:t>
            </w:r>
          </w:p>
        </w:tc>
      </w:tr>
      <w:tr w:rsidR="00566E39" w:rsidRPr="00121A23" w:rsidTr="003D295F">
        <w:tc>
          <w:tcPr>
            <w:tcW w:w="6480" w:type="dxa"/>
          </w:tcPr>
          <w:p w:rsidR="00566E39" w:rsidRPr="00121A23" w:rsidRDefault="00566E39" w:rsidP="00623F04">
            <w:pPr>
              <w:rPr>
                <w:b/>
              </w:rPr>
            </w:pPr>
            <w:r w:rsidRPr="00121A23">
              <w:rPr>
                <w:b/>
              </w:rPr>
              <w:lastRenderedPageBreak/>
              <w:t xml:space="preserve">Estimated </w:t>
            </w:r>
            <w:r w:rsidR="00A97291" w:rsidRPr="00121A23">
              <w:rPr>
                <w:b/>
              </w:rPr>
              <w:t>R</w:t>
            </w:r>
            <w:r w:rsidRPr="00121A23">
              <w:rPr>
                <w:b/>
              </w:rPr>
              <w:t>esponse</w:t>
            </w:r>
          </w:p>
        </w:tc>
        <w:tc>
          <w:tcPr>
            <w:tcW w:w="2040" w:type="dxa"/>
          </w:tcPr>
          <w:p w:rsidR="00566E39" w:rsidRPr="00121A23" w:rsidRDefault="00566E39" w:rsidP="0015394D">
            <w:pPr>
              <w:jc w:val="right"/>
            </w:pPr>
            <w:r w:rsidRPr="00121A23">
              <w:t xml:space="preserve">Quantity:  </w:t>
            </w:r>
            <w:r w:rsidR="00623F04" w:rsidRPr="00121A23">
              <w:t>102</w:t>
            </w:r>
          </w:p>
          <w:p w:rsidR="00566E39" w:rsidRPr="00121A23" w:rsidRDefault="00566E39" w:rsidP="0015394D">
            <w:pPr>
              <w:jc w:val="right"/>
              <w:rPr>
                <w:sz w:val="22"/>
              </w:rPr>
            </w:pPr>
            <w:r w:rsidRPr="00121A23">
              <w:rPr>
                <w:sz w:val="22"/>
              </w:rPr>
              <w:t>(</w:t>
            </w:r>
            <w:r w:rsidR="002D2013" w:rsidRPr="00121A23">
              <w:rPr>
                <w:sz w:val="22"/>
              </w:rPr>
              <w:t>7</w:t>
            </w:r>
            <w:r w:rsidR="00F87B23" w:rsidRPr="00121A23">
              <w:rPr>
                <w:sz w:val="22"/>
              </w:rPr>
              <w:t>0</w:t>
            </w:r>
            <w:r w:rsidRPr="00121A23">
              <w:rPr>
                <w:sz w:val="22"/>
              </w:rPr>
              <w:t>% response</w:t>
            </w:r>
            <w:r w:rsidR="00A97291" w:rsidRPr="00121A23">
              <w:rPr>
                <w:sz w:val="22"/>
              </w:rPr>
              <w:t xml:space="preserve"> rate)</w:t>
            </w:r>
          </w:p>
        </w:tc>
      </w:tr>
    </w:tbl>
    <w:p w:rsidR="00566E39" w:rsidRPr="00121A23" w:rsidRDefault="00566E39" w:rsidP="0097714A">
      <w:pPr>
        <w:ind w:left="1080"/>
        <w:rPr>
          <w:b/>
        </w:rPr>
      </w:pPr>
    </w:p>
    <w:p w:rsidR="001D67FF" w:rsidRPr="00121A23" w:rsidRDefault="001D67FF" w:rsidP="001D67FF">
      <w:pPr>
        <w:numPr>
          <w:ilvl w:val="1"/>
          <w:numId w:val="1"/>
        </w:numPr>
        <w:rPr>
          <w:b/>
        </w:rPr>
      </w:pPr>
      <w:r w:rsidRPr="00121A23">
        <w:rPr>
          <w:b/>
        </w:rPr>
        <w:t xml:space="preserve">Anticipated Response Rate  </w:t>
      </w:r>
    </w:p>
    <w:p w:rsidR="002D2013" w:rsidRPr="00121A23" w:rsidRDefault="002D2013" w:rsidP="002D2013">
      <w:pPr>
        <w:ind w:left="1080"/>
      </w:pPr>
      <w:r w:rsidRPr="00121A23">
        <w:t xml:space="preserve">To </w:t>
      </w:r>
      <w:r w:rsidR="00647B08">
        <w:t>SAMHSA’s</w:t>
      </w:r>
      <w:r w:rsidR="00647B08" w:rsidRPr="00121A23">
        <w:t xml:space="preserve"> </w:t>
      </w:r>
      <w:r w:rsidRPr="00121A23">
        <w:t xml:space="preserve">knowledge, minimal feedback has been sought </w:t>
      </w:r>
      <w:r w:rsidR="00E85FDF" w:rsidRPr="00121A23">
        <w:t>on</w:t>
      </w:r>
      <w:r w:rsidRPr="00121A23">
        <w:t xml:space="preserve"> past editions of this report.</w:t>
      </w:r>
      <w:r w:rsidR="00446EF5" w:rsidRPr="00121A23">
        <w:t xml:space="preserve">  </w:t>
      </w:r>
      <w:r w:rsidR="00420B23">
        <w:t>SAMSHA is</w:t>
      </w:r>
      <w:r w:rsidRPr="00121A23">
        <w:t xml:space="preserve"> hopeful for a </w:t>
      </w:r>
      <w:r w:rsidR="00E85FDF" w:rsidRPr="00121A23">
        <w:t xml:space="preserve">fairly good response rate given </w:t>
      </w:r>
      <w:r w:rsidR="00F02826" w:rsidRPr="00121A23">
        <w:t xml:space="preserve">efforts </w:t>
      </w:r>
      <w:r w:rsidR="00E85FDF" w:rsidRPr="00121A23">
        <w:t xml:space="preserve">proposed to </w:t>
      </w:r>
      <w:r w:rsidRPr="00121A23">
        <w:t xml:space="preserve">enhance it.  These include the following:  </w:t>
      </w:r>
      <w:r w:rsidR="00A97291" w:rsidRPr="00121A23">
        <w:t xml:space="preserve"> </w:t>
      </w:r>
    </w:p>
    <w:p w:rsidR="00F02826" w:rsidRPr="00121A23" w:rsidRDefault="00F02826" w:rsidP="002D2013">
      <w:pPr>
        <w:numPr>
          <w:ilvl w:val="2"/>
          <w:numId w:val="1"/>
        </w:numPr>
      </w:pPr>
      <w:r w:rsidRPr="00121A23">
        <w:t xml:space="preserve">The survey will be </w:t>
      </w:r>
      <w:r w:rsidR="002D2013" w:rsidRPr="00121A23">
        <w:t xml:space="preserve">emailed (using </w:t>
      </w:r>
      <w:r w:rsidR="00623F04" w:rsidRPr="00121A23">
        <w:t>Google Forms</w:t>
      </w:r>
      <w:r w:rsidR="002D2013" w:rsidRPr="00121A23">
        <w:t>)</w:t>
      </w:r>
      <w:r w:rsidR="00BB2382" w:rsidRPr="00121A23">
        <w:t xml:space="preserve"> to </w:t>
      </w:r>
      <w:r w:rsidRPr="00121A23">
        <w:t xml:space="preserve">a </w:t>
      </w:r>
      <w:r w:rsidR="00E85FDF" w:rsidRPr="00121A23">
        <w:t xml:space="preserve">fairly </w:t>
      </w:r>
      <w:r w:rsidR="00123B57" w:rsidRPr="00121A23">
        <w:t>precise</w:t>
      </w:r>
      <w:r w:rsidRPr="00121A23">
        <w:t xml:space="preserve"> target audience of people </w:t>
      </w:r>
      <w:r w:rsidR="002D2013" w:rsidRPr="00121A23">
        <w:t xml:space="preserve">most likely to be </w:t>
      </w:r>
      <w:r w:rsidRPr="00121A23">
        <w:t xml:space="preserve">familiar with the </w:t>
      </w:r>
      <w:r w:rsidR="002D2013" w:rsidRPr="00121A23">
        <w:t>report, and/or to have use of it</w:t>
      </w:r>
      <w:r w:rsidR="00BB2382" w:rsidRPr="00121A23">
        <w:t>,</w:t>
      </w:r>
      <w:r w:rsidRPr="00121A23">
        <w:t xml:space="preserve"> and therefore more likely to </w:t>
      </w:r>
      <w:r w:rsidR="00E85FDF" w:rsidRPr="00121A23">
        <w:t>provide feedback</w:t>
      </w:r>
      <w:r w:rsidRPr="00121A23">
        <w:t xml:space="preserve">.  </w:t>
      </w:r>
    </w:p>
    <w:p w:rsidR="00E85FDF" w:rsidRPr="00121A23" w:rsidRDefault="00E85FDF" w:rsidP="00E85FDF">
      <w:pPr>
        <w:numPr>
          <w:ilvl w:val="2"/>
          <w:numId w:val="1"/>
        </w:numPr>
      </w:pPr>
      <w:r w:rsidRPr="00121A23">
        <w:t>The content or proposed new content of the report is</w:t>
      </w:r>
      <w:r w:rsidR="00420B23">
        <w:t>,</w:t>
      </w:r>
      <w:r w:rsidRPr="00121A23">
        <w:t xml:space="preserve"> for many of these respondents, helpful or even critical to their work in the field of opioid treatment.</w:t>
      </w:r>
    </w:p>
    <w:p w:rsidR="00E85FDF" w:rsidRPr="00121A23" w:rsidRDefault="00E85FDF" w:rsidP="00E85FDF">
      <w:pPr>
        <w:numPr>
          <w:ilvl w:val="2"/>
          <w:numId w:val="1"/>
        </w:numPr>
      </w:pPr>
      <w:r w:rsidRPr="00121A23">
        <w:t>The survey purpose and benefit to the individual will be clearly outlined in the survey and introductory material.</w:t>
      </w:r>
    </w:p>
    <w:p w:rsidR="00F02826" w:rsidRPr="00121A23" w:rsidRDefault="00F02826" w:rsidP="00F02826">
      <w:pPr>
        <w:numPr>
          <w:ilvl w:val="2"/>
          <w:numId w:val="1"/>
        </w:numPr>
      </w:pPr>
      <w:r w:rsidRPr="00121A23">
        <w:t xml:space="preserve">The survey </w:t>
      </w:r>
      <w:r w:rsidR="009C44A9" w:rsidRPr="00121A23">
        <w:t xml:space="preserve">is </w:t>
      </w:r>
      <w:r w:rsidR="002D2013" w:rsidRPr="00121A23">
        <w:t>brief and pertinent</w:t>
      </w:r>
      <w:r w:rsidRPr="00121A23">
        <w:t>.</w:t>
      </w:r>
    </w:p>
    <w:p w:rsidR="002D2013" w:rsidRPr="00121A23" w:rsidRDefault="002D2013" w:rsidP="00F02826">
      <w:pPr>
        <w:numPr>
          <w:ilvl w:val="2"/>
          <w:numId w:val="1"/>
        </w:numPr>
      </w:pPr>
      <w:r w:rsidRPr="00121A23">
        <w:t xml:space="preserve">Use of </w:t>
      </w:r>
      <w:r w:rsidR="00F12076" w:rsidRPr="00121A23">
        <w:t>Google</w:t>
      </w:r>
      <w:r w:rsidR="00420B23">
        <w:t xml:space="preserve"> Forms</w:t>
      </w:r>
      <w:r w:rsidRPr="00121A23">
        <w:t xml:space="preserve"> </w:t>
      </w:r>
      <w:r w:rsidR="00B5158B">
        <w:t xml:space="preserve">to conduct the survey </w:t>
      </w:r>
      <w:r w:rsidRPr="00121A23">
        <w:t>will provide a more convenient and immediate means for respondents to provide feedback and even to briefly scan a past copy of the report</w:t>
      </w:r>
      <w:r w:rsidR="00E85FDF" w:rsidRPr="00121A23">
        <w:t xml:space="preserve"> (online) as they do so; the URL to the report can be provided in the body of the introduction to the survey. </w:t>
      </w:r>
    </w:p>
    <w:p w:rsidR="00F02826" w:rsidRPr="00121A23" w:rsidRDefault="00F02826" w:rsidP="00F02826">
      <w:pPr>
        <w:numPr>
          <w:ilvl w:val="2"/>
          <w:numId w:val="1"/>
        </w:numPr>
      </w:pPr>
      <w:r w:rsidRPr="00121A23">
        <w:t xml:space="preserve">The questionnaire format </w:t>
      </w:r>
      <w:r w:rsidR="009C44A9" w:rsidRPr="00121A23">
        <w:t>is</w:t>
      </w:r>
      <w:r w:rsidRPr="00121A23">
        <w:t xml:space="preserve"> </w:t>
      </w:r>
      <w:r w:rsidR="00FF7D9C" w:rsidRPr="00121A23">
        <w:t xml:space="preserve">simple and </w:t>
      </w:r>
      <w:r w:rsidRPr="00121A23">
        <w:t>organized</w:t>
      </w:r>
      <w:r w:rsidR="002D2013" w:rsidRPr="00121A23">
        <w:t xml:space="preserve">, improving the likelihood that </w:t>
      </w:r>
      <w:r w:rsidR="00BB2382" w:rsidRPr="00121A23">
        <w:t xml:space="preserve">potential </w:t>
      </w:r>
      <w:r w:rsidRPr="00121A23">
        <w:t xml:space="preserve">respondents </w:t>
      </w:r>
      <w:r w:rsidR="002D2013" w:rsidRPr="00121A23">
        <w:t>will respond</w:t>
      </w:r>
      <w:r w:rsidRPr="00121A23">
        <w:t>.</w:t>
      </w:r>
      <w:r w:rsidR="00E85FDF" w:rsidRPr="00121A23">
        <w:t xml:space="preserve"> For instance, a small amount of text color will be used to help guide respondents through the instrument.</w:t>
      </w:r>
    </w:p>
    <w:p w:rsidR="00BB2382" w:rsidRPr="00121A23" w:rsidRDefault="002D2013" w:rsidP="00F02826">
      <w:pPr>
        <w:numPr>
          <w:ilvl w:val="2"/>
          <w:numId w:val="1"/>
        </w:numPr>
      </w:pPr>
      <w:r w:rsidRPr="00121A23">
        <w:t xml:space="preserve">In most cases, </w:t>
      </w:r>
      <w:r w:rsidR="00E85FDF" w:rsidRPr="00121A23">
        <w:t>potential respondents belong to g</w:t>
      </w:r>
      <w:r w:rsidRPr="00121A23">
        <w:t>roups with whom SAMHSA routinely</w:t>
      </w:r>
      <w:r w:rsidR="00E96557" w:rsidRPr="00121A23">
        <w:t xml:space="preserve"> interacts; each can be contacted prior to sending out the survey either directly by the agency, or through a respected organization familiar to them. In part, this will encourage participation by a trusted source; but also</w:t>
      </w:r>
      <w:r w:rsidR="00E85FDF" w:rsidRPr="00121A23">
        <w:t>, will help</w:t>
      </w:r>
      <w:r w:rsidR="00E96557" w:rsidRPr="00121A23">
        <w:t xml:space="preserve"> ensure respondents ‘look for’ the invitation email in the event their corporate system sends it to spam.</w:t>
      </w:r>
    </w:p>
    <w:p w:rsidR="009C44A9" w:rsidRPr="00121A23" w:rsidRDefault="009C44A9" w:rsidP="009C44A9">
      <w:pPr>
        <w:ind w:left="1620"/>
      </w:pPr>
    </w:p>
    <w:p w:rsidR="002230A7" w:rsidRPr="00121A23" w:rsidRDefault="00147662" w:rsidP="009C44A9">
      <w:pPr>
        <w:ind w:left="1620"/>
      </w:pPr>
      <w:r w:rsidRPr="00121A23">
        <w:t>Due to</w:t>
      </w:r>
      <w:r w:rsidR="00C919E2" w:rsidRPr="00121A23">
        <w:t xml:space="preserve"> these efforts to maximize the response rate, </w:t>
      </w:r>
      <w:r w:rsidR="00420B23">
        <w:t>SAMHSA</w:t>
      </w:r>
      <w:r w:rsidR="00E96557" w:rsidRPr="00121A23">
        <w:t xml:space="preserve"> estimate</w:t>
      </w:r>
      <w:r w:rsidR="00420B23">
        <w:t>s</w:t>
      </w:r>
      <w:r w:rsidR="00F02826" w:rsidRPr="00121A23">
        <w:t xml:space="preserve"> a</w:t>
      </w:r>
      <w:r w:rsidR="00F87B23" w:rsidRPr="00121A23">
        <w:t xml:space="preserve"> response rate of </w:t>
      </w:r>
      <w:r w:rsidR="00E96557" w:rsidRPr="00121A23">
        <w:t>70</w:t>
      </w:r>
      <w:r w:rsidR="00E125C7" w:rsidRPr="00121A23">
        <w:t xml:space="preserve">% </w:t>
      </w:r>
      <w:r w:rsidR="00E96557" w:rsidRPr="00121A23">
        <w:t xml:space="preserve">(approx. </w:t>
      </w:r>
      <w:r w:rsidR="00623F04" w:rsidRPr="00121A23">
        <w:t xml:space="preserve">102 </w:t>
      </w:r>
      <w:r w:rsidR="00C53BC2" w:rsidRPr="00121A23">
        <w:t>responses</w:t>
      </w:r>
      <w:r w:rsidR="00623F04" w:rsidRPr="00121A23">
        <w:t xml:space="preserve"> of 146 recruited</w:t>
      </w:r>
      <w:r w:rsidR="00C53BC2" w:rsidRPr="00121A23">
        <w:t>)</w:t>
      </w:r>
      <w:r w:rsidR="00B110D2" w:rsidRPr="00121A23">
        <w:t>.</w:t>
      </w:r>
    </w:p>
    <w:p w:rsidR="009F5938" w:rsidRPr="00121A23" w:rsidRDefault="009F5938" w:rsidP="009C44A9">
      <w:pPr>
        <w:ind w:left="1620"/>
      </w:pPr>
    </w:p>
    <w:p w:rsidR="009F5938" w:rsidRPr="00121A23" w:rsidRDefault="00E96557" w:rsidP="009C44A9">
      <w:pPr>
        <w:ind w:left="1620"/>
      </w:pPr>
      <w:r w:rsidRPr="00121A23">
        <w:t xml:space="preserve">Since this is a small-scale, </w:t>
      </w:r>
      <w:r w:rsidR="009F5938" w:rsidRPr="00121A23">
        <w:t>voluntary survey, follow-u</w:t>
      </w:r>
      <w:r w:rsidR="003F24E3" w:rsidRPr="00121A23">
        <w:t>p</w:t>
      </w:r>
      <w:r w:rsidR="009F5938" w:rsidRPr="00121A23">
        <w:t xml:space="preserve"> </w:t>
      </w:r>
      <w:r w:rsidRPr="00121A23">
        <w:t>will be limited to one email reminder to</w:t>
      </w:r>
      <w:r w:rsidR="009F5938" w:rsidRPr="00121A23">
        <w:t xml:space="preserve"> those who </w:t>
      </w:r>
      <w:r w:rsidRPr="00121A23">
        <w:t>have not responded within 2 weeks of administration</w:t>
      </w:r>
      <w:r w:rsidR="009F5938" w:rsidRPr="00121A23">
        <w:t xml:space="preserve">.  </w:t>
      </w:r>
    </w:p>
    <w:p w:rsidR="00E42A8B" w:rsidRPr="00121A23" w:rsidRDefault="00E42A8B" w:rsidP="00E42A8B"/>
    <w:p w:rsidR="001D67FF" w:rsidRPr="00121A23" w:rsidRDefault="001D67FF" w:rsidP="001D67FF">
      <w:pPr>
        <w:numPr>
          <w:ilvl w:val="1"/>
          <w:numId w:val="1"/>
        </w:numPr>
        <w:rPr>
          <w:b/>
        </w:rPr>
      </w:pPr>
      <w:r w:rsidRPr="00121A23">
        <w:rPr>
          <w:b/>
        </w:rPr>
        <w:t>Methods Used to Maintain Customer Confidentiality</w:t>
      </w:r>
    </w:p>
    <w:p w:rsidR="007A0C13" w:rsidRDefault="006E2307" w:rsidP="001D67FF">
      <w:pPr>
        <w:ind w:left="1080"/>
      </w:pPr>
      <w:r>
        <w:t xml:space="preserve">Each potential respondent will be contacted </w:t>
      </w:r>
      <w:r w:rsidR="00F42E60">
        <w:t xml:space="preserve">by </w:t>
      </w:r>
      <w:r>
        <w:t>e-mail account</w:t>
      </w:r>
      <w:r w:rsidR="00F42E60">
        <w:t>; their participation is completely voluntary</w:t>
      </w:r>
      <w:r>
        <w:t xml:space="preserve">. Each link to the survey will have a unique </w:t>
      </w:r>
      <w:proofErr w:type="gramStart"/>
      <w:r>
        <w:t>identifier,</w:t>
      </w:r>
      <w:proofErr w:type="gramEnd"/>
      <w:r>
        <w:t xml:space="preserve"> however, no personally identifying information will be collected. </w:t>
      </w:r>
      <w:r w:rsidR="005E0B65">
        <w:t>Responses</w:t>
      </w:r>
      <w:r>
        <w:t xml:space="preserve"> will be </w:t>
      </w:r>
      <w:r w:rsidR="005E0B65">
        <w:t>compiled online in Google Docs, downloaded at the conclusion of the data collection period, and then transferred from Google Docs to the SAMHSA server (and deleted from Google Docs)</w:t>
      </w:r>
      <w:r>
        <w:t>.</w:t>
      </w:r>
    </w:p>
    <w:p w:rsidR="005E0B65" w:rsidRPr="00121A23" w:rsidRDefault="005E0B65" w:rsidP="001D67FF">
      <w:pPr>
        <w:ind w:left="1080"/>
        <w:rPr>
          <w:b/>
        </w:rPr>
      </w:pPr>
    </w:p>
    <w:p w:rsidR="001D67FF" w:rsidRPr="00121A23" w:rsidRDefault="001D67FF" w:rsidP="001D67FF">
      <w:pPr>
        <w:numPr>
          <w:ilvl w:val="0"/>
          <w:numId w:val="1"/>
        </w:numPr>
        <w:rPr>
          <w:b/>
        </w:rPr>
      </w:pPr>
      <w:r w:rsidRPr="00121A23">
        <w:rPr>
          <w:b/>
        </w:rPr>
        <w:t>Response Burden Estimate</w:t>
      </w:r>
    </w:p>
    <w:p w:rsidR="00304EE2" w:rsidRPr="00121A23" w:rsidRDefault="007A6ED1" w:rsidP="007A0C13">
      <w:pPr>
        <w:ind w:left="720"/>
      </w:pPr>
      <w:r w:rsidRPr="00121A23">
        <w:lastRenderedPageBreak/>
        <w:t xml:space="preserve">Testing of the survey indicates an average response time of </w:t>
      </w:r>
      <w:r w:rsidR="005E0B65">
        <w:t>10</w:t>
      </w:r>
      <w:r w:rsidR="005E0B65" w:rsidRPr="00121A23">
        <w:t xml:space="preserve"> </w:t>
      </w:r>
      <w:r w:rsidRPr="00121A23">
        <w:t xml:space="preserve">minutes per questionnaire.  </w:t>
      </w:r>
    </w:p>
    <w:p w:rsidR="00304EE2" w:rsidRPr="00121A23" w:rsidRDefault="00304EE2" w:rsidP="007A0C13">
      <w:pPr>
        <w:ind w:left="720"/>
      </w:pPr>
    </w:p>
    <w:p w:rsidR="001D67FF" w:rsidRPr="00121A23" w:rsidRDefault="003D295F" w:rsidP="007A0C13">
      <w:pPr>
        <w:ind w:left="720"/>
      </w:pPr>
      <w:r w:rsidRPr="00121A23">
        <w:t xml:space="preserve">99 </w:t>
      </w:r>
      <w:r w:rsidR="00E96557" w:rsidRPr="00121A23">
        <w:t xml:space="preserve">(non-Federal) </w:t>
      </w:r>
      <w:r w:rsidR="00304EE2" w:rsidRPr="00121A23">
        <w:t xml:space="preserve">responses x </w:t>
      </w:r>
      <w:r w:rsidR="005E0B65">
        <w:t>10</w:t>
      </w:r>
      <w:r w:rsidR="005E0B65" w:rsidRPr="00121A23">
        <w:t xml:space="preserve"> </w:t>
      </w:r>
      <w:r w:rsidR="00304EE2" w:rsidRPr="00121A23">
        <w:t>minutes</w:t>
      </w:r>
      <w:r w:rsidR="00E96557" w:rsidRPr="00121A23">
        <w:t xml:space="preserve"> (.</w:t>
      </w:r>
      <w:r w:rsidR="005E0B65">
        <w:t>167</w:t>
      </w:r>
      <w:r w:rsidR="002E5AFA" w:rsidRPr="00121A23">
        <w:t xml:space="preserve"> h</w:t>
      </w:r>
      <w:r w:rsidR="005E0B65">
        <w:t>ours</w:t>
      </w:r>
      <w:r w:rsidR="002E5AFA" w:rsidRPr="00121A23">
        <w:t>)</w:t>
      </w:r>
      <w:r w:rsidR="00E96557" w:rsidRPr="00121A23">
        <w:t xml:space="preserve"> = </w:t>
      </w:r>
      <w:r w:rsidR="005E0B65">
        <w:t>16.53</w:t>
      </w:r>
      <w:r w:rsidRPr="00121A23">
        <w:t xml:space="preserve"> </w:t>
      </w:r>
      <w:r w:rsidR="00304EE2" w:rsidRPr="00121A23">
        <w:t>hours in one year</w:t>
      </w:r>
    </w:p>
    <w:p w:rsidR="00304EE2" w:rsidRPr="00121A23" w:rsidRDefault="00304EE2" w:rsidP="007A0C13">
      <w:pPr>
        <w:ind w:left="720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4"/>
        <w:gridCol w:w="1532"/>
        <w:gridCol w:w="1430"/>
        <w:gridCol w:w="1272"/>
        <w:gridCol w:w="1084"/>
        <w:gridCol w:w="1033"/>
        <w:gridCol w:w="1051"/>
      </w:tblGrid>
      <w:tr w:rsidR="00A06C7E" w:rsidRPr="00121A23" w:rsidTr="00E616BD">
        <w:tc>
          <w:tcPr>
            <w:tcW w:w="1497" w:type="dxa"/>
          </w:tcPr>
          <w:p w:rsidR="00A06C7E" w:rsidRPr="00121A23" w:rsidRDefault="00A06C7E" w:rsidP="007A0C13"/>
          <w:p w:rsidR="00A06C7E" w:rsidRPr="00121A23" w:rsidRDefault="00A06C7E" w:rsidP="007A0C13"/>
        </w:tc>
        <w:tc>
          <w:tcPr>
            <w:tcW w:w="1567" w:type="dxa"/>
          </w:tcPr>
          <w:p w:rsidR="00943C5E" w:rsidRPr="00121A23" w:rsidRDefault="00943C5E" w:rsidP="00943C5E">
            <w:pPr>
              <w:jc w:val="center"/>
              <w:rPr>
                <w:b/>
              </w:rPr>
            </w:pPr>
            <w:r w:rsidRPr="00121A23">
              <w:rPr>
                <w:b/>
              </w:rPr>
              <w:t>Estimated # of Respondents</w:t>
            </w:r>
          </w:p>
        </w:tc>
        <w:tc>
          <w:tcPr>
            <w:tcW w:w="1350" w:type="dxa"/>
          </w:tcPr>
          <w:p w:rsidR="00943C5E" w:rsidRPr="00121A23" w:rsidRDefault="00943C5E" w:rsidP="00943C5E">
            <w:pPr>
              <w:jc w:val="center"/>
              <w:rPr>
                <w:b/>
              </w:rPr>
            </w:pPr>
            <w:r w:rsidRPr="00121A23">
              <w:rPr>
                <w:b/>
              </w:rPr>
              <w:t># of Responses per Respondent</w:t>
            </w:r>
          </w:p>
        </w:tc>
        <w:tc>
          <w:tcPr>
            <w:tcW w:w="1634" w:type="dxa"/>
          </w:tcPr>
          <w:p w:rsidR="00943C5E" w:rsidRPr="00121A23" w:rsidRDefault="00943C5E" w:rsidP="00943C5E">
            <w:pPr>
              <w:jc w:val="center"/>
              <w:rPr>
                <w:b/>
              </w:rPr>
            </w:pPr>
            <w:r w:rsidRPr="00121A23">
              <w:rPr>
                <w:b/>
              </w:rPr>
              <w:t>Hours per Response</w:t>
            </w:r>
          </w:p>
        </w:tc>
        <w:tc>
          <w:tcPr>
            <w:tcW w:w="1440" w:type="dxa"/>
          </w:tcPr>
          <w:p w:rsidR="00943C5E" w:rsidRPr="00121A23" w:rsidRDefault="00943C5E" w:rsidP="00943C5E">
            <w:pPr>
              <w:jc w:val="center"/>
              <w:rPr>
                <w:b/>
              </w:rPr>
            </w:pPr>
            <w:r w:rsidRPr="00121A23">
              <w:rPr>
                <w:b/>
              </w:rPr>
              <w:t>Total Burden Hours</w:t>
            </w:r>
          </w:p>
        </w:tc>
        <w:tc>
          <w:tcPr>
            <w:tcW w:w="1350" w:type="dxa"/>
          </w:tcPr>
          <w:p w:rsidR="00943C5E" w:rsidRPr="00121A23" w:rsidRDefault="00943C5E" w:rsidP="00943C5E">
            <w:pPr>
              <w:jc w:val="center"/>
              <w:rPr>
                <w:b/>
              </w:rPr>
            </w:pPr>
            <w:r w:rsidRPr="00121A23">
              <w:rPr>
                <w:b/>
              </w:rPr>
              <w:t>Hourly Wage Rate</w:t>
            </w:r>
          </w:p>
        </w:tc>
        <w:tc>
          <w:tcPr>
            <w:tcW w:w="1260" w:type="dxa"/>
          </w:tcPr>
          <w:p w:rsidR="00943C5E" w:rsidRPr="00121A23" w:rsidRDefault="00943C5E" w:rsidP="00943C5E">
            <w:pPr>
              <w:jc w:val="center"/>
              <w:rPr>
                <w:b/>
              </w:rPr>
            </w:pPr>
            <w:r w:rsidRPr="00121A23">
              <w:rPr>
                <w:b/>
              </w:rPr>
              <w:t>Total Cost per Year</w:t>
            </w:r>
          </w:p>
        </w:tc>
      </w:tr>
      <w:tr w:rsidR="00A06C7E" w:rsidRPr="00121A23" w:rsidTr="00E616BD">
        <w:tc>
          <w:tcPr>
            <w:tcW w:w="1497" w:type="dxa"/>
          </w:tcPr>
          <w:p w:rsidR="00A06C7E" w:rsidRPr="00121A23" w:rsidRDefault="00A06C7E" w:rsidP="00A06C7E">
            <w:r w:rsidRPr="00121A23">
              <w:t xml:space="preserve">Respondents  </w:t>
            </w:r>
            <w:r w:rsidR="00F87B23" w:rsidRPr="00121A23">
              <w:t>(</w:t>
            </w:r>
            <w:r w:rsidRPr="00121A23">
              <w:t>Non-Fed</w:t>
            </w:r>
            <w:r w:rsidR="00B5158B">
              <w:t>eral</w:t>
            </w:r>
            <w:r w:rsidRPr="00121A23">
              <w:t>)</w:t>
            </w:r>
          </w:p>
        </w:tc>
        <w:tc>
          <w:tcPr>
            <w:tcW w:w="1567" w:type="dxa"/>
          </w:tcPr>
          <w:p w:rsidR="00A06C7E" w:rsidRPr="00121A23" w:rsidRDefault="003D295F" w:rsidP="00E616BD">
            <w:pPr>
              <w:jc w:val="right"/>
            </w:pPr>
            <w:r w:rsidRPr="00121A23">
              <w:t>99</w:t>
            </w:r>
          </w:p>
        </w:tc>
        <w:tc>
          <w:tcPr>
            <w:tcW w:w="1350" w:type="dxa"/>
          </w:tcPr>
          <w:p w:rsidR="00A06C7E" w:rsidRPr="00121A23" w:rsidRDefault="00A06C7E" w:rsidP="00E616BD">
            <w:pPr>
              <w:jc w:val="right"/>
            </w:pPr>
            <w:r w:rsidRPr="00121A23">
              <w:t>1</w:t>
            </w:r>
          </w:p>
        </w:tc>
        <w:tc>
          <w:tcPr>
            <w:tcW w:w="1634" w:type="dxa"/>
          </w:tcPr>
          <w:p w:rsidR="00A06C7E" w:rsidRPr="00121A23" w:rsidRDefault="00A06C7E" w:rsidP="005E0B65">
            <w:pPr>
              <w:jc w:val="right"/>
            </w:pPr>
            <w:r w:rsidRPr="00121A23">
              <w:t>.</w:t>
            </w:r>
            <w:r w:rsidR="005E0B65">
              <w:t>167</w:t>
            </w:r>
          </w:p>
        </w:tc>
        <w:tc>
          <w:tcPr>
            <w:tcW w:w="1440" w:type="dxa"/>
          </w:tcPr>
          <w:p w:rsidR="00A06C7E" w:rsidRPr="00121A23" w:rsidRDefault="005E0B65" w:rsidP="005E0B65">
            <w:pPr>
              <w:jc w:val="right"/>
            </w:pPr>
            <w:r>
              <w:t>16</w:t>
            </w:r>
            <w:r w:rsidR="003D295F" w:rsidRPr="00121A23">
              <w:t>.</w:t>
            </w:r>
            <w:r>
              <w:t>53</w:t>
            </w:r>
          </w:p>
        </w:tc>
        <w:tc>
          <w:tcPr>
            <w:tcW w:w="1350" w:type="dxa"/>
          </w:tcPr>
          <w:p w:rsidR="00A06C7E" w:rsidRPr="00121A23" w:rsidRDefault="00A06C7E" w:rsidP="00E616BD">
            <w:pPr>
              <w:jc w:val="right"/>
            </w:pPr>
            <w:r w:rsidRPr="00121A23">
              <w:t>$30</w:t>
            </w:r>
          </w:p>
        </w:tc>
        <w:tc>
          <w:tcPr>
            <w:tcW w:w="1260" w:type="dxa"/>
          </w:tcPr>
          <w:p w:rsidR="00A06C7E" w:rsidRPr="00121A23" w:rsidRDefault="002E5AFA" w:rsidP="005E0B65">
            <w:pPr>
              <w:jc w:val="right"/>
            </w:pPr>
            <w:r w:rsidRPr="00121A23">
              <w:t>$</w:t>
            </w:r>
            <w:r w:rsidR="005E0B65">
              <w:t>495.99</w:t>
            </w:r>
          </w:p>
        </w:tc>
      </w:tr>
    </w:tbl>
    <w:p w:rsidR="00304EE2" w:rsidRPr="00121A23" w:rsidRDefault="00304EE2" w:rsidP="007A0C13">
      <w:pPr>
        <w:ind w:left="720"/>
      </w:pPr>
    </w:p>
    <w:p w:rsidR="001D67FF" w:rsidRPr="00121A23" w:rsidRDefault="001D67FF" w:rsidP="001D67FF">
      <w:pPr>
        <w:numPr>
          <w:ilvl w:val="0"/>
          <w:numId w:val="1"/>
        </w:numPr>
        <w:rPr>
          <w:b/>
        </w:rPr>
      </w:pPr>
      <w:r w:rsidRPr="00121A23">
        <w:rPr>
          <w:b/>
        </w:rPr>
        <w:t>Contact for Proposed Customer Satisfaction Effort</w:t>
      </w:r>
    </w:p>
    <w:p w:rsidR="001D67FF" w:rsidRPr="00121A23" w:rsidRDefault="00AC364C" w:rsidP="001D67FF">
      <w:pPr>
        <w:ind w:left="1080"/>
      </w:pPr>
      <w:r w:rsidRPr="00121A23">
        <w:t>Chipper Dean, Social Science Analyst</w:t>
      </w:r>
    </w:p>
    <w:p w:rsidR="001D67FF" w:rsidRPr="00121A23" w:rsidRDefault="00AC364C" w:rsidP="001D67FF">
      <w:pPr>
        <w:ind w:left="1080"/>
      </w:pPr>
      <w:r w:rsidRPr="00121A23">
        <w:t>SAMHSA-CBHSQ</w:t>
      </w:r>
    </w:p>
    <w:p w:rsidR="001D67FF" w:rsidRPr="00121A23" w:rsidRDefault="001D67FF" w:rsidP="001D67FF">
      <w:pPr>
        <w:ind w:left="1080"/>
      </w:pPr>
    </w:p>
    <w:p w:rsidR="001D67FF" w:rsidRPr="00121A23" w:rsidRDefault="001D67FF" w:rsidP="001D67FF">
      <w:pPr>
        <w:numPr>
          <w:ilvl w:val="0"/>
          <w:numId w:val="1"/>
        </w:numPr>
        <w:rPr>
          <w:b/>
        </w:rPr>
      </w:pPr>
      <w:r w:rsidRPr="00121A23">
        <w:rPr>
          <w:b/>
        </w:rPr>
        <w:t>List of Attachments</w:t>
      </w:r>
    </w:p>
    <w:p w:rsidR="00077E0E" w:rsidRPr="00121A23" w:rsidRDefault="00077E0E" w:rsidP="00077E0E">
      <w:pPr>
        <w:ind w:left="1080"/>
        <w:rPr>
          <w:b/>
        </w:rPr>
      </w:pPr>
      <w:r w:rsidRPr="00121A23">
        <w:rPr>
          <w:b/>
        </w:rPr>
        <w:t xml:space="preserve">Attachment A:  </w:t>
      </w:r>
      <w:r w:rsidRPr="00121A23">
        <w:t xml:space="preserve">Customer </w:t>
      </w:r>
      <w:r w:rsidR="00B6151C" w:rsidRPr="00121A23">
        <w:t>feedback</w:t>
      </w:r>
      <w:r w:rsidRPr="00121A23">
        <w:t xml:space="preserve"> survey</w:t>
      </w:r>
    </w:p>
    <w:p w:rsidR="00077E0E" w:rsidRPr="00121A23" w:rsidRDefault="00077E0E" w:rsidP="00077E0E">
      <w:pPr>
        <w:ind w:left="1080"/>
        <w:rPr>
          <w:b/>
        </w:rPr>
      </w:pPr>
      <w:r w:rsidRPr="00121A23">
        <w:rPr>
          <w:b/>
        </w:rPr>
        <w:t xml:space="preserve">Attachment B:  </w:t>
      </w:r>
      <w:r w:rsidR="00037403">
        <w:t>Participant recruitment e-mail</w:t>
      </w:r>
    </w:p>
    <w:p w:rsidR="001D67FF" w:rsidRPr="00121A23" w:rsidRDefault="001D67FF" w:rsidP="001D67FF">
      <w:pPr>
        <w:ind w:left="360"/>
        <w:rPr>
          <w:b/>
        </w:rPr>
      </w:pPr>
    </w:p>
    <w:sectPr w:rsidR="001D67FF" w:rsidRPr="00121A23" w:rsidSect="003D295F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FBD" w:rsidRDefault="00931FBD">
      <w:r>
        <w:separator/>
      </w:r>
    </w:p>
  </w:endnote>
  <w:endnote w:type="continuationSeparator" w:id="0">
    <w:p w:rsidR="00931FBD" w:rsidRDefault="00931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FBD" w:rsidRDefault="00931FBD" w:rsidP="00F028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1FBD" w:rsidRDefault="00931F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57219"/>
      <w:docPartObj>
        <w:docPartGallery w:val="Page Numbers (Bottom of Page)"/>
        <w:docPartUnique/>
      </w:docPartObj>
    </w:sdtPr>
    <w:sdtContent>
      <w:p w:rsidR="00931FBD" w:rsidRDefault="00931FBD">
        <w:pPr>
          <w:pStyle w:val="Footer"/>
          <w:jc w:val="right"/>
        </w:pPr>
        <w:fldSimple w:instr=" PAGE   \* MERGEFORMAT ">
          <w:r w:rsidR="00420B23">
            <w:rPr>
              <w:noProof/>
            </w:rPr>
            <w:t>5</w:t>
          </w:r>
        </w:fldSimple>
      </w:p>
    </w:sdtContent>
  </w:sdt>
  <w:p w:rsidR="00931FBD" w:rsidRDefault="00931F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FBD" w:rsidRDefault="00931FBD">
      <w:r>
        <w:separator/>
      </w:r>
    </w:p>
  </w:footnote>
  <w:footnote w:type="continuationSeparator" w:id="0">
    <w:p w:rsidR="00931FBD" w:rsidRDefault="00931F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55D71"/>
    <w:multiLevelType w:val="hybridMultilevel"/>
    <w:tmpl w:val="FD007E9C"/>
    <w:lvl w:ilvl="0" w:tplc="66FC33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143CB"/>
    <w:multiLevelType w:val="hybridMultilevel"/>
    <w:tmpl w:val="8FA089C8"/>
    <w:lvl w:ilvl="0" w:tplc="48765854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018897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4A4CCA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78B6818"/>
    <w:multiLevelType w:val="hybridMultilevel"/>
    <w:tmpl w:val="E0548194"/>
    <w:lvl w:ilvl="0" w:tplc="AF641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1079A7"/>
    <w:multiLevelType w:val="multilevel"/>
    <w:tmpl w:val="0E88FA2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807DA5"/>
    <w:multiLevelType w:val="hybridMultilevel"/>
    <w:tmpl w:val="02D889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6E4"/>
    <w:rsid w:val="000011CE"/>
    <w:rsid w:val="000159AC"/>
    <w:rsid w:val="0002011F"/>
    <w:rsid w:val="00024CCB"/>
    <w:rsid w:val="00033375"/>
    <w:rsid w:val="00035EBC"/>
    <w:rsid w:val="00037403"/>
    <w:rsid w:val="0004217B"/>
    <w:rsid w:val="000450EA"/>
    <w:rsid w:val="00047DBD"/>
    <w:rsid w:val="000501E6"/>
    <w:rsid w:val="00050CE9"/>
    <w:rsid w:val="000546B0"/>
    <w:rsid w:val="00064D10"/>
    <w:rsid w:val="00065725"/>
    <w:rsid w:val="00077E0E"/>
    <w:rsid w:val="000824E5"/>
    <w:rsid w:val="00082919"/>
    <w:rsid w:val="000838B2"/>
    <w:rsid w:val="00083F9D"/>
    <w:rsid w:val="000A09C5"/>
    <w:rsid w:val="000B4C6E"/>
    <w:rsid w:val="000C420E"/>
    <w:rsid w:val="000C743B"/>
    <w:rsid w:val="000D16E4"/>
    <w:rsid w:val="000E05EF"/>
    <w:rsid w:val="000E1C34"/>
    <w:rsid w:val="000E62C2"/>
    <w:rsid w:val="000F135A"/>
    <w:rsid w:val="000F5C8F"/>
    <w:rsid w:val="00100AC1"/>
    <w:rsid w:val="00101EE3"/>
    <w:rsid w:val="001036FA"/>
    <w:rsid w:val="00111D66"/>
    <w:rsid w:val="00117329"/>
    <w:rsid w:val="001214EF"/>
    <w:rsid w:val="00121A23"/>
    <w:rsid w:val="00122DCC"/>
    <w:rsid w:val="001238F2"/>
    <w:rsid w:val="00123B57"/>
    <w:rsid w:val="00126383"/>
    <w:rsid w:val="0013244C"/>
    <w:rsid w:val="0014021F"/>
    <w:rsid w:val="00141737"/>
    <w:rsid w:val="00147662"/>
    <w:rsid w:val="00151F98"/>
    <w:rsid w:val="001526E5"/>
    <w:rsid w:val="0015394D"/>
    <w:rsid w:val="00156E70"/>
    <w:rsid w:val="001578A3"/>
    <w:rsid w:val="00161902"/>
    <w:rsid w:val="00167A04"/>
    <w:rsid w:val="00175F5F"/>
    <w:rsid w:val="001836C1"/>
    <w:rsid w:val="00187867"/>
    <w:rsid w:val="001954D1"/>
    <w:rsid w:val="001A0509"/>
    <w:rsid w:val="001A628E"/>
    <w:rsid w:val="001A6E26"/>
    <w:rsid w:val="001B12D9"/>
    <w:rsid w:val="001B27E2"/>
    <w:rsid w:val="001C0303"/>
    <w:rsid w:val="001C42A2"/>
    <w:rsid w:val="001C4634"/>
    <w:rsid w:val="001C7A21"/>
    <w:rsid w:val="001D1209"/>
    <w:rsid w:val="001D67FF"/>
    <w:rsid w:val="001E40A5"/>
    <w:rsid w:val="001E662C"/>
    <w:rsid w:val="001E7C85"/>
    <w:rsid w:val="001F4EE5"/>
    <w:rsid w:val="001F71B0"/>
    <w:rsid w:val="00201500"/>
    <w:rsid w:val="00203757"/>
    <w:rsid w:val="002050AE"/>
    <w:rsid w:val="002064AC"/>
    <w:rsid w:val="002146D5"/>
    <w:rsid w:val="0021480A"/>
    <w:rsid w:val="00215187"/>
    <w:rsid w:val="002230A7"/>
    <w:rsid w:val="00225136"/>
    <w:rsid w:val="00226380"/>
    <w:rsid w:val="002314D0"/>
    <w:rsid w:val="00232C95"/>
    <w:rsid w:val="00240B36"/>
    <w:rsid w:val="002521BD"/>
    <w:rsid w:val="0026093A"/>
    <w:rsid w:val="00262B9B"/>
    <w:rsid w:val="002642D9"/>
    <w:rsid w:val="00271735"/>
    <w:rsid w:val="00287580"/>
    <w:rsid w:val="00290605"/>
    <w:rsid w:val="00294764"/>
    <w:rsid w:val="002A0FF2"/>
    <w:rsid w:val="002A30AB"/>
    <w:rsid w:val="002A6339"/>
    <w:rsid w:val="002B0419"/>
    <w:rsid w:val="002B7163"/>
    <w:rsid w:val="002C5EFD"/>
    <w:rsid w:val="002D1B25"/>
    <w:rsid w:val="002D1D42"/>
    <w:rsid w:val="002D2013"/>
    <w:rsid w:val="002E31FD"/>
    <w:rsid w:val="002E5AFA"/>
    <w:rsid w:val="00302F64"/>
    <w:rsid w:val="003036F1"/>
    <w:rsid w:val="00304EE2"/>
    <w:rsid w:val="0031597E"/>
    <w:rsid w:val="00315ED5"/>
    <w:rsid w:val="0031728A"/>
    <w:rsid w:val="003316A7"/>
    <w:rsid w:val="00344103"/>
    <w:rsid w:val="00344F37"/>
    <w:rsid w:val="003571E5"/>
    <w:rsid w:val="00357763"/>
    <w:rsid w:val="00360CAE"/>
    <w:rsid w:val="0036166A"/>
    <w:rsid w:val="0037339D"/>
    <w:rsid w:val="003733C6"/>
    <w:rsid w:val="00385831"/>
    <w:rsid w:val="00387FF9"/>
    <w:rsid w:val="00391611"/>
    <w:rsid w:val="0039644A"/>
    <w:rsid w:val="0039729C"/>
    <w:rsid w:val="003A77B1"/>
    <w:rsid w:val="003B0E48"/>
    <w:rsid w:val="003B49D1"/>
    <w:rsid w:val="003B4D53"/>
    <w:rsid w:val="003B66AD"/>
    <w:rsid w:val="003B6DE6"/>
    <w:rsid w:val="003C08F3"/>
    <w:rsid w:val="003C1350"/>
    <w:rsid w:val="003C1498"/>
    <w:rsid w:val="003D295F"/>
    <w:rsid w:val="003D351F"/>
    <w:rsid w:val="003D5A54"/>
    <w:rsid w:val="003D6288"/>
    <w:rsid w:val="003E2D16"/>
    <w:rsid w:val="003E4B15"/>
    <w:rsid w:val="003F24E3"/>
    <w:rsid w:val="003F3BE8"/>
    <w:rsid w:val="00402FDD"/>
    <w:rsid w:val="004121F2"/>
    <w:rsid w:val="00413DB0"/>
    <w:rsid w:val="00416742"/>
    <w:rsid w:val="00420B23"/>
    <w:rsid w:val="00420BDD"/>
    <w:rsid w:val="00423D94"/>
    <w:rsid w:val="00430DB5"/>
    <w:rsid w:val="00442EAE"/>
    <w:rsid w:val="00445CCA"/>
    <w:rsid w:val="00446C75"/>
    <w:rsid w:val="00446EF5"/>
    <w:rsid w:val="0045015C"/>
    <w:rsid w:val="0045103C"/>
    <w:rsid w:val="0046170B"/>
    <w:rsid w:val="0047026B"/>
    <w:rsid w:val="004713AE"/>
    <w:rsid w:val="00476674"/>
    <w:rsid w:val="00481D08"/>
    <w:rsid w:val="00495DF5"/>
    <w:rsid w:val="004960F6"/>
    <w:rsid w:val="004A49DF"/>
    <w:rsid w:val="004A6426"/>
    <w:rsid w:val="004C3F6A"/>
    <w:rsid w:val="004C4E3F"/>
    <w:rsid w:val="004D0034"/>
    <w:rsid w:val="004D76E3"/>
    <w:rsid w:val="004E0698"/>
    <w:rsid w:val="004E353C"/>
    <w:rsid w:val="004E3589"/>
    <w:rsid w:val="004F42FA"/>
    <w:rsid w:val="0050330F"/>
    <w:rsid w:val="0050503D"/>
    <w:rsid w:val="00505866"/>
    <w:rsid w:val="00506BEA"/>
    <w:rsid w:val="00511F04"/>
    <w:rsid w:val="0051391B"/>
    <w:rsid w:val="005176EA"/>
    <w:rsid w:val="00521F8E"/>
    <w:rsid w:val="0052698B"/>
    <w:rsid w:val="00534940"/>
    <w:rsid w:val="00547C0A"/>
    <w:rsid w:val="00551654"/>
    <w:rsid w:val="00554BA0"/>
    <w:rsid w:val="00562234"/>
    <w:rsid w:val="00566E39"/>
    <w:rsid w:val="0057186D"/>
    <w:rsid w:val="00582CCA"/>
    <w:rsid w:val="005845BB"/>
    <w:rsid w:val="00586446"/>
    <w:rsid w:val="00587B19"/>
    <w:rsid w:val="00593E48"/>
    <w:rsid w:val="005A3D7E"/>
    <w:rsid w:val="005A5A48"/>
    <w:rsid w:val="005B0454"/>
    <w:rsid w:val="005C3523"/>
    <w:rsid w:val="005C4757"/>
    <w:rsid w:val="005C67AF"/>
    <w:rsid w:val="005D33C7"/>
    <w:rsid w:val="005D4562"/>
    <w:rsid w:val="005D4937"/>
    <w:rsid w:val="005D5AE0"/>
    <w:rsid w:val="005D6ECA"/>
    <w:rsid w:val="005E0702"/>
    <w:rsid w:val="005E0830"/>
    <w:rsid w:val="005E0B65"/>
    <w:rsid w:val="005E2860"/>
    <w:rsid w:val="005F1AB2"/>
    <w:rsid w:val="005F3C03"/>
    <w:rsid w:val="005F4518"/>
    <w:rsid w:val="005F6673"/>
    <w:rsid w:val="005F7744"/>
    <w:rsid w:val="006055D7"/>
    <w:rsid w:val="00613634"/>
    <w:rsid w:val="006138F8"/>
    <w:rsid w:val="00617A4F"/>
    <w:rsid w:val="006208AF"/>
    <w:rsid w:val="00621267"/>
    <w:rsid w:val="006232F6"/>
    <w:rsid w:val="00623F04"/>
    <w:rsid w:val="006452E3"/>
    <w:rsid w:val="00646F89"/>
    <w:rsid w:val="00647B08"/>
    <w:rsid w:val="00674442"/>
    <w:rsid w:val="00686BA7"/>
    <w:rsid w:val="00686E90"/>
    <w:rsid w:val="00690A5A"/>
    <w:rsid w:val="00690B44"/>
    <w:rsid w:val="006936EE"/>
    <w:rsid w:val="006A1C73"/>
    <w:rsid w:val="006A4038"/>
    <w:rsid w:val="006B1B00"/>
    <w:rsid w:val="006C095A"/>
    <w:rsid w:val="006E1C01"/>
    <w:rsid w:val="006E2307"/>
    <w:rsid w:val="006E3657"/>
    <w:rsid w:val="006E4FBA"/>
    <w:rsid w:val="006F0376"/>
    <w:rsid w:val="006F11D7"/>
    <w:rsid w:val="00704ABD"/>
    <w:rsid w:val="00705EA3"/>
    <w:rsid w:val="007131C9"/>
    <w:rsid w:val="00727484"/>
    <w:rsid w:val="0072768F"/>
    <w:rsid w:val="0074369F"/>
    <w:rsid w:val="00757133"/>
    <w:rsid w:val="00761ABD"/>
    <w:rsid w:val="00767A7B"/>
    <w:rsid w:val="00770C46"/>
    <w:rsid w:val="007724CB"/>
    <w:rsid w:val="00774C4D"/>
    <w:rsid w:val="00790249"/>
    <w:rsid w:val="007A0C13"/>
    <w:rsid w:val="007A2ABC"/>
    <w:rsid w:val="007A5AC8"/>
    <w:rsid w:val="007A6ED1"/>
    <w:rsid w:val="007A71F8"/>
    <w:rsid w:val="007B7993"/>
    <w:rsid w:val="007C641F"/>
    <w:rsid w:val="007C72FB"/>
    <w:rsid w:val="007D449B"/>
    <w:rsid w:val="007D6CA0"/>
    <w:rsid w:val="007E14B9"/>
    <w:rsid w:val="0080595B"/>
    <w:rsid w:val="00807B1E"/>
    <w:rsid w:val="00815457"/>
    <w:rsid w:val="008222F9"/>
    <w:rsid w:val="0082489C"/>
    <w:rsid w:val="00826C05"/>
    <w:rsid w:val="00832B36"/>
    <w:rsid w:val="00834964"/>
    <w:rsid w:val="008403D7"/>
    <w:rsid w:val="00840B08"/>
    <w:rsid w:val="00852E57"/>
    <w:rsid w:val="00852EED"/>
    <w:rsid w:val="00854CB9"/>
    <w:rsid w:val="008559BE"/>
    <w:rsid w:val="008561D8"/>
    <w:rsid w:val="00856C5B"/>
    <w:rsid w:val="0085771C"/>
    <w:rsid w:val="0086236E"/>
    <w:rsid w:val="00870C58"/>
    <w:rsid w:val="00871DD1"/>
    <w:rsid w:val="0087494B"/>
    <w:rsid w:val="00875892"/>
    <w:rsid w:val="00875EC9"/>
    <w:rsid w:val="008A223D"/>
    <w:rsid w:val="008A561B"/>
    <w:rsid w:val="008A5A65"/>
    <w:rsid w:val="008B7006"/>
    <w:rsid w:val="008C0C5D"/>
    <w:rsid w:val="008C10F7"/>
    <w:rsid w:val="008C392B"/>
    <w:rsid w:val="008C4CE4"/>
    <w:rsid w:val="008D0341"/>
    <w:rsid w:val="008D2FE2"/>
    <w:rsid w:val="008E0500"/>
    <w:rsid w:val="008E2F29"/>
    <w:rsid w:val="008E4553"/>
    <w:rsid w:val="008E7730"/>
    <w:rsid w:val="00902D51"/>
    <w:rsid w:val="0091322D"/>
    <w:rsid w:val="00931FBD"/>
    <w:rsid w:val="009377AF"/>
    <w:rsid w:val="00943C5E"/>
    <w:rsid w:val="0094500C"/>
    <w:rsid w:val="00950599"/>
    <w:rsid w:val="00952070"/>
    <w:rsid w:val="00962DB3"/>
    <w:rsid w:val="00965B0B"/>
    <w:rsid w:val="009734D5"/>
    <w:rsid w:val="00975C1F"/>
    <w:rsid w:val="00976544"/>
    <w:rsid w:val="0097714A"/>
    <w:rsid w:val="00992DB2"/>
    <w:rsid w:val="009A228D"/>
    <w:rsid w:val="009A2F37"/>
    <w:rsid w:val="009A52C0"/>
    <w:rsid w:val="009A70C2"/>
    <w:rsid w:val="009A7A39"/>
    <w:rsid w:val="009B2B6D"/>
    <w:rsid w:val="009B2DD8"/>
    <w:rsid w:val="009B6D26"/>
    <w:rsid w:val="009C1ECF"/>
    <w:rsid w:val="009C44A9"/>
    <w:rsid w:val="009C4A6D"/>
    <w:rsid w:val="009D709C"/>
    <w:rsid w:val="009D7511"/>
    <w:rsid w:val="009E00D3"/>
    <w:rsid w:val="009E4393"/>
    <w:rsid w:val="009F5938"/>
    <w:rsid w:val="009F6BD4"/>
    <w:rsid w:val="00A00543"/>
    <w:rsid w:val="00A007DD"/>
    <w:rsid w:val="00A0105F"/>
    <w:rsid w:val="00A02A38"/>
    <w:rsid w:val="00A06C7E"/>
    <w:rsid w:val="00A07886"/>
    <w:rsid w:val="00A14C69"/>
    <w:rsid w:val="00A14D2E"/>
    <w:rsid w:val="00A1635D"/>
    <w:rsid w:val="00A17937"/>
    <w:rsid w:val="00A207C1"/>
    <w:rsid w:val="00A24311"/>
    <w:rsid w:val="00A24D4E"/>
    <w:rsid w:val="00A25C00"/>
    <w:rsid w:val="00A26A94"/>
    <w:rsid w:val="00A37E7B"/>
    <w:rsid w:val="00A422D3"/>
    <w:rsid w:val="00A52070"/>
    <w:rsid w:val="00A617B9"/>
    <w:rsid w:val="00A66B8B"/>
    <w:rsid w:val="00A66D23"/>
    <w:rsid w:val="00A71177"/>
    <w:rsid w:val="00A75211"/>
    <w:rsid w:val="00A77579"/>
    <w:rsid w:val="00A80317"/>
    <w:rsid w:val="00A8083B"/>
    <w:rsid w:val="00A90B20"/>
    <w:rsid w:val="00A939CC"/>
    <w:rsid w:val="00A97291"/>
    <w:rsid w:val="00A97AD0"/>
    <w:rsid w:val="00AA6DB5"/>
    <w:rsid w:val="00AB4FCF"/>
    <w:rsid w:val="00AC1394"/>
    <w:rsid w:val="00AC27B9"/>
    <w:rsid w:val="00AC364C"/>
    <w:rsid w:val="00AC669B"/>
    <w:rsid w:val="00AD0DD2"/>
    <w:rsid w:val="00AD12E5"/>
    <w:rsid w:val="00AD1403"/>
    <w:rsid w:val="00AD3779"/>
    <w:rsid w:val="00AD46AD"/>
    <w:rsid w:val="00AE1D14"/>
    <w:rsid w:val="00AE46DE"/>
    <w:rsid w:val="00AE5CF6"/>
    <w:rsid w:val="00AF2F80"/>
    <w:rsid w:val="00B01982"/>
    <w:rsid w:val="00B0495D"/>
    <w:rsid w:val="00B110D2"/>
    <w:rsid w:val="00B115FE"/>
    <w:rsid w:val="00B11AC3"/>
    <w:rsid w:val="00B14246"/>
    <w:rsid w:val="00B15543"/>
    <w:rsid w:val="00B218B8"/>
    <w:rsid w:val="00B22759"/>
    <w:rsid w:val="00B300A1"/>
    <w:rsid w:val="00B304ED"/>
    <w:rsid w:val="00B43AE5"/>
    <w:rsid w:val="00B5158B"/>
    <w:rsid w:val="00B528BC"/>
    <w:rsid w:val="00B56F55"/>
    <w:rsid w:val="00B610D4"/>
    <w:rsid w:val="00B6151C"/>
    <w:rsid w:val="00B62BBF"/>
    <w:rsid w:val="00B62E3B"/>
    <w:rsid w:val="00B6312D"/>
    <w:rsid w:val="00B63A40"/>
    <w:rsid w:val="00B649E5"/>
    <w:rsid w:val="00B6628A"/>
    <w:rsid w:val="00B70089"/>
    <w:rsid w:val="00B732EB"/>
    <w:rsid w:val="00B74DA1"/>
    <w:rsid w:val="00B7765D"/>
    <w:rsid w:val="00B80421"/>
    <w:rsid w:val="00B8682D"/>
    <w:rsid w:val="00B979FE"/>
    <w:rsid w:val="00BA1568"/>
    <w:rsid w:val="00BA365A"/>
    <w:rsid w:val="00BA6DBE"/>
    <w:rsid w:val="00BA7995"/>
    <w:rsid w:val="00BB2382"/>
    <w:rsid w:val="00BB5191"/>
    <w:rsid w:val="00BC4F83"/>
    <w:rsid w:val="00BD1BC6"/>
    <w:rsid w:val="00BD1F31"/>
    <w:rsid w:val="00BD2C92"/>
    <w:rsid w:val="00BD3044"/>
    <w:rsid w:val="00BD5CE8"/>
    <w:rsid w:val="00BE0F10"/>
    <w:rsid w:val="00BE2E70"/>
    <w:rsid w:val="00BF1D01"/>
    <w:rsid w:val="00BF2B37"/>
    <w:rsid w:val="00C0136B"/>
    <w:rsid w:val="00C01F1A"/>
    <w:rsid w:val="00C06318"/>
    <w:rsid w:val="00C06A04"/>
    <w:rsid w:val="00C12928"/>
    <w:rsid w:val="00C16DE8"/>
    <w:rsid w:val="00C1749E"/>
    <w:rsid w:val="00C17831"/>
    <w:rsid w:val="00C21A3D"/>
    <w:rsid w:val="00C22E93"/>
    <w:rsid w:val="00C23484"/>
    <w:rsid w:val="00C25F4A"/>
    <w:rsid w:val="00C3451B"/>
    <w:rsid w:val="00C37C3E"/>
    <w:rsid w:val="00C407E5"/>
    <w:rsid w:val="00C410E4"/>
    <w:rsid w:val="00C5251B"/>
    <w:rsid w:val="00C52BDF"/>
    <w:rsid w:val="00C53BC2"/>
    <w:rsid w:val="00C624C4"/>
    <w:rsid w:val="00C63019"/>
    <w:rsid w:val="00C64F27"/>
    <w:rsid w:val="00C71833"/>
    <w:rsid w:val="00C73BFB"/>
    <w:rsid w:val="00C919E2"/>
    <w:rsid w:val="00C9276D"/>
    <w:rsid w:val="00CA1239"/>
    <w:rsid w:val="00CA5CCA"/>
    <w:rsid w:val="00CA604E"/>
    <w:rsid w:val="00CA7617"/>
    <w:rsid w:val="00CA7D14"/>
    <w:rsid w:val="00CC097F"/>
    <w:rsid w:val="00CC3424"/>
    <w:rsid w:val="00CC477B"/>
    <w:rsid w:val="00CD0202"/>
    <w:rsid w:val="00CD07F0"/>
    <w:rsid w:val="00CD17A4"/>
    <w:rsid w:val="00CD2DEB"/>
    <w:rsid w:val="00CD38B1"/>
    <w:rsid w:val="00CD45AD"/>
    <w:rsid w:val="00CD5337"/>
    <w:rsid w:val="00CF0AF9"/>
    <w:rsid w:val="00CF284B"/>
    <w:rsid w:val="00CF5572"/>
    <w:rsid w:val="00CF6C70"/>
    <w:rsid w:val="00D014CB"/>
    <w:rsid w:val="00D16B86"/>
    <w:rsid w:val="00D16C10"/>
    <w:rsid w:val="00D23CF2"/>
    <w:rsid w:val="00D30496"/>
    <w:rsid w:val="00D309AC"/>
    <w:rsid w:val="00D33802"/>
    <w:rsid w:val="00D342D9"/>
    <w:rsid w:val="00D539E3"/>
    <w:rsid w:val="00D61718"/>
    <w:rsid w:val="00D66B93"/>
    <w:rsid w:val="00D6725B"/>
    <w:rsid w:val="00D67CDC"/>
    <w:rsid w:val="00D74D9B"/>
    <w:rsid w:val="00D83A24"/>
    <w:rsid w:val="00D85108"/>
    <w:rsid w:val="00D8785C"/>
    <w:rsid w:val="00D93087"/>
    <w:rsid w:val="00D93756"/>
    <w:rsid w:val="00DB3CD4"/>
    <w:rsid w:val="00DB5A86"/>
    <w:rsid w:val="00DC01DA"/>
    <w:rsid w:val="00DC1E7B"/>
    <w:rsid w:val="00DC40E6"/>
    <w:rsid w:val="00DC4CEF"/>
    <w:rsid w:val="00DC6007"/>
    <w:rsid w:val="00DD0B8F"/>
    <w:rsid w:val="00DD3BF3"/>
    <w:rsid w:val="00DE6CD9"/>
    <w:rsid w:val="00DF51C5"/>
    <w:rsid w:val="00DF7E87"/>
    <w:rsid w:val="00E012BA"/>
    <w:rsid w:val="00E04999"/>
    <w:rsid w:val="00E05A15"/>
    <w:rsid w:val="00E07FDB"/>
    <w:rsid w:val="00E105C6"/>
    <w:rsid w:val="00E125C7"/>
    <w:rsid w:val="00E13E26"/>
    <w:rsid w:val="00E17899"/>
    <w:rsid w:val="00E27080"/>
    <w:rsid w:val="00E42723"/>
    <w:rsid w:val="00E42A8B"/>
    <w:rsid w:val="00E47C84"/>
    <w:rsid w:val="00E60FEB"/>
    <w:rsid w:val="00E616BD"/>
    <w:rsid w:val="00E63501"/>
    <w:rsid w:val="00E637FF"/>
    <w:rsid w:val="00E71FEC"/>
    <w:rsid w:val="00E754EA"/>
    <w:rsid w:val="00E8032C"/>
    <w:rsid w:val="00E85FDF"/>
    <w:rsid w:val="00E86887"/>
    <w:rsid w:val="00E90009"/>
    <w:rsid w:val="00E96557"/>
    <w:rsid w:val="00E96D53"/>
    <w:rsid w:val="00E970A1"/>
    <w:rsid w:val="00EA3249"/>
    <w:rsid w:val="00EB4CDE"/>
    <w:rsid w:val="00ED74CA"/>
    <w:rsid w:val="00EF03A3"/>
    <w:rsid w:val="00EF676D"/>
    <w:rsid w:val="00EF773A"/>
    <w:rsid w:val="00F00A9C"/>
    <w:rsid w:val="00F0158E"/>
    <w:rsid w:val="00F02826"/>
    <w:rsid w:val="00F03325"/>
    <w:rsid w:val="00F03461"/>
    <w:rsid w:val="00F12076"/>
    <w:rsid w:val="00F158E1"/>
    <w:rsid w:val="00F21605"/>
    <w:rsid w:val="00F3266A"/>
    <w:rsid w:val="00F330E9"/>
    <w:rsid w:val="00F41F40"/>
    <w:rsid w:val="00F42E60"/>
    <w:rsid w:val="00F44427"/>
    <w:rsid w:val="00F52B79"/>
    <w:rsid w:val="00F544B8"/>
    <w:rsid w:val="00F55574"/>
    <w:rsid w:val="00F55BCA"/>
    <w:rsid w:val="00F6169D"/>
    <w:rsid w:val="00F67C61"/>
    <w:rsid w:val="00F7006E"/>
    <w:rsid w:val="00F705A2"/>
    <w:rsid w:val="00F77E93"/>
    <w:rsid w:val="00F8781D"/>
    <w:rsid w:val="00F87B23"/>
    <w:rsid w:val="00F9280B"/>
    <w:rsid w:val="00F93422"/>
    <w:rsid w:val="00FA2356"/>
    <w:rsid w:val="00FA4173"/>
    <w:rsid w:val="00FB47D2"/>
    <w:rsid w:val="00FC14DF"/>
    <w:rsid w:val="00FC622D"/>
    <w:rsid w:val="00FD1B29"/>
    <w:rsid w:val="00FD25B8"/>
    <w:rsid w:val="00FD6E50"/>
    <w:rsid w:val="00FE5A9B"/>
    <w:rsid w:val="00FF25AF"/>
    <w:rsid w:val="00FF524C"/>
    <w:rsid w:val="00FF53CC"/>
    <w:rsid w:val="00FF5742"/>
    <w:rsid w:val="00FF720F"/>
    <w:rsid w:val="00FF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0B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1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7521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028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2826"/>
  </w:style>
  <w:style w:type="character" w:styleId="Hyperlink">
    <w:name w:val="Hyperlink"/>
    <w:basedOn w:val="DefaultParagraphFont"/>
    <w:rsid w:val="00344F3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rsid w:val="005C67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67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67AF"/>
  </w:style>
  <w:style w:type="paragraph" w:styleId="CommentSubject">
    <w:name w:val="annotation subject"/>
    <w:basedOn w:val="CommentText"/>
    <w:next w:val="CommentText"/>
    <w:link w:val="CommentSubjectChar"/>
    <w:rsid w:val="005C67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67AF"/>
    <w:rPr>
      <w:b/>
      <w:bCs/>
    </w:rPr>
  </w:style>
  <w:style w:type="paragraph" w:styleId="Header">
    <w:name w:val="header"/>
    <w:basedOn w:val="Normal"/>
    <w:link w:val="HeaderChar"/>
    <w:rsid w:val="00A24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D4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24D4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21A23"/>
    <w:pPr>
      <w:ind w:left="720"/>
      <w:contextualSpacing/>
    </w:pPr>
    <w:rPr>
      <w:rFonts w:ascii="Cambria" w:eastAsiaTheme="minorHAnsi" w:hAnsi="Cambria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11055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Sanderson</dc:creator>
  <cp:keywords/>
  <dc:description/>
  <cp:lastModifiedBy>Chipper Dean</cp:lastModifiedBy>
  <cp:revision>4</cp:revision>
  <cp:lastPrinted>2008-05-02T04:43:00Z</cp:lastPrinted>
  <dcterms:created xsi:type="dcterms:W3CDTF">2013-06-13T14:52:00Z</dcterms:created>
  <dcterms:modified xsi:type="dcterms:W3CDTF">2013-06-13T15:15:00Z</dcterms:modified>
</cp:coreProperties>
</file>