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1" w:rsidRDefault="00C22662" w:rsidP="00D80AF3">
      <w:pPr>
        <w:pStyle w:val="Heading1"/>
      </w:pPr>
      <w:r>
        <w:t>The Substance Abuse and Mental Health Services Administration (</w:t>
      </w:r>
      <w:r w:rsidR="00485887">
        <w:t>SAMHSA</w:t>
      </w:r>
      <w:r>
        <w:t>)</w:t>
      </w:r>
      <w:r w:rsidR="00485887">
        <w:t xml:space="preserve"> Customer Satisfaction Survey</w:t>
      </w:r>
    </w:p>
    <w:p w:rsidR="00485887" w:rsidRPr="007A7442" w:rsidRDefault="0033365C" w:rsidP="00485887">
      <w:pPr>
        <w:rPr>
          <w:b/>
        </w:rPr>
      </w:pPr>
      <w:r>
        <w:rPr>
          <w:b/>
        </w:rPr>
        <w:t>OMTO/DTM</w:t>
      </w:r>
      <w:r w:rsidR="009B0B30">
        <w:rPr>
          <w:b/>
        </w:rPr>
        <w:t xml:space="preserve"> </w:t>
      </w:r>
      <w:r w:rsidR="008B51D7">
        <w:rPr>
          <w:b/>
        </w:rPr>
        <w:t>Project EVOLVE Feedback</w:t>
      </w:r>
      <w:r w:rsidR="009B0B30">
        <w:rPr>
          <w:b/>
        </w:rPr>
        <w:t xml:space="preserve"> Survey</w:t>
      </w:r>
    </w:p>
    <w:p w:rsidR="00485887" w:rsidRDefault="0054535E" w:rsidP="001A0A26">
      <w:pPr>
        <w:pStyle w:val="Heading2"/>
      </w:pPr>
      <w:r>
        <w:t xml:space="preserve">Product/Activity to be </w:t>
      </w:r>
      <w:proofErr w:type="gramStart"/>
      <w:r>
        <w:t>Assessed</w:t>
      </w:r>
      <w:proofErr w:type="gramEnd"/>
    </w:p>
    <w:p w:rsidR="00B878EE" w:rsidRDefault="0054535E" w:rsidP="00485887">
      <w:r>
        <w:t xml:space="preserve">In </w:t>
      </w:r>
      <w:r w:rsidR="00E4568D">
        <w:t>conjunction</w:t>
      </w:r>
      <w:r>
        <w:t xml:space="preserve"> with the </w:t>
      </w:r>
      <w:hyperlink r:id="rId7" w:history="1">
        <w:r w:rsidRPr="0054535E">
          <w:rPr>
            <w:rStyle w:val="Hyperlink"/>
          </w:rPr>
          <w:t>Digital Government Strategy</w:t>
        </w:r>
      </w:hyperlink>
      <w:r>
        <w:t xml:space="preserve">, the </w:t>
      </w:r>
      <w:r w:rsidR="00B44196">
        <w:t xml:space="preserve">Division of Technology Management (DTM) of </w:t>
      </w:r>
      <w:r w:rsidR="002F0AD8">
        <w:t xml:space="preserve">the </w:t>
      </w:r>
      <w:r w:rsidR="00B44196">
        <w:t>O</w:t>
      </w:r>
      <w:r w:rsidR="002F0AD8">
        <w:t>ffice of Management, Technology, and Operations</w:t>
      </w:r>
      <w:r w:rsidR="00AA1D62">
        <w:t xml:space="preserve"> (</w:t>
      </w:r>
      <w:r w:rsidR="002F0AD8">
        <w:t>OMTO</w:t>
      </w:r>
      <w:r w:rsidR="00AA1D62">
        <w:t>)</w:t>
      </w:r>
      <w:r>
        <w:t xml:space="preserve"> is </w:t>
      </w:r>
      <w:r w:rsidR="00E4568D">
        <w:t>consolidating</w:t>
      </w:r>
      <w:r>
        <w:t xml:space="preserve"> appropriate Web content into a </w:t>
      </w:r>
      <w:r w:rsidR="00AA1D62">
        <w:t xml:space="preserve">single, </w:t>
      </w:r>
      <w:r>
        <w:t>cohesive website.</w:t>
      </w:r>
      <w:r w:rsidR="00AD43B5">
        <w:t xml:space="preserve"> This effort is branded</w:t>
      </w:r>
      <w:r w:rsidR="002F0AD8">
        <w:t xml:space="preserve"> </w:t>
      </w:r>
      <w:r w:rsidR="0031435D">
        <w:t>as</w:t>
      </w:r>
      <w:r w:rsidR="00AD43B5">
        <w:t xml:space="preserve"> Project Evolve</w:t>
      </w:r>
      <w:r w:rsidR="002F0AD8">
        <w:t xml:space="preserve"> in the </w:t>
      </w:r>
      <w:r w:rsidR="00C22662">
        <w:t>Substance Abuse and Mental Health Services Administration (</w:t>
      </w:r>
      <w:r w:rsidR="002F0AD8">
        <w:t>SAMHSA</w:t>
      </w:r>
      <w:r w:rsidR="00C22662">
        <w:t>)</w:t>
      </w:r>
      <w:r w:rsidR="002F0AD8">
        <w:t xml:space="preserve"> community</w:t>
      </w:r>
      <w:r w:rsidR="00AD43B5">
        <w:t>.</w:t>
      </w:r>
      <w:r>
        <w:t xml:space="preserve"> </w:t>
      </w:r>
      <w:r w:rsidR="00171500">
        <w:t xml:space="preserve">The feedback of </w:t>
      </w:r>
      <w:r w:rsidR="001F7C95">
        <w:t>SAMHSA’s Web audience</w:t>
      </w:r>
      <w:r w:rsidR="00171500">
        <w:t xml:space="preserve"> is vital to the improvement of SAMHSA’s </w:t>
      </w:r>
      <w:r w:rsidR="001F7C95">
        <w:t xml:space="preserve">overall </w:t>
      </w:r>
      <w:r w:rsidR="00171500">
        <w:t xml:space="preserve">Web presence. For this reason, </w:t>
      </w:r>
      <w:r w:rsidR="00C22662">
        <w:t>SAMHSA</w:t>
      </w:r>
      <w:r w:rsidR="00171500">
        <w:t xml:space="preserve"> </w:t>
      </w:r>
      <w:r w:rsidR="00C22662">
        <w:t>is</w:t>
      </w:r>
      <w:r w:rsidR="00171500">
        <w:t xml:space="preserve"> requesting OMB approval for one customer satisfaction feedback survey, designed to provide input </w:t>
      </w:r>
      <w:r w:rsidR="00703EB4">
        <w:t>regarding the new information architecture, updated content, and new design of the “About Us” and “Find Help” sections.</w:t>
      </w:r>
    </w:p>
    <w:p w:rsidR="00146CC3" w:rsidRDefault="00146CC3" w:rsidP="00485887"/>
    <w:p w:rsidR="00B878EE" w:rsidRDefault="001C20CE" w:rsidP="00485887">
      <w:pPr>
        <w:pStyle w:val="ListParagraph"/>
        <w:numPr>
          <w:ilvl w:val="0"/>
          <w:numId w:val="2"/>
        </w:numPr>
      </w:pPr>
      <w:r>
        <w:t xml:space="preserve">The </w:t>
      </w:r>
      <w:r w:rsidR="00954927" w:rsidRPr="00954927">
        <w:rPr>
          <w:b/>
        </w:rPr>
        <w:t>“</w:t>
      </w:r>
      <w:r w:rsidRPr="001C20CE">
        <w:rPr>
          <w:b/>
        </w:rPr>
        <w:t>About Us</w:t>
      </w:r>
      <w:r w:rsidR="00954927">
        <w:rPr>
          <w:b/>
        </w:rPr>
        <w:t>”</w:t>
      </w:r>
      <w:r w:rsidRPr="001C20CE">
        <w:rPr>
          <w:b/>
        </w:rPr>
        <w:t xml:space="preserve"> and </w:t>
      </w:r>
      <w:r w:rsidR="00954927">
        <w:rPr>
          <w:b/>
        </w:rPr>
        <w:t>“</w:t>
      </w:r>
      <w:r w:rsidRPr="001C20CE">
        <w:rPr>
          <w:b/>
        </w:rPr>
        <w:t>Find Help</w:t>
      </w:r>
      <w:r w:rsidR="00954927">
        <w:rPr>
          <w:b/>
        </w:rPr>
        <w:t>”</w:t>
      </w:r>
      <w:r w:rsidRPr="001C20CE">
        <w:rPr>
          <w:b/>
        </w:rPr>
        <w:t xml:space="preserve"> Survey</w:t>
      </w:r>
      <w:r>
        <w:t xml:space="preserve"> (Attachment 1), will assess participant satisfaction with the new</w:t>
      </w:r>
      <w:r w:rsidR="004955FD">
        <w:t xml:space="preserve"> improvements to the specific</w:t>
      </w:r>
      <w:r>
        <w:t xml:space="preserve"> SAMHSA websites. It will include Likert scale ratings (very poor, poor, average, good, very good, N/A), open-ended, and checkbox responses.</w:t>
      </w:r>
    </w:p>
    <w:p w:rsidR="00B878EE" w:rsidRDefault="00B878EE" w:rsidP="001A0A26">
      <w:pPr>
        <w:pStyle w:val="Heading2"/>
      </w:pPr>
      <w:r>
        <w:t>Brief Statement of Objectives</w:t>
      </w:r>
    </w:p>
    <w:p w:rsidR="0031435D" w:rsidRDefault="00CB5293" w:rsidP="0031435D">
      <w:pPr>
        <w:rPr>
          <w:b/>
        </w:rPr>
      </w:pPr>
      <w:r>
        <w:t xml:space="preserve">The survey will assess participant satisfaction with </w:t>
      </w:r>
      <w:r w:rsidR="00CB3E5A">
        <w:t xml:space="preserve">the new improvements to the specific </w:t>
      </w:r>
      <w:r>
        <w:t>SAMHSA</w:t>
      </w:r>
      <w:r w:rsidR="00CB3E5A">
        <w:t xml:space="preserve"> </w:t>
      </w:r>
      <w:r>
        <w:t>websites</w:t>
      </w:r>
      <w:r w:rsidR="00CB3E5A">
        <w:t>,</w:t>
      </w:r>
      <w:r w:rsidR="00327139">
        <w:t xml:space="preserve"> </w:t>
      </w:r>
      <w:r w:rsidR="00CB3E5A">
        <w:t>“</w:t>
      </w:r>
      <w:r>
        <w:t>About Us</w:t>
      </w:r>
      <w:r w:rsidR="00CB3E5A">
        <w:t>”</w:t>
      </w:r>
      <w:r>
        <w:t xml:space="preserve"> and </w:t>
      </w:r>
      <w:r w:rsidR="00CB3E5A">
        <w:t>“</w:t>
      </w:r>
      <w:r>
        <w:t>Find Help</w:t>
      </w:r>
      <w:r w:rsidR="00CB3E5A">
        <w:t>”</w:t>
      </w:r>
      <w:r>
        <w:t>. The data collected from the evaluations will include the following components:</w:t>
      </w:r>
      <w:r>
        <w:br/>
      </w:r>
    </w:p>
    <w:p w:rsidR="0054535E" w:rsidRDefault="006A7C66" w:rsidP="0031435D">
      <w:pPr>
        <w:pStyle w:val="ListParagraph"/>
        <w:numPr>
          <w:ilvl w:val="0"/>
          <w:numId w:val="2"/>
        </w:numPr>
        <w:ind w:left="810"/>
      </w:pPr>
      <w:r w:rsidRPr="0031435D">
        <w:rPr>
          <w:b/>
        </w:rPr>
        <w:t xml:space="preserve">Specific </w:t>
      </w:r>
      <w:r w:rsidR="008C0FA5" w:rsidRPr="0031435D">
        <w:rPr>
          <w:b/>
        </w:rPr>
        <w:t>s</w:t>
      </w:r>
      <w:r w:rsidRPr="0031435D">
        <w:rPr>
          <w:b/>
        </w:rPr>
        <w:t>atisfaction</w:t>
      </w:r>
      <w:r>
        <w:t xml:space="preserve"> </w:t>
      </w:r>
      <w:r w:rsidR="00E91B5E">
        <w:t>–</w:t>
      </w:r>
      <w:r>
        <w:t xml:space="preserve"> </w:t>
      </w:r>
      <w:r w:rsidR="00E91B5E">
        <w:t>responses will determine mean satisfaction across multiple items, indicating the extent to which participants are satisfied with the websites.</w:t>
      </w:r>
    </w:p>
    <w:p w:rsidR="008C0FA5" w:rsidRDefault="008C0FA5" w:rsidP="0031435D">
      <w:pPr>
        <w:pStyle w:val="ListParagraph"/>
        <w:numPr>
          <w:ilvl w:val="0"/>
          <w:numId w:val="1"/>
        </w:numPr>
        <w:ind w:left="810"/>
      </w:pPr>
      <w:r w:rsidRPr="008C0FA5">
        <w:rPr>
          <w:b/>
        </w:rPr>
        <w:t>Personal satisfaction</w:t>
      </w:r>
      <w:r>
        <w:t xml:space="preserve"> </w:t>
      </w:r>
      <w:r w:rsidR="000633EE">
        <w:t>–</w:t>
      </w:r>
      <w:r>
        <w:t xml:space="preserve"> </w:t>
      </w:r>
      <w:r w:rsidR="000633EE">
        <w:t>participants’ comments and suggestions will provide rich, contextual</w:t>
      </w:r>
      <w:r w:rsidR="004558F9">
        <w:t>ized information on the websites.</w:t>
      </w:r>
    </w:p>
    <w:p w:rsidR="004451F5" w:rsidRDefault="004451F5" w:rsidP="0031435D">
      <w:pPr>
        <w:pStyle w:val="ListParagraph"/>
        <w:numPr>
          <w:ilvl w:val="0"/>
          <w:numId w:val="1"/>
        </w:numPr>
        <w:ind w:left="810"/>
      </w:pPr>
      <w:r w:rsidRPr="004451F5">
        <w:t>The data</w:t>
      </w:r>
      <w:r>
        <w:t xml:space="preserve"> gathered by the survey will serve to continuously improve SAMHSA’s Web </w:t>
      </w:r>
      <w:r w:rsidR="003D0534">
        <w:t>presence</w:t>
      </w:r>
      <w:r>
        <w:t xml:space="preserve"> as more websites are absorbed. To analyze the date, the contractor will compute descriptive statistics for the Likert scale and yes/no responses, and summarize the open-ended comments.</w:t>
      </w:r>
    </w:p>
    <w:p w:rsidR="004451F5" w:rsidRDefault="00D80AF3" w:rsidP="00D80AF3">
      <w:pPr>
        <w:pStyle w:val="Heading2"/>
      </w:pPr>
      <w:r>
        <w:t>Overview of Methods to Collect the Information</w:t>
      </w:r>
    </w:p>
    <w:p w:rsidR="00BF3080" w:rsidRDefault="00DF2088" w:rsidP="00E864FB">
      <w:pPr>
        <w:rPr>
          <w:b/>
        </w:rPr>
      </w:pPr>
      <w:proofErr w:type="gramStart"/>
      <w:r w:rsidRPr="00DF2088">
        <w:rPr>
          <w:b/>
        </w:rPr>
        <w:t>Data collection method.</w:t>
      </w:r>
      <w:proofErr w:type="gramEnd"/>
    </w:p>
    <w:p w:rsidR="00B736DA" w:rsidRPr="00BF3080" w:rsidRDefault="00EF5378" w:rsidP="00E864FB">
      <w:pPr>
        <w:rPr>
          <w:b/>
        </w:rPr>
      </w:pPr>
      <w:r>
        <w:t xml:space="preserve">The contractor will administer the Survey electronically through Survey Monkey. </w:t>
      </w:r>
      <w:r w:rsidR="000A370D">
        <w:t xml:space="preserve">The SAMHSA </w:t>
      </w:r>
      <w:r>
        <w:t xml:space="preserve">Web </w:t>
      </w:r>
      <w:r w:rsidR="000A370D">
        <w:t>audience</w:t>
      </w:r>
      <w:r>
        <w:t xml:space="preserve"> will see a feedback module on the new websites, </w:t>
      </w:r>
      <w:r w:rsidR="004D2390">
        <w:t>offering a platform</w:t>
      </w:r>
      <w:r>
        <w:t xml:space="preserve"> </w:t>
      </w:r>
      <w:r w:rsidR="004D2390">
        <w:t>to provide feedback,</w:t>
      </w:r>
      <w:r>
        <w:t xml:space="preserve"> in the </w:t>
      </w:r>
      <w:r w:rsidR="004D2390">
        <w:t>form of</w:t>
      </w:r>
      <w:r>
        <w:t xml:space="preserve"> a link to Survey Monkey. The survey uses commonly asked questions to solicit feedback regarding participant satisfaction with redesigned websites.</w:t>
      </w:r>
    </w:p>
    <w:p w:rsidR="00E864FB" w:rsidRDefault="00E864FB" w:rsidP="00E864FB">
      <w:pPr>
        <w:rPr>
          <w:b/>
        </w:rPr>
      </w:pPr>
    </w:p>
    <w:p w:rsidR="00267D5F" w:rsidRDefault="00267D5F" w:rsidP="00E864FB">
      <w:proofErr w:type="gramStart"/>
      <w:r w:rsidRPr="00267D5F">
        <w:rPr>
          <w:b/>
        </w:rPr>
        <w:t>Method for identifying respondents.</w:t>
      </w:r>
      <w:proofErr w:type="gramEnd"/>
    </w:p>
    <w:p w:rsidR="00267D5F" w:rsidRDefault="00D544F5" w:rsidP="00E864FB">
      <w:r>
        <w:t xml:space="preserve">Anyone </w:t>
      </w:r>
      <w:r w:rsidR="00BF3080">
        <w:t>who use</w:t>
      </w:r>
      <w:r>
        <w:t>s</w:t>
      </w:r>
      <w:r w:rsidR="00BF3080">
        <w:t xml:space="preserve"> SAMHSA</w:t>
      </w:r>
      <w:r w:rsidR="00297EB9">
        <w:t>’s website</w:t>
      </w:r>
      <w:r w:rsidR="005B2203">
        <w:t>s</w:t>
      </w:r>
      <w:r w:rsidR="00BF3080">
        <w:t xml:space="preserve"> </w:t>
      </w:r>
      <w:proofErr w:type="gramStart"/>
      <w:r w:rsidR="00BF3080">
        <w:t>are</w:t>
      </w:r>
      <w:proofErr w:type="gramEnd"/>
      <w:r w:rsidR="00BF3080">
        <w:t xml:space="preserve"> eligible and encouraged to complete this survey.</w:t>
      </w:r>
    </w:p>
    <w:p w:rsidR="00E864FB" w:rsidRDefault="00E864FB" w:rsidP="00E864FB">
      <w:pPr>
        <w:rPr>
          <w:b/>
        </w:rPr>
      </w:pPr>
    </w:p>
    <w:p w:rsidR="00D33733" w:rsidRDefault="00897DA5" w:rsidP="00D33733">
      <w:pPr>
        <w:rPr>
          <w:b/>
        </w:rPr>
      </w:pPr>
      <w:r>
        <w:rPr>
          <w:b/>
        </w:rPr>
        <w:t>Proposed sample size and rationale</w:t>
      </w:r>
      <w:r w:rsidR="00D33733">
        <w:rPr>
          <w:b/>
        </w:rPr>
        <w:t>.</w:t>
      </w:r>
    </w:p>
    <w:p w:rsidR="00D33733" w:rsidRDefault="000D69AB" w:rsidP="00D33733">
      <w:pPr>
        <w:rPr>
          <w:b/>
        </w:rPr>
      </w:pPr>
      <w:r>
        <w:t>Because this</w:t>
      </w:r>
      <w:r w:rsidR="00897DA5">
        <w:t xml:space="preserve"> survey is open to the </w:t>
      </w:r>
      <w:r>
        <w:t>public</w:t>
      </w:r>
      <w:r w:rsidR="00897DA5">
        <w:t xml:space="preserve"> and available through the new SAMHSA Beta site, </w:t>
      </w:r>
      <w:r>
        <w:t>t</w:t>
      </w:r>
      <w:r w:rsidR="00D33733">
        <w:t xml:space="preserve">he contractor </w:t>
      </w:r>
      <w:r w:rsidR="00897DA5">
        <w:t xml:space="preserve">assumes approximately </w:t>
      </w:r>
      <w:r w:rsidR="00AE5CD7">
        <w:t>5</w:t>
      </w:r>
      <w:r w:rsidR="00897DA5">
        <w:t>00</w:t>
      </w:r>
      <w:r>
        <w:t>-</w:t>
      </w:r>
      <w:r w:rsidR="004E4BD9">
        <w:t>7</w:t>
      </w:r>
      <w:r w:rsidR="00AE5CD7">
        <w:t>0</w:t>
      </w:r>
      <w:r>
        <w:t>0</w:t>
      </w:r>
      <w:r w:rsidR="00897DA5">
        <w:t xml:space="preserve"> responses for this survey</w:t>
      </w:r>
      <w:r w:rsidR="00D33733">
        <w:t>.</w:t>
      </w:r>
    </w:p>
    <w:p w:rsidR="00D33733" w:rsidRDefault="00D33733" w:rsidP="00E864FB">
      <w:pPr>
        <w:rPr>
          <w:b/>
        </w:rPr>
      </w:pPr>
    </w:p>
    <w:p w:rsidR="00F803EB" w:rsidRDefault="009B5EEF" w:rsidP="00E864FB">
      <w:pPr>
        <w:rPr>
          <w:b/>
        </w:rPr>
      </w:pPr>
      <w:proofErr w:type="gramStart"/>
      <w:r>
        <w:rPr>
          <w:b/>
        </w:rPr>
        <w:t>Planned frequency of information collection.</w:t>
      </w:r>
      <w:proofErr w:type="gramEnd"/>
    </w:p>
    <w:p w:rsidR="009B5EEF" w:rsidRDefault="00686018" w:rsidP="00E864FB">
      <w:r>
        <w:t>The contractor will administer the Survey once after deployment.</w:t>
      </w:r>
    </w:p>
    <w:p w:rsidR="00E864FB" w:rsidRDefault="00E864FB" w:rsidP="00E864FB">
      <w:pPr>
        <w:rPr>
          <w:b/>
        </w:rPr>
      </w:pPr>
    </w:p>
    <w:p w:rsidR="00AB3AD9" w:rsidRPr="00AB3AD9" w:rsidRDefault="00AB3AD9" w:rsidP="00E864FB">
      <w:pPr>
        <w:rPr>
          <w:b/>
        </w:rPr>
      </w:pPr>
      <w:proofErr w:type="gramStart"/>
      <w:r w:rsidRPr="00AB3AD9">
        <w:rPr>
          <w:b/>
        </w:rPr>
        <w:t>Time period over which the information will be collected.</w:t>
      </w:r>
      <w:proofErr w:type="gramEnd"/>
    </w:p>
    <w:p w:rsidR="00F803EB" w:rsidRDefault="00125CB6" w:rsidP="00E864FB">
      <w:r>
        <w:t xml:space="preserve">This survey will remain active for approximately </w:t>
      </w:r>
      <w:r w:rsidR="00C5191A">
        <w:t>7</w:t>
      </w:r>
      <w:r w:rsidR="00E20F40">
        <w:t xml:space="preserve"> months</w:t>
      </w:r>
      <w:r>
        <w:t>.</w:t>
      </w:r>
    </w:p>
    <w:p w:rsidR="00E864FB" w:rsidRDefault="00E864FB" w:rsidP="00E864FB">
      <w:pPr>
        <w:rPr>
          <w:b/>
        </w:rPr>
      </w:pPr>
    </w:p>
    <w:p w:rsidR="00D92B21" w:rsidRDefault="00D92B21" w:rsidP="00E864FB">
      <w:r>
        <w:rPr>
          <w:b/>
        </w:rPr>
        <w:t>Expected response rate and plan for follow-up, if any, of non-respondents.</w:t>
      </w:r>
    </w:p>
    <w:p w:rsidR="00D92B21" w:rsidRPr="00D92B21" w:rsidRDefault="003A0BC0" w:rsidP="00E864FB">
      <w:r>
        <w:t>Because this is a brand new SAMHSA websit</w:t>
      </w:r>
      <w:r w:rsidR="00C22662">
        <w:t>e (look and feel and content), SAMHSA</w:t>
      </w:r>
      <w:r>
        <w:t xml:space="preserve"> </w:t>
      </w:r>
      <w:r w:rsidR="00576BAD">
        <w:t>anticipate</w:t>
      </w:r>
      <w:r w:rsidR="00C22662">
        <w:t>s</w:t>
      </w:r>
      <w:r w:rsidR="00576BAD">
        <w:t xml:space="preserve"> a </w:t>
      </w:r>
      <w:r>
        <w:t>solid</w:t>
      </w:r>
      <w:r w:rsidR="00576BAD">
        <w:t xml:space="preserve"> number of people to </w:t>
      </w:r>
      <w:r>
        <w:t xml:space="preserve">voluntarily complete </w:t>
      </w:r>
      <w:r w:rsidR="00576BAD">
        <w:t>the survey.</w:t>
      </w:r>
      <w:r w:rsidR="00F0185F">
        <w:t xml:space="preserve"> SAMHSA</w:t>
      </w:r>
      <w:r w:rsidR="00777626">
        <w:t xml:space="preserve"> </w:t>
      </w:r>
      <w:r w:rsidR="00F0185F">
        <w:t>is</w:t>
      </w:r>
      <w:r w:rsidR="00777626">
        <w:t xml:space="preserve"> marketing this survey as completely anonymous, so there is no follow-up plan.</w:t>
      </w:r>
      <w:r w:rsidR="00D51CCC">
        <w:t xml:space="preserve"> The participants are giving the </w:t>
      </w:r>
      <w:hyperlink r:id="rId8" w:history="1">
        <w:r w:rsidR="00D51CCC" w:rsidRPr="00EB65D1">
          <w:rPr>
            <w:rStyle w:val="Hyperlink"/>
          </w:rPr>
          <w:t>evolve@samhsa.hhs.gov</w:t>
        </w:r>
      </w:hyperlink>
      <w:r w:rsidR="004E30B9">
        <w:t xml:space="preserve"> email to give more com</w:t>
      </w:r>
      <w:r>
        <w:t>ments, if they woul</w:t>
      </w:r>
      <w:r w:rsidR="004E30B9">
        <w:t>d like.</w:t>
      </w:r>
    </w:p>
    <w:p w:rsidR="00D92B21" w:rsidRDefault="00D92B21" w:rsidP="00E864FB">
      <w:pPr>
        <w:rPr>
          <w:b/>
        </w:rPr>
      </w:pPr>
    </w:p>
    <w:p w:rsidR="00193698" w:rsidRDefault="00193698" w:rsidP="00E864FB">
      <w:pPr>
        <w:rPr>
          <w:b/>
        </w:rPr>
      </w:pPr>
      <w:proofErr w:type="gramStart"/>
      <w:r>
        <w:rPr>
          <w:b/>
        </w:rPr>
        <w:t>Expected ability to assess non-response bias using existing information.</w:t>
      </w:r>
      <w:proofErr w:type="gramEnd"/>
    </w:p>
    <w:p w:rsidR="00193698" w:rsidRPr="00193698" w:rsidRDefault="004C7FC5" w:rsidP="00E864FB">
      <w:r>
        <w:t>The contractor does not anticipate any non-response bias based on existing information.</w:t>
      </w:r>
    </w:p>
    <w:p w:rsidR="00193698" w:rsidRDefault="00193698" w:rsidP="00E864FB">
      <w:pPr>
        <w:rPr>
          <w:b/>
        </w:rPr>
      </w:pPr>
    </w:p>
    <w:p w:rsidR="00905ACF" w:rsidRDefault="00905ACF" w:rsidP="00E864FB">
      <w:r w:rsidRPr="00905ACF">
        <w:rPr>
          <w:b/>
        </w:rPr>
        <w:t>Methods used to maintain customer privacy.</w:t>
      </w:r>
    </w:p>
    <w:p w:rsidR="00E864FB" w:rsidRPr="005D4EFD" w:rsidRDefault="00125CB6" w:rsidP="00E864FB">
      <w:r>
        <w:t>Responses are anonymous. Respondents will reply to the surveys using a common survey link, so it will not be possible to identify respondents unless they identify themsel</w:t>
      </w:r>
      <w:r w:rsidR="00390496">
        <w:t>ves in the open-ended comments.</w:t>
      </w:r>
    </w:p>
    <w:p w:rsidR="005D4EFD" w:rsidRPr="005D4EFD" w:rsidRDefault="005D4EFD" w:rsidP="00E864FB">
      <w:pPr>
        <w:pStyle w:val="Heading2"/>
      </w:pPr>
      <w:r>
        <w:t>Annual Response Burden Estimate</w:t>
      </w:r>
    </w:p>
    <w:p w:rsidR="00E46F7B" w:rsidRDefault="001058E5" w:rsidP="00E864FB">
      <w:r>
        <w:t xml:space="preserve">The following table provides information about the annual response burden estimated for </w:t>
      </w:r>
      <w:r w:rsidR="00CE4601">
        <w:t>this</w:t>
      </w:r>
      <w:r>
        <w:t xml:space="preserve"> consumer feedback survey.</w:t>
      </w:r>
    </w:p>
    <w:p w:rsidR="00F02E31" w:rsidRDefault="00F02E31" w:rsidP="00E864FB"/>
    <w:tbl>
      <w:tblPr>
        <w:tblStyle w:val="TableGrid"/>
        <w:tblW w:w="0" w:type="auto"/>
        <w:tblLook w:val="04A0"/>
      </w:tblPr>
      <w:tblGrid>
        <w:gridCol w:w="1397"/>
        <w:gridCol w:w="1404"/>
        <w:gridCol w:w="1366"/>
        <w:gridCol w:w="1358"/>
        <w:gridCol w:w="1351"/>
        <w:gridCol w:w="1349"/>
        <w:gridCol w:w="1351"/>
      </w:tblGrid>
      <w:tr w:rsidR="00EE49B7" w:rsidTr="00F02E31">
        <w:tc>
          <w:tcPr>
            <w:tcW w:w="1368" w:type="dxa"/>
          </w:tcPr>
          <w:p w:rsidR="00F02E31" w:rsidRPr="00F02E31" w:rsidRDefault="00F02E31" w:rsidP="00E864FB">
            <w:pPr>
              <w:rPr>
                <w:b/>
              </w:rPr>
            </w:pPr>
            <w:r w:rsidRPr="00F02E31">
              <w:rPr>
                <w:b/>
              </w:rPr>
              <w:t>Respondent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Number of Respondents (a)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Number of Responses/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Respondent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(b)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Hours/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Response in Minutes (c)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Annual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Burden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Hours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Hourly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Wage (d)</w:t>
            </w:r>
          </w:p>
        </w:tc>
        <w:tc>
          <w:tcPr>
            <w:tcW w:w="1368" w:type="dxa"/>
          </w:tcPr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Annual</w:t>
            </w:r>
          </w:p>
          <w:p w:rsidR="00F02E31" w:rsidRPr="00F02E31" w:rsidRDefault="00F02E31" w:rsidP="00F02E31">
            <w:pPr>
              <w:jc w:val="center"/>
              <w:rPr>
                <w:b/>
              </w:rPr>
            </w:pPr>
            <w:r w:rsidRPr="00F02E31">
              <w:rPr>
                <w:b/>
              </w:rPr>
              <w:t>Cost ($)</w:t>
            </w:r>
          </w:p>
        </w:tc>
      </w:tr>
      <w:tr w:rsidR="00EE49B7" w:rsidTr="00F02E31">
        <w:tc>
          <w:tcPr>
            <w:tcW w:w="1368" w:type="dxa"/>
          </w:tcPr>
          <w:p w:rsidR="00EE49B7" w:rsidRDefault="00EE49B7" w:rsidP="00E864FB">
            <w:r>
              <w:t>Individuals/</w:t>
            </w:r>
          </w:p>
          <w:p w:rsidR="00F02E31" w:rsidRDefault="00EE49B7" w:rsidP="00EE49B7">
            <w:r>
              <w:t>General Public</w:t>
            </w:r>
          </w:p>
        </w:tc>
        <w:tc>
          <w:tcPr>
            <w:tcW w:w="1368" w:type="dxa"/>
          </w:tcPr>
          <w:p w:rsidR="00F02E31" w:rsidRDefault="00727A0F" w:rsidP="00727A0F">
            <w:pPr>
              <w:jc w:val="center"/>
            </w:pPr>
            <w:r>
              <w:t>500</w:t>
            </w:r>
          </w:p>
        </w:tc>
        <w:tc>
          <w:tcPr>
            <w:tcW w:w="1368" w:type="dxa"/>
          </w:tcPr>
          <w:p w:rsidR="00F02E31" w:rsidRDefault="00D47706" w:rsidP="00727A0F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02E31" w:rsidRDefault="00D47706" w:rsidP="00727A0F">
            <w:pPr>
              <w:jc w:val="center"/>
            </w:pPr>
            <w:r>
              <w:t>0.08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40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24.26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970</w:t>
            </w:r>
          </w:p>
        </w:tc>
      </w:tr>
      <w:tr w:rsidR="00EE49B7" w:rsidTr="00F02E31">
        <w:tc>
          <w:tcPr>
            <w:tcW w:w="1368" w:type="dxa"/>
          </w:tcPr>
          <w:p w:rsidR="00F02E31" w:rsidRDefault="00EE49B7" w:rsidP="00E864FB">
            <w:r>
              <w:t>Professionals</w:t>
            </w:r>
          </w:p>
        </w:tc>
        <w:tc>
          <w:tcPr>
            <w:tcW w:w="1368" w:type="dxa"/>
          </w:tcPr>
          <w:p w:rsidR="00F02E31" w:rsidRDefault="00727A0F" w:rsidP="00727A0F">
            <w:pPr>
              <w:jc w:val="center"/>
            </w:pPr>
            <w:r>
              <w:t>200</w:t>
            </w:r>
          </w:p>
        </w:tc>
        <w:tc>
          <w:tcPr>
            <w:tcW w:w="1368" w:type="dxa"/>
          </w:tcPr>
          <w:p w:rsidR="00F02E31" w:rsidRDefault="00D47706" w:rsidP="00727A0F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02E31" w:rsidRDefault="00D47706" w:rsidP="00727A0F">
            <w:pPr>
              <w:jc w:val="center"/>
            </w:pPr>
            <w:r>
              <w:t>0.08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16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24.26</w:t>
            </w:r>
          </w:p>
        </w:tc>
        <w:tc>
          <w:tcPr>
            <w:tcW w:w="1368" w:type="dxa"/>
          </w:tcPr>
          <w:p w:rsidR="00F02E31" w:rsidRDefault="00F34ED2" w:rsidP="00727A0F">
            <w:pPr>
              <w:jc w:val="center"/>
            </w:pPr>
            <w:r>
              <w:t>388</w:t>
            </w:r>
          </w:p>
        </w:tc>
      </w:tr>
      <w:tr w:rsidR="00F34ED2" w:rsidTr="00F02E31">
        <w:tc>
          <w:tcPr>
            <w:tcW w:w="1368" w:type="dxa"/>
          </w:tcPr>
          <w:p w:rsidR="00F34ED2" w:rsidRPr="00F34ED2" w:rsidRDefault="00F34ED2" w:rsidP="00E864FB">
            <w:pPr>
              <w:rPr>
                <w:b/>
              </w:rPr>
            </w:pPr>
            <w:r w:rsidRPr="00F34ED2">
              <w:rPr>
                <w:b/>
              </w:rPr>
              <w:t>Total</w:t>
            </w:r>
          </w:p>
        </w:tc>
        <w:tc>
          <w:tcPr>
            <w:tcW w:w="1368" w:type="dxa"/>
          </w:tcPr>
          <w:p w:rsidR="00F34ED2" w:rsidRPr="00F34ED2" w:rsidRDefault="00DE08B2" w:rsidP="00DE08B2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368" w:type="dxa"/>
          </w:tcPr>
          <w:p w:rsidR="00F34ED2" w:rsidRPr="00F34ED2" w:rsidRDefault="00F34ED2" w:rsidP="00DE08B2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F34ED2" w:rsidRPr="00F34ED2" w:rsidRDefault="00F34ED2" w:rsidP="00DE08B2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F34ED2" w:rsidRPr="00F34ED2" w:rsidRDefault="00DE08B2" w:rsidP="00DE08B2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368" w:type="dxa"/>
          </w:tcPr>
          <w:p w:rsidR="00F34ED2" w:rsidRPr="00F34ED2" w:rsidRDefault="00F34ED2" w:rsidP="00DE08B2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F34ED2" w:rsidRPr="00F34ED2" w:rsidRDefault="00DE08B2" w:rsidP="00DE08B2">
            <w:pPr>
              <w:jc w:val="center"/>
              <w:rPr>
                <w:b/>
              </w:rPr>
            </w:pPr>
            <w:r>
              <w:rPr>
                <w:b/>
              </w:rPr>
              <w:t>1358</w:t>
            </w:r>
          </w:p>
        </w:tc>
      </w:tr>
    </w:tbl>
    <w:p w:rsidR="00F02E31" w:rsidRDefault="00F02E31" w:rsidP="00E864FB"/>
    <w:p w:rsidR="00F02E31" w:rsidRDefault="002E6EB8" w:rsidP="002E6EB8">
      <w:pPr>
        <w:pStyle w:val="ListParagraph"/>
        <w:numPr>
          <w:ilvl w:val="0"/>
          <w:numId w:val="5"/>
        </w:numPr>
      </w:pPr>
      <w:r>
        <w:t xml:space="preserve">The number of respondents </w:t>
      </w:r>
      <w:r w:rsidR="00FB3F48">
        <w:t>was</w:t>
      </w:r>
      <w:r>
        <w:t xml:space="preserve"> estimated </w:t>
      </w:r>
      <w:r w:rsidR="00D9130E">
        <w:t>based on independent review of previous usability studies by the contractor staff.</w:t>
      </w:r>
      <w:r>
        <w:br/>
      </w:r>
    </w:p>
    <w:p w:rsidR="002E6EB8" w:rsidRDefault="002E6EB8" w:rsidP="002E6EB8">
      <w:pPr>
        <w:pStyle w:val="ListParagraph"/>
        <w:numPr>
          <w:ilvl w:val="0"/>
          <w:numId w:val="5"/>
        </w:numPr>
      </w:pPr>
      <w:r>
        <w:t xml:space="preserve">The survey has been setup so participants can only complete it once. </w:t>
      </w:r>
      <w:r>
        <w:br/>
      </w:r>
    </w:p>
    <w:p w:rsidR="002E6EB8" w:rsidRDefault="002E6EB8" w:rsidP="002E6EB8">
      <w:pPr>
        <w:pStyle w:val="ListParagraph"/>
        <w:numPr>
          <w:ilvl w:val="0"/>
          <w:numId w:val="5"/>
        </w:numPr>
      </w:pPr>
      <w:r>
        <w:t xml:space="preserve">The average burden per response </w:t>
      </w:r>
      <w:r w:rsidR="00FB3F48">
        <w:t>was</w:t>
      </w:r>
      <w:r>
        <w:t xml:space="preserve"> estimated based on independent review of the surveys by contractor staff.</w:t>
      </w:r>
      <w:r w:rsidR="00D9130E">
        <w:br/>
      </w:r>
    </w:p>
    <w:p w:rsidR="00D9130E" w:rsidRDefault="00D9130E" w:rsidP="002E6EB8">
      <w:pPr>
        <w:pStyle w:val="ListParagraph"/>
        <w:numPr>
          <w:ilvl w:val="0"/>
          <w:numId w:val="5"/>
        </w:numPr>
      </w:pPr>
      <w:r>
        <w:t xml:space="preserve">The mean hourly wage is estimated at $24.26 for the types of respondents based on a mean yearly salary of $50,470 (assessed through a review of average salary estimates of related professions from the US Department of Labor’s Bureau of Labor Statistics </w:t>
      </w:r>
      <w:hyperlink r:id="rId9" w:history="1">
        <w:r w:rsidR="00154EFC">
          <w:rPr>
            <w:rStyle w:val="Hyperlink"/>
          </w:rPr>
          <w:t>http://www.bls.gov/oes/current/oes_nat.htm</w:t>
        </w:r>
      </w:hyperlink>
      <w:r w:rsidR="00154EFC">
        <w:t>)</w:t>
      </w:r>
      <w:r w:rsidR="003C634B">
        <w:t>.</w:t>
      </w:r>
    </w:p>
    <w:p w:rsidR="001058E5" w:rsidRDefault="001058E5" w:rsidP="00E864FB"/>
    <w:p w:rsidR="003D0E57" w:rsidRDefault="00572FC6" w:rsidP="009C3693">
      <w:pPr>
        <w:pStyle w:val="Heading2"/>
      </w:pPr>
      <w:r>
        <w:lastRenderedPageBreak/>
        <w:t>Methods Used to Develop and Test the Questions</w:t>
      </w:r>
    </w:p>
    <w:p w:rsidR="00E864FB" w:rsidRPr="0004230A" w:rsidRDefault="003C1901" w:rsidP="00E864FB">
      <w:r>
        <w:t xml:space="preserve">The contractor prepared the consumer feedback surveys. The contractor circulated several draft versions and </w:t>
      </w:r>
      <w:r w:rsidR="0004230A">
        <w:t>reviewed</w:t>
      </w:r>
      <w:r>
        <w:t xml:space="preserve"> by the contractor’s management team and other staff for appropriate content and clarity of questions.</w:t>
      </w:r>
    </w:p>
    <w:p w:rsidR="00074963" w:rsidRPr="00074963" w:rsidRDefault="00074963" w:rsidP="009C3693">
      <w:pPr>
        <w:pStyle w:val="Heading2"/>
      </w:pPr>
      <w:r w:rsidRPr="00074963">
        <w:t>Federal Project Officer and Contractor</w:t>
      </w:r>
    </w:p>
    <w:p w:rsidR="003D0E57" w:rsidRPr="0004230A" w:rsidRDefault="00032858" w:rsidP="00E864FB">
      <w:pPr>
        <w:rPr>
          <w:b/>
        </w:rPr>
      </w:pPr>
      <w:r w:rsidRPr="0004230A">
        <w:rPr>
          <w:b/>
        </w:rPr>
        <w:t>Carla Burch</w:t>
      </w:r>
    </w:p>
    <w:p w:rsidR="00866C87" w:rsidRDefault="00853F64" w:rsidP="00E864FB">
      <w:r>
        <w:t>Federal Project Officer</w:t>
      </w:r>
    </w:p>
    <w:p w:rsidR="00032858" w:rsidRDefault="0060330E" w:rsidP="00E864FB">
      <w:r>
        <w:t>SAMHSA/OMTO/DTM</w:t>
      </w:r>
    </w:p>
    <w:p w:rsidR="0060330E" w:rsidRDefault="008C24AC" w:rsidP="00E864FB">
      <w:r>
        <w:t>DTM – Division of Technology Management</w:t>
      </w:r>
    </w:p>
    <w:p w:rsidR="0060330E" w:rsidRDefault="001B2E96" w:rsidP="00E864FB">
      <w:r>
        <w:t>1 Cho</w:t>
      </w:r>
      <w:r w:rsidR="0060330E">
        <w:t>k</w:t>
      </w:r>
      <w:r>
        <w:t>e</w:t>
      </w:r>
      <w:r w:rsidR="0060330E">
        <w:t xml:space="preserve"> Cherry Road, Room 3-1087</w:t>
      </w:r>
    </w:p>
    <w:p w:rsidR="0060330E" w:rsidRDefault="0060330E" w:rsidP="00E864FB">
      <w:r>
        <w:t>Rockville, MD 20857</w:t>
      </w:r>
    </w:p>
    <w:p w:rsidR="0060330E" w:rsidRDefault="0060330E" w:rsidP="00E864FB">
      <w:r>
        <w:t>Phone:</w:t>
      </w:r>
      <w:r w:rsidR="003154CE">
        <w:t xml:space="preserve"> 240-276-0166</w:t>
      </w:r>
    </w:p>
    <w:p w:rsidR="0060330E" w:rsidRDefault="0060330E" w:rsidP="00E864FB">
      <w:r>
        <w:t>Fax:</w:t>
      </w:r>
      <w:r w:rsidR="003154CE">
        <w:t xml:space="preserve"> 240-276-1160</w:t>
      </w:r>
    </w:p>
    <w:p w:rsidR="0060330E" w:rsidRDefault="0060330E" w:rsidP="00E864FB">
      <w:r>
        <w:t>Email:</w:t>
      </w:r>
      <w:r w:rsidR="003154CE">
        <w:t xml:space="preserve"> </w:t>
      </w:r>
      <w:hyperlink r:id="rId10" w:history="1">
        <w:r w:rsidR="003154CE" w:rsidRPr="0082732D">
          <w:rPr>
            <w:rStyle w:val="Hyperlink"/>
          </w:rPr>
          <w:t>Carla.burch@samhsa.hhs.gov</w:t>
        </w:r>
      </w:hyperlink>
    </w:p>
    <w:p w:rsidR="0060330E" w:rsidRDefault="0060330E" w:rsidP="00E864FB"/>
    <w:p w:rsidR="00032858" w:rsidRPr="00A72A06" w:rsidRDefault="00032858" w:rsidP="00E864FB">
      <w:pPr>
        <w:rPr>
          <w:b/>
        </w:rPr>
      </w:pPr>
      <w:r w:rsidRPr="00A72A06">
        <w:rPr>
          <w:b/>
        </w:rPr>
        <w:t>Dawn Carr</w:t>
      </w:r>
    </w:p>
    <w:p w:rsidR="00853F64" w:rsidRDefault="00853F64" w:rsidP="00853F64">
      <w:r>
        <w:t>Federal Project Officer</w:t>
      </w:r>
    </w:p>
    <w:p w:rsidR="00032858" w:rsidRDefault="001B2E96" w:rsidP="00E864FB">
      <w:r>
        <w:t>SAMHSA/OMTO/DTM</w:t>
      </w:r>
    </w:p>
    <w:p w:rsidR="001B2E96" w:rsidRDefault="001B2E96" w:rsidP="00E864FB">
      <w:r>
        <w:t xml:space="preserve">DTM – </w:t>
      </w:r>
      <w:r w:rsidR="00A72A06">
        <w:t>Division of Technology Management</w:t>
      </w:r>
    </w:p>
    <w:p w:rsidR="001B2E96" w:rsidRDefault="001B2E96" w:rsidP="001B2E96">
      <w:r>
        <w:t>1 Choke Cherry Road, Room 3-</w:t>
      </w:r>
      <w:r w:rsidR="00972E7F">
        <w:t>1103</w:t>
      </w:r>
    </w:p>
    <w:p w:rsidR="001B2E96" w:rsidRDefault="001B2E96" w:rsidP="001B2E96">
      <w:r>
        <w:t>Rockville, MD 20857</w:t>
      </w:r>
    </w:p>
    <w:p w:rsidR="001B2E96" w:rsidRDefault="001B2E96" w:rsidP="001B2E96">
      <w:r>
        <w:t>Phone: 240-276-1141</w:t>
      </w:r>
    </w:p>
    <w:p w:rsidR="001B2E96" w:rsidRDefault="001B2E96" w:rsidP="001B2E96">
      <w:r>
        <w:t>Fax: 240-276-1160</w:t>
      </w:r>
    </w:p>
    <w:p w:rsidR="001B2E96" w:rsidRDefault="001B2E96" w:rsidP="00E864FB">
      <w:r>
        <w:t xml:space="preserve">Email: </w:t>
      </w:r>
      <w:hyperlink r:id="rId11" w:history="1">
        <w:r w:rsidRPr="0082732D">
          <w:rPr>
            <w:rStyle w:val="Hyperlink"/>
          </w:rPr>
          <w:t>Dawn.carr@samhsa.hhs.gov</w:t>
        </w:r>
      </w:hyperlink>
    </w:p>
    <w:p w:rsidR="00853F64" w:rsidRDefault="00853F64" w:rsidP="00E864FB"/>
    <w:p w:rsidR="00032858" w:rsidRPr="00A72A06" w:rsidRDefault="00032858" w:rsidP="00E864FB">
      <w:pPr>
        <w:rPr>
          <w:b/>
        </w:rPr>
      </w:pPr>
      <w:r w:rsidRPr="00A72A06">
        <w:rPr>
          <w:b/>
        </w:rPr>
        <w:t>Susette Rego</w:t>
      </w:r>
    </w:p>
    <w:p w:rsidR="00695BCE" w:rsidRDefault="00695BCE" w:rsidP="00695BCE">
      <w:r>
        <w:t>Senior IT Specialist/Web Team Lead</w:t>
      </w:r>
    </w:p>
    <w:p w:rsidR="00695BCE" w:rsidRDefault="00695BCE" w:rsidP="00695BCE">
      <w:r>
        <w:t>IBM</w:t>
      </w:r>
    </w:p>
    <w:p w:rsidR="00695BCE" w:rsidRDefault="00695BCE" w:rsidP="00695BCE">
      <w:r>
        <w:t>1 Choke Cherry Road, Room 3-</w:t>
      </w:r>
      <w:r w:rsidR="002A46D5">
        <w:t>1058</w:t>
      </w:r>
      <w:r w:rsidR="0092729D">
        <w:t>-</w:t>
      </w:r>
      <w:r w:rsidR="002A46D5">
        <w:t>B</w:t>
      </w:r>
    </w:p>
    <w:p w:rsidR="00695BCE" w:rsidRDefault="00695BCE" w:rsidP="00695BCE">
      <w:r>
        <w:t>Rockville, MD 20857</w:t>
      </w:r>
    </w:p>
    <w:p w:rsidR="00695BCE" w:rsidRDefault="00695BCE" w:rsidP="00695BCE">
      <w:r>
        <w:t>Phone: 240-276-1159</w:t>
      </w:r>
    </w:p>
    <w:p w:rsidR="00695BCE" w:rsidRDefault="00695BCE" w:rsidP="00695BCE">
      <w:r>
        <w:t>Fax: 240-276-1160</w:t>
      </w:r>
    </w:p>
    <w:p w:rsidR="00695BCE" w:rsidRDefault="00695BCE" w:rsidP="00695BCE">
      <w:r>
        <w:t xml:space="preserve">Email: </w:t>
      </w:r>
      <w:hyperlink r:id="rId12" w:history="1">
        <w:r w:rsidR="002A46D5" w:rsidRPr="0082732D">
          <w:rPr>
            <w:rStyle w:val="Hyperlink"/>
          </w:rPr>
          <w:t>Susette.Rego@samhsa.hhs.gov</w:t>
        </w:r>
      </w:hyperlink>
    </w:p>
    <w:p w:rsidR="00695BCE" w:rsidRPr="00695BCE" w:rsidRDefault="00695BCE" w:rsidP="00695BCE">
      <w:pPr>
        <w:rPr>
          <w:rFonts w:ascii="Tahoma" w:eastAsia="Times New Roman" w:hAnsi="Tahoma" w:cs="Tahoma"/>
          <w:noProof/>
          <w:color w:val="1F497D"/>
          <w:sz w:val="20"/>
          <w:szCs w:val="20"/>
        </w:rPr>
      </w:pPr>
    </w:p>
    <w:p w:rsidR="00032858" w:rsidRDefault="00972E7F" w:rsidP="00972E7F">
      <w:pPr>
        <w:tabs>
          <w:tab w:val="left" w:pos="1807"/>
        </w:tabs>
      </w:pPr>
      <w:r>
        <w:tab/>
      </w:r>
    </w:p>
    <w:p w:rsidR="00032858" w:rsidRPr="00871BD8" w:rsidRDefault="00032858" w:rsidP="00E864FB">
      <w:pPr>
        <w:rPr>
          <w:b/>
        </w:rPr>
      </w:pPr>
      <w:r w:rsidRPr="00871BD8">
        <w:rPr>
          <w:b/>
        </w:rPr>
        <w:t>Carley Heslin</w:t>
      </w:r>
    </w:p>
    <w:p w:rsidR="002A46D5" w:rsidRDefault="0092729D" w:rsidP="002A46D5">
      <w:r>
        <w:t>Web Designer/Usability Expert</w:t>
      </w:r>
    </w:p>
    <w:p w:rsidR="002A46D5" w:rsidRDefault="0092729D" w:rsidP="002A46D5">
      <w:r>
        <w:t>IQ Solutions</w:t>
      </w:r>
    </w:p>
    <w:p w:rsidR="0092729D" w:rsidRDefault="002A46D5" w:rsidP="002A46D5">
      <w:r>
        <w:t>1 Choke Cherry Road, Room 3-</w:t>
      </w:r>
      <w:r w:rsidR="0092729D">
        <w:t>1058-D</w:t>
      </w:r>
    </w:p>
    <w:p w:rsidR="002A46D5" w:rsidRDefault="002A46D5" w:rsidP="002A46D5">
      <w:r>
        <w:t>Rockville, MD 20857</w:t>
      </w:r>
    </w:p>
    <w:p w:rsidR="002A46D5" w:rsidRDefault="002A46D5" w:rsidP="002A46D5">
      <w:r>
        <w:t>Phone: 240-276-</w:t>
      </w:r>
      <w:r w:rsidR="002602BC">
        <w:t>0460</w:t>
      </w:r>
    </w:p>
    <w:p w:rsidR="002A46D5" w:rsidRDefault="002A46D5" w:rsidP="002A46D5">
      <w:r>
        <w:t>Fax: 240-276-1160</w:t>
      </w:r>
    </w:p>
    <w:p w:rsidR="009C3693" w:rsidRDefault="002A46D5" w:rsidP="00E864FB">
      <w:r>
        <w:t xml:space="preserve">Email: </w:t>
      </w:r>
      <w:hyperlink r:id="rId13" w:history="1">
        <w:r w:rsidR="002602BC" w:rsidRPr="0082732D">
          <w:rPr>
            <w:rStyle w:val="Hyperlink"/>
          </w:rPr>
          <w:t>Carley.heslin@samhsa.hhs.gov</w:t>
        </w:r>
      </w:hyperlink>
    </w:p>
    <w:p w:rsidR="009C3693" w:rsidRDefault="009C3693" w:rsidP="009C3693">
      <w:pPr>
        <w:pStyle w:val="Heading2"/>
      </w:pPr>
      <w:r>
        <w:lastRenderedPageBreak/>
        <w:t>Project Statistician and Data Collection Entity</w:t>
      </w:r>
    </w:p>
    <w:p w:rsidR="009C3693" w:rsidRDefault="007A4FE9" w:rsidP="009C3693">
      <w:r>
        <w:t xml:space="preserve">The contractor will collect and compile data using Survey Monkey. The use of compiled and </w:t>
      </w:r>
      <w:r w:rsidR="00A875EE">
        <w:t>analyzed</w:t>
      </w:r>
      <w:r>
        <w:t xml:space="preserve"> results is at the sole discretion of DTM. No data will be shared publicly beyond DTM or the contractor.</w:t>
      </w:r>
    </w:p>
    <w:p w:rsidR="00574EFA" w:rsidRDefault="00574EFA" w:rsidP="009C3693"/>
    <w:p w:rsidR="00A875EE" w:rsidRDefault="00A875EE" w:rsidP="009C3693"/>
    <w:p w:rsidR="00574EFA" w:rsidRDefault="00574EFA" w:rsidP="009C3693"/>
    <w:p w:rsidR="00574EFA" w:rsidRDefault="00574EFA" w:rsidP="009C3693"/>
    <w:p w:rsidR="00574EFA" w:rsidRDefault="00574EFA" w:rsidP="009C3693">
      <w:r w:rsidRPr="00574EFA">
        <w:rPr>
          <w:b/>
        </w:rPr>
        <w:t>List of Attachments</w:t>
      </w:r>
    </w:p>
    <w:p w:rsidR="00574EFA" w:rsidRPr="00574EFA" w:rsidRDefault="00574EFA" w:rsidP="009C3693">
      <w:r>
        <w:t>Attachment 1: “About Us” and “Find Help” Survey</w:t>
      </w:r>
      <w:r w:rsidR="00CB4170">
        <w:t xml:space="preserve"> Layout on Survey</w:t>
      </w:r>
      <w:r w:rsidR="00D633CC">
        <w:t xml:space="preserve"> </w:t>
      </w:r>
      <w:r w:rsidR="00CB4170">
        <w:t>Monkey</w:t>
      </w:r>
    </w:p>
    <w:sectPr w:rsidR="00574EFA" w:rsidRPr="00574EFA" w:rsidSect="00B654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06" w:rsidRDefault="00D47706" w:rsidP="00A920AB">
      <w:r>
        <w:separator/>
      </w:r>
    </w:p>
  </w:endnote>
  <w:endnote w:type="continuationSeparator" w:id="0">
    <w:p w:rsidR="00D47706" w:rsidRDefault="00D47706" w:rsidP="00A92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17" w:rsidRDefault="00C34E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288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47706" w:rsidRPr="00B43231" w:rsidRDefault="0071520A">
        <w:pPr>
          <w:pStyle w:val="Footer"/>
          <w:jc w:val="right"/>
          <w:rPr>
            <w:sz w:val="18"/>
            <w:szCs w:val="18"/>
          </w:rPr>
        </w:pPr>
        <w:r w:rsidRPr="00B43231">
          <w:rPr>
            <w:sz w:val="18"/>
            <w:szCs w:val="18"/>
          </w:rPr>
          <w:fldChar w:fldCharType="begin"/>
        </w:r>
        <w:r w:rsidR="00D47706" w:rsidRPr="00B43231">
          <w:rPr>
            <w:sz w:val="18"/>
            <w:szCs w:val="18"/>
          </w:rPr>
          <w:instrText xml:space="preserve"> PAGE   \* MERGEFORMAT </w:instrText>
        </w:r>
        <w:r w:rsidRPr="00B43231">
          <w:rPr>
            <w:sz w:val="18"/>
            <w:szCs w:val="18"/>
          </w:rPr>
          <w:fldChar w:fldCharType="separate"/>
        </w:r>
        <w:r w:rsidR="00C34E17">
          <w:rPr>
            <w:noProof/>
            <w:sz w:val="18"/>
            <w:szCs w:val="18"/>
          </w:rPr>
          <w:t>1</w:t>
        </w:r>
        <w:r w:rsidRPr="00B43231">
          <w:rPr>
            <w:sz w:val="18"/>
            <w:szCs w:val="18"/>
          </w:rPr>
          <w:fldChar w:fldCharType="end"/>
        </w:r>
      </w:p>
    </w:sdtContent>
  </w:sdt>
  <w:p w:rsidR="00D47706" w:rsidRDefault="00D477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17" w:rsidRDefault="00C34E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06" w:rsidRDefault="00D47706" w:rsidP="00A920AB">
      <w:r>
        <w:separator/>
      </w:r>
    </w:p>
  </w:footnote>
  <w:footnote w:type="continuationSeparator" w:id="0">
    <w:p w:rsidR="00D47706" w:rsidRDefault="00D47706" w:rsidP="00A92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17" w:rsidRDefault="00C34E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06" w:rsidRPr="00A920AB" w:rsidRDefault="00D47706" w:rsidP="00A920AB">
    <w:pPr>
      <w:pStyle w:val="Heading1"/>
      <w:rPr>
        <w:rFonts w:ascii="Arial" w:hAnsi="Arial" w:cs="Arial"/>
        <w:color w:val="auto"/>
        <w:sz w:val="18"/>
        <w:szCs w:val="18"/>
      </w:rPr>
    </w:pPr>
    <w:r w:rsidRPr="00A920AB">
      <w:rPr>
        <w:rFonts w:ascii="Arial" w:hAnsi="Arial" w:cs="Arial"/>
        <w:color w:val="auto"/>
        <w:sz w:val="18"/>
        <w:szCs w:val="18"/>
      </w:rPr>
      <w:t>SAMHSA Customer Satisfaction Survey</w:t>
    </w:r>
  </w:p>
  <w:p w:rsidR="00D47706" w:rsidRPr="00A920AB" w:rsidRDefault="00D47706" w:rsidP="00A920AB">
    <w:pPr>
      <w:rPr>
        <w:rFonts w:ascii="Arial" w:hAnsi="Arial" w:cs="Arial"/>
        <w:sz w:val="18"/>
        <w:szCs w:val="18"/>
      </w:rPr>
    </w:pPr>
    <w:r w:rsidRPr="00A920AB">
      <w:rPr>
        <w:rFonts w:ascii="Arial" w:hAnsi="Arial" w:cs="Arial"/>
        <w:sz w:val="18"/>
        <w:szCs w:val="18"/>
      </w:rPr>
      <w:t>OMTO/DTM</w:t>
    </w:r>
    <w:r w:rsidR="00C34E17">
      <w:rPr>
        <w:rFonts w:ascii="Arial" w:hAnsi="Arial" w:cs="Arial"/>
        <w:sz w:val="18"/>
        <w:szCs w:val="18"/>
      </w:rPr>
      <w:t xml:space="preserve"> Project EVOLVE Feedback </w:t>
    </w:r>
    <w:r w:rsidR="00C34E17">
      <w:rPr>
        <w:rFonts w:ascii="Arial" w:hAnsi="Arial" w:cs="Arial"/>
        <w:sz w:val="18"/>
        <w:szCs w:val="18"/>
      </w:rPr>
      <w:t>Survey</w:t>
    </w:r>
  </w:p>
  <w:p w:rsidR="00D47706" w:rsidRDefault="00D477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17" w:rsidRDefault="00C34E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A42"/>
    <w:multiLevelType w:val="hybridMultilevel"/>
    <w:tmpl w:val="141274C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476076FC"/>
    <w:multiLevelType w:val="hybridMultilevel"/>
    <w:tmpl w:val="C414D05A"/>
    <w:lvl w:ilvl="0" w:tplc="C6CE4578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10B2C"/>
    <w:multiLevelType w:val="hybridMultilevel"/>
    <w:tmpl w:val="FA7C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63830"/>
    <w:multiLevelType w:val="hybridMultilevel"/>
    <w:tmpl w:val="5E36C820"/>
    <w:lvl w:ilvl="0" w:tplc="769A64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37C4E"/>
    <w:multiLevelType w:val="hybridMultilevel"/>
    <w:tmpl w:val="1D86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887"/>
    <w:rsid w:val="00032858"/>
    <w:rsid w:val="0004230A"/>
    <w:rsid w:val="000633EE"/>
    <w:rsid w:val="00074963"/>
    <w:rsid w:val="000A370D"/>
    <w:rsid w:val="000D69AB"/>
    <w:rsid w:val="001058E5"/>
    <w:rsid w:val="00125CB6"/>
    <w:rsid w:val="00146CC3"/>
    <w:rsid w:val="00154EFC"/>
    <w:rsid w:val="00171500"/>
    <w:rsid w:val="00193698"/>
    <w:rsid w:val="001A0A26"/>
    <w:rsid w:val="001B2E96"/>
    <w:rsid w:val="001C20CE"/>
    <w:rsid w:val="001D016D"/>
    <w:rsid w:val="001F7C95"/>
    <w:rsid w:val="00237399"/>
    <w:rsid w:val="002602BC"/>
    <w:rsid w:val="00261844"/>
    <w:rsid w:val="00267D5F"/>
    <w:rsid w:val="00297EB9"/>
    <w:rsid w:val="002A46D5"/>
    <w:rsid w:val="002E6EB8"/>
    <w:rsid w:val="002F0AD8"/>
    <w:rsid w:val="0031435D"/>
    <w:rsid w:val="003154CE"/>
    <w:rsid w:val="00327139"/>
    <w:rsid w:val="0033365C"/>
    <w:rsid w:val="00390496"/>
    <w:rsid w:val="00390A55"/>
    <w:rsid w:val="003A0BC0"/>
    <w:rsid w:val="003C1901"/>
    <w:rsid w:val="003C634B"/>
    <w:rsid w:val="003D0534"/>
    <w:rsid w:val="003D0E57"/>
    <w:rsid w:val="003E2C99"/>
    <w:rsid w:val="00440470"/>
    <w:rsid w:val="004451F5"/>
    <w:rsid w:val="004558F9"/>
    <w:rsid w:val="00485887"/>
    <w:rsid w:val="004955FD"/>
    <w:rsid w:val="004C7FC5"/>
    <w:rsid w:val="004D2390"/>
    <w:rsid w:val="004E30B9"/>
    <w:rsid w:val="004E4BD9"/>
    <w:rsid w:val="004F32B9"/>
    <w:rsid w:val="00542F33"/>
    <w:rsid w:val="0054535E"/>
    <w:rsid w:val="00572FC6"/>
    <w:rsid w:val="00574EFA"/>
    <w:rsid w:val="00576BAD"/>
    <w:rsid w:val="005B2203"/>
    <w:rsid w:val="005D4EFD"/>
    <w:rsid w:val="0060330E"/>
    <w:rsid w:val="00686018"/>
    <w:rsid w:val="00690F87"/>
    <w:rsid w:val="00695BCE"/>
    <w:rsid w:val="006A7C66"/>
    <w:rsid w:val="00703EB4"/>
    <w:rsid w:val="0071520A"/>
    <w:rsid w:val="00727A0F"/>
    <w:rsid w:val="00777626"/>
    <w:rsid w:val="007A4FE9"/>
    <w:rsid w:val="007A7442"/>
    <w:rsid w:val="00853F64"/>
    <w:rsid w:val="00866C87"/>
    <w:rsid w:val="00871BD8"/>
    <w:rsid w:val="00897DA5"/>
    <w:rsid w:val="008B51D7"/>
    <w:rsid w:val="008B6355"/>
    <w:rsid w:val="008C0FA5"/>
    <w:rsid w:val="008C24AC"/>
    <w:rsid w:val="00905ACF"/>
    <w:rsid w:val="0092729D"/>
    <w:rsid w:val="00954927"/>
    <w:rsid w:val="00972E7F"/>
    <w:rsid w:val="009B0B30"/>
    <w:rsid w:val="009B5EEF"/>
    <w:rsid w:val="009C3693"/>
    <w:rsid w:val="00A51FAE"/>
    <w:rsid w:val="00A72A06"/>
    <w:rsid w:val="00A875EE"/>
    <w:rsid w:val="00A920AB"/>
    <w:rsid w:val="00AA1D62"/>
    <w:rsid w:val="00AA2BAD"/>
    <w:rsid w:val="00AB3AD9"/>
    <w:rsid w:val="00AD43B5"/>
    <w:rsid w:val="00AE5CD7"/>
    <w:rsid w:val="00B43231"/>
    <w:rsid w:val="00B44196"/>
    <w:rsid w:val="00B65491"/>
    <w:rsid w:val="00B736DA"/>
    <w:rsid w:val="00B878EE"/>
    <w:rsid w:val="00BB2450"/>
    <w:rsid w:val="00BF3080"/>
    <w:rsid w:val="00C22662"/>
    <w:rsid w:val="00C34E17"/>
    <w:rsid w:val="00C5191A"/>
    <w:rsid w:val="00CB3E5A"/>
    <w:rsid w:val="00CB4170"/>
    <w:rsid w:val="00CB5293"/>
    <w:rsid w:val="00CE4601"/>
    <w:rsid w:val="00CF6F75"/>
    <w:rsid w:val="00D33733"/>
    <w:rsid w:val="00D47706"/>
    <w:rsid w:val="00D51CCC"/>
    <w:rsid w:val="00D544F5"/>
    <w:rsid w:val="00D633CC"/>
    <w:rsid w:val="00D80AF3"/>
    <w:rsid w:val="00D9130E"/>
    <w:rsid w:val="00D92B21"/>
    <w:rsid w:val="00DC35F9"/>
    <w:rsid w:val="00DE08B2"/>
    <w:rsid w:val="00DF2088"/>
    <w:rsid w:val="00E20F40"/>
    <w:rsid w:val="00E4568D"/>
    <w:rsid w:val="00E46F7B"/>
    <w:rsid w:val="00E73771"/>
    <w:rsid w:val="00E864FB"/>
    <w:rsid w:val="00E91B5E"/>
    <w:rsid w:val="00EE49B7"/>
    <w:rsid w:val="00EF5378"/>
    <w:rsid w:val="00EF7AE0"/>
    <w:rsid w:val="00F0185F"/>
    <w:rsid w:val="00F02E31"/>
    <w:rsid w:val="00F34ED2"/>
    <w:rsid w:val="00F803EB"/>
    <w:rsid w:val="00FB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7442"/>
    <w:pPr>
      <w:keepNext/>
      <w:keepLines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3B5"/>
    <w:pPr>
      <w:keepNext/>
      <w:keepLines/>
      <w:numPr>
        <w:numId w:val="4"/>
      </w:numPr>
      <w:pBdr>
        <w:bottom w:val="single" w:sz="4" w:space="1" w:color="auto"/>
      </w:pBdr>
      <w:spacing w:before="360" w:after="120"/>
      <w:ind w:left="36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3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43B5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7442"/>
    <w:rPr>
      <w:rFonts w:asciiTheme="majorHAnsi" w:eastAsiaTheme="majorEastAsia" w:hAnsiTheme="majorHAnsi" w:cstheme="majorBidi"/>
      <w:bCs/>
      <w:color w:val="365F91" w:themeColor="accent1" w:themeShade="BF"/>
      <w:sz w:val="3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92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0AB"/>
  </w:style>
  <w:style w:type="paragraph" w:styleId="Footer">
    <w:name w:val="footer"/>
    <w:basedOn w:val="Normal"/>
    <w:link w:val="FooterChar"/>
    <w:uiPriority w:val="99"/>
    <w:unhideWhenUsed/>
    <w:rsid w:val="00A92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0AB"/>
  </w:style>
  <w:style w:type="table" w:styleId="TableGrid">
    <w:name w:val="Table Grid"/>
    <w:basedOn w:val="TableNormal"/>
    <w:uiPriority w:val="59"/>
    <w:rsid w:val="00F0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lve@samhsa.hhs.gov" TargetMode="External"/><Relationship Id="rId13" Type="http://schemas.openxmlformats.org/officeDocument/2006/relationships/hyperlink" Target="mailto:Carley.heslin@samhsa.hhs.gov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hitehouse.gov/sites/default/files/omb/egov/digital-government/digital-government.html" TargetMode="External"/><Relationship Id="rId12" Type="http://schemas.openxmlformats.org/officeDocument/2006/relationships/hyperlink" Target="mailto:Susette.Rego@samhsa.hhs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wn.carr@samhsa.hhs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arla.burch@samhsa.hhs.go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_nat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120</cp:revision>
  <dcterms:created xsi:type="dcterms:W3CDTF">2013-05-01T15:01:00Z</dcterms:created>
  <dcterms:modified xsi:type="dcterms:W3CDTF">2013-05-13T14:10:00Z</dcterms:modified>
</cp:coreProperties>
</file>