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B0" w:rsidRPr="00FD71FF" w:rsidRDefault="007B4FF0" w:rsidP="00180BBD">
      <w:pPr>
        <w:spacing w:after="0" w:line="240" w:lineRule="auto"/>
        <w:jc w:val="center"/>
        <w:rPr>
          <w:b/>
          <w:sz w:val="24"/>
          <w:szCs w:val="24"/>
        </w:rPr>
      </w:pPr>
      <w:r w:rsidRPr="00FD71FF">
        <w:rPr>
          <w:b/>
          <w:sz w:val="24"/>
          <w:szCs w:val="24"/>
        </w:rPr>
        <w:t>REQUEST FOR OMB CLEARANCE</w:t>
      </w:r>
    </w:p>
    <w:p w:rsidR="007B4FF0" w:rsidRPr="00FD71FF" w:rsidRDefault="007B4FF0" w:rsidP="00180BBD">
      <w:pPr>
        <w:spacing w:after="0" w:line="240" w:lineRule="auto"/>
        <w:jc w:val="center"/>
        <w:rPr>
          <w:b/>
          <w:sz w:val="24"/>
          <w:szCs w:val="24"/>
        </w:rPr>
      </w:pPr>
    </w:p>
    <w:p w:rsidR="007B4FF0" w:rsidRPr="00FD71FF" w:rsidRDefault="00B8065F" w:rsidP="00180BBD">
      <w:pPr>
        <w:spacing w:after="0" w:line="240" w:lineRule="auto"/>
        <w:jc w:val="center"/>
        <w:rPr>
          <w:b/>
          <w:sz w:val="24"/>
          <w:szCs w:val="24"/>
        </w:rPr>
      </w:pPr>
      <w:r w:rsidRPr="00FD71FF">
        <w:rPr>
          <w:b/>
          <w:sz w:val="24"/>
          <w:szCs w:val="24"/>
        </w:rPr>
        <w:t xml:space="preserve">Recruitment </w:t>
      </w:r>
      <w:r w:rsidR="007B4FF0" w:rsidRPr="00FD71FF">
        <w:rPr>
          <w:b/>
          <w:sz w:val="24"/>
          <w:szCs w:val="24"/>
        </w:rPr>
        <w:t>S</w:t>
      </w:r>
      <w:r w:rsidRPr="00FD71FF">
        <w:rPr>
          <w:b/>
          <w:sz w:val="24"/>
          <w:szCs w:val="24"/>
        </w:rPr>
        <w:t>ubs</w:t>
      </w:r>
      <w:r w:rsidR="007B4FF0" w:rsidRPr="00FD71FF">
        <w:rPr>
          <w:b/>
          <w:sz w:val="24"/>
          <w:szCs w:val="24"/>
        </w:rPr>
        <w:t>tudy for the National Children’s Study</w:t>
      </w:r>
      <w:r w:rsidRPr="00FD71FF">
        <w:rPr>
          <w:b/>
          <w:sz w:val="24"/>
          <w:szCs w:val="24"/>
        </w:rPr>
        <w:t xml:space="preserve">, </w:t>
      </w:r>
      <w:r w:rsidRPr="00890965">
        <w:rPr>
          <w:b/>
          <w:sz w:val="24"/>
          <w:szCs w:val="24"/>
          <w:highlight w:val="yellow"/>
        </w:rPr>
        <w:t>Phase</w:t>
      </w:r>
      <w:r w:rsidR="00A91B7A" w:rsidRPr="00890965">
        <w:rPr>
          <w:b/>
          <w:sz w:val="24"/>
          <w:szCs w:val="24"/>
          <w:highlight w:val="yellow"/>
        </w:rPr>
        <w:t>s</w:t>
      </w:r>
      <w:r w:rsidRPr="00890965">
        <w:rPr>
          <w:b/>
          <w:sz w:val="24"/>
          <w:szCs w:val="24"/>
          <w:highlight w:val="yellow"/>
        </w:rPr>
        <w:t xml:space="preserve"> 1</w:t>
      </w:r>
      <w:r w:rsidR="00A91B7A" w:rsidRPr="00890965">
        <w:rPr>
          <w:b/>
          <w:sz w:val="24"/>
          <w:szCs w:val="24"/>
          <w:highlight w:val="yellow"/>
        </w:rPr>
        <w:t xml:space="preserve"> and 2</w:t>
      </w:r>
    </w:p>
    <w:p w:rsidR="007B4FF0" w:rsidRPr="00FD71FF" w:rsidRDefault="007B4FF0" w:rsidP="00180BBD">
      <w:pPr>
        <w:spacing w:after="0" w:line="240" w:lineRule="auto"/>
        <w:jc w:val="center"/>
        <w:rPr>
          <w:b/>
          <w:sz w:val="24"/>
          <w:szCs w:val="24"/>
        </w:rPr>
      </w:pPr>
    </w:p>
    <w:p w:rsidR="007B4FF0" w:rsidRPr="00FD71FF" w:rsidRDefault="007B4FF0" w:rsidP="00180BBD">
      <w:pPr>
        <w:spacing w:after="0" w:line="240" w:lineRule="auto"/>
        <w:jc w:val="center"/>
        <w:rPr>
          <w:b/>
          <w:sz w:val="24"/>
          <w:szCs w:val="24"/>
        </w:rPr>
      </w:pPr>
      <w:r w:rsidRPr="00FD71FF">
        <w:rPr>
          <w:b/>
          <w:sz w:val="24"/>
          <w:szCs w:val="24"/>
        </w:rPr>
        <w:t xml:space="preserve">Part </w:t>
      </w:r>
      <w:proofErr w:type="gramStart"/>
      <w:r w:rsidRPr="00FD71FF">
        <w:rPr>
          <w:b/>
          <w:sz w:val="24"/>
          <w:szCs w:val="24"/>
        </w:rPr>
        <w:t>A</w:t>
      </w:r>
      <w:proofErr w:type="gramEnd"/>
      <w:r w:rsidRPr="00FD71FF">
        <w:rPr>
          <w:b/>
          <w:sz w:val="24"/>
          <w:szCs w:val="24"/>
        </w:rPr>
        <w:t xml:space="preserve"> only</w:t>
      </w:r>
    </w:p>
    <w:p w:rsidR="007B4FF0" w:rsidRPr="00FD71FF" w:rsidRDefault="007B4FF0" w:rsidP="00180BBD">
      <w:pPr>
        <w:spacing w:after="0" w:line="240" w:lineRule="auto"/>
        <w:rPr>
          <w:sz w:val="24"/>
          <w:szCs w:val="24"/>
        </w:rPr>
      </w:pPr>
    </w:p>
    <w:p w:rsidR="007B4FF0" w:rsidRPr="00FD71FF" w:rsidRDefault="007B4FF0" w:rsidP="00180BBD">
      <w:pPr>
        <w:spacing w:after="0" w:line="240" w:lineRule="auto"/>
        <w:rPr>
          <w:sz w:val="24"/>
          <w:szCs w:val="24"/>
        </w:rPr>
      </w:pPr>
    </w:p>
    <w:p w:rsidR="007B4FF0" w:rsidRPr="00FD71FF" w:rsidRDefault="007B4FF0" w:rsidP="00180BBD">
      <w:pPr>
        <w:pStyle w:val="ListParagraph"/>
        <w:numPr>
          <w:ilvl w:val="0"/>
          <w:numId w:val="1"/>
        </w:numPr>
        <w:spacing w:after="0" w:line="240" w:lineRule="auto"/>
        <w:ind w:hanging="720"/>
        <w:rPr>
          <w:b/>
          <w:sz w:val="24"/>
          <w:szCs w:val="24"/>
          <w:u w:val="single"/>
        </w:rPr>
      </w:pPr>
      <w:r w:rsidRPr="00FD71FF">
        <w:rPr>
          <w:b/>
          <w:sz w:val="24"/>
          <w:szCs w:val="24"/>
          <w:u w:val="single"/>
        </w:rPr>
        <w:t>Justification</w:t>
      </w:r>
    </w:p>
    <w:p w:rsidR="007B4FF0" w:rsidRPr="00FD71FF" w:rsidRDefault="007B4FF0" w:rsidP="00180BBD">
      <w:pPr>
        <w:spacing w:after="0" w:line="240" w:lineRule="auto"/>
        <w:rPr>
          <w:sz w:val="24"/>
          <w:szCs w:val="24"/>
        </w:rPr>
      </w:pPr>
    </w:p>
    <w:p w:rsidR="007B4FF0" w:rsidRPr="00FD71FF" w:rsidRDefault="007B4FF0" w:rsidP="00180BBD">
      <w:pPr>
        <w:spacing w:after="0" w:line="240" w:lineRule="auto"/>
        <w:rPr>
          <w:b/>
          <w:sz w:val="24"/>
          <w:szCs w:val="24"/>
        </w:rPr>
      </w:pPr>
      <w:r w:rsidRPr="00FD71FF">
        <w:rPr>
          <w:b/>
          <w:sz w:val="24"/>
          <w:szCs w:val="24"/>
        </w:rPr>
        <w:t xml:space="preserve">A.1 </w:t>
      </w:r>
      <w:r w:rsidRPr="00FD71FF">
        <w:rPr>
          <w:b/>
          <w:sz w:val="24"/>
          <w:szCs w:val="24"/>
        </w:rPr>
        <w:tab/>
        <w:t>Circumstances Making the Collection of Information Necessary</w:t>
      </w:r>
    </w:p>
    <w:p w:rsidR="007B4FF0" w:rsidRPr="00FD71FF" w:rsidRDefault="007B4FF0" w:rsidP="00180BBD">
      <w:pPr>
        <w:spacing w:after="0" w:line="240" w:lineRule="auto"/>
        <w:rPr>
          <w:sz w:val="24"/>
          <w:szCs w:val="24"/>
        </w:rPr>
      </w:pPr>
    </w:p>
    <w:p w:rsidR="00DF4FBF" w:rsidRPr="00FD71FF" w:rsidRDefault="007B4FF0" w:rsidP="00180BBD">
      <w:pPr>
        <w:pStyle w:val="Default"/>
        <w:jc w:val="both"/>
        <w:rPr>
          <w:rFonts w:asciiTheme="minorHAnsi" w:hAnsiTheme="minorHAnsi" w:cstheme="minorBidi"/>
          <w:color w:val="auto"/>
        </w:rPr>
      </w:pPr>
      <w:r w:rsidRPr="00FD71FF">
        <w:rPr>
          <w:rFonts w:asciiTheme="minorHAnsi" w:hAnsiTheme="minorHAnsi" w:cstheme="minorBidi"/>
          <w:color w:val="auto"/>
        </w:rPr>
        <w:t xml:space="preserve">The National Children’s Study rests on the principle that both health and susceptibility to disease are determined by dynamic processes that occur throughout life. </w:t>
      </w:r>
      <w:r w:rsidR="00FD71FF">
        <w:rPr>
          <w:rFonts w:asciiTheme="minorHAnsi" w:hAnsiTheme="minorHAnsi" w:cstheme="minorBidi"/>
          <w:color w:val="auto"/>
        </w:rPr>
        <w:t>Changes</w:t>
      </w:r>
      <w:r w:rsidRPr="00FD71FF">
        <w:rPr>
          <w:rFonts w:asciiTheme="minorHAnsi" w:hAnsiTheme="minorHAnsi" w:cstheme="minorBidi"/>
          <w:color w:val="auto"/>
        </w:rPr>
        <w:t xml:space="preserve"> to these </w:t>
      </w:r>
      <w:r w:rsidR="00FD71FF">
        <w:rPr>
          <w:rFonts w:asciiTheme="minorHAnsi" w:hAnsiTheme="minorHAnsi" w:cstheme="minorBidi"/>
          <w:color w:val="auto"/>
        </w:rPr>
        <w:t>developmental</w:t>
      </w:r>
      <w:r w:rsidRPr="00FD71FF">
        <w:rPr>
          <w:rFonts w:asciiTheme="minorHAnsi" w:hAnsiTheme="minorHAnsi" w:cstheme="minorBidi"/>
          <w:color w:val="auto"/>
        </w:rPr>
        <w:t xml:space="preserve"> processes can affect </w:t>
      </w:r>
      <w:r w:rsidR="00FD71FF">
        <w:rPr>
          <w:rFonts w:asciiTheme="minorHAnsi" w:hAnsiTheme="minorHAnsi" w:cstheme="minorBidi"/>
          <w:color w:val="auto"/>
        </w:rPr>
        <w:t xml:space="preserve">growth, </w:t>
      </w:r>
      <w:r w:rsidRPr="00FD71FF">
        <w:rPr>
          <w:rFonts w:asciiTheme="minorHAnsi" w:hAnsiTheme="minorHAnsi" w:cstheme="minorBidi"/>
          <w:color w:val="auto"/>
        </w:rPr>
        <w:t xml:space="preserve">viability, differentiation of major </w:t>
      </w:r>
      <w:r w:rsidR="00FD71FF">
        <w:rPr>
          <w:rFonts w:asciiTheme="minorHAnsi" w:hAnsiTheme="minorHAnsi" w:cstheme="minorBidi"/>
          <w:color w:val="auto"/>
        </w:rPr>
        <w:t>organ</w:t>
      </w:r>
      <w:r w:rsidRPr="00FD71FF">
        <w:rPr>
          <w:rFonts w:asciiTheme="minorHAnsi" w:hAnsiTheme="minorHAnsi" w:cstheme="minorBidi"/>
          <w:color w:val="auto"/>
        </w:rPr>
        <w:t xml:space="preserve"> systems, </w:t>
      </w:r>
      <w:r w:rsidR="00FD71FF">
        <w:rPr>
          <w:rFonts w:asciiTheme="minorHAnsi" w:hAnsiTheme="minorHAnsi" w:cstheme="minorBidi"/>
          <w:color w:val="auto"/>
        </w:rPr>
        <w:t xml:space="preserve">and maturation, and specific health and disease trajectories.  </w:t>
      </w:r>
      <w:r w:rsidRPr="00FD71FF">
        <w:rPr>
          <w:rFonts w:asciiTheme="minorHAnsi" w:hAnsiTheme="minorHAnsi" w:cstheme="minorBidi"/>
          <w:color w:val="auto"/>
        </w:rPr>
        <w:t>A range of determinants acting either in concert or synergistically may impact growth and development. These include the built and natural environments with their chemical and physical components, the social environment, individual behaviors, and biological factors</w:t>
      </w:r>
      <w:r w:rsidR="00FD71FF">
        <w:rPr>
          <w:rFonts w:asciiTheme="minorHAnsi" w:hAnsiTheme="minorHAnsi" w:cstheme="minorBidi"/>
          <w:color w:val="auto"/>
        </w:rPr>
        <w:t>,</w:t>
      </w:r>
      <w:r w:rsidRPr="00FD71FF">
        <w:rPr>
          <w:rFonts w:asciiTheme="minorHAnsi" w:hAnsiTheme="minorHAnsi" w:cstheme="minorBidi"/>
          <w:color w:val="auto"/>
        </w:rPr>
        <w:t xml:space="preserve"> including genetics. Of particular importance are the earliest stages of human development, pregnancy and early childhood, when cell division, differentiation, and maturation are most rapid. </w:t>
      </w:r>
    </w:p>
    <w:p w:rsidR="007B4FF0" w:rsidRPr="00FD71FF" w:rsidRDefault="007B4FF0" w:rsidP="00180BBD">
      <w:pPr>
        <w:pStyle w:val="Default"/>
        <w:jc w:val="both"/>
        <w:rPr>
          <w:rFonts w:asciiTheme="minorHAnsi" w:hAnsiTheme="minorHAnsi" w:cstheme="minorBidi"/>
          <w:color w:val="auto"/>
        </w:rPr>
      </w:pPr>
    </w:p>
    <w:p w:rsidR="00DF4FBF" w:rsidRPr="00FD71FF" w:rsidRDefault="00DF4FBF" w:rsidP="00180BBD">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The National Children’s Study </w:t>
      </w:r>
      <w:r w:rsidR="00FD71FF">
        <w:rPr>
          <w:rFonts w:eastAsia="Times New Roman" w:cs="Times New Roman"/>
          <w:color w:val="000000"/>
          <w:sz w:val="24"/>
          <w:szCs w:val="24"/>
        </w:rPr>
        <w:t xml:space="preserve">(NCS) </w:t>
      </w:r>
      <w:r w:rsidRPr="00FD71FF">
        <w:rPr>
          <w:rFonts w:eastAsia="Times New Roman" w:cs="Times New Roman"/>
          <w:color w:val="000000"/>
          <w:sz w:val="24"/>
          <w:szCs w:val="24"/>
        </w:rPr>
        <w:t xml:space="preserve">is the largest, long-term study of environmental and genetic influences on children’s health ever conducted in the United States. By following 100,000 children from before birth to age 21, researchers hope to better understand how children’s genes and their environments interact to affect their health and development. In the </w:t>
      </w:r>
      <w:r w:rsidR="0042501C">
        <w:rPr>
          <w:rFonts w:eastAsia="Times New Roman" w:cs="Times New Roman"/>
          <w:color w:val="000000"/>
          <w:sz w:val="24"/>
          <w:szCs w:val="24"/>
        </w:rPr>
        <w:t>NCS</w:t>
      </w:r>
      <w:r w:rsidRPr="00FD71FF">
        <w:rPr>
          <w:rFonts w:eastAsia="Times New Roman" w:cs="Times New Roman"/>
          <w:color w:val="000000"/>
          <w:sz w:val="24"/>
          <w:szCs w:val="24"/>
        </w:rPr>
        <w:t xml:space="preserve">, “environment” includes factors such as: air, water, and house dust; what children eat; how they are cared for; the safety of their neighborhoods; how often they see a doctor; and other factors.  By tracking children’s development through infancy, childhood, and early adulthood, the </w:t>
      </w:r>
      <w:r w:rsidR="0042501C">
        <w:rPr>
          <w:rFonts w:eastAsia="Times New Roman" w:cs="Times New Roman"/>
          <w:color w:val="000000"/>
          <w:sz w:val="24"/>
          <w:szCs w:val="24"/>
        </w:rPr>
        <w:t>NCS</w:t>
      </w:r>
      <w:r w:rsidR="0042501C" w:rsidRPr="00FD71FF">
        <w:rPr>
          <w:rFonts w:eastAsia="Times New Roman" w:cs="Times New Roman"/>
          <w:color w:val="000000"/>
          <w:sz w:val="24"/>
          <w:szCs w:val="24"/>
        </w:rPr>
        <w:t xml:space="preserve"> </w:t>
      </w:r>
      <w:r w:rsidRPr="00FD71FF">
        <w:rPr>
          <w:rFonts w:eastAsia="Times New Roman" w:cs="Times New Roman"/>
          <w:color w:val="000000"/>
          <w:sz w:val="24"/>
          <w:szCs w:val="24"/>
        </w:rPr>
        <w:t>hopes to determine the many factors that affect the developmental process, assess</w:t>
      </w:r>
      <w:r w:rsidR="001C50CA" w:rsidRPr="00FD71FF">
        <w:rPr>
          <w:rFonts w:eastAsia="Times New Roman" w:cs="Times New Roman"/>
          <w:color w:val="000000"/>
          <w:sz w:val="24"/>
          <w:szCs w:val="24"/>
        </w:rPr>
        <w:t>ing</w:t>
      </w:r>
      <w:r w:rsidRPr="00FD71FF">
        <w:rPr>
          <w:rFonts w:eastAsia="Times New Roman" w:cs="Times New Roman"/>
          <w:color w:val="000000"/>
          <w:sz w:val="24"/>
          <w:szCs w:val="24"/>
        </w:rPr>
        <w:t xml:space="preserve"> </w:t>
      </w:r>
      <w:r w:rsidRPr="00FD71FF">
        <w:rPr>
          <w:rFonts w:eastAsia="Times New Roman" w:cs="Times New Roman"/>
          <w:iCs/>
          <w:color w:val="000000"/>
          <w:sz w:val="24"/>
          <w:szCs w:val="24"/>
        </w:rPr>
        <w:t>root causes</w:t>
      </w:r>
      <w:r w:rsidRPr="00FD71FF">
        <w:rPr>
          <w:rFonts w:eastAsia="Times New Roman" w:cs="Times New Roman"/>
          <w:color w:val="000000"/>
          <w:sz w:val="24"/>
          <w:szCs w:val="24"/>
        </w:rPr>
        <w:t xml:space="preserve"> of both good health and disease.  Findings from the </w:t>
      </w:r>
      <w:r w:rsidR="0042501C">
        <w:rPr>
          <w:rFonts w:eastAsia="Times New Roman" w:cs="Times New Roman"/>
          <w:color w:val="000000"/>
          <w:sz w:val="24"/>
          <w:szCs w:val="24"/>
        </w:rPr>
        <w:t>NCS</w:t>
      </w:r>
      <w:r w:rsidR="0042501C" w:rsidRPr="00FD71FF">
        <w:rPr>
          <w:rFonts w:eastAsia="Times New Roman" w:cs="Times New Roman"/>
          <w:color w:val="000000"/>
          <w:sz w:val="24"/>
          <w:szCs w:val="24"/>
        </w:rPr>
        <w:t xml:space="preserve"> </w:t>
      </w:r>
      <w:r w:rsidRPr="00FD71FF">
        <w:rPr>
          <w:rFonts w:eastAsia="Times New Roman" w:cs="Times New Roman"/>
          <w:color w:val="000000"/>
          <w:sz w:val="24"/>
          <w:szCs w:val="24"/>
        </w:rPr>
        <w:t xml:space="preserve">will benefit </w:t>
      </w:r>
      <w:r w:rsidRPr="00FD71FF">
        <w:rPr>
          <w:rFonts w:eastAsia="Times New Roman" w:cs="Times New Roman"/>
          <w:i/>
          <w:iCs/>
          <w:color w:val="000000"/>
          <w:sz w:val="24"/>
          <w:szCs w:val="24"/>
        </w:rPr>
        <w:t>all</w:t>
      </w:r>
      <w:r w:rsidRPr="00FD71FF">
        <w:rPr>
          <w:rFonts w:eastAsia="Times New Roman" w:cs="Times New Roman"/>
          <w:color w:val="000000"/>
          <w:sz w:val="24"/>
          <w:szCs w:val="24"/>
        </w:rPr>
        <w:t xml:space="preserve"> Americans by providing researchers, health care providers, and public health officials with information from which to develop prevention and treatment strategies and health and safety guidelines.  </w:t>
      </w:r>
    </w:p>
    <w:p w:rsidR="00DF4FBF" w:rsidRPr="00FD71FF" w:rsidRDefault="00DF4FBF" w:rsidP="00180BBD">
      <w:pPr>
        <w:pStyle w:val="Default"/>
        <w:jc w:val="both"/>
        <w:rPr>
          <w:rFonts w:asciiTheme="minorHAnsi" w:hAnsiTheme="minorHAnsi" w:cstheme="minorBidi"/>
          <w:color w:val="auto"/>
        </w:rPr>
      </w:pPr>
      <w:bookmarkStart w:id="0" w:name="overarching"/>
      <w:bookmarkStart w:id="1" w:name="learn"/>
      <w:bookmarkEnd w:id="0"/>
      <w:bookmarkEnd w:id="1"/>
    </w:p>
    <w:p w:rsidR="007B4FF0" w:rsidRPr="00FD71FF" w:rsidRDefault="007B4FF0" w:rsidP="00180BBD">
      <w:pPr>
        <w:pStyle w:val="Default"/>
        <w:jc w:val="both"/>
        <w:rPr>
          <w:rFonts w:asciiTheme="minorHAnsi" w:hAnsiTheme="minorHAnsi" w:cstheme="minorBidi"/>
          <w:color w:val="auto"/>
        </w:rPr>
      </w:pPr>
      <w:r w:rsidRPr="00FD71FF">
        <w:rPr>
          <w:rFonts w:asciiTheme="minorHAnsi" w:hAnsiTheme="minorHAnsi" w:cstheme="minorBidi"/>
          <w:color w:val="auto"/>
        </w:rPr>
        <w:t>Faced with the challenge of how to address the potential risks of many environmental factors that may be affecting the health and development of children, the President’s Task Force on Health Risks and Safety Risks to Children concluded in 1999 that a large study to define the actual risks associated with broad environmental exposures is an essential first step. Following the recommendation of the task force, the U.S. Congress passed the Children’s Health Act of 2000 which directed the National Institute of Child Health and Human Development (NICHD) to conduct a national longitudinal study of environmental influences (including physical, chemical, biological</w:t>
      </w:r>
      <w:r w:rsidR="009507CF">
        <w:rPr>
          <w:rFonts w:asciiTheme="minorHAnsi" w:hAnsiTheme="minorHAnsi" w:cstheme="minorBidi"/>
          <w:color w:val="auto"/>
        </w:rPr>
        <w:t>,</w:t>
      </w:r>
      <w:r w:rsidRPr="00FD71FF">
        <w:rPr>
          <w:rFonts w:asciiTheme="minorHAnsi" w:hAnsiTheme="minorHAnsi" w:cstheme="minorBidi"/>
          <w:color w:val="auto"/>
        </w:rPr>
        <w:t xml:space="preserve"> and psychosocial influences) on children’s health and development. The National Institute of Environmental Health Sciences (NIEHS), the Centers for Disease Control and Prevention (CDC), and the U.S. Environmental Protection Agency (EPA) joined the NICHD in planning the study. </w:t>
      </w:r>
    </w:p>
    <w:p w:rsidR="007B4FF0" w:rsidRPr="00FD71FF" w:rsidRDefault="007B4FF0" w:rsidP="00180BBD">
      <w:pPr>
        <w:pStyle w:val="Default"/>
        <w:jc w:val="both"/>
        <w:rPr>
          <w:rFonts w:asciiTheme="minorHAnsi" w:hAnsiTheme="minorHAnsi" w:cstheme="minorBidi"/>
          <w:color w:val="auto"/>
        </w:rPr>
      </w:pPr>
    </w:p>
    <w:p w:rsidR="007B4FF0" w:rsidRPr="00FD71FF" w:rsidRDefault="007B4FF0" w:rsidP="00180BBD">
      <w:pPr>
        <w:pStyle w:val="Default"/>
        <w:jc w:val="both"/>
        <w:rPr>
          <w:rFonts w:asciiTheme="minorHAnsi" w:hAnsiTheme="minorHAnsi" w:cstheme="minorBidi"/>
          <w:color w:val="auto"/>
        </w:rPr>
      </w:pPr>
      <w:r w:rsidRPr="00FD71FF">
        <w:rPr>
          <w:rFonts w:asciiTheme="minorHAnsi" w:hAnsiTheme="minorHAnsi" w:cstheme="minorBidi"/>
          <w:color w:val="auto"/>
        </w:rPr>
        <w:t xml:space="preserve">The Children’s Health Act of 2000 (Public Law 106-310, Sec. 1004 shown in Appendix C.1) specifies that the study should extend from the prenatal period to adulthood, following a sample of children through their developmental life stages. It should investigate the short-term and long-term influences of physical, chemical, biological, and psychosocial environmental exposures on children’s health and development, including not only physical health, but behavioral, emotional, and educational outcomes as well. The study should elucidate both those factors that protect children from detrimental outcomes and those that put them at risk. The study population must be sufficiently diverse to address the existence and consequences of health disparities among children in the United States. The scientific rationale for this program of research has evolved as the National Children’s Study. </w:t>
      </w:r>
    </w:p>
    <w:p w:rsidR="007B4FF0" w:rsidRPr="00FD71FF" w:rsidRDefault="007B4FF0" w:rsidP="00180BBD">
      <w:pPr>
        <w:pStyle w:val="Default"/>
        <w:jc w:val="both"/>
        <w:rPr>
          <w:rFonts w:asciiTheme="minorHAnsi" w:hAnsiTheme="minorHAnsi" w:cstheme="minorBidi"/>
          <w:color w:val="auto"/>
        </w:rPr>
      </w:pPr>
    </w:p>
    <w:p w:rsidR="00E80F25" w:rsidRPr="00FD71FF" w:rsidRDefault="00E80F25" w:rsidP="00180BBD">
      <w:pPr>
        <w:widowControl w:val="0"/>
        <w:autoSpaceDE w:val="0"/>
        <w:autoSpaceDN w:val="0"/>
        <w:adjustRightInd w:val="0"/>
        <w:spacing w:after="0" w:line="240" w:lineRule="auto"/>
        <w:rPr>
          <w:rFonts w:cs="Arial"/>
          <w:sz w:val="24"/>
          <w:szCs w:val="24"/>
        </w:rPr>
      </w:pPr>
      <w:r w:rsidRPr="00FD71FF">
        <w:rPr>
          <w:rFonts w:cs="Arial"/>
          <w:sz w:val="24"/>
          <w:szCs w:val="24"/>
        </w:rPr>
        <w:t xml:space="preserve">The NCS Main Study </w:t>
      </w:r>
      <w:r w:rsidR="00C51354">
        <w:rPr>
          <w:rFonts w:cs="Arial"/>
          <w:sz w:val="24"/>
          <w:szCs w:val="24"/>
        </w:rPr>
        <w:t>plans to</w:t>
      </w:r>
      <w:r w:rsidR="00C51354" w:rsidRPr="00FD71FF">
        <w:rPr>
          <w:rFonts w:cs="Arial"/>
          <w:sz w:val="24"/>
          <w:szCs w:val="24"/>
        </w:rPr>
        <w:t xml:space="preserve"> </w:t>
      </w:r>
      <w:r w:rsidRPr="00FD71FF">
        <w:rPr>
          <w:rFonts w:cs="Arial"/>
          <w:sz w:val="24"/>
          <w:szCs w:val="24"/>
        </w:rPr>
        <w:t xml:space="preserve">follow a sample of 100,000 children, born to women recruited from about 105 </w:t>
      </w:r>
      <w:r w:rsidR="00C51354">
        <w:rPr>
          <w:rFonts w:cs="Arial"/>
          <w:sz w:val="24"/>
          <w:szCs w:val="24"/>
        </w:rPr>
        <w:t>proposed</w:t>
      </w:r>
      <w:r w:rsidR="007D1F0C">
        <w:rPr>
          <w:rFonts w:cs="Arial"/>
          <w:sz w:val="24"/>
          <w:szCs w:val="24"/>
        </w:rPr>
        <w:t xml:space="preserve"> study</w:t>
      </w:r>
      <w:r w:rsidRPr="00FD71FF">
        <w:rPr>
          <w:rFonts w:cs="Arial"/>
          <w:sz w:val="24"/>
          <w:szCs w:val="24"/>
        </w:rPr>
        <w:t xml:space="preserve"> </w:t>
      </w:r>
      <w:r w:rsidR="007D1F0C">
        <w:rPr>
          <w:rFonts w:cs="Arial"/>
          <w:sz w:val="24"/>
          <w:szCs w:val="24"/>
        </w:rPr>
        <w:t>l</w:t>
      </w:r>
      <w:r w:rsidRPr="00FD71FF">
        <w:rPr>
          <w:rFonts w:cs="Arial"/>
          <w:sz w:val="24"/>
          <w:szCs w:val="24"/>
        </w:rPr>
        <w:t xml:space="preserve">ocations (generally corresponding to counties) within the US, from before birth to age 21 years. The </w:t>
      </w:r>
      <w:r w:rsidR="0042501C">
        <w:rPr>
          <w:rFonts w:cs="Arial"/>
          <w:sz w:val="24"/>
          <w:szCs w:val="24"/>
        </w:rPr>
        <w:t xml:space="preserve">Main </w:t>
      </w:r>
      <w:r w:rsidRPr="00FD71FF">
        <w:rPr>
          <w:rFonts w:cs="Arial"/>
          <w:sz w:val="24"/>
          <w:szCs w:val="24"/>
        </w:rPr>
        <w:t xml:space="preserve">Study defines ‘‘environment’’ broadly, such as air, water, </w:t>
      </w:r>
      <w:r w:rsidR="009507CF">
        <w:rPr>
          <w:rFonts w:cs="Arial"/>
          <w:sz w:val="24"/>
          <w:szCs w:val="24"/>
        </w:rPr>
        <w:t>dust</w:t>
      </w:r>
      <w:r w:rsidRPr="00FD71FF">
        <w:rPr>
          <w:rFonts w:cs="Arial"/>
          <w:sz w:val="24"/>
          <w:szCs w:val="24"/>
        </w:rPr>
        <w:t xml:space="preserve">, noise, stress and exposure to natural and manufactured products. By studying children through different phases of growth and development, researchers may be better able to understand the role these factors have on health and disease. </w:t>
      </w:r>
    </w:p>
    <w:p w:rsidR="00DF4FBF" w:rsidRPr="00FD71FF" w:rsidRDefault="00DF4FBF" w:rsidP="00180BBD">
      <w:pPr>
        <w:widowControl w:val="0"/>
        <w:autoSpaceDE w:val="0"/>
        <w:autoSpaceDN w:val="0"/>
        <w:adjustRightInd w:val="0"/>
        <w:spacing w:after="0" w:line="240" w:lineRule="auto"/>
        <w:rPr>
          <w:rFonts w:cs="Arial"/>
          <w:sz w:val="24"/>
          <w:szCs w:val="24"/>
        </w:rPr>
      </w:pPr>
    </w:p>
    <w:p w:rsidR="00DF4FBF" w:rsidRPr="00FD71FF" w:rsidRDefault="00DF4FBF" w:rsidP="00180BBD">
      <w:pPr>
        <w:widowControl w:val="0"/>
        <w:autoSpaceDE w:val="0"/>
        <w:autoSpaceDN w:val="0"/>
        <w:adjustRightInd w:val="0"/>
        <w:spacing w:after="0" w:line="240" w:lineRule="auto"/>
        <w:rPr>
          <w:rFonts w:cs="Arial"/>
          <w:sz w:val="24"/>
          <w:szCs w:val="24"/>
        </w:rPr>
      </w:pPr>
      <w:r w:rsidRPr="00FD71FF">
        <w:rPr>
          <w:rFonts w:eastAsia="Times New Roman" w:cs="Times New Roman"/>
          <w:color w:val="000000"/>
          <w:sz w:val="24"/>
          <w:szCs w:val="24"/>
        </w:rPr>
        <w:t xml:space="preserve">The National Children’s Study is an observational research </w:t>
      </w:r>
      <w:r w:rsidR="0042501C">
        <w:rPr>
          <w:rFonts w:eastAsia="Times New Roman" w:cs="Times New Roman"/>
          <w:color w:val="000000"/>
          <w:sz w:val="24"/>
          <w:szCs w:val="24"/>
        </w:rPr>
        <w:t>s</w:t>
      </w:r>
      <w:r w:rsidRPr="00FD71FF">
        <w:rPr>
          <w:rFonts w:eastAsia="Times New Roman" w:cs="Times New Roman"/>
          <w:color w:val="000000"/>
          <w:sz w:val="24"/>
          <w:szCs w:val="24"/>
        </w:rPr>
        <w:t xml:space="preserve">tudy. </w:t>
      </w:r>
      <w:r w:rsidR="0042501C">
        <w:rPr>
          <w:rFonts w:eastAsia="Times New Roman" w:cs="Times New Roman"/>
          <w:color w:val="000000"/>
          <w:sz w:val="24"/>
          <w:szCs w:val="24"/>
        </w:rPr>
        <w:t>P</w:t>
      </w:r>
      <w:r w:rsidRPr="00FD71FF">
        <w:rPr>
          <w:rFonts w:eastAsia="Times New Roman" w:cs="Times New Roman"/>
          <w:color w:val="000000"/>
          <w:sz w:val="24"/>
          <w:szCs w:val="24"/>
        </w:rPr>
        <w:t>articipant</w:t>
      </w:r>
      <w:r w:rsidR="0042501C">
        <w:rPr>
          <w:rFonts w:eastAsia="Times New Roman" w:cs="Times New Roman"/>
          <w:color w:val="000000"/>
          <w:sz w:val="24"/>
          <w:szCs w:val="24"/>
        </w:rPr>
        <w:t>s will</w:t>
      </w:r>
      <w:r w:rsidRPr="00FD71FF">
        <w:rPr>
          <w:rFonts w:eastAsia="Times New Roman" w:cs="Times New Roman"/>
          <w:color w:val="000000"/>
          <w:sz w:val="24"/>
          <w:szCs w:val="24"/>
        </w:rPr>
        <w:t xml:space="preserve"> not </w:t>
      </w:r>
      <w:r w:rsidR="0042501C">
        <w:rPr>
          <w:rFonts w:eastAsia="Times New Roman" w:cs="Times New Roman"/>
          <w:color w:val="000000"/>
          <w:sz w:val="24"/>
          <w:szCs w:val="24"/>
        </w:rPr>
        <w:t xml:space="preserve">be </w:t>
      </w:r>
      <w:r w:rsidRPr="00FD71FF">
        <w:rPr>
          <w:rFonts w:eastAsia="Times New Roman" w:cs="Times New Roman"/>
          <w:color w:val="000000"/>
          <w:sz w:val="24"/>
          <w:szCs w:val="24"/>
        </w:rPr>
        <w:t>asked to change what they normally do</w:t>
      </w:r>
      <w:r w:rsidR="0042501C">
        <w:rPr>
          <w:rFonts w:eastAsia="Times New Roman" w:cs="Times New Roman"/>
          <w:color w:val="000000"/>
          <w:sz w:val="24"/>
          <w:szCs w:val="24"/>
        </w:rPr>
        <w:t>,</w:t>
      </w:r>
      <w:r w:rsidRPr="00FD71FF">
        <w:rPr>
          <w:rFonts w:eastAsia="Times New Roman" w:cs="Times New Roman"/>
          <w:color w:val="000000"/>
          <w:sz w:val="24"/>
          <w:szCs w:val="24"/>
        </w:rPr>
        <w:t xml:space="preserve"> nor will they or their child be asked to take any medicines or drugs. Initially, researchers will collect information on women’s pregnancies, including their diets, environments, chemical exposures, and emotional stress. When their children are born, and periodically thereafter, researchers will ask questions about the family and their environment, and collect biologic samples and environmental samples like air, water, and dust from their environments. Researchers will meet with families in both their homes and in clinical settings, and data also will be collected via telephone or mail-in questionnaires.  </w:t>
      </w:r>
    </w:p>
    <w:p w:rsidR="007B4FF0" w:rsidRPr="00FD71FF" w:rsidRDefault="007B4FF0" w:rsidP="00180BBD">
      <w:pPr>
        <w:pStyle w:val="Default"/>
        <w:jc w:val="both"/>
        <w:rPr>
          <w:rFonts w:asciiTheme="minorHAnsi" w:hAnsiTheme="minorHAnsi" w:cstheme="minorBidi"/>
          <w:color w:val="auto"/>
        </w:rPr>
      </w:pPr>
    </w:p>
    <w:p w:rsidR="00E80F25" w:rsidRPr="00FD71FF" w:rsidRDefault="00E80F25"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To conduct the detailed preparation needed for a study of this size and complexity, the NCS was designed to include a preliminary pilot study known as the Vanguard Study. The purpose of the Vanguard Study is to assess the feasibility (technical performance and reliability), acceptability (impact on study participants and study infrastructure), and cost (level of effort, personnel, resources, and money) of the recruitment strategy, study logistics and operations, and study visit assessments that are to be used in the NCS Main Study. The Vanguard Study begins prior to the NCS Main Study and will run in parallel with the Main Study. At every phase of the NCS, the multiple methodological studies conducted during the Vanguard phase will inform the implementation and analysis plan for the Main Study. </w:t>
      </w:r>
    </w:p>
    <w:p w:rsidR="00E80F25" w:rsidRPr="00FD71FF" w:rsidRDefault="00E80F25" w:rsidP="00180BBD">
      <w:pPr>
        <w:widowControl w:val="0"/>
        <w:autoSpaceDE w:val="0"/>
        <w:autoSpaceDN w:val="0"/>
        <w:adjustRightInd w:val="0"/>
        <w:spacing w:after="0" w:line="240" w:lineRule="auto"/>
        <w:rPr>
          <w:rFonts w:cs="Times New Roman"/>
          <w:sz w:val="24"/>
          <w:szCs w:val="24"/>
        </w:rPr>
      </w:pPr>
    </w:p>
    <w:p w:rsidR="00E80F25" w:rsidRPr="00FD71FF" w:rsidRDefault="00E80F25"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Before birth and throughout the children’s lives, </w:t>
      </w:r>
      <w:r w:rsidR="0042501C">
        <w:rPr>
          <w:rFonts w:cs="Times New Roman"/>
          <w:sz w:val="24"/>
          <w:szCs w:val="24"/>
        </w:rPr>
        <w:t xml:space="preserve">both </w:t>
      </w:r>
      <w:r w:rsidRPr="00FD71FF">
        <w:rPr>
          <w:rFonts w:cs="Times New Roman"/>
          <w:sz w:val="24"/>
          <w:szCs w:val="24"/>
        </w:rPr>
        <w:t xml:space="preserve">the </w:t>
      </w:r>
      <w:r w:rsidR="0042501C">
        <w:rPr>
          <w:rFonts w:cs="Times New Roman"/>
          <w:sz w:val="24"/>
          <w:szCs w:val="24"/>
        </w:rPr>
        <w:t xml:space="preserve"> Main Study and the Vanguard Study </w:t>
      </w:r>
      <w:r w:rsidRPr="00FD71FF">
        <w:rPr>
          <w:rFonts w:cs="Times New Roman"/>
          <w:sz w:val="24"/>
          <w:szCs w:val="24"/>
        </w:rPr>
        <w:t>will collect health-related information, administer health questionnaires, collect biological and environmental samples and make other assessments identifying children’s chemical, physical, psychosocial, and biological exposures, as well as their genetics. However, of primary interest to the Vanguard Study are op</w:t>
      </w:r>
      <w:r w:rsidR="00A36058" w:rsidRPr="00FD71FF">
        <w:rPr>
          <w:rFonts w:cs="Times New Roman"/>
          <w:sz w:val="24"/>
          <w:szCs w:val="24"/>
        </w:rPr>
        <w:t xml:space="preserve">erational and performance data.  In contrast, the goal of the Main Study is obtaining </w:t>
      </w:r>
      <w:r w:rsidRPr="00FD71FF">
        <w:rPr>
          <w:rFonts w:cs="Times New Roman"/>
          <w:sz w:val="24"/>
          <w:szCs w:val="24"/>
        </w:rPr>
        <w:t xml:space="preserve">analytic data </w:t>
      </w:r>
      <w:r w:rsidR="00A36058" w:rsidRPr="00FD71FF">
        <w:rPr>
          <w:rFonts w:cs="Times New Roman"/>
          <w:sz w:val="24"/>
          <w:szCs w:val="24"/>
        </w:rPr>
        <w:t>to evaluate exposure-response relationships</w:t>
      </w:r>
      <w:r w:rsidRPr="00FD71FF">
        <w:rPr>
          <w:rFonts w:cs="Times New Roman"/>
          <w:sz w:val="24"/>
          <w:szCs w:val="24"/>
        </w:rPr>
        <w:t>.</w:t>
      </w:r>
    </w:p>
    <w:p w:rsidR="00E80F25" w:rsidRPr="00FD71FF" w:rsidRDefault="00E80F25" w:rsidP="00180BBD">
      <w:pPr>
        <w:widowControl w:val="0"/>
        <w:autoSpaceDE w:val="0"/>
        <w:autoSpaceDN w:val="0"/>
        <w:adjustRightInd w:val="0"/>
        <w:spacing w:after="0" w:line="240" w:lineRule="auto"/>
        <w:rPr>
          <w:rFonts w:cs="Times New Roman"/>
          <w:sz w:val="24"/>
          <w:szCs w:val="24"/>
        </w:rPr>
      </w:pPr>
    </w:p>
    <w:p w:rsidR="00E80F25" w:rsidRPr="00FD71FF" w:rsidRDefault="00E80F25" w:rsidP="00180BBD">
      <w:pPr>
        <w:widowControl w:val="0"/>
        <w:autoSpaceDE w:val="0"/>
        <w:autoSpaceDN w:val="0"/>
        <w:adjustRightInd w:val="0"/>
        <w:spacing w:after="0" w:line="240" w:lineRule="auto"/>
        <w:rPr>
          <w:rFonts w:cs="Times New Roman"/>
          <w:b/>
          <w:sz w:val="24"/>
          <w:szCs w:val="24"/>
        </w:rPr>
      </w:pPr>
      <w:r w:rsidRPr="00FD71FF">
        <w:rPr>
          <w:rFonts w:cs="Times New Roman"/>
          <w:b/>
          <w:sz w:val="24"/>
          <w:szCs w:val="24"/>
        </w:rPr>
        <w:t>A.2</w:t>
      </w:r>
      <w:r w:rsidRPr="00FD71FF">
        <w:rPr>
          <w:rFonts w:cs="Times New Roman"/>
          <w:b/>
          <w:sz w:val="24"/>
          <w:szCs w:val="24"/>
        </w:rPr>
        <w:tab/>
        <w:t>Purpose and Use of the Information Collection</w:t>
      </w:r>
    </w:p>
    <w:p w:rsidR="00E80F25" w:rsidRPr="00FD71FF" w:rsidRDefault="00E80F25" w:rsidP="00180BBD">
      <w:pPr>
        <w:widowControl w:val="0"/>
        <w:autoSpaceDE w:val="0"/>
        <w:autoSpaceDN w:val="0"/>
        <w:adjustRightInd w:val="0"/>
        <w:spacing w:after="0" w:line="240" w:lineRule="auto"/>
        <w:rPr>
          <w:rFonts w:cs="Times New Roman"/>
          <w:sz w:val="24"/>
          <w:szCs w:val="24"/>
        </w:rPr>
      </w:pPr>
    </w:p>
    <w:p w:rsidR="00CC6AA1" w:rsidRDefault="00E80F25"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w:t>
      </w:r>
      <w:r w:rsidR="00C51354">
        <w:rPr>
          <w:rFonts w:cs="Times New Roman"/>
          <w:sz w:val="24"/>
          <w:szCs w:val="24"/>
        </w:rPr>
        <w:t>I</w:t>
      </w:r>
      <w:r w:rsidR="00C51354" w:rsidRPr="00FD71FF">
        <w:rPr>
          <w:rFonts w:cs="Times New Roman"/>
          <w:sz w:val="24"/>
          <w:szCs w:val="24"/>
        </w:rPr>
        <w:t xml:space="preserve">nitial </w:t>
      </w:r>
      <w:r w:rsidRPr="00FD71FF">
        <w:rPr>
          <w:rFonts w:cs="Times New Roman"/>
          <w:sz w:val="24"/>
          <w:szCs w:val="24"/>
        </w:rPr>
        <w:t xml:space="preserve">Vanguard Study protocol was designed to enroll approximately 1,750 pregnant women through seven </w:t>
      </w:r>
      <w:r w:rsidR="0042501C">
        <w:rPr>
          <w:rFonts w:cs="Times New Roman"/>
          <w:sz w:val="24"/>
          <w:szCs w:val="24"/>
        </w:rPr>
        <w:t>s</w:t>
      </w:r>
      <w:r w:rsidRPr="00FD71FF">
        <w:rPr>
          <w:rFonts w:cs="Times New Roman"/>
          <w:sz w:val="24"/>
          <w:szCs w:val="24"/>
        </w:rPr>
        <w:t xml:space="preserve">tudy </w:t>
      </w:r>
      <w:r w:rsidR="0042501C">
        <w:rPr>
          <w:rFonts w:cs="Times New Roman"/>
          <w:sz w:val="24"/>
          <w:szCs w:val="24"/>
        </w:rPr>
        <w:t>l</w:t>
      </w:r>
      <w:r w:rsidRPr="00FD71FF">
        <w:rPr>
          <w:rFonts w:cs="Times New Roman"/>
          <w:sz w:val="24"/>
          <w:szCs w:val="24"/>
        </w:rPr>
        <w:t xml:space="preserve">ocations after 12 months of data collection. Two of the locations began recruitment in January 2009 and the remaining 5 in April 2009. As of </w:t>
      </w:r>
      <w:r w:rsidR="00C51354">
        <w:rPr>
          <w:rFonts w:cs="Times New Roman"/>
          <w:sz w:val="24"/>
          <w:szCs w:val="24"/>
        </w:rPr>
        <w:t>May</w:t>
      </w:r>
      <w:r w:rsidR="00C51354" w:rsidRPr="00FD71FF">
        <w:rPr>
          <w:rFonts w:cs="Times New Roman"/>
          <w:sz w:val="24"/>
          <w:szCs w:val="24"/>
        </w:rPr>
        <w:t xml:space="preserve"> </w:t>
      </w:r>
      <w:r w:rsidRPr="00FD71FF">
        <w:rPr>
          <w:rFonts w:cs="Times New Roman"/>
          <w:sz w:val="24"/>
          <w:szCs w:val="24"/>
        </w:rPr>
        <w:t xml:space="preserve">2010, however, approximately </w:t>
      </w:r>
      <w:r w:rsidR="00C51354">
        <w:rPr>
          <w:rFonts w:cs="Times New Roman"/>
          <w:sz w:val="24"/>
          <w:szCs w:val="24"/>
        </w:rPr>
        <w:t>9</w:t>
      </w:r>
      <w:r w:rsidR="00C51354" w:rsidRPr="00FD71FF">
        <w:rPr>
          <w:rFonts w:cs="Times New Roman"/>
          <w:sz w:val="24"/>
          <w:szCs w:val="24"/>
        </w:rPr>
        <w:t xml:space="preserve">00 </w:t>
      </w:r>
      <w:r w:rsidRPr="00FD71FF">
        <w:rPr>
          <w:rFonts w:cs="Times New Roman"/>
          <w:sz w:val="24"/>
          <w:szCs w:val="24"/>
        </w:rPr>
        <w:t xml:space="preserve">pregnant women have been enrolled, leading to questions about the assumptions underlying the Initial Vanguard Study recruitment model. The seven </w:t>
      </w:r>
      <w:r w:rsidR="0042501C">
        <w:rPr>
          <w:rFonts w:cs="Times New Roman"/>
          <w:sz w:val="24"/>
          <w:szCs w:val="24"/>
        </w:rPr>
        <w:t xml:space="preserve">Initial Vanguard </w:t>
      </w:r>
      <w:r w:rsidRPr="00FD71FF">
        <w:rPr>
          <w:rFonts w:cs="Times New Roman"/>
          <w:sz w:val="24"/>
          <w:szCs w:val="24"/>
        </w:rPr>
        <w:t xml:space="preserve">sites use a household enumeration and screening strategy to identify eligible women for recruitment into the study. Although household enumeration is often considered a gold standard for </w:t>
      </w:r>
      <w:r w:rsidR="003A50F7" w:rsidRPr="00FD71FF">
        <w:rPr>
          <w:rFonts w:cs="Times New Roman"/>
          <w:sz w:val="24"/>
          <w:szCs w:val="24"/>
        </w:rPr>
        <w:t>maximizing coverage</w:t>
      </w:r>
      <w:r w:rsidRPr="00FD71FF">
        <w:rPr>
          <w:rFonts w:cs="Times New Roman"/>
          <w:sz w:val="24"/>
          <w:szCs w:val="24"/>
        </w:rPr>
        <w:t xml:space="preserve">, in that all dwelling units are </w:t>
      </w:r>
      <w:r w:rsidR="003A50F7" w:rsidRPr="00FD71FF">
        <w:rPr>
          <w:rFonts w:cs="Times New Roman"/>
          <w:sz w:val="24"/>
          <w:szCs w:val="24"/>
        </w:rPr>
        <w:t>identified and enumerated</w:t>
      </w:r>
      <w:r w:rsidRPr="00FD71FF">
        <w:rPr>
          <w:rFonts w:cs="Times New Roman"/>
          <w:sz w:val="24"/>
          <w:szCs w:val="24"/>
        </w:rPr>
        <w:t xml:space="preserve">, for the NCS </w:t>
      </w:r>
      <w:r w:rsidR="0042501C">
        <w:rPr>
          <w:rFonts w:cs="Times New Roman"/>
          <w:sz w:val="24"/>
          <w:szCs w:val="24"/>
        </w:rPr>
        <w:t>I</w:t>
      </w:r>
      <w:r w:rsidR="00B8065F" w:rsidRPr="00FD71FF">
        <w:rPr>
          <w:rFonts w:cs="Times New Roman"/>
          <w:sz w:val="24"/>
          <w:szCs w:val="24"/>
        </w:rPr>
        <w:t xml:space="preserve">nitial </w:t>
      </w:r>
      <w:r w:rsidRPr="00FD71FF">
        <w:rPr>
          <w:rFonts w:cs="Times New Roman"/>
          <w:sz w:val="24"/>
          <w:szCs w:val="24"/>
        </w:rPr>
        <w:t xml:space="preserve">Vanguard Study this method has not yielded the target number of births in the time frame projected from initial models.  Consequently, additional </w:t>
      </w:r>
      <w:r w:rsidR="00C51354">
        <w:rPr>
          <w:rFonts w:cs="Times New Roman"/>
          <w:sz w:val="24"/>
          <w:szCs w:val="24"/>
        </w:rPr>
        <w:t>methodological</w:t>
      </w:r>
      <w:r w:rsidR="00C51354" w:rsidRPr="00FD71FF">
        <w:rPr>
          <w:rFonts w:cs="Times New Roman"/>
          <w:sz w:val="24"/>
          <w:szCs w:val="24"/>
        </w:rPr>
        <w:t xml:space="preserve"> </w:t>
      </w:r>
      <w:r w:rsidRPr="00FD71FF">
        <w:rPr>
          <w:rFonts w:cs="Times New Roman"/>
          <w:sz w:val="24"/>
          <w:szCs w:val="24"/>
        </w:rPr>
        <w:t xml:space="preserve">research is needed to evaluate the feasibility, acceptability, and cost of </w:t>
      </w:r>
      <w:r w:rsidR="00C51354">
        <w:rPr>
          <w:rFonts w:cs="Times New Roman"/>
          <w:sz w:val="24"/>
          <w:szCs w:val="24"/>
        </w:rPr>
        <w:t>alternate</w:t>
      </w:r>
      <w:r w:rsidR="00C51354" w:rsidRPr="00FD71FF">
        <w:rPr>
          <w:rFonts w:cs="Times New Roman"/>
          <w:sz w:val="24"/>
          <w:szCs w:val="24"/>
        </w:rPr>
        <w:t xml:space="preserve"> </w:t>
      </w:r>
      <w:r w:rsidRPr="00FD71FF">
        <w:rPr>
          <w:rFonts w:cs="Times New Roman"/>
          <w:sz w:val="24"/>
          <w:szCs w:val="24"/>
        </w:rPr>
        <w:t xml:space="preserve">recruitment strategies for enrollment of pregnant women into the NCS.  </w:t>
      </w:r>
      <w:r w:rsidR="0042501C">
        <w:rPr>
          <w:rFonts w:cs="Times New Roman"/>
          <w:sz w:val="24"/>
          <w:szCs w:val="24"/>
        </w:rPr>
        <w:t xml:space="preserve">This research will be conducted through </w:t>
      </w:r>
      <w:r w:rsidR="00C53246">
        <w:rPr>
          <w:rFonts w:cs="Times New Roman"/>
          <w:sz w:val="24"/>
          <w:szCs w:val="24"/>
        </w:rPr>
        <w:t>the</w:t>
      </w:r>
      <w:r w:rsidR="0042501C">
        <w:rPr>
          <w:rFonts w:cs="Times New Roman"/>
          <w:sz w:val="24"/>
          <w:szCs w:val="24"/>
        </w:rPr>
        <w:t xml:space="preserve"> NCS Recruitment Substudy.  </w:t>
      </w:r>
      <w:r w:rsidR="00D531C5">
        <w:rPr>
          <w:rFonts w:cs="Times New Roman"/>
          <w:sz w:val="24"/>
          <w:szCs w:val="24"/>
        </w:rPr>
        <w:t>Th</w:t>
      </w:r>
      <w:r w:rsidR="00C53246">
        <w:rPr>
          <w:rFonts w:cs="Times New Roman"/>
          <w:sz w:val="24"/>
          <w:szCs w:val="24"/>
        </w:rPr>
        <w:t>e</w:t>
      </w:r>
      <w:r w:rsidR="00D531C5">
        <w:rPr>
          <w:rFonts w:cs="Times New Roman"/>
          <w:sz w:val="24"/>
          <w:szCs w:val="24"/>
        </w:rPr>
        <w:t xml:space="preserve"> Recruitment Substudy will assess three alternate recruitment strategies – (1)</w:t>
      </w:r>
      <w:r w:rsidR="00456FEB" w:rsidRPr="00456FEB">
        <w:rPr>
          <w:rFonts w:cs="Times New Roman"/>
          <w:sz w:val="24"/>
          <w:szCs w:val="24"/>
        </w:rPr>
        <w:t xml:space="preserve"> </w:t>
      </w:r>
      <w:r w:rsidR="00456FEB">
        <w:rPr>
          <w:rFonts w:cs="Times New Roman"/>
          <w:sz w:val="24"/>
          <w:szCs w:val="24"/>
        </w:rPr>
        <w:t xml:space="preserve">a provider-based recruitment strategy; </w:t>
      </w:r>
      <w:r w:rsidR="00D531C5">
        <w:rPr>
          <w:rFonts w:cs="Times New Roman"/>
          <w:sz w:val="24"/>
          <w:szCs w:val="24"/>
        </w:rPr>
        <w:t xml:space="preserve"> (2) </w:t>
      </w:r>
      <w:r w:rsidR="00456FEB">
        <w:rPr>
          <w:rFonts w:cs="Times New Roman"/>
          <w:sz w:val="24"/>
          <w:szCs w:val="24"/>
        </w:rPr>
        <w:t xml:space="preserve">an enhanced version of a household enumeration strategy; </w:t>
      </w:r>
      <w:r w:rsidR="00D531C5">
        <w:rPr>
          <w:rFonts w:cs="Times New Roman"/>
          <w:sz w:val="24"/>
          <w:szCs w:val="24"/>
        </w:rPr>
        <w:t xml:space="preserve">and (3) a two-tier recruitment strategy involving high-intensity and low-intensity data collection efforts.  </w:t>
      </w:r>
      <w:r w:rsidR="001D2AD0" w:rsidRPr="001D2AD0">
        <w:rPr>
          <w:rFonts w:cs="Times New Roman"/>
          <w:sz w:val="24"/>
          <w:szCs w:val="24"/>
          <w:highlight w:val="yellow"/>
        </w:rPr>
        <w:t>Additionally, retention and selected study visit assessments will be evaluated to inform study logistics and measures to be used in the Main Study.</w:t>
      </w:r>
    </w:p>
    <w:p w:rsidR="00CC6AA1" w:rsidRDefault="00CC6AA1" w:rsidP="00180BBD">
      <w:pPr>
        <w:widowControl w:val="0"/>
        <w:autoSpaceDE w:val="0"/>
        <w:autoSpaceDN w:val="0"/>
        <w:adjustRightInd w:val="0"/>
        <w:spacing w:after="0" w:line="240" w:lineRule="auto"/>
        <w:rPr>
          <w:rFonts w:cs="Times New Roman"/>
          <w:sz w:val="24"/>
          <w:szCs w:val="24"/>
        </w:rPr>
      </w:pPr>
    </w:p>
    <w:p w:rsidR="00CC6AA1" w:rsidRDefault="0042501C" w:rsidP="00180BBD">
      <w:pPr>
        <w:widowControl w:val="0"/>
        <w:autoSpaceDE w:val="0"/>
        <w:autoSpaceDN w:val="0"/>
        <w:adjustRightInd w:val="0"/>
        <w:spacing w:after="0" w:line="240" w:lineRule="auto"/>
        <w:rPr>
          <w:rFonts w:cs="Times New Roman"/>
          <w:i/>
          <w:sz w:val="24"/>
          <w:szCs w:val="24"/>
          <w:u w:val="single"/>
        </w:rPr>
      </w:pPr>
      <w:r>
        <w:rPr>
          <w:rFonts w:cs="Times New Roman"/>
          <w:i/>
          <w:sz w:val="24"/>
          <w:szCs w:val="24"/>
          <w:u w:val="single"/>
        </w:rPr>
        <w:t xml:space="preserve">NCS </w:t>
      </w:r>
      <w:r w:rsidR="00CC6AA1" w:rsidRPr="00FD71FF">
        <w:rPr>
          <w:rFonts w:cs="Times New Roman"/>
          <w:i/>
          <w:sz w:val="24"/>
          <w:szCs w:val="24"/>
          <w:u w:val="single"/>
        </w:rPr>
        <w:t xml:space="preserve">Recruitment </w:t>
      </w:r>
      <w:r>
        <w:rPr>
          <w:rFonts w:cs="Times New Roman"/>
          <w:i/>
          <w:sz w:val="24"/>
          <w:szCs w:val="24"/>
          <w:u w:val="single"/>
        </w:rPr>
        <w:t xml:space="preserve">Substudy:  </w:t>
      </w:r>
      <w:r w:rsidR="00CC6AA1">
        <w:rPr>
          <w:rFonts w:cs="Times New Roman"/>
          <w:i/>
          <w:sz w:val="24"/>
          <w:szCs w:val="24"/>
          <w:u w:val="single"/>
        </w:rPr>
        <w:t>Sample</w:t>
      </w:r>
    </w:p>
    <w:p w:rsidR="00CC6AA1" w:rsidRDefault="00CC6AA1" w:rsidP="00180BBD">
      <w:pPr>
        <w:widowControl w:val="0"/>
        <w:autoSpaceDE w:val="0"/>
        <w:autoSpaceDN w:val="0"/>
        <w:adjustRightInd w:val="0"/>
        <w:spacing w:after="0" w:line="240" w:lineRule="auto"/>
        <w:rPr>
          <w:rFonts w:cs="Times New Roman"/>
          <w:i/>
          <w:sz w:val="24"/>
          <w:szCs w:val="24"/>
          <w:u w:val="single"/>
        </w:rPr>
      </w:pPr>
    </w:p>
    <w:p w:rsidR="005213C0" w:rsidRPr="0042501C" w:rsidRDefault="00BD3C8B" w:rsidP="00180BBD">
      <w:pPr>
        <w:widowControl w:val="0"/>
        <w:autoSpaceDE w:val="0"/>
        <w:autoSpaceDN w:val="0"/>
        <w:adjustRightInd w:val="0"/>
        <w:spacing w:after="0" w:line="240" w:lineRule="auto"/>
        <w:rPr>
          <w:rFonts w:cs="Times New Roman"/>
          <w:sz w:val="24"/>
          <w:szCs w:val="24"/>
        </w:rPr>
      </w:pPr>
      <w:r w:rsidRPr="00BD3C8B">
        <w:rPr>
          <w:rFonts w:cs="Times New Roman"/>
          <w:sz w:val="24"/>
          <w:szCs w:val="24"/>
        </w:rPr>
        <w:t xml:space="preserve">The same </w:t>
      </w:r>
      <w:r w:rsidR="00D531C5">
        <w:rPr>
          <w:rFonts w:cs="Times New Roman"/>
          <w:sz w:val="24"/>
          <w:szCs w:val="24"/>
        </w:rPr>
        <w:t xml:space="preserve">overall </w:t>
      </w:r>
      <w:r w:rsidRPr="00BD3C8B">
        <w:rPr>
          <w:rFonts w:cs="Times New Roman"/>
          <w:sz w:val="24"/>
          <w:szCs w:val="24"/>
        </w:rPr>
        <w:t xml:space="preserve">sampling frame will be used for all three alternate recruitment strategies, facilitating comparison.  Primary sampling units (PSUs) were selected for the Main Study based on historical birth data.  From these PSUs (typically, counties or groups of counties) secondary sampling units (SSUs) were selected, also based on historical birth data.  These SSUs comprise clusters of census blocks.  </w:t>
      </w:r>
    </w:p>
    <w:p w:rsidR="005213C0" w:rsidRPr="0042501C" w:rsidRDefault="005213C0" w:rsidP="00180BBD">
      <w:pPr>
        <w:widowControl w:val="0"/>
        <w:autoSpaceDE w:val="0"/>
        <w:autoSpaceDN w:val="0"/>
        <w:adjustRightInd w:val="0"/>
        <w:spacing w:after="0" w:line="240" w:lineRule="auto"/>
        <w:rPr>
          <w:rFonts w:cs="Times New Roman"/>
          <w:sz w:val="24"/>
          <w:szCs w:val="24"/>
        </w:rPr>
      </w:pPr>
    </w:p>
    <w:p w:rsidR="00CC6AA1" w:rsidRPr="0042501C" w:rsidRDefault="00BD3C8B" w:rsidP="00180BBD">
      <w:pPr>
        <w:widowControl w:val="0"/>
        <w:autoSpaceDE w:val="0"/>
        <w:autoSpaceDN w:val="0"/>
        <w:adjustRightInd w:val="0"/>
        <w:spacing w:after="0" w:line="240" w:lineRule="auto"/>
        <w:rPr>
          <w:rFonts w:cs="Times New Roman"/>
          <w:sz w:val="24"/>
          <w:szCs w:val="24"/>
        </w:rPr>
      </w:pPr>
      <w:r w:rsidRPr="00BD3C8B">
        <w:rPr>
          <w:rFonts w:cs="Times New Roman"/>
          <w:sz w:val="24"/>
          <w:szCs w:val="24"/>
        </w:rPr>
        <w:t xml:space="preserve">A primary sampling unit corresponds to a </w:t>
      </w:r>
      <w:r w:rsidR="00D531C5">
        <w:rPr>
          <w:rFonts w:cs="Times New Roman"/>
          <w:sz w:val="24"/>
          <w:szCs w:val="24"/>
        </w:rPr>
        <w:t>s</w:t>
      </w:r>
      <w:r w:rsidRPr="00BD3C8B">
        <w:rPr>
          <w:rFonts w:cs="Times New Roman"/>
          <w:sz w:val="24"/>
          <w:szCs w:val="24"/>
        </w:rPr>
        <w:t xml:space="preserve">tudy </w:t>
      </w:r>
      <w:r w:rsidR="00D531C5">
        <w:rPr>
          <w:rFonts w:cs="Times New Roman"/>
          <w:sz w:val="24"/>
          <w:szCs w:val="24"/>
        </w:rPr>
        <w:t>l</w:t>
      </w:r>
      <w:r w:rsidRPr="00BD3C8B">
        <w:rPr>
          <w:rFonts w:cs="Times New Roman"/>
          <w:sz w:val="24"/>
          <w:szCs w:val="24"/>
        </w:rPr>
        <w:t xml:space="preserve">ocation.  Study </w:t>
      </w:r>
      <w:r w:rsidR="00D531C5">
        <w:rPr>
          <w:rFonts w:cs="Times New Roman"/>
          <w:sz w:val="24"/>
          <w:szCs w:val="24"/>
        </w:rPr>
        <w:t>l</w:t>
      </w:r>
      <w:r w:rsidRPr="00BD3C8B">
        <w:rPr>
          <w:rFonts w:cs="Times New Roman"/>
          <w:sz w:val="24"/>
          <w:szCs w:val="24"/>
        </w:rPr>
        <w:t>ocations, already currently under contract to the NCS, were selected to participate in an alternate recruitment strategy based on study center interest and expertise.</w:t>
      </w:r>
      <w:r w:rsidRPr="00BD3C8B">
        <w:rPr>
          <w:rStyle w:val="FootnoteReference"/>
          <w:rFonts w:cs="Times New Roman"/>
          <w:sz w:val="24"/>
          <w:szCs w:val="24"/>
        </w:rPr>
        <w:footnoteReference w:id="1"/>
      </w:r>
      <w:r w:rsidRPr="00BD3C8B">
        <w:rPr>
          <w:rFonts w:cs="Times New Roman"/>
          <w:sz w:val="24"/>
          <w:szCs w:val="24"/>
        </w:rPr>
        <w:t xml:space="preserve">  Consideration was also given to geographic and demographic diversity of the locations in assigning </w:t>
      </w:r>
      <w:r w:rsidR="00D531C5">
        <w:rPr>
          <w:rFonts w:cs="Times New Roman"/>
          <w:sz w:val="24"/>
          <w:szCs w:val="24"/>
        </w:rPr>
        <w:t>s</w:t>
      </w:r>
      <w:r w:rsidRPr="00BD3C8B">
        <w:rPr>
          <w:rFonts w:cs="Times New Roman"/>
          <w:sz w:val="24"/>
          <w:szCs w:val="24"/>
        </w:rPr>
        <w:t xml:space="preserve">tudy </w:t>
      </w:r>
      <w:r w:rsidR="00D531C5">
        <w:rPr>
          <w:rFonts w:cs="Times New Roman"/>
          <w:sz w:val="24"/>
          <w:szCs w:val="24"/>
        </w:rPr>
        <w:t>l</w:t>
      </w:r>
      <w:r w:rsidRPr="00BD3C8B">
        <w:rPr>
          <w:rFonts w:cs="Times New Roman"/>
          <w:sz w:val="24"/>
          <w:szCs w:val="24"/>
        </w:rPr>
        <w:t xml:space="preserve">ocations to an alternate recruitment strategy.  Although no attempt was made, for the purpose of the Vanguard Study, to select </w:t>
      </w:r>
      <w:r w:rsidR="00D531C5">
        <w:rPr>
          <w:rFonts w:cs="Times New Roman"/>
          <w:sz w:val="24"/>
          <w:szCs w:val="24"/>
        </w:rPr>
        <w:t>s</w:t>
      </w:r>
      <w:r w:rsidRPr="00BD3C8B">
        <w:rPr>
          <w:rFonts w:cs="Times New Roman"/>
          <w:sz w:val="24"/>
          <w:szCs w:val="24"/>
        </w:rPr>
        <w:t xml:space="preserve">tudy </w:t>
      </w:r>
      <w:r w:rsidR="00D531C5">
        <w:rPr>
          <w:rFonts w:cs="Times New Roman"/>
          <w:sz w:val="24"/>
          <w:szCs w:val="24"/>
        </w:rPr>
        <w:t>l</w:t>
      </w:r>
      <w:r w:rsidRPr="00BD3C8B">
        <w:rPr>
          <w:rFonts w:cs="Times New Roman"/>
          <w:sz w:val="24"/>
          <w:szCs w:val="24"/>
        </w:rPr>
        <w:t xml:space="preserve">ocations that would permit generalizations to the U.S. target population as </w:t>
      </w:r>
      <w:r w:rsidR="009507CF">
        <w:rPr>
          <w:rFonts w:cs="Times New Roman"/>
          <w:sz w:val="24"/>
          <w:szCs w:val="24"/>
        </w:rPr>
        <w:t xml:space="preserve">a </w:t>
      </w:r>
      <w:r w:rsidRPr="00BD3C8B">
        <w:rPr>
          <w:rFonts w:cs="Times New Roman"/>
          <w:sz w:val="24"/>
          <w:szCs w:val="24"/>
        </w:rPr>
        <w:t xml:space="preserve">whole, sources of potential bias will be systematically examined.  See Part B for more details on the proposed sample for the </w:t>
      </w:r>
      <w:r w:rsidR="00541E12">
        <w:rPr>
          <w:rFonts w:cs="Times New Roman"/>
          <w:sz w:val="24"/>
          <w:szCs w:val="24"/>
        </w:rPr>
        <w:t>Recruitment</w:t>
      </w:r>
      <w:r w:rsidRPr="00BD3C8B">
        <w:rPr>
          <w:rFonts w:cs="Times New Roman"/>
          <w:sz w:val="24"/>
          <w:szCs w:val="24"/>
        </w:rPr>
        <w:t xml:space="preserve"> Substudy.  </w:t>
      </w:r>
    </w:p>
    <w:p w:rsidR="00796FDB" w:rsidRDefault="00796FDB" w:rsidP="00180BBD">
      <w:pPr>
        <w:autoSpaceDE w:val="0"/>
        <w:autoSpaceDN w:val="0"/>
        <w:adjustRightInd w:val="0"/>
        <w:spacing w:after="0" w:line="240" w:lineRule="auto"/>
        <w:rPr>
          <w:rFonts w:cs="Times New Roman"/>
          <w:sz w:val="24"/>
          <w:szCs w:val="24"/>
        </w:rPr>
        <w:sectPr w:rsidR="00796FDB" w:rsidSect="00720FB0">
          <w:footerReference w:type="default" r:id="rId8"/>
          <w:pgSz w:w="12240" w:h="15840"/>
          <w:pgMar w:top="1440" w:right="1440" w:bottom="1440" w:left="1440" w:header="720" w:footer="720" w:gutter="0"/>
          <w:cols w:space="720"/>
          <w:docGrid w:linePitch="360"/>
        </w:sectPr>
      </w:pPr>
    </w:p>
    <w:p w:rsidR="00180BBD" w:rsidRPr="00FD71FF" w:rsidRDefault="00180BBD" w:rsidP="00180BBD">
      <w:pPr>
        <w:autoSpaceDE w:val="0"/>
        <w:autoSpaceDN w:val="0"/>
        <w:adjustRightInd w:val="0"/>
        <w:spacing w:after="0" w:line="240" w:lineRule="auto"/>
        <w:rPr>
          <w:rFonts w:cs="Times New Roman"/>
          <w:sz w:val="24"/>
          <w:szCs w:val="24"/>
        </w:rPr>
      </w:pPr>
    </w:p>
    <w:p w:rsidR="00B8065F" w:rsidRPr="00FD71FF" w:rsidRDefault="00541E12" w:rsidP="00180BBD">
      <w:pPr>
        <w:autoSpaceDE w:val="0"/>
        <w:autoSpaceDN w:val="0"/>
        <w:adjustRightInd w:val="0"/>
        <w:spacing w:after="0" w:line="240" w:lineRule="auto"/>
        <w:rPr>
          <w:rFonts w:cs="Times New Roman"/>
          <w:sz w:val="24"/>
          <w:szCs w:val="24"/>
        </w:rPr>
      </w:pPr>
      <w:r>
        <w:rPr>
          <w:rFonts w:cs="Times New Roman"/>
          <w:i/>
          <w:sz w:val="24"/>
          <w:szCs w:val="24"/>
          <w:u w:val="single"/>
        </w:rPr>
        <w:t xml:space="preserve">NCS </w:t>
      </w:r>
      <w:r w:rsidR="00B8065F" w:rsidRPr="00FD71FF">
        <w:rPr>
          <w:rFonts w:cs="Times New Roman"/>
          <w:i/>
          <w:sz w:val="24"/>
          <w:szCs w:val="24"/>
          <w:u w:val="single"/>
        </w:rPr>
        <w:t xml:space="preserve">Recruitment </w:t>
      </w:r>
      <w:r>
        <w:rPr>
          <w:rFonts w:cs="Times New Roman"/>
          <w:i/>
          <w:sz w:val="24"/>
          <w:szCs w:val="24"/>
          <w:u w:val="single"/>
        </w:rPr>
        <w:t>Substudy</w:t>
      </w:r>
      <w:r w:rsidR="005E3D02">
        <w:rPr>
          <w:rFonts w:cs="Times New Roman"/>
          <w:i/>
          <w:sz w:val="24"/>
          <w:szCs w:val="24"/>
          <w:u w:val="single"/>
        </w:rPr>
        <w:t>:  Method</w:t>
      </w:r>
      <w:r>
        <w:rPr>
          <w:rFonts w:cs="Times New Roman"/>
          <w:i/>
          <w:sz w:val="24"/>
          <w:szCs w:val="24"/>
          <w:u w:val="single"/>
        </w:rPr>
        <w:t>s</w:t>
      </w:r>
    </w:p>
    <w:p w:rsidR="00B8065F" w:rsidRPr="00FD71FF" w:rsidRDefault="00B8065F" w:rsidP="00180BBD">
      <w:pPr>
        <w:autoSpaceDE w:val="0"/>
        <w:autoSpaceDN w:val="0"/>
        <w:adjustRightInd w:val="0"/>
        <w:spacing w:after="0" w:line="240" w:lineRule="auto"/>
        <w:rPr>
          <w:rFonts w:cs="Times New Roman"/>
          <w:sz w:val="24"/>
          <w:szCs w:val="24"/>
        </w:rPr>
      </w:pPr>
    </w:p>
    <w:p w:rsidR="00B8065F" w:rsidRPr="00FD71FF" w:rsidRDefault="00CC6AA1" w:rsidP="00180BBD">
      <w:pPr>
        <w:autoSpaceDE w:val="0"/>
        <w:autoSpaceDN w:val="0"/>
        <w:adjustRightInd w:val="0"/>
        <w:spacing w:after="0" w:line="240" w:lineRule="auto"/>
        <w:rPr>
          <w:rFonts w:cs="Times New Roman"/>
          <w:sz w:val="24"/>
          <w:szCs w:val="24"/>
        </w:rPr>
      </w:pPr>
      <w:r w:rsidRPr="00FD71FF">
        <w:rPr>
          <w:rFonts w:cs="Times New Roman"/>
          <w:sz w:val="24"/>
          <w:szCs w:val="24"/>
        </w:rPr>
        <w:t xml:space="preserve">This Recruitment Substudy </w:t>
      </w:r>
      <w:r w:rsidR="00176567">
        <w:rPr>
          <w:rFonts w:cs="Times New Roman"/>
          <w:sz w:val="24"/>
          <w:szCs w:val="24"/>
        </w:rPr>
        <w:t xml:space="preserve">will systematically evaluate </w:t>
      </w:r>
      <w:r w:rsidRPr="00FD71FF">
        <w:rPr>
          <w:rFonts w:cs="Times New Roman"/>
          <w:sz w:val="24"/>
          <w:szCs w:val="24"/>
        </w:rPr>
        <w:t xml:space="preserve">three </w:t>
      </w:r>
      <w:r w:rsidR="00176567">
        <w:rPr>
          <w:rFonts w:cs="Times New Roman"/>
          <w:sz w:val="24"/>
          <w:szCs w:val="24"/>
        </w:rPr>
        <w:t xml:space="preserve">alternate recruitment </w:t>
      </w:r>
      <w:r w:rsidRPr="00FD71FF">
        <w:rPr>
          <w:rFonts w:cs="Times New Roman"/>
          <w:sz w:val="24"/>
          <w:szCs w:val="24"/>
        </w:rPr>
        <w:t xml:space="preserve">strategies:  1) </w:t>
      </w:r>
      <w:r w:rsidR="005213C0">
        <w:rPr>
          <w:rFonts w:cs="Times New Roman"/>
          <w:sz w:val="24"/>
          <w:szCs w:val="24"/>
        </w:rPr>
        <w:t>P</w:t>
      </w:r>
      <w:r w:rsidRPr="00FD71FF">
        <w:rPr>
          <w:rFonts w:cs="Times New Roman"/>
          <w:sz w:val="24"/>
          <w:szCs w:val="24"/>
        </w:rPr>
        <w:t>rovider-</w:t>
      </w:r>
      <w:r w:rsidR="005213C0">
        <w:rPr>
          <w:rFonts w:cs="Times New Roman"/>
          <w:sz w:val="24"/>
          <w:szCs w:val="24"/>
        </w:rPr>
        <w:t>B</w:t>
      </w:r>
      <w:r w:rsidRPr="00FD71FF">
        <w:rPr>
          <w:rFonts w:cs="Times New Roman"/>
          <w:sz w:val="24"/>
          <w:szCs w:val="24"/>
        </w:rPr>
        <w:t xml:space="preserve">ased </w:t>
      </w:r>
      <w:r w:rsidR="005213C0">
        <w:rPr>
          <w:rFonts w:cs="Times New Roman"/>
          <w:sz w:val="24"/>
          <w:szCs w:val="24"/>
        </w:rPr>
        <w:t>R</w:t>
      </w:r>
      <w:r w:rsidRPr="00FD71FF">
        <w:rPr>
          <w:rFonts w:cs="Times New Roman"/>
          <w:sz w:val="24"/>
          <w:szCs w:val="24"/>
        </w:rPr>
        <w:t xml:space="preserve">ecruitment; 2) </w:t>
      </w:r>
      <w:r w:rsidR="005213C0">
        <w:rPr>
          <w:rFonts w:cs="Times New Roman"/>
          <w:sz w:val="24"/>
          <w:szCs w:val="24"/>
        </w:rPr>
        <w:t>E</w:t>
      </w:r>
      <w:r w:rsidRPr="00FD71FF">
        <w:rPr>
          <w:rFonts w:cs="Times New Roman"/>
          <w:sz w:val="24"/>
          <w:szCs w:val="24"/>
        </w:rPr>
        <w:t xml:space="preserve">nhanced </w:t>
      </w:r>
      <w:r w:rsidR="005213C0">
        <w:rPr>
          <w:rFonts w:cs="Times New Roman"/>
          <w:sz w:val="24"/>
          <w:szCs w:val="24"/>
        </w:rPr>
        <w:t>H</w:t>
      </w:r>
      <w:r>
        <w:rPr>
          <w:rFonts w:cs="Times New Roman"/>
          <w:sz w:val="24"/>
          <w:szCs w:val="24"/>
        </w:rPr>
        <w:t>ousehold-</w:t>
      </w:r>
      <w:r w:rsidR="005213C0">
        <w:rPr>
          <w:rFonts w:cs="Times New Roman"/>
          <w:sz w:val="24"/>
          <w:szCs w:val="24"/>
        </w:rPr>
        <w:t>B</w:t>
      </w:r>
      <w:r>
        <w:rPr>
          <w:rFonts w:cs="Times New Roman"/>
          <w:sz w:val="24"/>
          <w:szCs w:val="24"/>
        </w:rPr>
        <w:t xml:space="preserve">ased </w:t>
      </w:r>
      <w:r w:rsidR="005213C0">
        <w:rPr>
          <w:rFonts w:cs="Times New Roman"/>
          <w:sz w:val="24"/>
          <w:szCs w:val="24"/>
        </w:rPr>
        <w:t>R</w:t>
      </w:r>
      <w:r>
        <w:rPr>
          <w:rFonts w:cs="Times New Roman"/>
          <w:sz w:val="24"/>
          <w:szCs w:val="24"/>
        </w:rPr>
        <w:t xml:space="preserve">ecruitment; </w:t>
      </w:r>
      <w:r w:rsidRPr="00FD71FF">
        <w:rPr>
          <w:rFonts w:cs="Times New Roman"/>
          <w:sz w:val="24"/>
          <w:szCs w:val="24"/>
        </w:rPr>
        <w:t xml:space="preserve">and 3) </w:t>
      </w:r>
      <w:r w:rsidR="005213C0">
        <w:rPr>
          <w:rFonts w:cs="Times New Roman"/>
          <w:sz w:val="24"/>
          <w:szCs w:val="24"/>
        </w:rPr>
        <w:t>T</w:t>
      </w:r>
      <w:r w:rsidRPr="00FD71FF">
        <w:rPr>
          <w:rFonts w:cs="Times New Roman"/>
          <w:sz w:val="24"/>
          <w:szCs w:val="24"/>
        </w:rPr>
        <w:t>wo-</w:t>
      </w:r>
      <w:r w:rsidR="005213C0">
        <w:rPr>
          <w:rFonts w:cs="Times New Roman"/>
          <w:sz w:val="24"/>
          <w:szCs w:val="24"/>
        </w:rPr>
        <w:t>T</w:t>
      </w:r>
      <w:r w:rsidRPr="00FD71FF">
        <w:rPr>
          <w:rFonts w:cs="Times New Roman"/>
          <w:sz w:val="24"/>
          <w:szCs w:val="24"/>
        </w:rPr>
        <w:t>iered “</w:t>
      </w:r>
      <w:r w:rsidR="005213C0">
        <w:rPr>
          <w:rFonts w:cs="Times New Roman"/>
          <w:sz w:val="24"/>
          <w:szCs w:val="24"/>
        </w:rPr>
        <w:t>H</w:t>
      </w:r>
      <w:r w:rsidRPr="00FD71FF">
        <w:rPr>
          <w:rFonts w:cs="Times New Roman"/>
          <w:sz w:val="24"/>
          <w:szCs w:val="24"/>
        </w:rPr>
        <w:t>igh-</w:t>
      </w:r>
      <w:r w:rsidR="005213C0">
        <w:rPr>
          <w:rFonts w:cs="Times New Roman"/>
          <w:sz w:val="24"/>
          <w:szCs w:val="24"/>
        </w:rPr>
        <w:t>I</w:t>
      </w:r>
      <w:r w:rsidRPr="00FD71FF">
        <w:rPr>
          <w:rFonts w:cs="Times New Roman"/>
          <w:sz w:val="24"/>
          <w:szCs w:val="24"/>
        </w:rPr>
        <w:t>ntensity/</w:t>
      </w:r>
      <w:r w:rsidR="005213C0">
        <w:rPr>
          <w:rFonts w:cs="Times New Roman"/>
          <w:sz w:val="24"/>
          <w:szCs w:val="24"/>
        </w:rPr>
        <w:t>L</w:t>
      </w:r>
      <w:r w:rsidRPr="00FD71FF">
        <w:rPr>
          <w:rFonts w:cs="Times New Roman"/>
          <w:sz w:val="24"/>
          <w:szCs w:val="24"/>
        </w:rPr>
        <w:t>ow-</w:t>
      </w:r>
      <w:r w:rsidR="005213C0">
        <w:rPr>
          <w:rFonts w:cs="Times New Roman"/>
          <w:sz w:val="24"/>
          <w:szCs w:val="24"/>
        </w:rPr>
        <w:t>I</w:t>
      </w:r>
      <w:r w:rsidRPr="00FD71FF">
        <w:rPr>
          <w:rFonts w:cs="Times New Roman"/>
          <w:sz w:val="24"/>
          <w:szCs w:val="24"/>
        </w:rPr>
        <w:t xml:space="preserve">ntensity” approach. </w:t>
      </w:r>
      <w:r w:rsidR="0097001F">
        <w:rPr>
          <w:rFonts w:cs="Times New Roman"/>
          <w:sz w:val="24"/>
          <w:szCs w:val="24"/>
        </w:rPr>
        <w:t xml:space="preserve"> </w:t>
      </w:r>
      <w:r w:rsidRPr="00FD71FF">
        <w:rPr>
          <w:rFonts w:cs="Times New Roman"/>
          <w:sz w:val="24"/>
          <w:szCs w:val="24"/>
        </w:rPr>
        <w:t xml:space="preserve">Each recruitment approach would occur in 10 </w:t>
      </w:r>
      <w:r w:rsidR="0097001F">
        <w:rPr>
          <w:rFonts w:cs="Times New Roman"/>
          <w:sz w:val="24"/>
          <w:szCs w:val="24"/>
        </w:rPr>
        <w:t>s</w:t>
      </w:r>
      <w:r w:rsidRPr="00FD71FF">
        <w:rPr>
          <w:rFonts w:cs="Times New Roman"/>
          <w:sz w:val="24"/>
          <w:szCs w:val="24"/>
        </w:rPr>
        <w:t xml:space="preserve">tudy </w:t>
      </w:r>
      <w:r w:rsidR="0097001F">
        <w:rPr>
          <w:rFonts w:cs="Times New Roman"/>
          <w:sz w:val="24"/>
          <w:szCs w:val="24"/>
        </w:rPr>
        <w:t>l</w:t>
      </w:r>
      <w:r w:rsidRPr="00FD71FF">
        <w:rPr>
          <w:rFonts w:cs="Times New Roman"/>
          <w:sz w:val="24"/>
          <w:szCs w:val="24"/>
        </w:rPr>
        <w:t xml:space="preserve">ocations, for a total of 30 </w:t>
      </w:r>
      <w:r w:rsidR="0097001F">
        <w:rPr>
          <w:rFonts w:cs="Times New Roman"/>
          <w:sz w:val="24"/>
          <w:szCs w:val="24"/>
        </w:rPr>
        <w:t>s</w:t>
      </w:r>
      <w:r w:rsidRPr="00FD71FF">
        <w:rPr>
          <w:rFonts w:cs="Times New Roman"/>
          <w:sz w:val="24"/>
          <w:szCs w:val="24"/>
        </w:rPr>
        <w:t xml:space="preserve">tudy </w:t>
      </w:r>
      <w:r w:rsidR="0097001F">
        <w:rPr>
          <w:rFonts w:cs="Times New Roman"/>
          <w:sz w:val="24"/>
          <w:szCs w:val="24"/>
        </w:rPr>
        <w:t>l</w:t>
      </w:r>
      <w:r w:rsidRPr="00FD71FF">
        <w:rPr>
          <w:rFonts w:cs="Times New Roman"/>
          <w:sz w:val="24"/>
          <w:szCs w:val="24"/>
        </w:rPr>
        <w:t>ocations implementing alternate recruitment strategies.</w:t>
      </w:r>
      <w:r>
        <w:rPr>
          <w:rFonts w:cs="Times New Roman"/>
          <w:sz w:val="24"/>
          <w:szCs w:val="24"/>
        </w:rPr>
        <w:t xml:space="preserve">  Recruitment </w:t>
      </w:r>
      <w:r w:rsidR="0097001F">
        <w:rPr>
          <w:rFonts w:cs="Times New Roman"/>
          <w:sz w:val="24"/>
          <w:szCs w:val="24"/>
        </w:rPr>
        <w:t xml:space="preserve">strategies will be assessed and </w:t>
      </w:r>
      <w:r>
        <w:rPr>
          <w:rFonts w:cs="Times New Roman"/>
          <w:sz w:val="24"/>
          <w:szCs w:val="24"/>
        </w:rPr>
        <w:t xml:space="preserve">compared </w:t>
      </w:r>
      <w:r w:rsidR="0097001F">
        <w:rPr>
          <w:rFonts w:cs="Times New Roman"/>
          <w:sz w:val="24"/>
          <w:szCs w:val="24"/>
        </w:rPr>
        <w:t xml:space="preserve">on the basis of </w:t>
      </w:r>
      <w:r>
        <w:rPr>
          <w:rFonts w:cs="Times New Roman"/>
          <w:sz w:val="24"/>
          <w:szCs w:val="24"/>
        </w:rPr>
        <w:t>feasibility (</w:t>
      </w:r>
      <w:r w:rsidR="0097001F">
        <w:rPr>
          <w:rFonts w:cs="Times New Roman"/>
          <w:sz w:val="24"/>
          <w:szCs w:val="24"/>
        </w:rPr>
        <w:t>including</w:t>
      </w:r>
      <w:r>
        <w:rPr>
          <w:rFonts w:cs="Times New Roman"/>
          <w:sz w:val="24"/>
          <w:szCs w:val="24"/>
        </w:rPr>
        <w:t xml:space="preserve"> </w:t>
      </w:r>
      <w:r w:rsidR="00FA750A">
        <w:rPr>
          <w:rFonts w:cs="Times New Roman"/>
          <w:sz w:val="24"/>
          <w:szCs w:val="24"/>
        </w:rPr>
        <w:t>success in recruiting and retaining sufficient numbers of participants</w:t>
      </w:r>
      <w:r>
        <w:rPr>
          <w:rFonts w:cs="Times New Roman"/>
          <w:sz w:val="24"/>
          <w:szCs w:val="24"/>
        </w:rPr>
        <w:t>), acceptability (</w:t>
      </w:r>
      <w:r w:rsidR="00FA750A">
        <w:rPr>
          <w:rFonts w:cs="Times New Roman"/>
          <w:sz w:val="24"/>
          <w:szCs w:val="24"/>
        </w:rPr>
        <w:t>including</w:t>
      </w:r>
      <w:r>
        <w:rPr>
          <w:rFonts w:cs="Times New Roman"/>
          <w:sz w:val="24"/>
          <w:szCs w:val="24"/>
        </w:rPr>
        <w:t xml:space="preserve"> </w:t>
      </w:r>
      <w:r w:rsidR="00EA1958">
        <w:rPr>
          <w:rFonts w:cs="Times New Roman"/>
          <w:sz w:val="24"/>
          <w:szCs w:val="24"/>
        </w:rPr>
        <w:t xml:space="preserve">the extent of </w:t>
      </w:r>
      <w:r w:rsidR="00176567">
        <w:rPr>
          <w:rFonts w:cs="Times New Roman"/>
          <w:sz w:val="24"/>
          <w:szCs w:val="24"/>
        </w:rPr>
        <w:t xml:space="preserve">selection bias in recruitment, effect on </w:t>
      </w:r>
      <w:r>
        <w:rPr>
          <w:rFonts w:cs="Times New Roman"/>
          <w:sz w:val="24"/>
          <w:szCs w:val="24"/>
        </w:rPr>
        <w:t>respondent burden</w:t>
      </w:r>
      <w:r w:rsidR="00176567">
        <w:rPr>
          <w:rFonts w:cs="Times New Roman"/>
          <w:sz w:val="24"/>
          <w:szCs w:val="24"/>
        </w:rPr>
        <w:t>,</w:t>
      </w:r>
      <w:r>
        <w:rPr>
          <w:rFonts w:cs="Times New Roman"/>
          <w:sz w:val="24"/>
          <w:szCs w:val="24"/>
        </w:rPr>
        <w:t xml:space="preserve"> and impact on </w:t>
      </w:r>
      <w:r w:rsidR="0097001F">
        <w:rPr>
          <w:rFonts w:cs="Times New Roman"/>
          <w:sz w:val="24"/>
          <w:szCs w:val="24"/>
        </w:rPr>
        <w:t>s</w:t>
      </w:r>
      <w:r>
        <w:rPr>
          <w:rFonts w:cs="Times New Roman"/>
          <w:sz w:val="24"/>
          <w:szCs w:val="24"/>
        </w:rPr>
        <w:t xml:space="preserve">tudy infrastructure), and cost.  Ultimately, these comparisons </w:t>
      </w:r>
      <w:r w:rsidR="00176567">
        <w:rPr>
          <w:rFonts w:cs="Times New Roman"/>
          <w:sz w:val="24"/>
          <w:szCs w:val="24"/>
        </w:rPr>
        <w:t xml:space="preserve">will </w:t>
      </w:r>
      <w:r>
        <w:rPr>
          <w:rFonts w:cs="Times New Roman"/>
          <w:sz w:val="24"/>
          <w:szCs w:val="24"/>
        </w:rPr>
        <w:t xml:space="preserve">inform the recruitment approach or approaches to be taken for the NCS Main Study. </w:t>
      </w:r>
      <w:r w:rsidR="005213C0">
        <w:rPr>
          <w:rFonts w:cs="Times New Roman"/>
          <w:sz w:val="24"/>
          <w:szCs w:val="24"/>
        </w:rPr>
        <w:t xml:space="preserve">  </w:t>
      </w:r>
      <w:r w:rsidR="005E3D02">
        <w:rPr>
          <w:rFonts w:cs="Times New Roman"/>
          <w:sz w:val="24"/>
          <w:szCs w:val="24"/>
        </w:rPr>
        <w:t xml:space="preserve">Each recruitment strategy will be </w:t>
      </w:r>
      <w:r w:rsidR="00176567">
        <w:rPr>
          <w:rFonts w:cs="Times New Roman"/>
          <w:sz w:val="24"/>
          <w:szCs w:val="24"/>
        </w:rPr>
        <w:t xml:space="preserve">provided with </w:t>
      </w:r>
      <w:r w:rsidR="005E3D02">
        <w:rPr>
          <w:rFonts w:cs="Times New Roman"/>
          <w:sz w:val="24"/>
          <w:szCs w:val="24"/>
        </w:rPr>
        <w:t>approximately equally resource</w:t>
      </w:r>
      <w:r w:rsidR="00176567">
        <w:rPr>
          <w:rFonts w:cs="Times New Roman"/>
          <w:sz w:val="24"/>
          <w:szCs w:val="24"/>
        </w:rPr>
        <w:t>s</w:t>
      </w:r>
      <w:r w:rsidR="005E3D02">
        <w:rPr>
          <w:rFonts w:cs="Times New Roman"/>
          <w:sz w:val="24"/>
          <w:szCs w:val="24"/>
        </w:rPr>
        <w:t>, and will be associated with a specific communications theme appropriate for its mode of participant enrollment.</w:t>
      </w:r>
      <w:r w:rsidR="00B8065F" w:rsidRPr="00FD71FF">
        <w:rPr>
          <w:rFonts w:cs="Times New Roman"/>
          <w:sz w:val="24"/>
          <w:szCs w:val="24"/>
        </w:rPr>
        <w:t xml:space="preserve"> </w:t>
      </w:r>
    </w:p>
    <w:p w:rsidR="00B8065F" w:rsidRPr="00FD71FF" w:rsidRDefault="00B8065F" w:rsidP="00180BBD">
      <w:pPr>
        <w:widowControl w:val="0"/>
        <w:autoSpaceDE w:val="0"/>
        <w:autoSpaceDN w:val="0"/>
        <w:adjustRightInd w:val="0"/>
        <w:spacing w:after="0" w:line="240" w:lineRule="auto"/>
        <w:rPr>
          <w:rFonts w:cs="Times New Roman"/>
          <w:b/>
          <w:bCs/>
          <w:i/>
          <w:iCs/>
          <w:sz w:val="24"/>
          <w:szCs w:val="24"/>
        </w:rPr>
      </w:pPr>
    </w:p>
    <w:p w:rsidR="00B8065F" w:rsidRPr="00FD71FF" w:rsidRDefault="00B8065F" w:rsidP="00180BBD">
      <w:pPr>
        <w:widowControl w:val="0"/>
        <w:autoSpaceDE w:val="0"/>
        <w:autoSpaceDN w:val="0"/>
        <w:adjustRightInd w:val="0"/>
        <w:spacing w:after="0" w:line="240" w:lineRule="auto"/>
        <w:rPr>
          <w:rFonts w:cs="Times New Roman"/>
          <w:bCs/>
          <w:iCs/>
          <w:sz w:val="24"/>
          <w:szCs w:val="24"/>
          <w:u w:val="single"/>
        </w:rPr>
      </w:pPr>
      <w:r w:rsidRPr="00FD71FF">
        <w:rPr>
          <w:rFonts w:cs="Times New Roman"/>
          <w:bCs/>
          <w:iCs/>
          <w:sz w:val="24"/>
          <w:szCs w:val="24"/>
          <w:u w:val="single"/>
        </w:rPr>
        <w:t>Provider-Based Strategy</w:t>
      </w:r>
    </w:p>
    <w:p w:rsidR="00B8065F" w:rsidRPr="00FD71FF" w:rsidRDefault="00B8065F" w:rsidP="00180BBD">
      <w:pPr>
        <w:widowControl w:val="0"/>
        <w:autoSpaceDE w:val="0"/>
        <w:autoSpaceDN w:val="0"/>
        <w:adjustRightInd w:val="0"/>
        <w:spacing w:after="0" w:line="240" w:lineRule="auto"/>
        <w:ind w:firstLine="720"/>
        <w:rPr>
          <w:rFonts w:cs="Times New Roman"/>
          <w:b/>
          <w:bCs/>
          <w:i/>
          <w:iCs/>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In the Provider-Based Recruitment strategy, potential participants will be personally introduced to the </w:t>
      </w:r>
      <w:r w:rsidR="00FA750A">
        <w:rPr>
          <w:rFonts w:cs="Times New Roman"/>
          <w:sz w:val="24"/>
          <w:szCs w:val="24"/>
        </w:rPr>
        <w:t>s</w:t>
      </w:r>
      <w:r w:rsidRPr="00FD71FF">
        <w:rPr>
          <w:rFonts w:cs="Times New Roman"/>
          <w:sz w:val="24"/>
          <w:szCs w:val="24"/>
        </w:rPr>
        <w:t xml:space="preserve">tudy through the existing health care system. First, prenatal care providers serving women living in selected </w:t>
      </w:r>
      <w:r w:rsidR="00671B52">
        <w:rPr>
          <w:rFonts w:cs="Times New Roman"/>
          <w:sz w:val="24"/>
          <w:szCs w:val="24"/>
        </w:rPr>
        <w:t>secondary sampling units</w:t>
      </w:r>
      <w:r w:rsidR="00671B52" w:rsidRPr="00FD71FF">
        <w:rPr>
          <w:rFonts w:cs="Times New Roman"/>
          <w:sz w:val="24"/>
          <w:szCs w:val="24"/>
        </w:rPr>
        <w:t xml:space="preserve"> </w:t>
      </w:r>
      <w:r w:rsidRPr="00FD71FF">
        <w:rPr>
          <w:rFonts w:cs="Times New Roman"/>
          <w:sz w:val="24"/>
          <w:szCs w:val="24"/>
        </w:rPr>
        <w:t xml:space="preserve">will be identified by </w:t>
      </w:r>
      <w:r w:rsidR="00FA750A">
        <w:rPr>
          <w:rFonts w:cs="Times New Roman"/>
          <w:sz w:val="24"/>
          <w:szCs w:val="24"/>
        </w:rPr>
        <w:t>s</w:t>
      </w:r>
      <w:r w:rsidRPr="00FD71FF">
        <w:rPr>
          <w:rFonts w:cs="Times New Roman"/>
          <w:sz w:val="24"/>
          <w:szCs w:val="24"/>
        </w:rPr>
        <w:t xml:space="preserve">tudy </w:t>
      </w:r>
      <w:r w:rsidR="00FA750A">
        <w:rPr>
          <w:rFonts w:cs="Times New Roman"/>
          <w:sz w:val="24"/>
          <w:szCs w:val="24"/>
        </w:rPr>
        <w:t>c</w:t>
      </w:r>
      <w:r w:rsidRPr="00FD71FF">
        <w:rPr>
          <w:rFonts w:cs="Times New Roman"/>
          <w:sz w:val="24"/>
          <w:szCs w:val="24"/>
        </w:rPr>
        <w:t xml:space="preserve">enters. Care providers will include, but are not limited to, general practitioner offices, pediatrician offices, obstetrician/gynecological offices, and health clinics. Second, </w:t>
      </w:r>
      <w:r w:rsidR="00FA750A">
        <w:rPr>
          <w:rFonts w:cs="Times New Roman"/>
          <w:sz w:val="24"/>
          <w:szCs w:val="24"/>
        </w:rPr>
        <w:t>s</w:t>
      </w:r>
      <w:r w:rsidRPr="00FD71FF">
        <w:rPr>
          <w:rFonts w:cs="Times New Roman"/>
          <w:sz w:val="24"/>
          <w:szCs w:val="24"/>
        </w:rPr>
        <w:t xml:space="preserve">tudy </w:t>
      </w:r>
      <w:r w:rsidR="00FA750A">
        <w:rPr>
          <w:rFonts w:cs="Times New Roman"/>
          <w:sz w:val="24"/>
          <w:szCs w:val="24"/>
        </w:rPr>
        <w:t>c</w:t>
      </w:r>
      <w:r w:rsidRPr="00FD71FF">
        <w:rPr>
          <w:rFonts w:cs="Times New Roman"/>
          <w:sz w:val="24"/>
          <w:szCs w:val="24"/>
        </w:rPr>
        <w:t xml:space="preserve">enters will provide information about the </w:t>
      </w:r>
      <w:r w:rsidR="00FA750A">
        <w:rPr>
          <w:rFonts w:cs="Times New Roman"/>
          <w:sz w:val="24"/>
          <w:szCs w:val="24"/>
        </w:rPr>
        <w:t xml:space="preserve">NCS to create interest among identified providers and encourage them to help identify potential participants.  </w:t>
      </w:r>
      <w:r w:rsidRPr="00FD71FF">
        <w:rPr>
          <w:rFonts w:cs="Times New Roman"/>
          <w:sz w:val="24"/>
          <w:szCs w:val="24"/>
        </w:rPr>
        <w:t xml:space="preserve">Third, secure and HIPAA-compliant </w:t>
      </w:r>
      <w:r w:rsidR="00C57B45">
        <w:rPr>
          <w:rFonts w:cs="Times New Roman"/>
          <w:sz w:val="24"/>
          <w:szCs w:val="24"/>
        </w:rPr>
        <w:t xml:space="preserve">methods </w:t>
      </w:r>
      <w:r w:rsidRPr="00FD71FF">
        <w:rPr>
          <w:rFonts w:cs="Times New Roman"/>
          <w:sz w:val="24"/>
          <w:szCs w:val="24"/>
        </w:rPr>
        <w:t xml:space="preserve">will be used to identify </w:t>
      </w:r>
      <w:r w:rsidR="009507CF">
        <w:rPr>
          <w:rFonts w:cs="Times New Roman"/>
          <w:sz w:val="24"/>
          <w:szCs w:val="24"/>
        </w:rPr>
        <w:t xml:space="preserve">women who may be </w:t>
      </w:r>
      <w:r w:rsidRPr="00FD71FF">
        <w:rPr>
          <w:rFonts w:cs="Times New Roman"/>
          <w:sz w:val="24"/>
          <w:szCs w:val="24"/>
        </w:rPr>
        <w:t>geographically</w:t>
      </w:r>
      <w:r w:rsidR="009507CF">
        <w:rPr>
          <w:rFonts w:cs="Times New Roman"/>
          <w:sz w:val="24"/>
          <w:szCs w:val="24"/>
        </w:rPr>
        <w:t xml:space="preserve"> </w:t>
      </w:r>
      <w:r w:rsidRPr="00FD71FF">
        <w:rPr>
          <w:rFonts w:cs="Times New Roman"/>
          <w:sz w:val="24"/>
          <w:szCs w:val="24"/>
        </w:rPr>
        <w:t>eligible through provider records or contacts. In the provider-based recruitment model, enrollment may occur in the provider setting or through referral off-site.</w:t>
      </w:r>
      <w:r w:rsidR="00DC197E">
        <w:rPr>
          <w:rFonts w:cs="Times New Roman"/>
          <w:sz w:val="24"/>
          <w:szCs w:val="24"/>
        </w:rPr>
        <w:t xml:space="preserve"> </w:t>
      </w:r>
      <w:r w:rsidRPr="00FD71FF">
        <w:rPr>
          <w:rFonts w:cs="Times New Roman"/>
          <w:sz w:val="24"/>
          <w:szCs w:val="24"/>
        </w:rPr>
        <w:t xml:space="preserve"> In all cases, however, informed consent will be administered by </w:t>
      </w:r>
      <w:r w:rsidR="00DC197E">
        <w:rPr>
          <w:rFonts w:cs="Times New Roman"/>
          <w:sz w:val="24"/>
          <w:szCs w:val="24"/>
        </w:rPr>
        <w:t>s</w:t>
      </w:r>
      <w:r w:rsidRPr="00FD71FF">
        <w:rPr>
          <w:rFonts w:cs="Times New Roman"/>
          <w:sz w:val="24"/>
          <w:szCs w:val="24"/>
        </w:rPr>
        <w:t>tudy staff (not providers). Health care providers will not be employees of the study nor engaged in the informed consent process or data collection.</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iCs/>
          <w:sz w:val="24"/>
          <w:szCs w:val="24"/>
          <w:u w:val="single"/>
        </w:rPr>
      </w:pPr>
      <w:r w:rsidRPr="00FD71FF">
        <w:rPr>
          <w:rFonts w:cs="Times New Roman"/>
          <w:bCs/>
          <w:iCs/>
          <w:sz w:val="24"/>
          <w:szCs w:val="24"/>
          <w:u w:val="single"/>
        </w:rPr>
        <w:t>Enhanced Household Strategy</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In the Enhanced Household Recruitment strategy, potential participants </w:t>
      </w:r>
      <w:r w:rsidR="00671B52">
        <w:rPr>
          <w:rFonts w:cs="Times New Roman"/>
          <w:sz w:val="24"/>
          <w:szCs w:val="24"/>
        </w:rPr>
        <w:t xml:space="preserve">residing in secondary sampling units </w:t>
      </w:r>
      <w:r w:rsidRPr="00FD71FF">
        <w:rPr>
          <w:rFonts w:cs="Times New Roman"/>
          <w:sz w:val="24"/>
          <w:szCs w:val="24"/>
        </w:rPr>
        <w:t xml:space="preserve">will be personally introduced to the </w:t>
      </w:r>
      <w:r w:rsidR="00DC197E">
        <w:rPr>
          <w:rFonts w:cs="Times New Roman"/>
          <w:sz w:val="24"/>
          <w:szCs w:val="24"/>
        </w:rPr>
        <w:t>s</w:t>
      </w:r>
      <w:r w:rsidRPr="00FD71FF">
        <w:rPr>
          <w:rFonts w:cs="Times New Roman"/>
          <w:sz w:val="24"/>
          <w:szCs w:val="24"/>
        </w:rPr>
        <w:t xml:space="preserve">tudy through an advance letter by direct mail, followed by household canvassing. First, potential participants will be approached at the household doorstep to share further information about the </w:t>
      </w:r>
      <w:r w:rsidR="00DC197E">
        <w:rPr>
          <w:rFonts w:cs="Times New Roman"/>
          <w:sz w:val="24"/>
          <w:szCs w:val="24"/>
        </w:rPr>
        <w:t>s</w:t>
      </w:r>
      <w:r w:rsidRPr="00FD71FF">
        <w:rPr>
          <w:rFonts w:cs="Times New Roman"/>
          <w:sz w:val="24"/>
          <w:szCs w:val="24"/>
        </w:rPr>
        <w:t xml:space="preserve">tudy and enumerate a household. Second, </w:t>
      </w:r>
      <w:r w:rsidR="00DC197E">
        <w:rPr>
          <w:rFonts w:cs="Times New Roman"/>
          <w:sz w:val="24"/>
          <w:szCs w:val="24"/>
        </w:rPr>
        <w:t>s</w:t>
      </w:r>
      <w:r w:rsidRPr="00FD71FF">
        <w:rPr>
          <w:rFonts w:cs="Times New Roman"/>
          <w:sz w:val="24"/>
          <w:szCs w:val="24"/>
        </w:rPr>
        <w:t xml:space="preserve">tudy staff will ask age-eligible women to take part in further eligibility (pregnancy) screening.  Third, </w:t>
      </w:r>
      <w:r w:rsidR="00DC197E">
        <w:rPr>
          <w:rFonts w:cs="Times New Roman"/>
          <w:sz w:val="24"/>
          <w:szCs w:val="24"/>
        </w:rPr>
        <w:t>s</w:t>
      </w:r>
      <w:r w:rsidRPr="00FD71FF">
        <w:rPr>
          <w:rFonts w:cs="Times New Roman"/>
          <w:sz w:val="24"/>
          <w:szCs w:val="24"/>
        </w:rPr>
        <w:t xml:space="preserve">tudy staff will invite eligible women to consent to participate in the study. </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Initial Vanguard Study used a household enumeration approach to identify age- and geographically-eligible pregnant women. The Enhanced Household Recruitment strategy will improve </w:t>
      </w:r>
      <w:r w:rsidR="00FD71FF">
        <w:rPr>
          <w:rFonts w:cs="Times New Roman"/>
          <w:sz w:val="24"/>
          <w:szCs w:val="24"/>
        </w:rPr>
        <w:t>the</w:t>
      </w:r>
      <w:r w:rsidRPr="00FD71FF">
        <w:rPr>
          <w:rFonts w:cs="Times New Roman"/>
          <w:sz w:val="24"/>
          <w:szCs w:val="24"/>
        </w:rPr>
        <w:t xml:space="preserve"> ability to identify pregnant women by deploying staff trained in best practices to assist household enumeration and screening, among the most </w:t>
      </w:r>
      <w:r w:rsidR="00671B52" w:rsidRPr="00FD71FF">
        <w:rPr>
          <w:rFonts w:cs="Times New Roman"/>
          <w:sz w:val="24"/>
          <w:szCs w:val="24"/>
        </w:rPr>
        <w:t>labor</w:t>
      </w:r>
      <w:r w:rsidR="00671B52">
        <w:rPr>
          <w:rFonts w:cs="Times New Roman"/>
          <w:sz w:val="24"/>
          <w:szCs w:val="24"/>
        </w:rPr>
        <w:t>-</w:t>
      </w:r>
      <w:r w:rsidRPr="00FD71FF">
        <w:rPr>
          <w:rFonts w:cs="Times New Roman"/>
          <w:sz w:val="24"/>
          <w:szCs w:val="24"/>
        </w:rPr>
        <w:t xml:space="preserve">intensive aspects of the study. </w:t>
      </w:r>
      <w:r w:rsidR="00DC197E">
        <w:rPr>
          <w:rFonts w:cs="Times New Roman"/>
          <w:sz w:val="24"/>
          <w:szCs w:val="24"/>
        </w:rPr>
        <w:t xml:space="preserve">To ensure highly skilled enumerators, staff with specific experience and training in </w:t>
      </w:r>
      <w:r w:rsidR="00DC197E">
        <w:rPr>
          <w:rFonts w:cs="Times New Roman"/>
          <w:sz w:val="24"/>
          <w:szCs w:val="24"/>
        </w:rPr>
        <w:lastRenderedPageBreak/>
        <w:t xml:space="preserve">enumeration will be employed.  The most highly qualified of these professional enumerators may also be used to train enumerators at the study locations.  </w:t>
      </w:r>
      <w:r w:rsidRPr="00FD71FF">
        <w:rPr>
          <w:rFonts w:cs="Times New Roman"/>
          <w:sz w:val="24"/>
          <w:szCs w:val="24"/>
        </w:rPr>
        <w:t xml:space="preserve">The strategy will also benefit from optimized approaches based on the experience of the Initial Vanguard Centers as well as other best practices from other studies. </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bCs/>
          <w:iCs/>
          <w:sz w:val="24"/>
          <w:szCs w:val="24"/>
          <w:u w:val="single"/>
        </w:rPr>
      </w:pPr>
      <w:r w:rsidRPr="00FD71FF">
        <w:rPr>
          <w:rFonts w:cs="Times New Roman"/>
          <w:bCs/>
          <w:iCs/>
          <w:sz w:val="24"/>
          <w:szCs w:val="24"/>
          <w:u w:val="single"/>
        </w:rPr>
        <w:t>Two-Tiered High-Low Intensity Strategy</w:t>
      </w:r>
    </w:p>
    <w:p w:rsidR="00B8065F" w:rsidRPr="00FD71FF" w:rsidRDefault="00B8065F" w:rsidP="00180BBD">
      <w:pPr>
        <w:widowControl w:val="0"/>
        <w:autoSpaceDE w:val="0"/>
        <w:autoSpaceDN w:val="0"/>
        <w:adjustRightInd w:val="0"/>
        <w:spacing w:after="0" w:line="240" w:lineRule="auto"/>
        <w:rPr>
          <w:rFonts w:cs="Times New Roman"/>
          <w:b/>
          <w:bCs/>
          <w:i/>
          <w:iCs/>
          <w:sz w:val="24"/>
          <w:szCs w:val="24"/>
        </w:rPr>
      </w:pPr>
    </w:p>
    <w:p w:rsidR="008D4DD9" w:rsidRDefault="005E3D02" w:rsidP="00180BBD">
      <w:pPr>
        <w:widowControl w:val="0"/>
        <w:autoSpaceDE w:val="0"/>
        <w:autoSpaceDN w:val="0"/>
        <w:adjustRightInd w:val="0"/>
        <w:spacing w:after="0" w:line="240" w:lineRule="auto"/>
        <w:rPr>
          <w:rFonts w:cs="Times New Roman"/>
          <w:sz w:val="24"/>
          <w:szCs w:val="24"/>
        </w:rPr>
      </w:pPr>
      <w:r>
        <w:rPr>
          <w:rFonts w:cs="Times New Roman"/>
          <w:sz w:val="24"/>
          <w:szCs w:val="24"/>
        </w:rPr>
        <w:t>T</w:t>
      </w:r>
      <w:r w:rsidRPr="00FD71FF">
        <w:rPr>
          <w:rFonts w:cs="Times New Roman"/>
          <w:sz w:val="24"/>
          <w:szCs w:val="24"/>
        </w:rPr>
        <w:t xml:space="preserve">he </w:t>
      </w:r>
      <w:r w:rsidR="00B8065F" w:rsidRPr="00FD71FF">
        <w:rPr>
          <w:rFonts w:cs="Times New Roman"/>
          <w:sz w:val="24"/>
          <w:szCs w:val="24"/>
        </w:rPr>
        <w:t>Two-Tiered High-Low Intensity Recruitment strategy</w:t>
      </w:r>
      <w:r>
        <w:rPr>
          <w:rFonts w:cs="Times New Roman"/>
          <w:sz w:val="24"/>
          <w:szCs w:val="24"/>
        </w:rPr>
        <w:t xml:space="preserve"> relies on a larger secondary sampling unit </w:t>
      </w:r>
      <w:r w:rsidR="008D4DD9">
        <w:rPr>
          <w:rFonts w:cs="Times New Roman"/>
          <w:sz w:val="24"/>
          <w:szCs w:val="24"/>
        </w:rPr>
        <w:t xml:space="preserve">to increase the rate of identification of </w:t>
      </w:r>
      <w:r w:rsidR="00EA3402">
        <w:rPr>
          <w:rFonts w:cs="Times New Roman"/>
          <w:sz w:val="24"/>
          <w:szCs w:val="24"/>
        </w:rPr>
        <w:t>pregnant potential respondents.</w:t>
      </w:r>
      <w:r w:rsidR="008D4DD9">
        <w:rPr>
          <w:rFonts w:cs="Times New Roman"/>
          <w:sz w:val="24"/>
          <w:szCs w:val="24"/>
        </w:rPr>
        <w:t xml:space="preserve"> In the Two-Tiered Recruitment Strategy, secondary sampling units are enlarged to roughly three times the population as the secondary sampling units in the Provider-Based or Household Recruitment strategies.</w:t>
      </w:r>
      <w:r>
        <w:rPr>
          <w:rFonts w:cs="Times New Roman"/>
          <w:sz w:val="24"/>
          <w:szCs w:val="24"/>
        </w:rPr>
        <w:t xml:space="preserve"> </w:t>
      </w:r>
      <w:r w:rsidR="00B8065F" w:rsidRPr="00FD71FF">
        <w:rPr>
          <w:rFonts w:cs="Times New Roman"/>
          <w:sz w:val="24"/>
          <w:szCs w:val="24"/>
        </w:rPr>
        <w:t xml:space="preserve"> </w:t>
      </w:r>
      <w:r w:rsidR="008D4DD9">
        <w:rPr>
          <w:rFonts w:cs="Times New Roman"/>
          <w:sz w:val="24"/>
          <w:szCs w:val="24"/>
        </w:rPr>
        <w:t xml:space="preserve">  </w:t>
      </w:r>
    </w:p>
    <w:p w:rsidR="008D4DD9" w:rsidRDefault="008D4DD9" w:rsidP="00180BBD">
      <w:pPr>
        <w:widowControl w:val="0"/>
        <w:autoSpaceDE w:val="0"/>
        <w:autoSpaceDN w:val="0"/>
        <w:adjustRightInd w:val="0"/>
        <w:spacing w:after="0" w:line="240" w:lineRule="auto"/>
        <w:rPr>
          <w:rFonts w:cs="Times New Roman"/>
          <w:sz w:val="24"/>
          <w:szCs w:val="24"/>
        </w:rPr>
      </w:pPr>
    </w:p>
    <w:p w:rsidR="00B8065F" w:rsidRDefault="008D4DD9" w:rsidP="00180BBD">
      <w:pPr>
        <w:widowControl w:val="0"/>
        <w:autoSpaceDE w:val="0"/>
        <w:autoSpaceDN w:val="0"/>
        <w:adjustRightInd w:val="0"/>
        <w:spacing w:after="0" w:line="240" w:lineRule="auto"/>
        <w:rPr>
          <w:rFonts w:cs="Times New Roman"/>
          <w:sz w:val="24"/>
          <w:szCs w:val="24"/>
        </w:rPr>
      </w:pPr>
      <w:r>
        <w:rPr>
          <w:rFonts w:cs="Times New Roman"/>
          <w:sz w:val="24"/>
          <w:szCs w:val="24"/>
        </w:rPr>
        <w:t>Age</w:t>
      </w:r>
      <w:r w:rsidR="009507CF">
        <w:rPr>
          <w:rFonts w:cs="Times New Roman"/>
          <w:sz w:val="24"/>
          <w:szCs w:val="24"/>
        </w:rPr>
        <w:t>-</w:t>
      </w:r>
      <w:r>
        <w:rPr>
          <w:rFonts w:cs="Times New Roman"/>
          <w:sz w:val="24"/>
          <w:szCs w:val="24"/>
        </w:rPr>
        <w:t xml:space="preserve"> and geographically</w:t>
      </w:r>
      <w:r w:rsidR="009507CF">
        <w:rPr>
          <w:rFonts w:cs="Times New Roman"/>
          <w:sz w:val="24"/>
          <w:szCs w:val="24"/>
        </w:rPr>
        <w:t>-</w:t>
      </w:r>
      <w:r>
        <w:rPr>
          <w:rFonts w:cs="Times New Roman"/>
          <w:sz w:val="24"/>
          <w:szCs w:val="24"/>
        </w:rPr>
        <w:t xml:space="preserve">eligible women will be asked </w:t>
      </w:r>
      <w:r w:rsidR="00EA3402">
        <w:rPr>
          <w:rFonts w:cs="Times New Roman"/>
          <w:sz w:val="24"/>
          <w:szCs w:val="24"/>
        </w:rPr>
        <w:t xml:space="preserve">to self-refer </w:t>
      </w:r>
      <w:r>
        <w:rPr>
          <w:rFonts w:cs="Times New Roman"/>
          <w:sz w:val="24"/>
          <w:szCs w:val="24"/>
        </w:rPr>
        <w:t xml:space="preserve">to participate in this data collection, designed to be of lower intensity than the Provider-Based and Enhanced Household strategies.  Self-referral will be support by direct mail and simultaneously-focused marketing campaigns.  </w:t>
      </w:r>
      <w:r w:rsidR="00B8065F" w:rsidRPr="00FD71FF">
        <w:rPr>
          <w:rFonts w:cs="Times New Roman"/>
          <w:sz w:val="24"/>
          <w:szCs w:val="24"/>
        </w:rPr>
        <w:t xml:space="preserve">Then, after a period of time during which rapport has been developed between low intensity participants and the </w:t>
      </w:r>
      <w:r w:rsidR="00965589">
        <w:rPr>
          <w:rFonts w:cs="Times New Roman"/>
          <w:sz w:val="24"/>
          <w:szCs w:val="24"/>
        </w:rPr>
        <w:t>s</w:t>
      </w:r>
      <w:r w:rsidR="00B8065F" w:rsidRPr="00FD71FF">
        <w:rPr>
          <w:rFonts w:cs="Times New Roman"/>
          <w:sz w:val="24"/>
          <w:szCs w:val="24"/>
        </w:rPr>
        <w:t xml:space="preserve">tudy, a geographically-defined subsample of low intensity participants will be asked to engage in a higher intensity data collection effort. </w:t>
      </w:r>
    </w:p>
    <w:p w:rsidR="00EA3402" w:rsidRDefault="00EA3402" w:rsidP="00180BBD">
      <w:pPr>
        <w:widowControl w:val="0"/>
        <w:autoSpaceDE w:val="0"/>
        <w:autoSpaceDN w:val="0"/>
        <w:adjustRightInd w:val="0"/>
        <w:spacing w:after="0" w:line="240" w:lineRule="auto"/>
        <w:rPr>
          <w:rFonts w:cs="Times New Roman"/>
          <w:sz w:val="24"/>
          <w:szCs w:val="24"/>
        </w:rPr>
      </w:pPr>
    </w:p>
    <w:p w:rsidR="00EA3402" w:rsidRPr="00FD71FF" w:rsidRDefault="00EA3402" w:rsidP="00180BBD">
      <w:pPr>
        <w:widowControl w:val="0"/>
        <w:autoSpaceDE w:val="0"/>
        <w:autoSpaceDN w:val="0"/>
        <w:adjustRightInd w:val="0"/>
        <w:spacing w:after="0" w:line="240" w:lineRule="auto"/>
        <w:rPr>
          <w:rFonts w:cs="Times New Roman"/>
          <w:sz w:val="24"/>
          <w:szCs w:val="24"/>
        </w:rPr>
      </w:pPr>
      <w:r>
        <w:rPr>
          <w:rFonts w:cs="Times New Roman"/>
          <w:sz w:val="24"/>
          <w:szCs w:val="24"/>
        </w:rPr>
        <w:t xml:space="preserve">A tertiary sampling unit, roughly corresponding to the size of the secondary sampling unit in the Provider-Based and Enhanced Household approaches, will serve as the geographic basis of eligibility into a higher intensity data collection.  Women </w:t>
      </w:r>
      <w:r w:rsidR="00965589">
        <w:rPr>
          <w:rFonts w:cs="Times New Roman"/>
          <w:sz w:val="24"/>
          <w:szCs w:val="24"/>
        </w:rPr>
        <w:t xml:space="preserve">participating </w:t>
      </w:r>
      <w:r>
        <w:rPr>
          <w:rFonts w:cs="Times New Roman"/>
          <w:sz w:val="24"/>
          <w:szCs w:val="24"/>
        </w:rPr>
        <w:t xml:space="preserve">in the lower intensity effort </w:t>
      </w:r>
      <w:r w:rsidR="00965589">
        <w:rPr>
          <w:rFonts w:cs="Times New Roman"/>
          <w:sz w:val="24"/>
          <w:szCs w:val="24"/>
        </w:rPr>
        <w:t xml:space="preserve">that reside </w:t>
      </w:r>
      <w:r>
        <w:rPr>
          <w:rFonts w:cs="Times New Roman"/>
          <w:sz w:val="24"/>
          <w:szCs w:val="24"/>
        </w:rPr>
        <w:t>in the tertiary sampling unit (itself embedded in the SSU) will be invited to join the higher intensity data collection</w:t>
      </w:r>
      <w:r w:rsidR="005213C0">
        <w:rPr>
          <w:rFonts w:cs="Times New Roman"/>
          <w:sz w:val="24"/>
          <w:szCs w:val="24"/>
        </w:rPr>
        <w:t>.  The higher intensity data collection corresponds</w:t>
      </w:r>
      <w:r>
        <w:rPr>
          <w:rFonts w:cs="Times New Roman"/>
          <w:sz w:val="24"/>
          <w:szCs w:val="24"/>
        </w:rPr>
        <w:t xml:space="preserve"> in intensity to the Provider-Based and Enhanced Household strategies.</w:t>
      </w:r>
      <w:r w:rsidR="00C84EBA" w:rsidRPr="00C84EBA">
        <w:rPr>
          <w:rFonts w:cs="Times New Roman"/>
          <w:sz w:val="24"/>
          <w:szCs w:val="24"/>
        </w:rPr>
        <w:t xml:space="preserve"> </w:t>
      </w:r>
      <w:r w:rsidR="00C84EBA" w:rsidRPr="00FD71FF">
        <w:rPr>
          <w:rFonts w:cs="Times New Roman"/>
          <w:sz w:val="24"/>
          <w:szCs w:val="24"/>
        </w:rPr>
        <w:t>Low intensity participants</w:t>
      </w:r>
      <w:r w:rsidR="00C84EBA">
        <w:rPr>
          <w:rFonts w:cs="Times New Roman"/>
          <w:sz w:val="24"/>
          <w:szCs w:val="24"/>
        </w:rPr>
        <w:t xml:space="preserve"> invited to join the high intensity effort</w:t>
      </w:r>
      <w:r w:rsidR="00C84EBA" w:rsidRPr="00FD71FF">
        <w:rPr>
          <w:rFonts w:cs="Times New Roman"/>
          <w:sz w:val="24"/>
          <w:szCs w:val="24"/>
        </w:rPr>
        <w:t xml:space="preserve"> also have the option of remaining in the low intensity effort, or, dropping out of the </w:t>
      </w:r>
      <w:r w:rsidR="00965589">
        <w:rPr>
          <w:rFonts w:cs="Times New Roman"/>
          <w:sz w:val="24"/>
          <w:szCs w:val="24"/>
        </w:rPr>
        <w:t>s</w:t>
      </w:r>
      <w:r w:rsidR="00C84EBA" w:rsidRPr="00FD71FF">
        <w:rPr>
          <w:rFonts w:cs="Times New Roman"/>
          <w:sz w:val="24"/>
          <w:szCs w:val="24"/>
        </w:rPr>
        <w:t>tudy.</w:t>
      </w:r>
      <w:r w:rsidR="00C84EBA">
        <w:rPr>
          <w:rFonts w:cs="Times New Roman"/>
          <w:sz w:val="24"/>
          <w:szCs w:val="24"/>
        </w:rPr>
        <w:t xml:space="preserve">  Low intensity participants not residing in the tertiary sampling units will not be eligible for the high intensity data collection.  Instead, we will continue to invite these participants to respond to low intensity data collection efforts approximately every six months.  </w:t>
      </w:r>
    </w:p>
    <w:p w:rsidR="00B8065F" w:rsidRDefault="00B8065F" w:rsidP="00180BBD">
      <w:pPr>
        <w:widowControl w:val="0"/>
        <w:autoSpaceDE w:val="0"/>
        <w:autoSpaceDN w:val="0"/>
        <w:adjustRightInd w:val="0"/>
        <w:spacing w:after="0" w:line="240" w:lineRule="auto"/>
        <w:rPr>
          <w:rFonts w:cs="Times New Roman"/>
          <w:sz w:val="24"/>
          <w:szCs w:val="24"/>
        </w:rPr>
      </w:pPr>
    </w:p>
    <w:p w:rsidR="00A91B7A" w:rsidRPr="001D2AD0" w:rsidRDefault="00A91B7A" w:rsidP="00180BBD">
      <w:pPr>
        <w:widowControl w:val="0"/>
        <w:autoSpaceDE w:val="0"/>
        <w:autoSpaceDN w:val="0"/>
        <w:adjustRightInd w:val="0"/>
        <w:spacing w:after="0" w:line="240" w:lineRule="auto"/>
        <w:rPr>
          <w:rFonts w:cs="Times New Roman"/>
          <w:i/>
          <w:sz w:val="24"/>
          <w:szCs w:val="24"/>
          <w:highlight w:val="yellow"/>
          <w:u w:val="single"/>
        </w:rPr>
      </w:pPr>
      <w:r w:rsidRPr="001D2AD0">
        <w:rPr>
          <w:rFonts w:cs="Times New Roman"/>
          <w:i/>
          <w:sz w:val="24"/>
          <w:szCs w:val="24"/>
          <w:highlight w:val="yellow"/>
          <w:u w:val="single"/>
        </w:rPr>
        <w:t>NCS Recruitment Substudy:  Approach</w:t>
      </w:r>
    </w:p>
    <w:p w:rsidR="00A91B7A" w:rsidRPr="001D2AD0" w:rsidRDefault="00A91B7A" w:rsidP="00180BBD">
      <w:pPr>
        <w:widowControl w:val="0"/>
        <w:autoSpaceDE w:val="0"/>
        <w:autoSpaceDN w:val="0"/>
        <w:adjustRightInd w:val="0"/>
        <w:spacing w:after="0" w:line="240" w:lineRule="auto"/>
        <w:rPr>
          <w:rFonts w:cs="Times New Roman"/>
          <w:i/>
          <w:sz w:val="24"/>
          <w:szCs w:val="24"/>
          <w:highlight w:val="yellow"/>
          <w:u w:val="single"/>
        </w:rPr>
      </w:pPr>
    </w:p>
    <w:p w:rsidR="00FA60A0" w:rsidRPr="001D2AD0" w:rsidRDefault="00A91B7A" w:rsidP="00180BBD">
      <w:pPr>
        <w:widowControl w:val="0"/>
        <w:autoSpaceDE w:val="0"/>
        <w:autoSpaceDN w:val="0"/>
        <w:adjustRightInd w:val="0"/>
        <w:spacing w:after="0" w:line="240" w:lineRule="auto"/>
        <w:rPr>
          <w:rFonts w:cs="Times New Roman"/>
          <w:sz w:val="24"/>
          <w:szCs w:val="24"/>
          <w:highlight w:val="yellow"/>
        </w:rPr>
      </w:pPr>
      <w:r w:rsidRPr="001D2AD0">
        <w:rPr>
          <w:rFonts w:cs="Times New Roman"/>
          <w:sz w:val="24"/>
          <w:szCs w:val="24"/>
          <w:highlight w:val="yellow"/>
        </w:rPr>
        <w:t xml:space="preserve">We propose implementing the NCS Recruitment Substudy in a staged roll-out.  Phase 1 will feature a minimal data collection ranging from 30 to 60 minutes for each collection event.  Measures would focus on recruitment and retention evaluation.  No environmental samples, </w:t>
      </w:r>
      <w:r w:rsidR="00FA60A0" w:rsidRPr="001D2AD0">
        <w:rPr>
          <w:rFonts w:cs="Times New Roman"/>
          <w:sz w:val="24"/>
          <w:szCs w:val="24"/>
          <w:highlight w:val="yellow"/>
        </w:rPr>
        <w:t xml:space="preserve">biospecimen collections, or father interviews </w:t>
      </w:r>
      <w:r w:rsidR="00C66112">
        <w:rPr>
          <w:rFonts w:cs="Times New Roman"/>
          <w:sz w:val="24"/>
          <w:szCs w:val="24"/>
          <w:highlight w:val="yellow"/>
        </w:rPr>
        <w:t>will</w:t>
      </w:r>
      <w:r w:rsidR="00C66112" w:rsidRPr="001D2AD0">
        <w:rPr>
          <w:rFonts w:cs="Times New Roman"/>
          <w:sz w:val="24"/>
          <w:szCs w:val="24"/>
          <w:highlight w:val="yellow"/>
        </w:rPr>
        <w:t xml:space="preserve"> </w:t>
      </w:r>
      <w:r w:rsidR="00FA60A0" w:rsidRPr="001D2AD0">
        <w:rPr>
          <w:rFonts w:cs="Times New Roman"/>
          <w:sz w:val="24"/>
          <w:szCs w:val="24"/>
          <w:highlight w:val="yellow"/>
        </w:rPr>
        <w:t>be conducted</w:t>
      </w:r>
      <w:r w:rsidR="00C66112">
        <w:rPr>
          <w:rFonts w:cs="Times New Roman"/>
          <w:sz w:val="24"/>
          <w:szCs w:val="24"/>
          <w:highlight w:val="yellow"/>
        </w:rPr>
        <w:t xml:space="preserve"> during Phase 1.</w:t>
      </w:r>
    </w:p>
    <w:p w:rsidR="00FA60A0" w:rsidRPr="001D2AD0" w:rsidRDefault="00FA60A0" w:rsidP="00180BBD">
      <w:pPr>
        <w:widowControl w:val="0"/>
        <w:autoSpaceDE w:val="0"/>
        <w:autoSpaceDN w:val="0"/>
        <w:adjustRightInd w:val="0"/>
        <w:spacing w:after="0" w:line="240" w:lineRule="auto"/>
        <w:rPr>
          <w:rFonts w:cs="Times New Roman"/>
          <w:sz w:val="24"/>
          <w:szCs w:val="24"/>
          <w:highlight w:val="yellow"/>
        </w:rPr>
      </w:pPr>
    </w:p>
    <w:p w:rsidR="00A91B7A" w:rsidRPr="00A91B7A" w:rsidRDefault="00FA60A0" w:rsidP="00180BBD">
      <w:pPr>
        <w:widowControl w:val="0"/>
        <w:autoSpaceDE w:val="0"/>
        <w:autoSpaceDN w:val="0"/>
        <w:adjustRightInd w:val="0"/>
        <w:spacing w:after="0" w:line="240" w:lineRule="auto"/>
        <w:rPr>
          <w:rFonts w:cs="Times New Roman"/>
          <w:sz w:val="24"/>
          <w:szCs w:val="24"/>
        </w:rPr>
      </w:pPr>
      <w:r w:rsidRPr="001D2AD0">
        <w:rPr>
          <w:rFonts w:cs="Times New Roman"/>
          <w:sz w:val="24"/>
          <w:szCs w:val="24"/>
          <w:highlight w:val="yellow"/>
        </w:rPr>
        <w:t xml:space="preserve">Several months after launch of Phase 1, Phase 2 </w:t>
      </w:r>
      <w:r w:rsidR="00C66112">
        <w:rPr>
          <w:rFonts w:cs="Times New Roman"/>
          <w:sz w:val="24"/>
          <w:szCs w:val="24"/>
          <w:highlight w:val="yellow"/>
        </w:rPr>
        <w:t>will</w:t>
      </w:r>
      <w:r w:rsidR="00C66112" w:rsidRPr="001D2AD0">
        <w:rPr>
          <w:rFonts w:cs="Times New Roman"/>
          <w:sz w:val="24"/>
          <w:szCs w:val="24"/>
          <w:highlight w:val="yellow"/>
        </w:rPr>
        <w:t xml:space="preserve"> </w:t>
      </w:r>
      <w:r w:rsidRPr="001D2AD0">
        <w:rPr>
          <w:rFonts w:cs="Times New Roman"/>
          <w:sz w:val="24"/>
          <w:szCs w:val="24"/>
          <w:highlight w:val="yellow"/>
        </w:rPr>
        <w:t xml:space="preserve">be initiated.  Phase 2 supplements the Phase 1 protocol by adding a limited set of environmental sample collections, biospecimen collections, </w:t>
      </w:r>
      <w:r w:rsidR="00C66112">
        <w:rPr>
          <w:rFonts w:cs="Times New Roman"/>
          <w:sz w:val="24"/>
          <w:szCs w:val="24"/>
          <w:highlight w:val="yellow"/>
        </w:rPr>
        <w:t xml:space="preserve">health care logs, </w:t>
      </w:r>
      <w:r w:rsidRPr="001D2AD0">
        <w:rPr>
          <w:rFonts w:cs="Times New Roman"/>
          <w:sz w:val="24"/>
          <w:szCs w:val="24"/>
          <w:highlight w:val="yellow"/>
        </w:rPr>
        <w:t>and father interviews</w:t>
      </w:r>
      <w:r w:rsidR="00D97E5B" w:rsidRPr="001D2AD0">
        <w:rPr>
          <w:rFonts w:cs="Times New Roman"/>
          <w:sz w:val="24"/>
          <w:szCs w:val="24"/>
          <w:highlight w:val="yellow"/>
        </w:rPr>
        <w:t xml:space="preserve"> </w:t>
      </w:r>
      <w:r w:rsidR="00C66112">
        <w:rPr>
          <w:rFonts w:cs="Times New Roman"/>
          <w:sz w:val="24"/>
          <w:szCs w:val="24"/>
          <w:highlight w:val="yellow"/>
        </w:rPr>
        <w:t>revised</w:t>
      </w:r>
      <w:r w:rsidR="00C66112" w:rsidRPr="001D2AD0">
        <w:rPr>
          <w:rFonts w:cs="Times New Roman"/>
          <w:sz w:val="24"/>
          <w:szCs w:val="24"/>
          <w:highlight w:val="yellow"/>
        </w:rPr>
        <w:t xml:space="preserve"> </w:t>
      </w:r>
      <w:r w:rsidR="00D97E5B" w:rsidRPr="001D2AD0">
        <w:rPr>
          <w:rFonts w:cs="Times New Roman"/>
          <w:sz w:val="24"/>
          <w:szCs w:val="24"/>
          <w:highlight w:val="yellow"/>
        </w:rPr>
        <w:t xml:space="preserve">based on </w:t>
      </w:r>
      <w:r w:rsidR="00C66112">
        <w:rPr>
          <w:rFonts w:cs="Times New Roman"/>
          <w:sz w:val="24"/>
          <w:szCs w:val="24"/>
          <w:highlight w:val="yellow"/>
        </w:rPr>
        <w:t xml:space="preserve">Initial Vanguard Study </w:t>
      </w:r>
      <w:r w:rsidR="00D97E5B" w:rsidRPr="001D2AD0">
        <w:rPr>
          <w:rFonts w:cs="Times New Roman"/>
          <w:sz w:val="24"/>
          <w:szCs w:val="24"/>
          <w:highlight w:val="yellow"/>
        </w:rPr>
        <w:t>field</w:t>
      </w:r>
      <w:r w:rsidR="00C66112">
        <w:rPr>
          <w:rFonts w:cs="Times New Roman"/>
          <w:sz w:val="24"/>
          <w:szCs w:val="24"/>
          <w:highlight w:val="yellow"/>
        </w:rPr>
        <w:t xml:space="preserve"> experience</w:t>
      </w:r>
      <w:r w:rsidR="00D97E5B" w:rsidRPr="001D2AD0">
        <w:rPr>
          <w:rFonts w:cs="Times New Roman"/>
          <w:sz w:val="24"/>
          <w:szCs w:val="24"/>
          <w:highlight w:val="yellow"/>
        </w:rPr>
        <w:t xml:space="preserve"> and</w:t>
      </w:r>
      <w:r w:rsidR="00C66112">
        <w:rPr>
          <w:rFonts w:cs="Times New Roman"/>
          <w:sz w:val="24"/>
          <w:szCs w:val="24"/>
          <w:highlight w:val="yellow"/>
        </w:rPr>
        <w:t xml:space="preserve"> which would benefit from</w:t>
      </w:r>
      <w:r w:rsidR="00D97E5B" w:rsidRPr="001D2AD0">
        <w:rPr>
          <w:rFonts w:cs="Times New Roman"/>
          <w:sz w:val="24"/>
          <w:szCs w:val="24"/>
          <w:highlight w:val="yellow"/>
        </w:rPr>
        <w:t xml:space="preserve"> further testing</w:t>
      </w:r>
      <w:r w:rsidR="00C66112">
        <w:rPr>
          <w:rFonts w:cs="Times New Roman"/>
          <w:sz w:val="24"/>
          <w:szCs w:val="24"/>
          <w:highlight w:val="yellow"/>
        </w:rPr>
        <w:t xml:space="preserve"> in </w:t>
      </w:r>
      <w:r w:rsidR="00235D9F">
        <w:rPr>
          <w:rFonts w:cs="Times New Roman"/>
          <w:sz w:val="24"/>
          <w:szCs w:val="24"/>
          <w:highlight w:val="yellow"/>
        </w:rPr>
        <w:t>the Vanguard Study</w:t>
      </w:r>
      <w:r w:rsidRPr="001D2AD0">
        <w:rPr>
          <w:rFonts w:cs="Times New Roman"/>
          <w:sz w:val="24"/>
          <w:szCs w:val="24"/>
          <w:highlight w:val="yellow"/>
        </w:rPr>
        <w:t>.  Data collection</w:t>
      </w:r>
      <w:r w:rsidR="00A63E8A" w:rsidRPr="001D2AD0">
        <w:rPr>
          <w:rFonts w:cs="Times New Roman"/>
          <w:sz w:val="24"/>
          <w:szCs w:val="24"/>
          <w:highlight w:val="yellow"/>
        </w:rPr>
        <w:t xml:space="preserve"> events would remain brief, continuing to range from about 30 to 60 minutes per </w:t>
      </w:r>
      <w:r w:rsidR="00A63E8A" w:rsidRPr="001D2AD0">
        <w:rPr>
          <w:rFonts w:cs="Times New Roman"/>
          <w:sz w:val="24"/>
          <w:szCs w:val="24"/>
          <w:highlight w:val="yellow"/>
        </w:rPr>
        <w:lastRenderedPageBreak/>
        <w:t>event.  This systematic rollout of the Recruitment Substudy protocol allows Study Centers to develop</w:t>
      </w:r>
      <w:r w:rsidR="00D97E5B" w:rsidRPr="001D2AD0">
        <w:rPr>
          <w:rFonts w:cs="Times New Roman"/>
          <w:sz w:val="24"/>
          <w:szCs w:val="24"/>
          <w:highlight w:val="yellow"/>
        </w:rPr>
        <w:t xml:space="preserve"> capacity to responsibly implement study procedures.  Additionally, a staged rollout allows particular focus to be given to priority areas named for each phase, while minimizing burden to respondents.</w:t>
      </w:r>
      <w:r w:rsidR="00D97E5B">
        <w:rPr>
          <w:rFonts w:cs="Times New Roman"/>
          <w:sz w:val="24"/>
          <w:szCs w:val="24"/>
        </w:rPr>
        <w:t xml:space="preserve">  </w:t>
      </w:r>
    </w:p>
    <w:p w:rsidR="00A91B7A" w:rsidRPr="00FD71FF" w:rsidRDefault="00A91B7A" w:rsidP="00180BBD">
      <w:pPr>
        <w:widowControl w:val="0"/>
        <w:autoSpaceDE w:val="0"/>
        <w:autoSpaceDN w:val="0"/>
        <w:adjustRightInd w:val="0"/>
        <w:spacing w:after="0" w:line="240" w:lineRule="auto"/>
        <w:rPr>
          <w:rFonts w:cs="Times New Roman"/>
          <w:sz w:val="24"/>
          <w:szCs w:val="24"/>
        </w:rPr>
      </w:pPr>
    </w:p>
    <w:p w:rsidR="00B8065F" w:rsidRPr="00FD71FF" w:rsidRDefault="00965589" w:rsidP="00180BBD">
      <w:pPr>
        <w:widowControl w:val="0"/>
        <w:autoSpaceDE w:val="0"/>
        <w:autoSpaceDN w:val="0"/>
        <w:adjustRightInd w:val="0"/>
        <w:spacing w:after="0" w:line="240" w:lineRule="auto"/>
        <w:rPr>
          <w:rFonts w:cs="Times New Roman"/>
          <w:i/>
          <w:sz w:val="24"/>
          <w:szCs w:val="24"/>
          <w:u w:val="single"/>
        </w:rPr>
      </w:pPr>
      <w:r>
        <w:rPr>
          <w:rFonts w:cs="Times New Roman"/>
          <w:i/>
          <w:sz w:val="24"/>
          <w:szCs w:val="24"/>
          <w:u w:val="single"/>
        </w:rPr>
        <w:t xml:space="preserve">NCS </w:t>
      </w:r>
      <w:r w:rsidR="00EA3402">
        <w:rPr>
          <w:rFonts w:cs="Times New Roman"/>
          <w:i/>
          <w:sz w:val="24"/>
          <w:szCs w:val="24"/>
          <w:u w:val="single"/>
        </w:rPr>
        <w:t xml:space="preserve">Recruitment </w:t>
      </w:r>
      <w:r>
        <w:rPr>
          <w:rFonts w:cs="Times New Roman"/>
          <w:i/>
          <w:sz w:val="24"/>
          <w:szCs w:val="24"/>
          <w:u w:val="single"/>
        </w:rPr>
        <w:t>Substudy</w:t>
      </w:r>
      <w:r w:rsidR="00EA3402">
        <w:rPr>
          <w:rFonts w:cs="Times New Roman"/>
          <w:i/>
          <w:sz w:val="24"/>
          <w:szCs w:val="24"/>
          <w:u w:val="single"/>
        </w:rPr>
        <w:t>: Key Measures</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The guiding research goal for the Recruitment Substudy is characterization of recruitment strategies, and components of recruitment strategies, that are effective in identifying, recruiting, and enrolling eligible participants into a population-based cohort study. We will measure progress toward this goal by examining the feasibility, acceptability, and cost of each recruitment strategy.</w:t>
      </w:r>
    </w:p>
    <w:p w:rsidR="00B8065F" w:rsidRPr="00FD71FF" w:rsidRDefault="00B8065F" w:rsidP="00180BBD">
      <w:pPr>
        <w:widowControl w:val="0"/>
        <w:autoSpaceDE w:val="0"/>
        <w:autoSpaceDN w:val="0"/>
        <w:adjustRightInd w:val="0"/>
        <w:spacing w:after="0" w:line="240" w:lineRule="auto"/>
        <w:rPr>
          <w:rFonts w:cs="Times New Roman"/>
          <w:b/>
          <w:bCs/>
          <w:sz w:val="24"/>
          <w:szCs w:val="24"/>
        </w:rPr>
      </w:pPr>
    </w:p>
    <w:p w:rsidR="00B8065F" w:rsidRPr="00FD71FF" w:rsidRDefault="00B8065F" w:rsidP="00180BBD">
      <w:pPr>
        <w:widowControl w:val="0"/>
        <w:autoSpaceDE w:val="0"/>
        <w:autoSpaceDN w:val="0"/>
        <w:adjustRightInd w:val="0"/>
        <w:spacing w:after="0" w:line="240" w:lineRule="auto"/>
        <w:rPr>
          <w:rFonts w:cs="Times New Roman"/>
          <w:bCs/>
          <w:sz w:val="24"/>
          <w:szCs w:val="24"/>
          <w:u w:val="single"/>
        </w:rPr>
      </w:pPr>
      <w:proofErr w:type="spellStart"/>
      <w:r w:rsidRPr="00FD71FF">
        <w:rPr>
          <w:rFonts w:cs="Times New Roman"/>
          <w:bCs/>
          <w:sz w:val="24"/>
          <w:szCs w:val="24"/>
          <w:u w:val="single"/>
        </w:rPr>
        <w:t>Feasiblity</w:t>
      </w:r>
      <w:proofErr w:type="spellEnd"/>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The primary outcome measure of the Recruitment Substudy</w:t>
      </w:r>
      <w:r w:rsidR="00965589">
        <w:rPr>
          <w:rFonts w:cs="Times New Roman"/>
          <w:sz w:val="24"/>
          <w:szCs w:val="24"/>
        </w:rPr>
        <w:t xml:space="preserve"> </w:t>
      </w:r>
      <w:r w:rsidRPr="00FD71FF">
        <w:rPr>
          <w:rFonts w:cs="Times New Roman"/>
          <w:sz w:val="24"/>
          <w:szCs w:val="24"/>
        </w:rPr>
        <w:t>is feasibility. Feasibility will be measured</w:t>
      </w:r>
      <w:r w:rsidR="00965589">
        <w:rPr>
          <w:rFonts w:cs="Times New Roman"/>
          <w:sz w:val="24"/>
          <w:szCs w:val="24"/>
        </w:rPr>
        <w:t xml:space="preserve"> largely</w:t>
      </w:r>
      <w:r w:rsidRPr="00FD71FF">
        <w:rPr>
          <w:rFonts w:cs="Times New Roman"/>
          <w:sz w:val="24"/>
          <w:szCs w:val="24"/>
        </w:rPr>
        <w:t xml:space="preserve"> </w:t>
      </w:r>
      <w:r w:rsidR="00965589">
        <w:rPr>
          <w:rFonts w:cs="Times New Roman"/>
          <w:sz w:val="24"/>
          <w:szCs w:val="24"/>
        </w:rPr>
        <w:t xml:space="preserve">through </w:t>
      </w:r>
      <w:r w:rsidRPr="00FD71FF">
        <w:rPr>
          <w:rFonts w:cs="Times New Roman"/>
          <w:sz w:val="24"/>
          <w:szCs w:val="24"/>
        </w:rPr>
        <w:t>recruitment and retention rates among the three proposed recruitment strategies.</w:t>
      </w: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Key rates associated with recruitment include:</w:t>
      </w:r>
    </w:p>
    <w:p w:rsidR="00B8065F" w:rsidRPr="00FD71FF" w:rsidRDefault="00B8065F" w:rsidP="00180BBD">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women identified for contact by the study, per month</w:t>
      </w:r>
    </w:p>
    <w:p w:rsidR="00B8065F" w:rsidRPr="00FD71FF" w:rsidRDefault="00B8065F" w:rsidP="00180BBD">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women successfully contacted by the study, per month</w:t>
      </w:r>
    </w:p>
    <w:p w:rsidR="00B8065F" w:rsidRPr="00FD71FF" w:rsidRDefault="00B8065F" w:rsidP="00180BBD">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women determined to be eligible for the study, per month</w:t>
      </w:r>
    </w:p>
    <w:p w:rsidR="00B8065F" w:rsidRPr="00FD71FF" w:rsidRDefault="00B8065F" w:rsidP="00180BBD">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women who have heard about the study, per month</w:t>
      </w:r>
    </w:p>
    <w:p w:rsidR="00B8065F" w:rsidRPr="00FD71FF" w:rsidRDefault="00B8065F" w:rsidP="00180BBD">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eligible women consented into the study, per month</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Key proportions associated with retention include:</w:t>
      </w:r>
    </w:p>
    <w:p w:rsidR="00B8065F" w:rsidRPr="00FD71FF" w:rsidRDefault="00B8065F" w:rsidP="00180BBD">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The proportion of age- and geographically-eligible women</w:t>
      </w:r>
      <w:r w:rsidR="001D6CAD">
        <w:rPr>
          <w:rFonts w:cs="Times New Roman"/>
          <w:sz w:val="24"/>
          <w:szCs w:val="24"/>
        </w:rPr>
        <w:t>,</w:t>
      </w:r>
      <w:r w:rsidRPr="00FD71FF">
        <w:rPr>
          <w:rFonts w:cs="Times New Roman"/>
          <w:sz w:val="24"/>
          <w:szCs w:val="24"/>
        </w:rPr>
        <w:t xml:space="preserve"> initially contacted when not pregnant</w:t>
      </w:r>
      <w:r w:rsidR="001D6CAD">
        <w:rPr>
          <w:rFonts w:cs="Times New Roman"/>
          <w:sz w:val="24"/>
          <w:szCs w:val="24"/>
        </w:rPr>
        <w:t>,</w:t>
      </w:r>
      <w:r w:rsidRPr="00FD71FF">
        <w:rPr>
          <w:rFonts w:cs="Times New Roman"/>
          <w:sz w:val="24"/>
          <w:szCs w:val="24"/>
        </w:rPr>
        <w:t xml:space="preserve"> who join the</w:t>
      </w:r>
      <w:r w:rsidR="007D1F0C">
        <w:rPr>
          <w:rFonts w:cs="Times New Roman"/>
          <w:sz w:val="24"/>
          <w:szCs w:val="24"/>
        </w:rPr>
        <w:t xml:space="preserve"> study</w:t>
      </w:r>
      <w:r w:rsidRPr="00FD71FF">
        <w:rPr>
          <w:rFonts w:cs="Times New Roman"/>
          <w:sz w:val="24"/>
          <w:szCs w:val="24"/>
        </w:rPr>
        <w:t xml:space="preserve"> when subsequently becoming pregnant</w:t>
      </w:r>
    </w:p>
    <w:p w:rsidR="00B8065F" w:rsidRPr="00FD71FF" w:rsidRDefault="00B8065F" w:rsidP="00180BBD">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The proportion of consented women who participate in at least one data collection study visit</w:t>
      </w:r>
    </w:p>
    <w:p w:rsidR="00B8065F" w:rsidRPr="00FD71FF" w:rsidRDefault="00B8065F" w:rsidP="00180BBD">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The proportion of women consented during pregnancy who participate in all data collection visits through the birth of a child</w:t>
      </w:r>
    </w:p>
    <w:p w:rsidR="00B8065F" w:rsidRPr="00FD71FF" w:rsidRDefault="00B8065F" w:rsidP="00180BBD">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 xml:space="preserve">The proportion of women who receive an ante-partum data collection visit </w:t>
      </w:r>
      <w:r w:rsidR="001D6CAD">
        <w:rPr>
          <w:rFonts w:cs="Times New Roman"/>
          <w:sz w:val="24"/>
          <w:szCs w:val="24"/>
        </w:rPr>
        <w:t xml:space="preserve">and </w:t>
      </w:r>
      <w:r w:rsidRPr="00FD71FF">
        <w:rPr>
          <w:rFonts w:cs="Times New Roman"/>
          <w:sz w:val="24"/>
          <w:szCs w:val="24"/>
        </w:rPr>
        <w:t>who also receive a birth visit</w:t>
      </w:r>
    </w:p>
    <w:p w:rsidR="00B8065F" w:rsidRPr="00FD71FF" w:rsidRDefault="00B8065F" w:rsidP="00180BBD">
      <w:pPr>
        <w:pStyle w:val="ListParagraph"/>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bCs/>
          <w:sz w:val="24"/>
          <w:szCs w:val="24"/>
          <w:u w:val="single"/>
        </w:rPr>
      </w:pPr>
      <w:r w:rsidRPr="00FD71FF">
        <w:rPr>
          <w:rFonts w:cs="Times New Roman"/>
          <w:bCs/>
          <w:sz w:val="24"/>
          <w:szCs w:val="24"/>
          <w:u w:val="single"/>
        </w:rPr>
        <w:t>Acceptability</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The secondary outcome measure of the Recruitment Substudy is acceptability. Acceptability will be measured by selection bias in characteristics of enrolled participants, enrollment burden, and the impact of enrollment methods on study infrastructure.</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Key comparisons associated with selection bias in participant characteristics include: </w:t>
      </w:r>
    </w:p>
    <w:p w:rsidR="00B8065F" w:rsidRPr="00FD71FF" w:rsidRDefault="00B8065F" w:rsidP="00180BBD">
      <w:pPr>
        <w:pStyle w:val="ListParagraph"/>
        <w:widowControl w:val="0"/>
        <w:numPr>
          <w:ilvl w:val="0"/>
          <w:numId w:val="8"/>
        </w:numPr>
        <w:autoSpaceDE w:val="0"/>
        <w:autoSpaceDN w:val="0"/>
        <w:adjustRightInd w:val="0"/>
        <w:spacing w:after="0" w:line="240" w:lineRule="auto"/>
        <w:rPr>
          <w:rFonts w:cs="Times New Roman"/>
          <w:sz w:val="24"/>
          <w:szCs w:val="24"/>
        </w:rPr>
      </w:pPr>
      <w:r w:rsidRPr="00FD71FF">
        <w:rPr>
          <w:rFonts w:cs="Times New Roman"/>
          <w:sz w:val="24"/>
          <w:szCs w:val="24"/>
        </w:rPr>
        <w:t xml:space="preserve">The distribution of women enrolled prior to pregnancy (preconception), during </w:t>
      </w:r>
      <w:r w:rsidRPr="00FD71FF">
        <w:rPr>
          <w:rFonts w:cs="Times New Roman"/>
          <w:sz w:val="24"/>
          <w:szCs w:val="24"/>
        </w:rPr>
        <w:lastRenderedPageBreak/>
        <w:t xml:space="preserve">pregnancy, or </w:t>
      </w:r>
      <w:proofErr w:type="spellStart"/>
      <w:r w:rsidRPr="00FD71FF">
        <w:rPr>
          <w:rFonts w:cs="Times New Roman"/>
          <w:sz w:val="24"/>
          <w:szCs w:val="24"/>
        </w:rPr>
        <w:t>peripartum</w:t>
      </w:r>
      <w:proofErr w:type="spellEnd"/>
    </w:p>
    <w:p w:rsidR="00B8065F" w:rsidRPr="00FD71FF" w:rsidRDefault="00B8065F" w:rsidP="00180BBD">
      <w:pPr>
        <w:pStyle w:val="ListParagraph"/>
        <w:widowControl w:val="0"/>
        <w:numPr>
          <w:ilvl w:val="0"/>
          <w:numId w:val="8"/>
        </w:numPr>
        <w:autoSpaceDE w:val="0"/>
        <w:autoSpaceDN w:val="0"/>
        <w:adjustRightInd w:val="0"/>
        <w:spacing w:after="0" w:line="240" w:lineRule="auto"/>
        <w:rPr>
          <w:rFonts w:cs="Times New Roman"/>
          <w:sz w:val="24"/>
          <w:szCs w:val="24"/>
        </w:rPr>
      </w:pPr>
      <w:r w:rsidRPr="00FD71FF">
        <w:rPr>
          <w:rFonts w:cs="Times New Roman"/>
          <w:sz w:val="24"/>
          <w:szCs w:val="24"/>
        </w:rPr>
        <w:t>For pregnant women, the distribution of gestational age at enrollment and at the first study visit</w:t>
      </w:r>
    </w:p>
    <w:p w:rsidR="00B8065F" w:rsidRPr="00FD71FF" w:rsidRDefault="00B8065F" w:rsidP="00180BBD">
      <w:pPr>
        <w:pStyle w:val="ListParagraph"/>
        <w:widowControl w:val="0"/>
        <w:numPr>
          <w:ilvl w:val="0"/>
          <w:numId w:val="8"/>
        </w:numPr>
        <w:autoSpaceDE w:val="0"/>
        <w:autoSpaceDN w:val="0"/>
        <w:adjustRightInd w:val="0"/>
        <w:spacing w:after="0" w:line="240" w:lineRule="auto"/>
        <w:rPr>
          <w:rFonts w:cs="Times New Roman"/>
          <w:sz w:val="24"/>
          <w:szCs w:val="24"/>
        </w:rPr>
      </w:pPr>
      <w:r w:rsidRPr="00FD71FF">
        <w:rPr>
          <w:rFonts w:cs="Times New Roman"/>
          <w:sz w:val="24"/>
          <w:szCs w:val="24"/>
        </w:rPr>
        <w:t>The monthly enrollment rate of infants among consented women with due date within that month</w:t>
      </w:r>
    </w:p>
    <w:p w:rsidR="001D6CAD" w:rsidRPr="00FD71FF" w:rsidRDefault="001D6CAD"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Additionally, unit nonresponse will be examined, comparing the profile of recruited participants, retained participants, and those who declined participation, by recruitment strategy</w:t>
      </w:r>
      <w:r w:rsidR="007B1C7C">
        <w:rPr>
          <w:rFonts w:cs="Times New Roman"/>
          <w:sz w:val="24"/>
          <w:szCs w:val="24"/>
        </w:rPr>
        <w:t>.</w:t>
      </w:r>
      <w:r w:rsidR="007B1C7C" w:rsidRPr="00FD71FF">
        <w:rPr>
          <w:rFonts w:cs="Times New Roman"/>
          <w:sz w:val="24"/>
          <w:szCs w:val="24"/>
        </w:rPr>
        <w:t xml:space="preserve"> </w:t>
      </w:r>
      <w:r w:rsidR="001D6CAD">
        <w:rPr>
          <w:rFonts w:cs="Times New Roman"/>
          <w:sz w:val="24"/>
          <w:szCs w:val="24"/>
        </w:rPr>
        <w:t xml:space="preserve"> </w:t>
      </w:r>
      <w:r w:rsidR="00B61B81">
        <w:rPr>
          <w:rFonts w:cs="Times New Roman"/>
          <w:sz w:val="24"/>
          <w:szCs w:val="24"/>
        </w:rPr>
        <w:t>For each strategy, c</w:t>
      </w:r>
      <w:r w:rsidR="007B1C7C">
        <w:rPr>
          <w:rFonts w:cs="Times New Roman"/>
          <w:sz w:val="24"/>
          <w:szCs w:val="24"/>
        </w:rPr>
        <w:t xml:space="preserve">haracteristics of recruited and retained participants </w:t>
      </w:r>
      <w:r w:rsidRPr="00FD71FF">
        <w:rPr>
          <w:rFonts w:cs="Times New Roman"/>
          <w:sz w:val="24"/>
          <w:szCs w:val="24"/>
        </w:rPr>
        <w:t xml:space="preserve">will </w:t>
      </w:r>
      <w:proofErr w:type="gramStart"/>
      <w:r w:rsidRPr="00FD71FF">
        <w:rPr>
          <w:rFonts w:cs="Times New Roman"/>
          <w:sz w:val="24"/>
          <w:szCs w:val="24"/>
        </w:rPr>
        <w:t xml:space="preserve">be </w:t>
      </w:r>
      <w:r w:rsidR="00B61B81">
        <w:rPr>
          <w:rFonts w:cs="Times New Roman"/>
          <w:sz w:val="24"/>
          <w:szCs w:val="24"/>
        </w:rPr>
        <w:t xml:space="preserve"> </w:t>
      </w:r>
      <w:r w:rsidR="00EA1958">
        <w:rPr>
          <w:rFonts w:cs="Times New Roman"/>
          <w:sz w:val="24"/>
          <w:szCs w:val="24"/>
        </w:rPr>
        <w:t>evaluated</w:t>
      </w:r>
      <w:proofErr w:type="gramEnd"/>
      <w:r w:rsidR="00EA1958">
        <w:rPr>
          <w:rFonts w:cs="Times New Roman"/>
          <w:sz w:val="24"/>
          <w:szCs w:val="24"/>
        </w:rPr>
        <w:t xml:space="preserve"> </w:t>
      </w:r>
      <w:r w:rsidR="00B61B81">
        <w:rPr>
          <w:rFonts w:cs="Times New Roman"/>
          <w:sz w:val="24"/>
          <w:szCs w:val="24"/>
        </w:rPr>
        <w:t>relative to</w:t>
      </w:r>
      <w:r w:rsidRPr="00FD71FF">
        <w:rPr>
          <w:rFonts w:cs="Times New Roman"/>
          <w:sz w:val="24"/>
          <w:szCs w:val="24"/>
        </w:rPr>
        <w:t xml:space="preserve"> a reference population to inform understanding of potential sample bias. </w:t>
      </w:r>
      <w:r w:rsidR="007B1C7C">
        <w:rPr>
          <w:rFonts w:cs="Times New Roman"/>
          <w:sz w:val="24"/>
          <w:szCs w:val="24"/>
        </w:rPr>
        <w:t>Planned c</w:t>
      </w:r>
      <w:r w:rsidR="007B1C7C" w:rsidRPr="00FD71FF">
        <w:rPr>
          <w:rFonts w:cs="Times New Roman"/>
          <w:sz w:val="24"/>
          <w:szCs w:val="24"/>
        </w:rPr>
        <w:t xml:space="preserve">omparisons </w:t>
      </w:r>
      <w:r w:rsidRPr="00FD71FF">
        <w:rPr>
          <w:rFonts w:cs="Times New Roman"/>
          <w:sz w:val="24"/>
          <w:szCs w:val="24"/>
        </w:rPr>
        <w:t xml:space="preserve">include: </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Race/Ethnicity</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Age (date of birth)</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Marital status</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Primary language of household</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Employment status and education level</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Urbanicity</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Study center organizational structure and types of partners</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Community engagement strategies employed</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Key </w:t>
      </w:r>
      <w:r w:rsidR="00B61B81">
        <w:rPr>
          <w:rFonts w:cs="Times New Roman"/>
          <w:sz w:val="24"/>
          <w:szCs w:val="24"/>
        </w:rPr>
        <w:t>measures</w:t>
      </w:r>
      <w:r w:rsidR="00B61B81" w:rsidRPr="00FD71FF">
        <w:rPr>
          <w:rFonts w:cs="Times New Roman"/>
          <w:sz w:val="24"/>
          <w:szCs w:val="24"/>
        </w:rPr>
        <w:t xml:space="preserve"> </w:t>
      </w:r>
      <w:r w:rsidRPr="00FD71FF">
        <w:rPr>
          <w:rFonts w:cs="Times New Roman"/>
          <w:sz w:val="24"/>
          <w:szCs w:val="24"/>
        </w:rPr>
        <w:t xml:space="preserve">associated with respondent burden and study infrastructure include: </w:t>
      </w:r>
    </w:p>
    <w:p w:rsidR="00B8065F" w:rsidRPr="00FD71FF" w:rsidRDefault="00B8065F" w:rsidP="00180BBD">
      <w:pPr>
        <w:pStyle w:val="ListParagraph"/>
        <w:widowControl w:val="0"/>
        <w:numPr>
          <w:ilvl w:val="0"/>
          <w:numId w:val="9"/>
        </w:numPr>
        <w:autoSpaceDE w:val="0"/>
        <w:autoSpaceDN w:val="0"/>
        <w:adjustRightInd w:val="0"/>
        <w:spacing w:after="0" w:line="240" w:lineRule="auto"/>
        <w:rPr>
          <w:rFonts w:cs="Times New Roman"/>
          <w:sz w:val="24"/>
          <w:szCs w:val="24"/>
        </w:rPr>
      </w:pPr>
      <w:r w:rsidRPr="00FD71FF">
        <w:rPr>
          <w:rFonts w:cs="Times New Roman"/>
          <w:sz w:val="24"/>
          <w:szCs w:val="24"/>
        </w:rPr>
        <w:t>The respondent burden realized to achieve enrollment for each recruitment strategy</w:t>
      </w:r>
    </w:p>
    <w:p w:rsidR="00B8065F" w:rsidRPr="00FD71FF" w:rsidRDefault="00B8065F" w:rsidP="00180BBD">
      <w:pPr>
        <w:pStyle w:val="ListParagraph"/>
        <w:widowControl w:val="0"/>
        <w:numPr>
          <w:ilvl w:val="0"/>
          <w:numId w:val="9"/>
        </w:numPr>
        <w:autoSpaceDE w:val="0"/>
        <w:autoSpaceDN w:val="0"/>
        <w:adjustRightInd w:val="0"/>
        <w:spacing w:after="0" w:line="240" w:lineRule="auto"/>
        <w:rPr>
          <w:rFonts w:cs="Times New Roman"/>
          <w:sz w:val="24"/>
          <w:szCs w:val="24"/>
        </w:rPr>
      </w:pPr>
      <w:r w:rsidRPr="00FD71FF">
        <w:rPr>
          <w:rFonts w:cs="Times New Roman"/>
          <w:sz w:val="24"/>
          <w:szCs w:val="24"/>
        </w:rPr>
        <w:t>The impact each source of entry (such as provider referral, household enumeration, community outreach events, self-referral, and others) has on study infrastructure</w:t>
      </w:r>
      <w:r w:rsidR="00EA1958">
        <w:rPr>
          <w:rFonts w:cs="Times New Roman"/>
          <w:sz w:val="24"/>
          <w:szCs w:val="24"/>
        </w:rPr>
        <w:t xml:space="preserve"> (such as staffing qualifications required to conduct a given strategy, office space, planning requirements, and</w:t>
      </w:r>
      <w:r w:rsidR="002C10EA">
        <w:rPr>
          <w:rFonts w:cs="Times New Roman"/>
          <w:sz w:val="24"/>
          <w:szCs w:val="24"/>
        </w:rPr>
        <w:t xml:space="preserve"> need for specialized equipment or materials</w:t>
      </w:r>
      <w:r w:rsidR="00EA1958">
        <w:rPr>
          <w:rFonts w:cs="Times New Roman"/>
          <w:sz w:val="24"/>
          <w:szCs w:val="24"/>
        </w:rPr>
        <w:t xml:space="preserve"> such as enumeration tablets), </w:t>
      </w:r>
    </w:p>
    <w:p w:rsidR="00B8065F" w:rsidRPr="00FD71FF" w:rsidRDefault="00B8065F" w:rsidP="00180BBD">
      <w:pPr>
        <w:pStyle w:val="ListParagraph"/>
        <w:widowControl w:val="0"/>
        <w:numPr>
          <w:ilvl w:val="0"/>
          <w:numId w:val="9"/>
        </w:numPr>
        <w:autoSpaceDE w:val="0"/>
        <w:autoSpaceDN w:val="0"/>
        <w:adjustRightInd w:val="0"/>
        <w:spacing w:after="0" w:line="240" w:lineRule="auto"/>
        <w:rPr>
          <w:rFonts w:cs="Times New Roman"/>
          <w:sz w:val="24"/>
          <w:szCs w:val="24"/>
        </w:rPr>
      </w:pPr>
      <w:r w:rsidRPr="00FD71FF">
        <w:rPr>
          <w:rFonts w:cs="Times New Roman"/>
          <w:sz w:val="24"/>
          <w:szCs w:val="24"/>
        </w:rPr>
        <w:t xml:space="preserve">The impact each method of community engagement and outreach has on study infrastructure </w:t>
      </w:r>
    </w:p>
    <w:p w:rsidR="00B8065F" w:rsidRPr="00FD71FF" w:rsidRDefault="00B8065F" w:rsidP="00180BBD">
      <w:pPr>
        <w:pStyle w:val="ListParagraph"/>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Additionally, we will ask </w:t>
      </w:r>
      <w:r w:rsidR="00B61B81">
        <w:rPr>
          <w:rFonts w:cs="Times New Roman"/>
          <w:sz w:val="24"/>
          <w:szCs w:val="24"/>
        </w:rPr>
        <w:t>s</w:t>
      </w:r>
      <w:r w:rsidRPr="00FD71FF">
        <w:rPr>
          <w:rFonts w:cs="Times New Roman"/>
          <w:sz w:val="24"/>
          <w:szCs w:val="24"/>
        </w:rPr>
        <w:t xml:space="preserve">tudy </w:t>
      </w:r>
      <w:r w:rsidR="00B61B81">
        <w:rPr>
          <w:rFonts w:cs="Times New Roman"/>
          <w:sz w:val="24"/>
          <w:szCs w:val="24"/>
        </w:rPr>
        <w:t>c</w:t>
      </w:r>
      <w:r w:rsidRPr="00FD71FF">
        <w:rPr>
          <w:rFonts w:cs="Times New Roman"/>
          <w:sz w:val="24"/>
          <w:szCs w:val="24"/>
        </w:rPr>
        <w:t xml:space="preserve">enters to compile qualitative information about challenges to enumeration, recruitment and consent that are encountered during the conduct of the </w:t>
      </w:r>
      <w:r w:rsidR="00B61B81">
        <w:rPr>
          <w:rFonts w:cs="Times New Roman"/>
          <w:sz w:val="24"/>
          <w:szCs w:val="24"/>
        </w:rPr>
        <w:t>s</w:t>
      </w:r>
      <w:r w:rsidRPr="00FD71FF">
        <w:rPr>
          <w:rFonts w:cs="Times New Roman"/>
          <w:sz w:val="24"/>
          <w:szCs w:val="24"/>
        </w:rPr>
        <w:t xml:space="preserve">tudy. These reports </w:t>
      </w:r>
      <w:r w:rsidR="00B61B81">
        <w:rPr>
          <w:rFonts w:cs="Times New Roman"/>
          <w:sz w:val="24"/>
          <w:szCs w:val="24"/>
        </w:rPr>
        <w:t>will</w:t>
      </w:r>
      <w:r w:rsidR="007B1C7C">
        <w:rPr>
          <w:rFonts w:cs="Times New Roman"/>
          <w:sz w:val="24"/>
          <w:szCs w:val="24"/>
        </w:rPr>
        <w:t xml:space="preserve"> be delivered bi-weekly in </w:t>
      </w:r>
      <w:r w:rsidR="00B61B81">
        <w:rPr>
          <w:rFonts w:cs="Times New Roman"/>
          <w:sz w:val="24"/>
          <w:szCs w:val="24"/>
        </w:rPr>
        <w:t xml:space="preserve">a </w:t>
      </w:r>
      <w:r w:rsidR="007B1C7C">
        <w:rPr>
          <w:rFonts w:cs="Times New Roman"/>
          <w:sz w:val="24"/>
          <w:szCs w:val="24"/>
        </w:rPr>
        <w:t>standardized format</w:t>
      </w:r>
      <w:r w:rsidR="00B61B81">
        <w:rPr>
          <w:rFonts w:cs="Times New Roman"/>
          <w:sz w:val="24"/>
          <w:szCs w:val="24"/>
        </w:rPr>
        <w:t xml:space="preserve">, </w:t>
      </w:r>
      <w:r w:rsidR="007B1C7C">
        <w:rPr>
          <w:rFonts w:cs="Times New Roman"/>
          <w:sz w:val="24"/>
          <w:szCs w:val="24"/>
        </w:rPr>
        <w:t xml:space="preserve">to facilitate </w:t>
      </w:r>
      <w:r w:rsidR="00B61B81">
        <w:rPr>
          <w:rFonts w:cs="Times New Roman"/>
          <w:sz w:val="24"/>
          <w:szCs w:val="24"/>
        </w:rPr>
        <w:t>both</w:t>
      </w:r>
      <w:r w:rsidR="007B1C7C">
        <w:rPr>
          <w:rFonts w:cs="Times New Roman"/>
          <w:sz w:val="24"/>
          <w:szCs w:val="24"/>
        </w:rPr>
        <w:t xml:space="preserve"> field management oversight</w:t>
      </w:r>
      <w:r w:rsidR="00B61B81">
        <w:rPr>
          <w:rFonts w:cs="Times New Roman"/>
          <w:sz w:val="24"/>
          <w:szCs w:val="24"/>
        </w:rPr>
        <w:t xml:space="preserve"> and </w:t>
      </w:r>
      <w:r w:rsidR="007B1C7C">
        <w:rPr>
          <w:rFonts w:cs="Times New Roman"/>
          <w:sz w:val="24"/>
          <w:szCs w:val="24"/>
        </w:rPr>
        <w:t xml:space="preserve">systematic evaluation of </w:t>
      </w:r>
      <w:r w:rsidR="00B61B81">
        <w:rPr>
          <w:rFonts w:cs="Times New Roman"/>
          <w:sz w:val="24"/>
          <w:szCs w:val="24"/>
        </w:rPr>
        <w:t>s</w:t>
      </w:r>
      <w:r w:rsidR="007B1C7C">
        <w:rPr>
          <w:rFonts w:cs="Times New Roman"/>
          <w:sz w:val="24"/>
          <w:szCs w:val="24"/>
        </w:rPr>
        <w:t>tudy progress</w:t>
      </w:r>
      <w:r w:rsidRPr="00FD71FF">
        <w:rPr>
          <w:rFonts w:cs="Times New Roman"/>
          <w:sz w:val="24"/>
          <w:szCs w:val="24"/>
        </w:rPr>
        <w:t>.</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u w:val="single"/>
        </w:rPr>
      </w:pPr>
      <w:r w:rsidRPr="00FD71FF">
        <w:rPr>
          <w:rFonts w:cs="Times New Roman"/>
          <w:sz w:val="24"/>
          <w:szCs w:val="24"/>
          <w:u w:val="single"/>
        </w:rPr>
        <w:t>Cost</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The third outcome measure of the Recruitment Substudy is cost. Cost will be measured empirically.</w:t>
      </w:r>
      <w:r w:rsidR="004B35DF">
        <w:rPr>
          <w:rFonts w:cs="Times New Roman"/>
          <w:sz w:val="24"/>
          <w:szCs w:val="24"/>
        </w:rPr>
        <w:t xml:space="preserve">  </w:t>
      </w:r>
      <w:r w:rsidRPr="00FD71FF">
        <w:rPr>
          <w:rFonts w:cs="Times New Roman"/>
          <w:sz w:val="24"/>
          <w:szCs w:val="24"/>
        </w:rPr>
        <w:t>Examples of the type of data to be collected include:</w:t>
      </w:r>
    </w:p>
    <w:p w:rsidR="00B8065F" w:rsidRPr="00FD71FF" w:rsidRDefault="00B8065F" w:rsidP="00180BBD">
      <w:pPr>
        <w:pStyle w:val="ListParagraph"/>
        <w:widowControl w:val="0"/>
        <w:numPr>
          <w:ilvl w:val="0"/>
          <w:numId w:val="11"/>
        </w:numPr>
        <w:autoSpaceDE w:val="0"/>
        <w:autoSpaceDN w:val="0"/>
        <w:adjustRightInd w:val="0"/>
        <w:spacing w:after="0" w:line="240" w:lineRule="auto"/>
        <w:rPr>
          <w:rFonts w:cs="Times New Roman"/>
          <w:sz w:val="24"/>
          <w:szCs w:val="24"/>
        </w:rPr>
      </w:pPr>
      <w:r w:rsidRPr="00FD71FF">
        <w:rPr>
          <w:rFonts w:cs="Times New Roman"/>
          <w:sz w:val="24"/>
          <w:szCs w:val="24"/>
        </w:rPr>
        <w:t>The cost of recruiting and enrolling a woman into the study, by timing of entry (for example, preconception, early pregnancy). Costs will be determined by tracking staff time, supplies and equipment.</w:t>
      </w:r>
    </w:p>
    <w:p w:rsidR="00B8065F" w:rsidRPr="00FD71FF" w:rsidRDefault="00B8065F" w:rsidP="00796FDB">
      <w:pPr>
        <w:pStyle w:val="ListParagraph"/>
        <w:numPr>
          <w:ilvl w:val="0"/>
          <w:numId w:val="11"/>
        </w:numPr>
        <w:autoSpaceDE w:val="0"/>
        <w:autoSpaceDN w:val="0"/>
        <w:adjustRightInd w:val="0"/>
        <w:spacing w:after="0" w:line="240" w:lineRule="auto"/>
        <w:rPr>
          <w:rFonts w:cs="Times New Roman"/>
          <w:sz w:val="24"/>
          <w:szCs w:val="24"/>
        </w:rPr>
      </w:pPr>
      <w:r w:rsidRPr="00FD71FF">
        <w:rPr>
          <w:rFonts w:cs="Times New Roman"/>
          <w:sz w:val="24"/>
          <w:szCs w:val="24"/>
        </w:rPr>
        <w:lastRenderedPageBreak/>
        <w:t>The cost of media and community outreach per recruited and enrolled woman by outreach methods employed particular to each of the three recruitment strategies. Cost will be determined by media invoices, staff time and materials.</w:t>
      </w:r>
    </w:p>
    <w:p w:rsidR="00E80F25" w:rsidRPr="00FD71FF" w:rsidRDefault="00E80F25" w:rsidP="00180BBD">
      <w:pPr>
        <w:widowControl w:val="0"/>
        <w:autoSpaceDE w:val="0"/>
        <w:autoSpaceDN w:val="0"/>
        <w:adjustRightInd w:val="0"/>
        <w:spacing w:after="0" w:line="240" w:lineRule="auto"/>
        <w:rPr>
          <w:rFonts w:cs="Times New Roman"/>
          <w:sz w:val="24"/>
          <w:szCs w:val="24"/>
        </w:rPr>
      </w:pPr>
    </w:p>
    <w:p w:rsidR="00BB3A8B" w:rsidRPr="00FD71FF" w:rsidRDefault="00F43AED" w:rsidP="00180BBD">
      <w:pPr>
        <w:widowControl w:val="0"/>
        <w:autoSpaceDE w:val="0"/>
        <w:autoSpaceDN w:val="0"/>
        <w:adjustRightInd w:val="0"/>
        <w:spacing w:after="0" w:line="240" w:lineRule="auto"/>
        <w:rPr>
          <w:rFonts w:cs="Times New Roman"/>
          <w:i/>
          <w:sz w:val="24"/>
          <w:szCs w:val="24"/>
          <w:u w:val="single"/>
        </w:rPr>
      </w:pPr>
      <w:r w:rsidRPr="00235D9F">
        <w:rPr>
          <w:rFonts w:cs="Times New Roman"/>
          <w:i/>
          <w:sz w:val="24"/>
          <w:szCs w:val="24"/>
          <w:highlight w:val="yellow"/>
          <w:u w:val="single"/>
        </w:rPr>
        <w:t xml:space="preserve">NCS </w:t>
      </w:r>
      <w:r w:rsidR="00BB3A8B" w:rsidRPr="00235D9F">
        <w:rPr>
          <w:rFonts w:cs="Times New Roman"/>
          <w:i/>
          <w:sz w:val="24"/>
          <w:szCs w:val="24"/>
          <w:highlight w:val="yellow"/>
          <w:u w:val="single"/>
        </w:rPr>
        <w:t xml:space="preserve">Recruitment </w:t>
      </w:r>
      <w:r w:rsidR="00B61B81" w:rsidRPr="00235D9F">
        <w:rPr>
          <w:rFonts w:cs="Times New Roman"/>
          <w:i/>
          <w:sz w:val="24"/>
          <w:szCs w:val="24"/>
          <w:highlight w:val="yellow"/>
          <w:u w:val="single"/>
        </w:rPr>
        <w:t>Substudy</w:t>
      </w:r>
      <w:r w:rsidR="00BB3A8B" w:rsidRPr="00235D9F">
        <w:rPr>
          <w:rFonts w:cs="Times New Roman"/>
          <w:i/>
          <w:sz w:val="24"/>
          <w:szCs w:val="24"/>
          <w:highlight w:val="yellow"/>
          <w:u w:val="single"/>
        </w:rPr>
        <w:t xml:space="preserve">:  </w:t>
      </w:r>
      <w:r w:rsidR="007B1C7C" w:rsidRPr="00235D9F">
        <w:rPr>
          <w:rFonts w:cs="Times New Roman"/>
          <w:i/>
          <w:sz w:val="24"/>
          <w:szCs w:val="24"/>
          <w:highlight w:val="yellow"/>
          <w:u w:val="single"/>
        </w:rPr>
        <w:t>Supplemental Measures</w:t>
      </w:r>
      <w:r w:rsidR="00067482" w:rsidRPr="00235D9F">
        <w:rPr>
          <w:rFonts w:cs="Times New Roman"/>
          <w:i/>
          <w:sz w:val="24"/>
          <w:szCs w:val="24"/>
          <w:highlight w:val="yellow"/>
          <w:u w:val="single"/>
        </w:rPr>
        <w:t xml:space="preserve"> </w:t>
      </w:r>
      <w:r w:rsidR="00235D9F">
        <w:rPr>
          <w:rFonts w:cs="Times New Roman"/>
          <w:i/>
          <w:sz w:val="24"/>
          <w:szCs w:val="24"/>
          <w:highlight w:val="yellow"/>
          <w:u w:val="single"/>
        </w:rPr>
        <w:t>to Evaluate</w:t>
      </w:r>
      <w:r w:rsidR="00235D9F" w:rsidRPr="00235D9F">
        <w:rPr>
          <w:rFonts w:cs="Times New Roman"/>
          <w:i/>
          <w:sz w:val="24"/>
          <w:szCs w:val="24"/>
          <w:highlight w:val="yellow"/>
          <w:u w:val="single"/>
        </w:rPr>
        <w:t xml:space="preserve"> </w:t>
      </w:r>
      <w:r w:rsidR="00067482" w:rsidRPr="00235D9F">
        <w:rPr>
          <w:rFonts w:cs="Times New Roman"/>
          <w:i/>
          <w:sz w:val="24"/>
          <w:szCs w:val="24"/>
          <w:highlight w:val="yellow"/>
          <w:u w:val="single"/>
        </w:rPr>
        <w:t>Recruitment Strateg</w:t>
      </w:r>
      <w:r w:rsidR="00235D9F">
        <w:rPr>
          <w:rFonts w:cs="Times New Roman"/>
          <w:i/>
          <w:sz w:val="24"/>
          <w:szCs w:val="24"/>
          <w:highlight w:val="yellow"/>
          <w:u w:val="single"/>
        </w:rPr>
        <w:t>ies</w:t>
      </w:r>
      <w:r w:rsidR="00067482" w:rsidRPr="00235D9F">
        <w:rPr>
          <w:rFonts w:cs="Times New Roman"/>
          <w:i/>
          <w:sz w:val="24"/>
          <w:szCs w:val="24"/>
          <w:highlight w:val="yellow"/>
          <w:u w:val="single"/>
        </w:rPr>
        <w:t xml:space="preserve"> </w:t>
      </w:r>
    </w:p>
    <w:p w:rsidR="00BB3A8B" w:rsidRPr="00FD71FF" w:rsidRDefault="00BB3A8B" w:rsidP="00180BBD">
      <w:pPr>
        <w:widowControl w:val="0"/>
        <w:autoSpaceDE w:val="0"/>
        <w:autoSpaceDN w:val="0"/>
        <w:adjustRightInd w:val="0"/>
        <w:spacing w:after="0" w:line="240" w:lineRule="auto"/>
        <w:rPr>
          <w:rFonts w:cs="Times New Roman"/>
          <w:sz w:val="24"/>
          <w:szCs w:val="24"/>
        </w:rPr>
      </w:pPr>
    </w:p>
    <w:p w:rsidR="00BB3A8B" w:rsidRPr="00FD71FF" w:rsidRDefault="007B1C7C" w:rsidP="00180BBD">
      <w:pPr>
        <w:widowControl w:val="0"/>
        <w:autoSpaceDE w:val="0"/>
        <w:autoSpaceDN w:val="0"/>
        <w:adjustRightInd w:val="0"/>
        <w:spacing w:after="0" w:line="240" w:lineRule="auto"/>
        <w:rPr>
          <w:rFonts w:cs="Times New Roman"/>
          <w:sz w:val="24"/>
          <w:szCs w:val="24"/>
        </w:rPr>
      </w:pPr>
      <w:r>
        <w:rPr>
          <w:rFonts w:cs="Times New Roman"/>
          <w:sz w:val="24"/>
          <w:szCs w:val="24"/>
        </w:rPr>
        <w:t>A</w:t>
      </w:r>
      <w:r w:rsidR="00BB3A8B" w:rsidRPr="00FD71FF">
        <w:rPr>
          <w:rFonts w:cs="Times New Roman"/>
          <w:sz w:val="24"/>
          <w:szCs w:val="24"/>
        </w:rPr>
        <w:t xml:space="preserve">dditional research questions will be asked </w:t>
      </w:r>
      <w:r>
        <w:rPr>
          <w:rFonts w:cs="Times New Roman"/>
          <w:sz w:val="24"/>
          <w:szCs w:val="24"/>
        </w:rPr>
        <w:t>particular to</w:t>
      </w:r>
      <w:r w:rsidRPr="00FD71FF">
        <w:rPr>
          <w:rFonts w:cs="Times New Roman"/>
          <w:sz w:val="24"/>
          <w:szCs w:val="24"/>
        </w:rPr>
        <w:t xml:space="preserve"> </w:t>
      </w:r>
      <w:r w:rsidR="00BB3A8B" w:rsidRPr="00FD71FF">
        <w:rPr>
          <w:rFonts w:cs="Times New Roman"/>
          <w:sz w:val="24"/>
          <w:szCs w:val="24"/>
        </w:rPr>
        <w:t xml:space="preserve">each </w:t>
      </w:r>
      <w:r>
        <w:rPr>
          <w:rFonts w:cs="Times New Roman"/>
          <w:sz w:val="24"/>
          <w:szCs w:val="24"/>
        </w:rPr>
        <w:t>alternate recruitment</w:t>
      </w:r>
      <w:r w:rsidRPr="00FD71FF">
        <w:rPr>
          <w:rFonts w:cs="Times New Roman"/>
          <w:sz w:val="24"/>
          <w:szCs w:val="24"/>
        </w:rPr>
        <w:t xml:space="preserve"> </w:t>
      </w:r>
      <w:r w:rsidR="00BB3A8B" w:rsidRPr="00FD71FF">
        <w:rPr>
          <w:rFonts w:cs="Times New Roman"/>
          <w:sz w:val="24"/>
          <w:szCs w:val="24"/>
        </w:rPr>
        <w:t xml:space="preserve">strategy to inform its potential implementation in the NCS Main Study.  These “strategy-specific” questions are described below.  </w:t>
      </w:r>
    </w:p>
    <w:p w:rsidR="00BB3A8B" w:rsidRPr="00FD71FF" w:rsidRDefault="00BB3A8B" w:rsidP="00180BBD">
      <w:pPr>
        <w:widowControl w:val="0"/>
        <w:autoSpaceDE w:val="0"/>
        <w:autoSpaceDN w:val="0"/>
        <w:adjustRightInd w:val="0"/>
        <w:spacing w:after="0" w:line="240" w:lineRule="auto"/>
        <w:rPr>
          <w:rFonts w:cs="Times New Roman"/>
          <w:sz w:val="24"/>
          <w:szCs w:val="24"/>
        </w:rPr>
      </w:pPr>
    </w:p>
    <w:p w:rsidR="00BB3A8B" w:rsidRPr="00FD71FF" w:rsidRDefault="00BB3A8B"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u w:val="single"/>
        </w:rPr>
        <w:t>Provider-Based Strategy</w:t>
      </w:r>
    </w:p>
    <w:p w:rsidR="00BB3A8B" w:rsidRPr="00FD71FF" w:rsidRDefault="00BB3A8B" w:rsidP="00180BBD">
      <w:pPr>
        <w:widowControl w:val="0"/>
        <w:autoSpaceDE w:val="0"/>
        <w:autoSpaceDN w:val="0"/>
        <w:adjustRightInd w:val="0"/>
        <w:spacing w:after="0" w:line="240" w:lineRule="auto"/>
        <w:rPr>
          <w:rFonts w:cs="Times New Roman"/>
          <w:sz w:val="24"/>
          <w:szCs w:val="24"/>
        </w:rPr>
      </w:pPr>
    </w:p>
    <w:p w:rsidR="00BB3A8B" w:rsidRPr="00FD71FF" w:rsidRDefault="00BB3A8B"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It is anticipated that the Provider-Based Recruitment strategy may more efficiently identify age and geographically eligible pregnant women through the strategy’s connection with the health care system, which may be considered a familiar and trusted environment to </w:t>
      </w:r>
      <w:r w:rsidR="00B61B81">
        <w:rPr>
          <w:rFonts w:cs="Times New Roman"/>
          <w:sz w:val="24"/>
          <w:szCs w:val="24"/>
        </w:rPr>
        <w:t xml:space="preserve">potential </w:t>
      </w:r>
      <w:r w:rsidRPr="00FD71FF">
        <w:rPr>
          <w:rFonts w:cs="Times New Roman"/>
          <w:sz w:val="24"/>
          <w:szCs w:val="24"/>
        </w:rPr>
        <w:t xml:space="preserve">participants. However, possible bias in participant demographic and pregnancy characteristics may be a potential issue. Therefore, in addition to </w:t>
      </w:r>
      <w:r w:rsidR="00B61B81">
        <w:rPr>
          <w:rFonts w:cs="Times New Roman"/>
          <w:sz w:val="24"/>
          <w:szCs w:val="24"/>
        </w:rPr>
        <w:t>the</w:t>
      </w:r>
      <w:r w:rsidR="00B61B81" w:rsidRPr="00FD71FF">
        <w:rPr>
          <w:rFonts w:cs="Times New Roman"/>
          <w:sz w:val="24"/>
          <w:szCs w:val="24"/>
        </w:rPr>
        <w:t xml:space="preserve"> </w:t>
      </w:r>
      <w:r w:rsidRPr="00FD71FF">
        <w:rPr>
          <w:rFonts w:cs="Times New Roman"/>
          <w:sz w:val="24"/>
          <w:szCs w:val="24"/>
        </w:rPr>
        <w:t xml:space="preserve">evaluation questions applicable to all three </w:t>
      </w:r>
      <w:r w:rsidR="00B61B81">
        <w:rPr>
          <w:rFonts w:cs="Times New Roman"/>
          <w:sz w:val="24"/>
          <w:szCs w:val="24"/>
        </w:rPr>
        <w:t>r</w:t>
      </w:r>
      <w:r w:rsidRPr="00FD71FF">
        <w:rPr>
          <w:rFonts w:cs="Times New Roman"/>
          <w:sz w:val="24"/>
          <w:szCs w:val="24"/>
        </w:rPr>
        <w:t xml:space="preserve">ecruitment strategies, evaluation questions </w:t>
      </w:r>
      <w:r w:rsidR="00D42A33">
        <w:rPr>
          <w:rFonts w:cs="Times New Roman"/>
          <w:sz w:val="24"/>
          <w:szCs w:val="24"/>
        </w:rPr>
        <w:t>specific</w:t>
      </w:r>
      <w:r w:rsidR="00D42A33" w:rsidRPr="00FD71FF">
        <w:rPr>
          <w:rFonts w:cs="Times New Roman"/>
          <w:sz w:val="24"/>
          <w:szCs w:val="24"/>
        </w:rPr>
        <w:t xml:space="preserve"> </w:t>
      </w:r>
      <w:r w:rsidRPr="00FD71FF">
        <w:rPr>
          <w:rFonts w:cs="Times New Roman"/>
          <w:sz w:val="24"/>
          <w:szCs w:val="24"/>
        </w:rPr>
        <w:t>to the Provider-Based strategy include:</w:t>
      </w:r>
    </w:p>
    <w:p w:rsidR="00BB3A8B" w:rsidRPr="00FD71FF" w:rsidRDefault="00BB3A8B" w:rsidP="00180BBD">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What are the most efficient and effective ways to </w:t>
      </w:r>
      <w:r w:rsidRPr="00FD71FF">
        <w:rPr>
          <w:rFonts w:cs="Times New Roman"/>
          <w:sz w:val="24"/>
          <w:szCs w:val="24"/>
          <w:u w:val="single"/>
        </w:rPr>
        <w:t>identify</w:t>
      </w:r>
      <w:r w:rsidRPr="00FD71FF">
        <w:rPr>
          <w:rFonts w:cs="Times New Roman"/>
          <w:sz w:val="24"/>
          <w:szCs w:val="24"/>
        </w:rPr>
        <w:t xml:space="preserve"> providers?</w:t>
      </w:r>
    </w:p>
    <w:p w:rsidR="00BB3A8B" w:rsidRPr="00FD71FF" w:rsidRDefault="00BB3A8B" w:rsidP="00180BBD">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What </w:t>
      </w:r>
      <w:proofErr w:type="gramStart"/>
      <w:r w:rsidRPr="00FD71FF">
        <w:rPr>
          <w:rFonts w:cs="Times New Roman"/>
          <w:sz w:val="24"/>
          <w:szCs w:val="24"/>
        </w:rPr>
        <w:t>percentage of identified providers participate</w:t>
      </w:r>
      <w:proofErr w:type="gramEnd"/>
      <w:r w:rsidRPr="00FD71FF">
        <w:rPr>
          <w:rFonts w:cs="Times New Roman"/>
          <w:sz w:val="24"/>
          <w:szCs w:val="24"/>
        </w:rPr>
        <w:t xml:space="preserve"> in the study? </w:t>
      </w:r>
    </w:p>
    <w:p w:rsidR="00BB3A8B" w:rsidRPr="00FD71FF" w:rsidRDefault="00BB3A8B" w:rsidP="00180BBD">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What techniques are most useful for </w:t>
      </w:r>
      <w:r w:rsidRPr="00FD71FF">
        <w:rPr>
          <w:rFonts w:cs="Times New Roman"/>
          <w:sz w:val="24"/>
          <w:szCs w:val="24"/>
          <w:u w:val="single"/>
        </w:rPr>
        <w:t>engaging</w:t>
      </w:r>
      <w:r w:rsidRPr="00FD71FF">
        <w:rPr>
          <w:rFonts w:cs="Times New Roman"/>
          <w:sz w:val="24"/>
          <w:szCs w:val="24"/>
        </w:rPr>
        <w:t xml:space="preserve"> providers?</w:t>
      </w:r>
    </w:p>
    <w:p w:rsidR="00BB3A8B" w:rsidRPr="00FD71FF" w:rsidRDefault="00BB3A8B" w:rsidP="00180BBD">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Among participating providers, which strategies are most useful for identifying geographically-eligible women?</w:t>
      </w:r>
    </w:p>
    <w:p w:rsidR="00BB3A8B" w:rsidRPr="00FD71FF" w:rsidRDefault="00BB3A8B" w:rsidP="00180BBD">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How are provider strategies for identifying </w:t>
      </w:r>
      <w:r w:rsidR="007B1C7C" w:rsidRPr="00FD71FF">
        <w:rPr>
          <w:rFonts w:cs="Times New Roman"/>
          <w:sz w:val="24"/>
          <w:szCs w:val="24"/>
        </w:rPr>
        <w:t>geographically</w:t>
      </w:r>
      <w:r w:rsidR="007B1C7C">
        <w:rPr>
          <w:rFonts w:cs="Times New Roman"/>
          <w:sz w:val="24"/>
          <w:szCs w:val="24"/>
        </w:rPr>
        <w:t>-</w:t>
      </w:r>
      <w:r w:rsidRPr="00FD71FF">
        <w:rPr>
          <w:rFonts w:cs="Times New Roman"/>
          <w:sz w:val="24"/>
          <w:szCs w:val="24"/>
        </w:rPr>
        <w:t>eligible women related to rates of recruitment?</w:t>
      </w:r>
    </w:p>
    <w:p w:rsidR="00BB3A8B" w:rsidRPr="00FD71FF" w:rsidRDefault="00BB3A8B" w:rsidP="00180BBD">
      <w:pPr>
        <w:widowControl w:val="0"/>
        <w:autoSpaceDE w:val="0"/>
        <w:autoSpaceDN w:val="0"/>
        <w:adjustRightInd w:val="0"/>
        <w:spacing w:after="0" w:line="240" w:lineRule="auto"/>
        <w:rPr>
          <w:rFonts w:cs="Times New Roman"/>
          <w:sz w:val="24"/>
          <w:szCs w:val="24"/>
        </w:rPr>
      </w:pPr>
    </w:p>
    <w:p w:rsidR="00FD71FF" w:rsidRPr="00FD71FF" w:rsidRDefault="00FD71F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u w:val="single"/>
        </w:rPr>
        <w:t>Enhanced Household Strategy</w:t>
      </w:r>
    </w:p>
    <w:p w:rsidR="00FD71FF" w:rsidRPr="00FD71FF" w:rsidRDefault="00FD71FF" w:rsidP="00180BBD">
      <w:pPr>
        <w:widowControl w:val="0"/>
        <w:autoSpaceDE w:val="0"/>
        <w:autoSpaceDN w:val="0"/>
        <w:adjustRightInd w:val="0"/>
        <w:spacing w:after="0" w:line="240" w:lineRule="auto"/>
        <w:rPr>
          <w:rFonts w:cs="Times New Roman"/>
          <w:sz w:val="24"/>
          <w:szCs w:val="24"/>
        </w:rPr>
      </w:pPr>
    </w:p>
    <w:p w:rsidR="00FD71FF" w:rsidRPr="00FD71FF" w:rsidRDefault="00FD71F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Although household enumeration may </w:t>
      </w:r>
      <w:r w:rsidR="00D42A33">
        <w:rPr>
          <w:rFonts w:cs="Times New Roman"/>
          <w:sz w:val="24"/>
          <w:szCs w:val="24"/>
        </w:rPr>
        <w:t xml:space="preserve">maximize coverage and thus </w:t>
      </w:r>
      <w:r w:rsidRPr="00FD71FF">
        <w:rPr>
          <w:rFonts w:cs="Times New Roman"/>
          <w:sz w:val="24"/>
          <w:szCs w:val="24"/>
        </w:rPr>
        <w:t xml:space="preserve">be </w:t>
      </w:r>
      <w:r w:rsidR="007B1C7C">
        <w:rPr>
          <w:rFonts w:cs="Times New Roman"/>
          <w:sz w:val="24"/>
          <w:szCs w:val="24"/>
        </w:rPr>
        <w:t>less</w:t>
      </w:r>
      <w:r w:rsidR="007B1C7C" w:rsidRPr="00FD71FF">
        <w:rPr>
          <w:rFonts w:cs="Times New Roman"/>
          <w:sz w:val="24"/>
          <w:szCs w:val="24"/>
        </w:rPr>
        <w:t xml:space="preserve"> </w:t>
      </w:r>
      <w:r w:rsidRPr="00FD71FF">
        <w:rPr>
          <w:rFonts w:cs="Times New Roman"/>
          <w:sz w:val="24"/>
          <w:szCs w:val="24"/>
        </w:rPr>
        <w:t xml:space="preserve">subject to respondent bias, it is a particularly labor intensive approach. Therefore, in addition to </w:t>
      </w:r>
      <w:r w:rsidR="00D42A33">
        <w:rPr>
          <w:rFonts w:cs="Times New Roman"/>
          <w:sz w:val="24"/>
          <w:szCs w:val="24"/>
        </w:rPr>
        <w:t>the</w:t>
      </w:r>
      <w:r w:rsidR="00D42A33" w:rsidRPr="00FD71FF">
        <w:rPr>
          <w:rFonts w:cs="Times New Roman"/>
          <w:sz w:val="24"/>
          <w:szCs w:val="24"/>
        </w:rPr>
        <w:t xml:space="preserve"> </w:t>
      </w:r>
      <w:r w:rsidRPr="00FD71FF">
        <w:rPr>
          <w:rFonts w:cs="Times New Roman"/>
          <w:sz w:val="24"/>
          <w:szCs w:val="24"/>
        </w:rPr>
        <w:t>evaluation questions applicable to all three recruitment strategies, evaluation questions specific to the Enhanced Household Recruitment strategy include:</w:t>
      </w:r>
    </w:p>
    <w:p w:rsidR="00FD71FF" w:rsidRPr="00FD71FF" w:rsidRDefault="00FD71FF" w:rsidP="00180BBD">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What are the most efficient and effective ways to reach households in the selected segments?</w:t>
      </w:r>
    </w:p>
    <w:p w:rsidR="00FD71FF" w:rsidRPr="00FD71FF" w:rsidRDefault="00FD71FF" w:rsidP="00180BBD">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What techniques are most effective for engaging household members at the doorstep (enumeration, screening, and enrollment)?</w:t>
      </w:r>
    </w:p>
    <w:p w:rsidR="00FD71FF" w:rsidRPr="00FD71FF" w:rsidRDefault="00FD71FF" w:rsidP="00180BBD">
      <w:pPr>
        <w:widowControl w:val="0"/>
        <w:autoSpaceDE w:val="0"/>
        <w:autoSpaceDN w:val="0"/>
        <w:adjustRightInd w:val="0"/>
        <w:spacing w:after="0" w:line="240" w:lineRule="auto"/>
        <w:rPr>
          <w:rFonts w:cs="Times New Roman"/>
          <w:bCs/>
          <w:iCs/>
          <w:sz w:val="24"/>
          <w:szCs w:val="24"/>
        </w:rPr>
      </w:pPr>
    </w:p>
    <w:p w:rsidR="00FD71FF" w:rsidRPr="00FD71FF" w:rsidRDefault="00FD71F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u w:val="single"/>
        </w:rPr>
        <w:t>Two-Tier High-Low Intensity Strategy</w:t>
      </w:r>
    </w:p>
    <w:p w:rsidR="00FD71FF" w:rsidRPr="00FD71FF" w:rsidRDefault="00FD71FF" w:rsidP="00180BBD">
      <w:pPr>
        <w:widowControl w:val="0"/>
        <w:autoSpaceDE w:val="0"/>
        <w:autoSpaceDN w:val="0"/>
        <w:adjustRightInd w:val="0"/>
        <w:spacing w:after="0" w:line="240" w:lineRule="auto"/>
        <w:rPr>
          <w:rFonts w:cs="Times New Roman"/>
          <w:sz w:val="24"/>
          <w:szCs w:val="24"/>
        </w:rPr>
      </w:pPr>
    </w:p>
    <w:p w:rsidR="00FD71FF" w:rsidRPr="00FD71FF" w:rsidRDefault="00FD71F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major goals of the two-tier strategy include generating data to gauge the desired size of the secondary sampling units necessary to yield enrollment targets, and developing information needed to better estimate bias between women who chose to participate in the low intensity </w:t>
      </w:r>
      <w:r w:rsidRPr="00FD71FF">
        <w:rPr>
          <w:rFonts w:cs="Times New Roman"/>
          <w:sz w:val="24"/>
          <w:szCs w:val="24"/>
        </w:rPr>
        <w:lastRenderedPageBreak/>
        <w:t xml:space="preserve">data collection and the high intensity data collection. Therefore, in addition to </w:t>
      </w:r>
      <w:r w:rsidR="00D42A33">
        <w:rPr>
          <w:rFonts w:cs="Times New Roman"/>
          <w:sz w:val="24"/>
          <w:szCs w:val="24"/>
        </w:rPr>
        <w:t xml:space="preserve">the </w:t>
      </w:r>
      <w:r w:rsidRPr="00FD71FF">
        <w:rPr>
          <w:rFonts w:cs="Times New Roman"/>
          <w:sz w:val="24"/>
          <w:szCs w:val="24"/>
        </w:rPr>
        <w:t>evaluation questions applicable to all three recruitment strategies, evaluation questions specific to the Two-Tier High-Low Recruitment strategy include:</w:t>
      </w:r>
    </w:p>
    <w:p w:rsidR="00FD71FF" w:rsidRPr="00FD71FF" w:rsidRDefault="00FD71FF" w:rsidP="00180BBD">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 xml:space="preserve">What is the optimal size of the secondary sampling unit to identify sufficient numbers of age-eligible (pregnant) women to meet </w:t>
      </w:r>
      <w:r w:rsidR="00D42A33">
        <w:rPr>
          <w:rFonts w:cs="Times New Roman"/>
          <w:sz w:val="24"/>
          <w:szCs w:val="24"/>
        </w:rPr>
        <w:t>s</w:t>
      </w:r>
      <w:r w:rsidRPr="00FD71FF">
        <w:rPr>
          <w:rFonts w:cs="Times New Roman"/>
          <w:sz w:val="24"/>
          <w:szCs w:val="24"/>
        </w:rPr>
        <w:t>tudy goals?</w:t>
      </w:r>
    </w:p>
    <w:p w:rsidR="00FD71FF" w:rsidRPr="00FD71FF" w:rsidRDefault="00FD71FF" w:rsidP="00180BBD">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What is the level of data collection intensity which optimizes the data collected at an acceptable response rate?</w:t>
      </w:r>
    </w:p>
    <w:p w:rsidR="00FD71FF" w:rsidRPr="00FD71FF" w:rsidRDefault="00D42A33" w:rsidP="00180BBD">
      <w:pPr>
        <w:pStyle w:val="ListParagraph"/>
        <w:widowControl w:val="0"/>
        <w:numPr>
          <w:ilvl w:val="0"/>
          <w:numId w:val="5"/>
        </w:numPr>
        <w:autoSpaceDE w:val="0"/>
        <w:autoSpaceDN w:val="0"/>
        <w:adjustRightInd w:val="0"/>
        <w:spacing w:after="0" w:line="240" w:lineRule="auto"/>
        <w:rPr>
          <w:rFonts w:cs="Times New Roman"/>
          <w:sz w:val="24"/>
          <w:szCs w:val="24"/>
        </w:rPr>
      </w:pPr>
      <w:r>
        <w:rPr>
          <w:rFonts w:cs="Times New Roman"/>
          <w:sz w:val="24"/>
          <w:szCs w:val="24"/>
        </w:rPr>
        <w:t xml:space="preserve">Among women who are </w:t>
      </w:r>
      <w:r w:rsidR="00FD71FF" w:rsidRPr="00FD71FF">
        <w:rPr>
          <w:rFonts w:cs="Times New Roman"/>
          <w:sz w:val="24"/>
          <w:szCs w:val="24"/>
        </w:rPr>
        <w:t xml:space="preserve">offered a high intensity effort </w:t>
      </w:r>
      <w:r>
        <w:rPr>
          <w:rFonts w:cs="Times New Roman"/>
          <w:sz w:val="24"/>
          <w:szCs w:val="24"/>
        </w:rPr>
        <w:t>but</w:t>
      </w:r>
      <w:r w:rsidRPr="00FD71FF">
        <w:rPr>
          <w:rFonts w:cs="Times New Roman"/>
          <w:sz w:val="24"/>
          <w:szCs w:val="24"/>
        </w:rPr>
        <w:t xml:space="preserve"> </w:t>
      </w:r>
      <w:r w:rsidR="00FD71FF" w:rsidRPr="00FD71FF">
        <w:rPr>
          <w:rFonts w:cs="Times New Roman"/>
          <w:sz w:val="24"/>
          <w:szCs w:val="24"/>
        </w:rPr>
        <w:t>decline, what percentage will choose to remain in the low intensity effort (rather than dropping out altogether)?</w:t>
      </w:r>
    </w:p>
    <w:p w:rsidR="00FD71FF" w:rsidRPr="00FD71FF" w:rsidRDefault="00FD71FF" w:rsidP="00180BBD">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 xml:space="preserve">How do demographic and health characteristics of women who join the high intensity effort differ from those </w:t>
      </w:r>
      <w:r w:rsidR="00D42A33">
        <w:rPr>
          <w:rFonts w:cs="Times New Roman"/>
          <w:sz w:val="24"/>
          <w:szCs w:val="24"/>
        </w:rPr>
        <w:t xml:space="preserve">of women who are </w:t>
      </w:r>
      <w:r w:rsidRPr="00FD71FF">
        <w:rPr>
          <w:rFonts w:cs="Times New Roman"/>
          <w:sz w:val="24"/>
          <w:szCs w:val="24"/>
        </w:rPr>
        <w:t xml:space="preserve">eligible but decline?  </w:t>
      </w:r>
    </w:p>
    <w:p w:rsidR="00FD71FF" w:rsidRDefault="00FD71FF" w:rsidP="00180BBD">
      <w:pPr>
        <w:widowControl w:val="0"/>
        <w:autoSpaceDE w:val="0"/>
        <w:autoSpaceDN w:val="0"/>
        <w:adjustRightInd w:val="0"/>
        <w:spacing w:after="0" w:line="240" w:lineRule="auto"/>
        <w:rPr>
          <w:rFonts w:cs="Times New Roman"/>
          <w:sz w:val="24"/>
          <w:szCs w:val="24"/>
        </w:rPr>
      </w:pPr>
    </w:p>
    <w:p w:rsidR="00067482" w:rsidRPr="00235D9F" w:rsidRDefault="00067482" w:rsidP="00180BBD">
      <w:pPr>
        <w:widowControl w:val="0"/>
        <w:autoSpaceDE w:val="0"/>
        <w:autoSpaceDN w:val="0"/>
        <w:adjustRightInd w:val="0"/>
        <w:spacing w:after="0" w:line="240" w:lineRule="auto"/>
        <w:rPr>
          <w:rFonts w:cs="Times New Roman"/>
          <w:i/>
          <w:sz w:val="24"/>
          <w:szCs w:val="24"/>
          <w:highlight w:val="yellow"/>
          <w:u w:val="single"/>
        </w:rPr>
      </w:pPr>
      <w:r w:rsidRPr="00235D9F">
        <w:rPr>
          <w:rFonts w:cs="Times New Roman"/>
          <w:i/>
          <w:sz w:val="24"/>
          <w:szCs w:val="24"/>
          <w:highlight w:val="yellow"/>
          <w:u w:val="single"/>
        </w:rPr>
        <w:t xml:space="preserve">NCS Recruitment Substudy:  Supplemental </w:t>
      </w:r>
      <w:r w:rsidR="00235D9F">
        <w:rPr>
          <w:rFonts w:cs="Times New Roman"/>
          <w:i/>
          <w:sz w:val="24"/>
          <w:szCs w:val="24"/>
          <w:highlight w:val="yellow"/>
          <w:u w:val="single"/>
        </w:rPr>
        <w:t>Collections</w:t>
      </w:r>
      <w:r w:rsidR="00235D9F" w:rsidRPr="00235D9F">
        <w:rPr>
          <w:rFonts w:cs="Times New Roman"/>
          <w:i/>
          <w:sz w:val="24"/>
          <w:szCs w:val="24"/>
          <w:highlight w:val="yellow"/>
          <w:u w:val="single"/>
        </w:rPr>
        <w:t xml:space="preserve"> </w:t>
      </w:r>
      <w:r w:rsidRPr="00235D9F">
        <w:rPr>
          <w:rFonts w:cs="Times New Roman"/>
          <w:i/>
          <w:sz w:val="24"/>
          <w:szCs w:val="24"/>
          <w:highlight w:val="yellow"/>
          <w:u w:val="single"/>
        </w:rPr>
        <w:t>to Evaluate Participant Retention</w:t>
      </w:r>
    </w:p>
    <w:p w:rsidR="00067482" w:rsidRPr="00235D9F" w:rsidRDefault="00067482" w:rsidP="00180BBD">
      <w:pPr>
        <w:widowControl w:val="0"/>
        <w:autoSpaceDE w:val="0"/>
        <w:autoSpaceDN w:val="0"/>
        <w:adjustRightInd w:val="0"/>
        <w:spacing w:after="0" w:line="240" w:lineRule="auto"/>
        <w:rPr>
          <w:rFonts w:cs="Times New Roman"/>
          <w:i/>
          <w:sz w:val="24"/>
          <w:szCs w:val="24"/>
          <w:highlight w:val="yellow"/>
          <w:u w:val="single"/>
        </w:rPr>
      </w:pPr>
    </w:p>
    <w:p w:rsidR="00067482" w:rsidRPr="00235D9F" w:rsidRDefault="002612C4" w:rsidP="00180BBD">
      <w:pPr>
        <w:widowControl w:val="0"/>
        <w:autoSpaceDE w:val="0"/>
        <w:autoSpaceDN w:val="0"/>
        <w:adjustRightInd w:val="0"/>
        <w:spacing w:after="0" w:line="240" w:lineRule="auto"/>
        <w:rPr>
          <w:rFonts w:cs="Times New Roman"/>
          <w:sz w:val="24"/>
          <w:szCs w:val="24"/>
          <w:highlight w:val="yellow"/>
        </w:rPr>
      </w:pPr>
      <w:r w:rsidRPr="00235D9F">
        <w:rPr>
          <w:rFonts w:cs="Times New Roman"/>
          <w:sz w:val="24"/>
          <w:szCs w:val="24"/>
          <w:highlight w:val="yellow"/>
        </w:rPr>
        <w:t>A secon</w:t>
      </w:r>
      <w:r w:rsidR="00AF6A60" w:rsidRPr="00235D9F">
        <w:rPr>
          <w:rFonts w:cs="Times New Roman"/>
          <w:sz w:val="24"/>
          <w:szCs w:val="24"/>
          <w:highlight w:val="yellow"/>
        </w:rPr>
        <w:t xml:space="preserve">d, fundamental </w:t>
      </w:r>
      <w:r w:rsidR="001A6E62" w:rsidRPr="00235D9F">
        <w:rPr>
          <w:rFonts w:cs="Times New Roman"/>
          <w:sz w:val="24"/>
          <w:szCs w:val="24"/>
          <w:highlight w:val="yellow"/>
        </w:rPr>
        <w:t xml:space="preserve">research goal of the Recruitment </w:t>
      </w:r>
      <w:r w:rsidR="00AF6A60" w:rsidRPr="00235D9F">
        <w:rPr>
          <w:rFonts w:cs="Times New Roman"/>
          <w:sz w:val="24"/>
          <w:szCs w:val="24"/>
          <w:highlight w:val="yellow"/>
        </w:rPr>
        <w:t xml:space="preserve">Substudy is characterization of recruitment strategies associated with participant retention over time. Toward this objective, we propose to continue data collection among the 37 Vanguard Study locations up to and including the visit planned to take place when the sample children have reached 24 months of age. This would align the study visits approved for the initial 7 Vanguard Study locations (which extend past the birth visit to include a 3-, 6-, 9-, 18-, and 24-month visit) with the study visits approved for the 30 additional Vanguard Study locations (which were initially approved up to and including the birth visit). Extending the data collection of the 30 additional Vanguard Study locations </w:t>
      </w:r>
      <w:r w:rsidR="001A6E62" w:rsidRPr="00235D9F">
        <w:rPr>
          <w:rFonts w:cs="Times New Roman"/>
          <w:sz w:val="24"/>
          <w:szCs w:val="24"/>
          <w:highlight w:val="yellow"/>
        </w:rPr>
        <w:t xml:space="preserve">to </w:t>
      </w:r>
      <w:r w:rsidR="00AF6A60" w:rsidRPr="00235D9F">
        <w:rPr>
          <w:rFonts w:cs="Times New Roman"/>
          <w:sz w:val="24"/>
          <w:szCs w:val="24"/>
          <w:highlight w:val="yellow"/>
        </w:rPr>
        <w:t>24 months of age would support rigorous, empirical evaluation of participant retention as it may relate to recruitment strategy. A strong understanding of how to encourage retention of study participants, particularly during the infancy and</w:t>
      </w:r>
      <w:r w:rsidR="001A6E62" w:rsidRPr="00235D9F">
        <w:rPr>
          <w:rFonts w:cs="Times New Roman"/>
          <w:sz w:val="24"/>
          <w:szCs w:val="24"/>
          <w:highlight w:val="yellow"/>
        </w:rPr>
        <w:t xml:space="preserve"> early childhood years, will be essential to planning the Main Study. Additionally, continuing data collection </w:t>
      </w:r>
      <w:r w:rsidR="00C174BB" w:rsidRPr="00235D9F">
        <w:rPr>
          <w:rFonts w:cs="Times New Roman"/>
          <w:sz w:val="24"/>
          <w:szCs w:val="24"/>
          <w:highlight w:val="yellow"/>
        </w:rPr>
        <w:t>post-birth among the alternate recruitment s</w:t>
      </w:r>
      <w:r w:rsidR="001A6E62" w:rsidRPr="00235D9F">
        <w:rPr>
          <w:rFonts w:cs="Times New Roman"/>
          <w:sz w:val="24"/>
          <w:szCs w:val="24"/>
          <w:highlight w:val="yellow"/>
        </w:rPr>
        <w:t>trategy study locations allows us to generate additional data to inform the development of study visit procedures, both for future Vanguard Study efforts and the Main Study.</w:t>
      </w:r>
    </w:p>
    <w:p w:rsidR="00067482" w:rsidRPr="00235D9F" w:rsidRDefault="00067482" w:rsidP="00180BBD">
      <w:pPr>
        <w:widowControl w:val="0"/>
        <w:autoSpaceDE w:val="0"/>
        <w:autoSpaceDN w:val="0"/>
        <w:adjustRightInd w:val="0"/>
        <w:spacing w:after="0" w:line="240" w:lineRule="auto"/>
        <w:rPr>
          <w:rFonts w:cs="Times New Roman"/>
          <w:i/>
          <w:sz w:val="24"/>
          <w:szCs w:val="24"/>
          <w:highlight w:val="yellow"/>
          <w:u w:val="single"/>
        </w:rPr>
      </w:pPr>
    </w:p>
    <w:p w:rsidR="001A6E62" w:rsidRPr="00235D9F" w:rsidRDefault="001A6E62" w:rsidP="00180BBD">
      <w:pPr>
        <w:widowControl w:val="0"/>
        <w:autoSpaceDE w:val="0"/>
        <w:autoSpaceDN w:val="0"/>
        <w:adjustRightInd w:val="0"/>
        <w:spacing w:after="0" w:line="240" w:lineRule="auto"/>
        <w:rPr>
          <w:rFonts w:cs="Times New Roman"/>
          <w:i/>
          <w:sz w:val="24"/>
          <w:szCs w:val="24"/>
          <w:highlight w:val="yellow"/>
          <w:u w:val="single"/>
        </w:rPr>
      </w:pPr>
      <w:r w:rsidRPr="00235D9F">
        <w:rPr>
          <w:rFonts w:cs="Times New Roman"/>
          <w:i/>
          <w:sz w:val="24"/>
          <w:szCs w:val="24"/>
          <w:highlight w:val="yellow"/>
          <w:u w:val="single"/>
        </w:rPr>
        <w:t xml:space="preserve">NCS Recruitment Substudy:  </w:t>
      </w:r>
      <w:proofErr w:type="spellStart"/>
      <w:r w:rsidRPr="00235D9F">
        <w:rPr>
          <w:rFonts w:cs="Times New Roman"/>
          <w:i/>
          <w:sz w:val="24"/>
          <w:szCs w:val="24"/>
          <w:highlight w:val="yellow"/>
          <w:u w:val="single"/>
        </w:rPr>
        <w:t>Supplmental</w:t>
      </w:r>
      <w:proofErr w:type="spellEnd"/>
      <w:r w:rsidRPr="00235D9F">
        <w:rPr>
          <w:rFonts w:cs="Times New Roman"/>
          <w:i/>
          <w:sz w:val="24"/>
          <w:szCs w:val="24"/>
          <w:highlight w:val="yellow"/>
          <w:u w:val="single"/>
        </w:rPr>
        <w:t xml:space="preserve"> Measures to Evaluate Selected Study Visit Assessments</w:t>
      </w:r>
    </w:p>
    <w:p w:rsidR="001A6E62" w:rsidRPr="00235D9F" w:rsidRDefault="001A6E62" w:rsidP="00180BBD">
      <w:pPr>
        <w:widowControl w:val="0"/>
        <w:autoSpaceDE w:val="0"/>
        <w:autoSpaceDN w:val="0"/>
        <w:adjustRightInd w:val="0"/>
        <w:spacing w:after="0" w:line="240" w:lineRule="auto"/>
        <w:rPr>
          <w:rFonts w:cs="Times New Roman"/>
          <w:i/>
          <w:sz w:val="24"/>
          <w:szCs w:val="24"/>
          <w:highlight w:val="yellow"/>
          <w:u w:val="single"/>
        </w:rPr>
      </w:pPr>
    </w:p>
    <w:p w:rsidR="001A6E62" w:rsidRPr="001A6E62" w:rsidRDefault="001A6E62" w:rsidP="00180BBD">
      <w:pPr>
        <w:widowControl w:val="0"/>
        <w:autoSpaceDE w:val="0"/>
        <w:autoSpaceDN w:val="0"/>
        <w:adjustRightInd w:val="0"/>
        <w:spacing w:after="0" w:line="240" w:lineRule="auto"/>
        <w:rPr>
          <w:rFonts w:cs="Times New Roman"/>
          <w:sz w:val="24"/>
          <w:szCs w:val="24"/>
        </w:rPr>
      </w:pPr>
      <w:r w:rsidRPr="00235D9F">
        <w:rPr>
          <w:rFonts w:cs="Times New Roman"/>
          <w:sz w:val="24"/>
          <w:szCs w:val="24"/>
          <w:highlight w:val="yellow"/>
        </w:rPr>
        <w:t>A third, central research goal of the Recruitment Substudy is to systematically identify study visit measures whose feasibility (scientific robustness), acceptability (burden to participants and study infrastructure), and cost are ideally suited for use in the NCS Main Study. Identification of these measures requires empirical</w:t>
      </w:r>
      <w:r w:rsidR="00C174BB" w:rsidRPr="00235D9F">
        <w:rPr>
          <w:rFonts w:cs="Times New Roman"/>
          <w:sz w:val="24"/>
          <w:szCs w:val="24"/>
          <w:highlight w:val="yellow"/>
        </w:rPr>
        <w:t xml:space="preserve"> testing in the field. Accordingly, we propose reintroduction of a limited set of study visit assessment measures to all 37 of the Vanguard Study locations engaged in data collection. Extensive measures, including biospecimens, were previously approved for use in the initial 7 Vanguard Study locations. When first launched, the additional 30 study locations in the Recruitment Substudy used streamlined data collection instruments </w:t>
      </w:r>
      <w:r w:rsidR="00D97E5B" w:rsidRPr="00235D9F">
        <w:rPr>
          <w:rFonts w:cs="Times New Roman"/>
          <w:sz w:val="24"/>
          <w:szCs w:val="24"/>
          <w:highlight w:val="yellow"/>
        </w:rPr>
        <w:t xml:space="preserve">(termed Phase 1) </w:t>
      </w:r>
      <w:r w:rsidR="00C174BB" w:rsidRPr="00235D9F">
        <w:rPr>
          <w:rFonts w:cs="Times New Roman"/>
          <w:sz w:val="24"/>
          <w:szCs w:val="24"/>
          <w:highlight w:val="yellow"/>
        </w:rPr>
        <w:t xml:space="preserve">to allow focus on improving recruitment rates. </w:t>
      </w:r>
      <w:r w:rsidR="00D97E5B" w:rsidRPr="00235D9F">
        <w:rPr>
          <w:rFonts w:cs="Times New Roman"/>
          <w:sz w:val="24"/>
          <w:szCs w:val="24"/>
          <w:highlight w:val="yellow"/>
        </w:rPr>
        <w:t>Once</w:t>
      </w:r>
      <w:r w:rsidR="00C174BB" w:rsidRPr="00235D9F">
        <w:rPr>
          <w:rFonts w:cs="Times New Roman"/>
          <w:sz w:val="24"/>
          <w:szCs w:val="24"/>
          <w:highlight w:val="yellow"/>
        </w:rPr>
        <w:t xml:space="preserve"> Recruitment Substudy locations are established and </w:t>
      </w:r>
      <w:proofErr w:type="gramStart"/>
      <w:r w:rsidR="00C174BB" w:rsidRPr="00235D9F">
        <w:rPr>
          <w:rFonts w:cs="Times New Roman"/>
          <w:sz w:val="24"/>
          <w:szCs w:val="24"/>
          <w:highlight w:val="yellow"/>
        </w:rPr>
        <w:t>trained,</w:t>
      </w:r>
      <w:proofErr w:type="gramEnd"/>
      <w:r w:rsidR="00C174BB" w:rsidRPr="00235D9F">
        <w:rPr>
          <w:rFonts w:cs="Times New Roman"/>
          <w:sz w:val="24"/>
          <w:szCs w:val="24"/>
          <w:highlight w:val="yellow"/>
        </w:rPr>
        <w:t xml:space="preserve"> and the initial 7 study locations have completed re-training</w:t>
      </w:r>
      <w:r w:rsidR="00AF002A">
        <w:rPr>
          <w:rFonts w:cs="Times New Roman"/>
          <w:sz w:val="24"/>
          <w:szCs w:val="24"/>
          <w:highlight w:val="yellow"/>
        </w:rPr>
        <w:t>,</w:t>
      </w:r>
      <w:r w:rsidR="00D97E5B" w:rsidRPr="00235D9F">
        <w:rPr>
          <w:rFonts w:cs="Times New Roman"/>
          <w:sz w:val="24"/>
          <w:szCs w:val="24"/>
          <w:highlight w:val="yellow"/>
        </w:rPr>
        <w:t xml:space="preserve"> we would</w:t>
      </w:r>
      <w:r w:rsidR="00C174BB" w:rsidRPr="00235D9F">
        <w:rPr>
          <w:rFonts w:cs="Times New Roman"/>
          <w:sz w:val="24"/>
          <w:szCs w:val="24"/>
          <w:highlight w:val="yellow"/>
        </w:rPr>
        <w:t xml:space="preserve"> reintroduce selected measures that have benefitted from prior NCS field </w:t>
      </w:r>
      <w:r w:rsidR="00C174BB" w:rsidRPr="00235D9F">
        <w:rPr>
          <w:rFonts w:cs="Times New Roman"/>
          <w:sz w:val="24"/>
          <w:szCs w:val="24"/>
          <w:highlight w:val="yellow"/>
        </w:rPr>
        <w:lastRenderedPageBreak/>
        <w:t xml:space="preserve">experience and, accordingly, have been revised to improve their scientific robustness, burden, and cost. These improved measures now require field testing to best inform their suitability for the Main Study. Specifically, </w:t>
      </w:r>
      <w:r w:rsidR="00D97E5B" w:rsidRPr="00235D9F">
        <w:rPr>
          <w:rFonts w:cs="Times New Roman"/>
          <w:sz w:val="24"/>
          <w:szCs w:val="24"/>
          <w:highlight w:val="yellow"/>
        </w:rPr>
        <w:t xml:space="preserve">this Phase 2 protocol would </w:t>
      </w:r>
      <w:r w:rsidR="00C174BB" w:rsidRPr="00235D9F">
        <w:rPr>
          <w:rFonts w:cs="Times New Roman"/>
          <w:sz w:val="24"/>
          <w:szCs w:val="24"/>
          <w:highlight w:val="yellow"/>
        </w:rPr>
        <w:t>re-incorporate a father interview; maternal blood and urine collection; cord blood collection; home tap water and dust collection; a pregnancy health care log; and an infant and child health care log. In addition to supporting further testing of refined items, including these measures in the Recruitment Substudy would result in a data collection scope more closely mirroring the anticipated scope of the Main Study, thereby allowing better gauge of data collection scope and resources and the relationship with retention and study logistics over time.</w:t>
      </w:r>
      <w:r w:rsidR="00C174BB">
        <w:rPr>
          <w:rFonts w:cs="Times New Roman"/>
          <w:sz w:val="24"/>
          <w:szCs w:val="24"/>
        </w:rPr>
        <w:t xml:space="preserve"> </w:t>
      </w:r>
    </w:p>
    <w:p w:rsidR="00067482" w:rsidRPr="00FD71FF" w:rsidRDefault="00067482" w:rsidP="00180BBD">
      <w:pPr>
        <w:widowControl w:val="0"/>
        <w:autoSpaceDE w:val="0"/>
        <w:autoSpaceDN w:val="0"/>
        <w:adjustRightInd w:val="0"/>
        <w:spacing w:after="0" w:line="240" w:lineRule="auto"/>
        <w:rPr>
          <w:rFonts w:cs="Times New Roman"/>
          <w:sz w:val="24"/>
          <w:szCs w:val="24"/>
        </w:rPr>
      </w:pPr>
    </w:p>
    <w:p w:rsidR="00E80F25" w:rsidRPr="00FD71FF" w:rsidRDefault="00E80F25" w:rsidP="00180BBD">
      <w:pPr>
        <w:pStyle w:val="Default"/>
        <w:jc w:val="both"/>
        <w:rPr>
          <w:rFonts w:asciiTheme="minorHAnsi" w:hAnsiTheme="minorHAnsi" w:cstheme="minorBidi"/>
          <w:b/>
          <w:color w:val="auto"/>
        </w:rPr>
      </w:pPr>
      <w:r w:rsidRPr="00FD71FF">
        <w:rPr>
          <w:rFonts w:asciiTheme="minorHAnsi" w:hAnsiTheme="minorHAnsi" w:cstheme="minorBidi"/>
          <w:b/>
          <w:color w:val="auto"/>
        </w:rPr>
        <w:t>A.3</w:t>
      </w:r>
      <w:r w:rsidRPr="00FD71FF">
        <w:rPr>
          <w:rFonts w:asciiTheme="minorHAnsi" w:hAnsiTheme="minorHAnsi" w:cstheme="minorBidi"/>
          <w:b/>
          <w:color w:val="auto"/>
        </w:rPr>
        <w:tab/>
        <w:t>Use of Information Technology and Burden Reduction</w:t>
      </w:r>
    </w:p>
    <w:p w:rsidR="00E80F25" w:rsidRPr="00FD71FF" w:rsidRDefault="00E80F25" w:rsidP="00180BBD">
      <w:pPr>
        <w:pStyle w:val="Default"/>
        <w:jc w:val="both"/>
        <w:rPr>
          <w:rFonts w:asciiTheme="minorHAnsi" w:hAnsiTheme="minorHAnsi" w:cstheme="minorBidi"/>
          <w:color w:val="auto"/>
        </w:rPr>
      </w:pPr>
    </w:p>
    <w:p w:rsidR="00E80F25" w:rsidRPr="00FD71FF" w:rsidRDefault="00E80F25" w:rsidP="00180BBD">
      <w:pPr>
        <w:pStyle w:val="Default"/>
        <w:jc w:val="both"/>
        <w:rPr>
          <w:rFonts w:asciiTheme="minorHAnsi" w:hAnsiTheme="minorHAnsi" w:cstheme="minorBidi"/>
          <w:color w:val="auto"/>
        </w:rPr>
      </w:pPr>
      <w:r w:rsidRPr="00FD71FF">
        <w:rPr>
          <w:rFonts w:asciiTheme="minorHAnsi" w:hAnsiTheme="minorHAnsi" w:cstheme="minorBidi"/>
          <w:color w:val="auto"/>
        </w:rPr>
        <w:t xml:space="preserve">Information technology solutions will be used, as appropriate, to limit respondent burden.  This may include incorporation of previous information into the interview process, computer-assisted telephone interviewing, and information management solutions to ensure that the proper study components are administered at the appropriate times.  Forms and questionnaires that are given to participants </w:t>
      </w:r>
      <w:r w:rsidR="006C764A" w:rsidRPr="00FD71FF">
        <w:rPr>
          <w:rFonts w:asciiTheme="minorHAnsi" w:hAnsiTheme="minorHAnsi" w:cstheme="minorBidi"/>
          <w:color w:val="auto"/>
        </w:rPr>
        <w:t xml:space="preserve">will be developed in user-friendly formats to reduce the time they take to complete.  </w:t>
      </w:r>
    </w:p>
    <w:p w:rsidR="006C764A" w:rsidRPr="00FD71FF" w:rsidRDefault="006C764A" w:rsidP="00180BBD">
      <w:pPr>
        <w:pStyle w:val="Default"/>
        <w:jc w:val="both"/>
        <w:rPr>
          <w:rFonts w:asciiTheme="minorHAnsi" w:hAnsiTheme="minorHAnsi" w:cstheme="minorBidi"/>
          <w:color w:val="auto"/>
        </w:rPr>
      </w:pPr>
    </w:p>
    <w:p w:rsidR="006C764A" w:rsidRPr="00FD71FF" w:rsidRDefault="006C764A" w:rsidP="00180BBD">
      <w:pPr>
        <w:pStyle w:val="Default"/>
        <w:jc w:val="both"/>
        <w:rPr>
          <w:rFonts w:asciiTheme="minorHAnsi" w:hAnsiTheme="minorHAnsi" w:cstheme="minorBidi"/>
          <w:b/>
          <w:color w:val="auto"/>
        </w:rPr>
      </w:pPr>
      <w:r w:rsidRPr="00FD71FF">
        <w:rPr>
          <w:rFonts w:asciiTheme="minorHAnsi" w:hAnsiTheme="minorHAnsi" w:cstheme="minorBidi"/>
          <w:b/>
          <w:color w:val="auto"/>
        </w:rPr>
        <w:t>A.4</w:t>
      </w:r>
      <w:r w:rsidRPr="00FD71FF">
        <w:rPr>
          <w:rFonts w:asciiTheme="minorHAnsi" w:hAnsiTheme="minorHAnsi" w:cstheme="minorBidi"/>
          <w:b/>
          <w:color w:val="auto"/>
        </w:rPr>
        <w:tab/>
        <w:t>Efforts to Identify Duplication and Use of Similar Information</w:t>
      </w:r>
    </w:p>
    <w:p w:rsidR="006C764A" w:rsidRPr="00FD71FF" w:rsidRDefault="006C764A" w:rsidP="00180BBD">
      <w:pPr>
        <w:pStyle w:val="Default"/>
        <w:jc w:val="both"/>
        <w:rPr>
          <w:rFonts w:asciiTheme="minorHAnsi" w:hAnsiTheme="minorHAnsi" w:cstheme="minorBidi"/>
          <w:color w:val="auto"/>
        </w:rPr>
      </w:pPr>
    </w:p>
    <w:p w:rsidR="006C764A" w:rsidRPr="00FD71FF" w:rsidRDefault="006C764A" w:rsidP="00180BBD">
      <w:pPr>
        <w:pStyle w:val="Default"/>
        <w:jc w:val="both"/>
        <w:rPr>
          <w:rFonts w:asciiTheme="minorHAnsi" w:hAnsiTheme="minorHAnsi" w:cstheme="minorBidi"/>
          <w:color w:val="auto"/>
        </w:rPr>
      </w:pPr>
      <w:r w:rsidRPr="00FD71FF">
        <w:rPr>
          <w:rFonts w:asciiTheme="minorHAnsi" w:hAnsiTheme="minorHAnsi" w:cstheme="minorBidi"/>
          <w:color w:val="auto"/>
        </w:rPr>
        <w:t xml:space="preserve">Before the planning and initiation of the NCS </w:t>
      </w:r>
      <w:r w:rsidR="00C57B45">
        <w:rPr>
          <w:rFonts w:asciiTheme="minorHAnsi" w:hAnsiTheme="minorHAnsi" w:cstheme="minorBidi"/>
          <w:color w:val="auto"/>
        </w:rPr>
        <w:t>was launched</w:t>
      </w:r>
      <w:r w:rsidRPr="00FD71FF">
        <w:rPr>
          <w:rFonts w:asciiTheme="minorHAnsi" w:hAnsiTheme="minorHAnsi" w:cstheme="minorBidi"/>
          <w:color w:val="auto"/>
        </w:rPr>
        <w:t xml:space="preserve">, an inventory and review of longitudinal studies was </w:t>
      </w:r>
      <w:r w:rsidR="007E5224" w:rsidRPr="00FD71FF">
        <w:rPr>
          <w:rFonts w:asciiTheme="minorHAnsi" w:hAnsiTheme="minorHAnsi" w:cstheme="minorBidi"/>
          <w:color w:val="auto"/>
        </w:rPr>
        <w:t>conducted</w:t>
      </w:r>
      <w:r w:rsidRPr="00FD71FF">
        <w:rPr>
          <w:rFonts w:asciiTheme="minorHAnsi" w:hAnsiTheme="minorHAnsi" w:cstheme="minorBidi"/>
          <w:color w:val="auto"/>
        </w:rPr>
        <w:t xml:space="preserve">. The review examined </w:t>
      </w:r>
      <w:r w:rsidR="00C57B45">
        <w:rPr>
          <w:rFonts w:asciiTheme="minorHAnsi" w:hAnsiTheme="minorHAnsi" w:cstheme="minorBidi"/>
          <w:color w:val="auto"/>
        </w:rPr>
        <w:t xml:space="preserve">whether the study goals could be addressed </w:t>
      </w:r>
      <w:r w:rsidRPr="00FD71FF">
        <w:rPr>
          <w:rFonts w:asciiTheme="minorHAnsi" w:hAnsiTheme="minorHAnsi" w:cstheme="minorBidi"/>
          <w:color w:val="auto"/>
        </w:rPr>
        <w:t xml:space="preserve">without embarking on an entirely new study. </w:t>
      </w:r>
      <w:r w:rsidR="007E5224" w:rsidRPr="00FD71FF">
        <w:rPr>
          <w:rFonts w:asciiTheme="minorHAnsi" w:hAnsiTheme="minorHAnsi" w:cstheme="minorBidi"/>
          <w:color w:val="auto"/>
        </w:rPr>
        <w:t>The</w:t>
      </w:r>
      <w:r w:rsidRPr="00FD71FF">
        <w:rPr>
          <w:rFonts w:asciiTheme="minorHAnsi" w:hAnsiTheme="minorHAnsi" w:cstheme="minorBidi"/>
          <w:color w:val="auto"/>
        </w:rPr>
        <w:t xml:space="preserve"> systematic review of all available longitudinal cohort studies found no study capable of answering the questions and concerns that led to the proposed National Children’s Study regarding potential long-term effects in children from environmental exposures.</w:t>
      </w:r>
      <w:r w:rsidR="007E5224" w:rsidRPr="00FD71FF">
        <w:rPr>
          <w:rFonts w:asciiTheme="minorHAnsi" w:hAnsiTheme="minorHAnsi" w:cstheme="minorBidi"/>
          <w:color w:val="auto"/>
        </w:rPr>
        <w:t xml:space="preserve">  </w:t>
      </w:r>
    </w:p>
    <w:p w:rsidR="007E5224" w:rsidRPr="00FD71FF" w:rsidRDefault="007E5224" w:rsidP="00180BBD">
      <w:pPr>
        <w:pStyle w:val="Default"/>
        <w:jc w:val="both"/>
        <w:rPr>
          <w:rFonts w:asciiTheme="minorHAnsi" w:hAnsiTheme="minorHAnsi" w:cstheme="minorBidi"/>
          <w:color w:val="auto"/>
        </w:rPr>
      </w:pPr>
    </w:p>
    <w:p w:rsidR="007E5224" w:rsidRPr="00FD71FF" w:rsidRDefault="00D42A33" w:rsidP="00180BBD">
      <w:pPr>
        <w:pStyle w:val="Default"/>
        <w:jc w:val="both"/>
        <w:rPr>
          <w:rFonts w:asciiTheme="minorHAnsi" w:hAnsiTheme="minorHAnsi"/>
        </w:rPr>
      </w:pPr>
      <w:r>
        <w:rPr>
          <w:rFonts w:asciiTheme="minorHAnsi" w:hAnsiTheme="minorHAnsi" w:cstheme="minorBidi"/>
          <w:color w:val="auto"/>
        </w:rPr>
        <w:t>In addition</w:t>
      </w:r>
      <w:r w:rsidR="007E5224" w:rsidRPr="00FD71FF">
        <w:rPr>
          <w:rFonts w:asciiTheme="minorHAnsi" w:hAnsiTheme="minorHAnsi" w:cstheme="minorBidi"/>
          <w:color w:val="auto"/>
        </w:rPr>
        <w:t xml:space="preserve">, a systematic review was conducted to assess the information available to inform the experience of the </w:t>
      </w:r>
      <w:r>
        <w:rPr>
          <w:rFonts w:asciiTheme="minorHAnsi" w:hAnsiTheme="minorHAnsi" w:cstheme="minorBidi"/>
          <w:color w:val="auto"/>
        </w:rPr>
        <w:t>I</w:t>
      </w:r>
      <w:r w:rsidR="00B8065F" w:rsidRPr="00FD71FF">
        <w:rPr>
          <w:rFonts w:asciiTheme="minorHAnsi" w:hAnsiTheme="minorHAnsi" w:cstheme="minorBidi"/>
          <w:color w:val="auto"/>
        </w:rPr>
        <w:t xml:space="preserve">nitial </w:t>
      </w:r>
      <w:r w:rsidR="007E5224" w:rsidRPr="00FD71FF">
        <w:rPr>
          <w:rFonts w:asciiTheme="minorHAnsi" w:hAnsiTheme="minorHAnsi" w:cstheme="minorBidi"/>
          <w:color w:val="auto"/>
        </w:rPr>
        <w:t xml:space="preserve">Vanguard Study with respect to recruitment and retention.  The review found that there was insufficient information to enable the NCS to </w:t>
      </w:r>
      <w:r w:rsidR="00C57B45">
        <w:rPr>
          <w:rFonts w:asciiTheme="minorHAnsi" w:hAnsiTheme="minorHAnsi" w:cstheme="minorBidi"/>
          <w:color w:val="auto"/>
        </w:rPr>
        <w:t>determine</w:t>
      </w:r>
      <w:r w:rsidR="007E5224" w:rsidRPr="00FD71FF">
        <w:rPr>
          <w:rFonts w:asciiTheme="minorHAnsi" w:hAnsiTheme="minorHAnsi" w:cstheme="minorBidi"/>
          <w:color w:val="auto"/>
        </w:rPr>
        <w:t xml:space="preserve"> the </w:t>
      </w:r>
      <w:r w:rsidR="007E5224" w:rsidRPr="00FD71FF">
        <w:rPr>
          <w:rFonts w:asciiTheme="minorHAnsi" w:hAnsiTheme="minorHAnsi"/>
        </w:rPr>
        <w:t xml:space="preserve">feasibility, acceptability, and cost of </w:t>
      </w:r>
      <w:r w:rsidR="00474549">
        <w:rPr>
          <w:rFonts w:asciiTheme="minorHAnsi" w:hAnsiTheme="minorHAnsi"/>
        </w:rPr>
        <w:t>alternate</w:t>
      </w:r>
      <w:r w:rsidR="00474549" w:rsidRPr="00FD71FF">
        <w:rPr>
          <w:rFonts w:asciiTheme="minorHAnsi" w:hAnsiTheme="minorHAnsi"/>
        </w:rPr>
        <w:t xml:space="preserve"> </w:t>
      </w:r>
      <w:r w:rsidR="007E5224" w:rsidRPr="00FD71FF">
        <w:rPr>
          <w:rFonts w:asciiTheme="minorHAnsi" w:hAnsiTheme="minorHAnsi"/>
        </w:rPr>
        <w:t xml:space="preserve">recruitment strategies for enrollment of pregnant women into the NCS.  The literature on recruitment and retention strategies in </w:t>
      </w:r>
      <w:r>
        <w:rPr>
          <w:rFonts w:asciiTheme="minorHAnsi" w:hAnsiTheme="minorHAnsi"/>
        </w:rPr>
        <w:t xml:space="preserve">epidemiological and </w:t>
      </w:r>
      <w:r w:rsidR="007E5224" w:rsidRPr="00FD71FF">
        <w:rPr>
          <w:rFonts w:asciiTheme="minorHAnsi" w:hAnsiTheme="minorHAnsi"/>
        </w:rPr>
        <w:t xml:space="preserve">clinical research did not include sufficient research on recruitment into studies that were comparable to the NCS in size, length, longitudinal design, </w:t>
      </w:r>
      <w:r w:rsidR="00585004" w:rsidRPr="00FD71FF">
        <w:rPr>
          <w:rFonts w:asciiTheme="minorHAnsi" w:hAnsiTheme="minorHAnsi"/>
        </w:rPr>
        <w:t xml:space="preserve">scope of coverage, diversity of participants, and types of information requested.  Nonetheless, lessons from other studies were identified and incorporated into the Recruitment Substudy design.  </w:t>
      </w:r>
    </w:p>
    <w:p w:rsidR="00FD71FF" w:rsidRPr="00FD71FF" w:rsidRDefault="00FD71FF" w:rsidP="00180BBD">
      <w:pPr>
        <w:pStyle w:val="Default"/>
        <w:jc w:val="both"/>
        <w:rPr>
          <w:rFonts w:asciiTheme="minorHAnsi" w:hAnsiTheme="minorHAnsi"/>
        </w:rPr>
      </w:pPr>
    </w:p>
    <w:p w:rsidR="00585004" w:rsidRPr="00FD71FF" w:rsidRDefault="00585004" w:rsidP="00180BBD">
      <w:pPr>
        <w:pStyle w:val="Default"/>
        <w:jc w:val="both"/>
        <w:rPr>
          <w:rFonts w:asciiTheme="minorHAnsi" w:hAnsiTheme="minorHAnsi"/>
        </w:rPr>
      </w:pPr>
      <w:r w:rsidRPr="00FD71FF">
        <w:rPr>
          <w:rFonts w:asciiTheme="minorHAnsi" w:hAnsiTheme="minorHAnsi"/>
        </w:rPr>
        <w:t>Recruitment and retention practices</w:t>
      </w:r>
      <w:r w:rsidR="00A16467" w:rsidRPr="00FD71FF">
        <w:rPr>
          <w:rFonts w:asciiTheme="minorHAnsi" w:hAnsiTheme="minorHAnsi"/>
        </w:rPr>
        <w:t>, outcomes,</w:t>
      </w:r>
      <w:r w:rsidRPr="00FD71FF">
        <w:rPr>
          <w:rFonts w:asciiTheme="minorHAnsi" w:hAnsiTheme="minorHAnsi"/>
        </w:rPr>
        <w:t xml:space="preserve"> and “lessons learned” were reviewed from the following studies</w:t>
      </w:r>
      <w:r w:rsidR="00D42A33">
        <w:rPr>
          <w:rFonts w:asciiTheme="minorHAnsi" w:hAnsiTheme="minorHAnsi"/>
        </w:rPr>
        <w:t xml:space="preserve"> (among others)</w:t>
      </w:r>
      <w:r w:rsidRPr="00FD71FF">
        <w:rPr>
          <w:rFonts w:asciiTheme="minorHAnsi" w:hAnsiTheme="minorHAnsi"/>
        </w:rPr>
        <w:t xml:space="preserve">:  </w:t>
      </w:r>
      <w:r w:rsidR="00A16467" w:rsidRPr="00FD71FF">
        <w:rPr>
          <w:rFonts w:asciiTheme="minorHAnsi" w:hAnsiTheme="minorHAnsi"/>
        </w:rPr>
        <w:t xml:space="preserve">the National Health Interview Survey; the Prostate, Lung, Colorectal and Ovarian Cancer Screening Trial; the Early Childhood Longitudinal </w:t>
      </w:r>
      <w:r w:rsidR="00474549">
        <w:rPr>
          <w:rFonts w:asciiTheme="minorHAnsi" w:hAnsiTheme="minorHAnsi"/>
        </w:rPr>
        <w:t>Studies (Kindergarten and Birth Cohorts)</w:t>
      </w:r>
      <w:r w:rsidR="00A16467" w:rsidRPr="00FD71FF">
        <w:rPr>
          <w:rFonts w:asciiTheme="minorHAnsi" w:hAnsiTheme="minorHAnsi"/>
        </w:rPr>
        <w:t xml:space="preserve">; the Health Outcomes and Measure of the Environment Study; the Sister Study; the Family and Child Experiences Study; the </w:t>
      </w:r>
      <w:r w:rsidR="00FC7CDB" w:rsidRPr="00FD71FF">
        <w:rPr>
          <w:rFonts w:asciiTheme="minorHAnsi" w:hAnsiTheme="minorHAnsi"/>
        </w:rPr>
        <w:t xml:space="preserve">Fragile Families and Child Well-being Study; the </w:t>
      </w:r>
      <w:r w:rsidR="00A16467" w:rsidRPr="00FD71FF">
        <w:rPr>
          <w:rFonts w:asciiTheme="minorHAnsi" w:hAnsiTheme="minorHAnsi"/>
        </w:rPr>
        <w:t xml:space="preserve">Survey of Income and Program Participation; and the National Health and </w:t>
      </w:r>
      <w:r w:rsidR="00A16467" w:rsidRPr="00FD71FF">
        <w:rPr>
          <w:rFonts w:asciiTheme="minorHAnsi" w:hAnsiTheme="minorHAnsi"/>
        </w:rPr>
        <w:lastRenderedPageBreak/>
        <w:t xml:space="preserve">Nutrition Examination Survey.  The recruitment yields in these studies, </w:t>
      </w:r>
      <w:r w:rsidR="00FC7CDB" w:rsidRPr="00FD71FF">
        <w:rPr>
          <w:rFonts w:asciiTheme="minorHAnsi" w:hAnsiTheme="minorHAnsi"/>
        </w:rPr>
        <w:t xml:space="preserve">the feasibility and cost data, </w:t>
      </w:r>
      <w:r w:rsidR="00A16467" w:rsidRPr="00FD71FF">
        <w:rPr>
          <w:rFonts w:asciiTheme="minorHAnsi" w:hAnsiTheme="minorHAnsi"/>
        </w:rPr>
        <w:t xml:space="preserve">and the differences in yields by respondent characteristics varied considerably.  Consequently, reviewing this information </w:t>
      </w:r>
      <w:r w:rsidR="00474549">
        <w:rPr>
          <w:rFonts w:asciiTheme="minorHAnsi" w:hAnsiTheme="minorHAnsi"/>
        </w:rPr>
        <w:t>has</w:t>
      </w:r>
      <w:r w:rsidR="00474549" w:rsidRPr="00FD71FF">
        <w:rPr>
          <w:rFonts w:asciiTheme="minorHAnsi" w:hAnsiTheme="minorHAnsi"/>
        </w:rPr>
        <w:t xml:space="preserve"> </w:t>
      </w:r>
      <w:r w:rsidR="00A16467" w:rsidRPr="00FD71FF">
        <w:rPr>
          <w:rFonts w:asciiTheme="minorHAnsi" w:hAnsiTheme="minorHAnsi"/>
        </w:rPr>
        <w:t xml:space="preserve">not </w:t>
      </w:r>
      <w:r w:rsidR="00474549">
        <w:rPr>
          <w:rFonts w:asciiTheme="minorHAnsi" w:hAnsiTheme="minorHAnsi"/>
        </w:rPr>
        <w:t>been</w:t>
      </w:r>
      <w:r w:rsidR="00474549" w:rsidRPr="00FD71FF">
        <w:rPr>
          <w:rFonts w:asciiTheme="minorHAnsi" w:hAnsiTheme="minorHAnsi"/>
        </w:rPr>
        <w:t xml:space="preserve"> </w:t>
      </w:r>
      <w:r w:rsidR="00A16467" w:rsidRPr="00FD71FF">
        <w:rPr>
          <w:rFonts w:asciiTheme="minorHAnsi" w:hAnsiTheme="minorHAnsi"/>
        </w:rPr>
        <w:t xml:space="preserve">sufficient to build a model to determine the feasibility, acceptability and cost of different recruitment strategies for the NCS Main Study, and a Recruitment </w:t>
      </w:r>
      <w:r w:rsidR="00474549" w:rsidRPr="00FD71FF">
        <w:rPr>
          <w:rFonts w:asciiTheme="minorHAnsi" w:hAnsiTheme="minorHAnsi"/>
        </w:rPr>
        <w:t>Sub</w:t>
      </w:r>
      <w:r w:rsidR="00474549">
        <w:rPr>
          <w:rFonts w:asciiTheme="minorHAnsi" w:hAnsiTheme="minorHAnsi"/>
        </w:rPr>
        <w:t>s</w:t>
      </w:r>
      <w:r w:rsidR="00474549" w:rsidRPr="00FD71FF">
        <w:rPr>
          <w:rFonts w:asciiTheme="minorHAnsi" w:hAnsiTheme="minorHAnsi"/>
        </w:rPr>
        <w:t xml:space="preserve">tudy </w:t>
      </w:r>
      <w:r w:rsidR="00A16467" w:rsidRPr="00FD71FF">
        <w:rPr>
          <w:rFonts w:asciiTheme="minorHAnsi" w:hAnsiTheme="minorHAnsi"/>
        </w:rPr>
        <w:t xml:space="preserve">is necessary to obtain this information.  </w:t>
      </w:r>
    </w:p>
    <w:p w:rsidR="007E5224" w:rsidRDefault="007E5224" w:rsidP="00180BBD">
      <w:pPr>
        <w:pStyle w:val="Default"/>
        <w:jc w:val="both"/>
        <w:rPr>
          <w:rFonts w:asciiTheme="minorHAnsi" w:hAnsiTheme="minorHAnsi"/>
        </w:rPr>
      </w:pPr>
    </w:p>
    <w:p w:rsidR="005B0DD0" w:rsidRDefault="005B0DD0" w:rsidP="00180BBD">
      <w:pPr>
        <w:pStyle w:val="Default"/>
        <w:jc w:val="both"/>
        <w:rPr>
          <w:rFonts w:asciiTheme="minorHAnsi" w:hAnsiTheme="minorHAnsi"/>
        </w:rPr>
      </w:pPr>
      <w:r w:rsidRPr="007A6FB0">
        <w:rPr>
          <w:rFonts w:asciiTheme="minorHAnsi" w:hAnsiTheme="minorHAnsi"/>
          <w:highlight w:val="yellow"/>
        </w:rPr>
        <w:t xml:space="preserve">Additionally, </w:t>
      </w:r>
      <w:r w:rsidR="007A6FB0" w:rsidRPr="007A6FB0">
        <w:rPr>
          <w:rFonts w:asciiTheme="minorHAnsi" w:hAnsiTheme="minorHAnsi"/>
          <w:highlight w:val="yellow"/>
        </w:rPr>
        <w:t xml:space="preserve">selected NCS Vanguard </w:t>
      </w:r>
      <w:r w:rsidRPr="007A6FB0">
        <w:rPr>
          <w:rFonts w:asciiTheme="minorHAnsi" w:hAnsiTheme="minorHAnsi"/>
          <w:highlight w:val="yellow"/>
        </w:rPr>
        <w:t xml:space="preserve">study visit assessment measures </w:t>
      </w:r>
      <w:r w:rsidR="007A6FB0" w:rsidRPr="007A6FB0">
        <w:rPr>
          <w:rFonts w:asciiTheme="minorHAnsi" w:hAnsiTheme="minorHAnsi"/>
          <w:highlight w:val="yellow"/>
        </w:rPr>
        <w:t xml:space="preserve">were </w:t>
      </w:r>
      <w:r w:rsidRPr="007A6FB0">
        <w:rPr>
          <w:rFonts w:asciiTheme="minorHAnsi" w:hAnsiTheme="minorHAnsi"/>
          <w:highlight w:val="yellow"/>
        </w:rPr>
        <w:t xml:space="preserve">revised based on data </w:t>
      </w:r>
      <w:r w:rsidR="00276CBA" w:rsidRPr="007A6FB0">
        <w:rPr>
          <w:rFonts w:asciiTheme="minorHAnsi" w:hAnsiTheme="minorHAnsi"/>
          <w:highlight w:val="yellow"/>
        </w:rPr>
        <w:t>from</w:t>
      </w:r>
      <w:r w:rsidRPr="007A6FB0">
        <w:rPr>
          <w:rFonts w:asciiTheme="minorHAnsi" w:hAnsiTheme="minorHAnsi"/>
          <w:highlight w:val="yellow"/>
        </w:rPr>
        <w:t xml:space="preserve"> the Initial Vanguard Study</w:t>
      </w:r>
      <w:r w:rsidR="007A6FB0" w:rsidRPr="007A6FB0">
        <w:rPr>
          <w:rFonts w:asciiTheme="minorHAnsi" w:hAnsiTheme="minorHAnsi"/>
          <w:highlight w:val="yellow"/>
        </w:rPr>
        <w:t>. These measures now</w:t>
      </w:r>
      <w:r w:rsidRPr="007A6FB0">
        <w:rPr>
          <w:rFonts w:asciiTheme="minorHAnsi" w:hAnsiTheme="minorHAnsi"/>
          <w:highlight w:val="yellow"/>
        </w:rPr>
        <w:t xml:space="preserve"> require testing before implemented responsibly in the NCS Main Study. User acceptance testing complements</w:t>
      </w:r>
      <w:r w:rsidR="007A6FB0" w:rsidRPr="007A6FB0">
        <w:rPr>
          <w:rFonts w:asciiTheme="minorHAnsi" w:hAnsiTheme="minorHAnsi"/>
          <w:highlight w:val="yellow"/>
        </w:rPr>
        <w:t>,</w:t>
      </w:r>
      <w:r w:rsidRPr="007A6FB0">
        <w:rPr>
          <w:rFonts w:asciiTheme="minorHAnsi" w:hAnsiTheme="minorHAnsi"/>
          <w:highlight w:val="yellow"/>
        </w:rPr>
        <w:t xml:space="preserve"> but does not adequately replace</w:t>
      </w:r>
      <w:r w:rsidR="007A6FB0" w:rsidRPr="007A6FB0">
        <w:rPr>
          <w:rFonts w:asciiTheme="minorHAnsi" w:hAnsiTheme="minorHAnsi"/>
          <w:highlight w:val="yellow"/>
        </w:rPr>
        <w:t>,</w:t>
      </w:r>
      <w:r w:rsidRPr="007A6FB0">
        <w:rPr>
          <w:rFonts w:asciiTheme="minorHAnsi" w:hAnsiTheme="minorHAnsi"/>
          <w:highlight w:val="yellow"/>
        </w:rPr>
        <w:t xml:space="preserve"> use and evaluation of measures in a large-scale data collection environment.</w:t>
      </w:r>
    </w:p>
    <w:p w:rsidR="005B0DD0" w:rsidRPr="00FD71FF" w:rsidRDefault="005B0DD0" w:rsidP="00180BBD">
      <w:pPr>
        <w:pStyle w:val="Default"/>
        <w:jc w:val="both"/>
        <w:rPr>
          <w:rFonts w:asciiTheme="minorHAnsi" w:hAnsiTheme="minorHAnsi"/>
        </w:rPr>
      </w:pPr>
    </w:p>
    <w:p w:rsidR="007E5224" w:rsidRPr="00FD71FF" w:rsidRDefault="007E5224" w:rsidP="00180BBD">
      <w:pPr>
        <w:pStyle w:val="Default"/>
        <w:jc w:val="both"/>
        <w:rPr>
          <w:rFonts w:asciiTheme="minorHAnsi" w:hAnsiTheme="minorHAnsi"/>
          <w:b/>
        </w:rPr>
      </w:pPr>
      <w:r w:rsidRPr="00FD71FF">
        <w:rPr>
          <w:rFonts w:asciiTheme="minorHAnsi" w:hAnsiTheme="minorHAnsi"/>
          <w:b/>
        </w:rPr>
        <w:t>A.5</w:t>
      </w:r>
      <w:r w:rsidRPr="00FD71FF">
        <w:rPr>
          <w:rFonts w:asciiTheme="minorHAnsi" w:hAnsiTheme="minorHAnsi"/>
          <w:b/>
        </w:rPr>
        <w:tab/>
        <w:t>Impact on Small Business and Other Small Entities</w:t>
      </w:r>
    </w:p>
    <w:p w:rsidR="00C82D6E" w:rsidRPr="00FD71FF" w:rsidRDefault="00C82D6E" w:rsidP="00180BBD">
      <w:pPr>
        <w:pStyle w:val="Default"/>
        <w:jc w:val="both"/>
        <w:rPr>
          <w:rFonts w:asciiTheme="minorHAnsi" w:hAnsiTheme="minorHAnsi"/>
        </w:rPr>
      </w:pPr>
    </w:p>
    <w:p w:rsidR="007E5224" w:rsidRPr="00FD71FF" w:rsidRDefault="007E5224" w:rsidP="00180BBD">
      <w:pPr>
        <w:pStyle w:val="Default"/>
        <w:jc w:val="both"/>
        <w:rPr>
          <w:rFonts w:asciiTheme="minorHAnsi" w:hAnsiTheme="minorHAnsi"/>
        </w:rPr>
      </w:pPr>
      <w:r w:rsidRPr="00FD71FF">
        <w:rPr>
          <w:rFonts w:asciiTheme="minorHAnsi" w:hAnsiTheme="minorHAnsi"/>
        </w:rPr>
        <w:t xml:space="preserve">The potential impact of the Recruitment Substudy on small businesses will include largely health care providers such as physicians, </w:t>
      </w:r>
      <w:r w:rsidR="00092000" w:rsidRPr="00FD71FF">
        <w:rPr>
          <w:rFonts w:asciiTheme="minorHAnsi" w:hAnsiTheme="minorHAnsi"/>
        </w:rPr>
        <w:t xml:space="preserve">nurses, and others.  Local NCS staff will work with physicians and other medical care providers or facilities to provide information about the study to their patients.  With the consent of the participant, key medical diagnostic and treatment information on study participants will also be requested of medical providers. Where requested, the study will reimburse providers for any expenses incurred as part of filling requests for information.  </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b/>
        </w:rPr>
      </w:pPr>
      <w:r w:rsidRPr="00FD71FF">
        <w:rPr>
          <w:rFonts w:asciiTheme="minorHAnsi" w:hAnsiTheme="minorHAnsi"/>
          <w:b/>
        </w:rPr>
        <w:t>A.6</w:t>
      </w:r>
      <w:r w:rsidRPr="00FD71FF">
        <w:rPr>
          <w:rFonts w:asciiTheme="minorHAnsi" w:hAnsiTheme="minorHAnsi"/>
          <w:b/>
        </w:rPr>
        <w:tab/>
        <w:t>Consequences of Collecting the Information Less Frequently</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rPr>
      </w:pPr>
      <w:r w:rsidRPr="00FD71FF">
        <w:rPr>
          <w:rFonts w:asciiTheme="minorHAnsi" w:hAnsiTheme="minorHAnsi"/>
        </w:rPr>
        <w:t xml:space="preserve">The schedule for collection of longitudinal data from NCS participants has been planned to coincide with important time periods for environmental exposures and developmental milestones for children. Women will be followed in the preconception period to maximize the chances that women will be identified and enrolled in the earliest stages of pregnancy, so that </w:t>
      </w:r>
      <w:r w:rsidRPr="007A6FB0">
        <w:rPr>
          <w:rFonts w:asciiTheme="minorHAnsi" w:hAnsiTheme="minorHAnsi"/>
        </w:rPr>
        <w:t>early maternal and fetal exposures can be measured. Understanding how these contacts with the households and participants affect response rates and retention rates</w:t>
      </w:r>
      <w:r w:rsidR="005B0DD0" w:rsidRPr="007A6FB0">
        <w:rPr>
          <w:rFonts w:asciiTheme="minorHAnsi" w:hAnsiTheme="minorHAnsi"/>
        </w:rPr>
        <w:t xml:space="preserve"> </w:t>
      </w:r>
      <w:r w:rsidR="005B0DD0" w:rsidRPr="007A6FB0">
        <w:rPr>
          <w:rFonts w:asciiTheme="minorHAnsi" w:hAnsiTheme="minorHAnsi"/>
          <w:highlight w:val="yellow"/>
        </w:rPr>
        <w:t>over time, particularly during the infancy and early childhood years</w:t>
      </w:r>
      <w:r w:rsidRPr="007A6FB0">
        <w:rPr>
          <w:rFonts w:asciiTheme="minorHAnsi" w:hAnsiTheme="minorHAnsi"/>
          <w:highlight w:val="yellow"/>
        </w:rPr>
        <w:t xml:space="preserve">, </w:t>
      </w:r>
      <w:r w:rsidRPr="007A6FB0">
        <w:rPr>
          <w:rFonts w:asciiTheme="minorHAnsi" w:hAnsiTheme="minorHAnsi"/>
        </w:rPr>
        <w:t xml:space="preserve">as well as data quality, will be essential </w:t>
      </w:r>
      <w:r w:rsidR="00D42A33" w:rsidRPr="007A6FB0">
        <w:rPr>
          <w:rFonts w:asciiTheme="minorHAnsi" w:hAnsiTheme="minorHAnsi"/>
        </w:rPr>
        <w:t xml:space="preserve">to </w:t>
      </w:r>
      <w:r w:rsidRPr="007A6FB0">
        <w:rPr>
          <w:rFonts w:asciiTheme="minorHAnsi" w:hAnsiTheme="minorHAnsi"/>
        </w:rPr>
        <w:t>inform the methodology for the Main Study.</w:t>
      </w:r>
    </w:p>
    <w:p w:rsidR="00092000" w:rsidRPr="00FD71FF" w:rsidRDefault="00092000" w:rsidP="00180BBD">
      <w:pPr>
        <w:pStyle w:val="Default"/>
        <w:jc w:val="both"/>
        <w:rPr>
          <w:rFonts w:asciiTheme="minorHAnsi" w:hAnsiTheme="minorHAnsi"/>
          <w:b/>
        </w:rPr>
      </w:pPr>
    </w:p>
    <w:p w:rsidR="00092000" w:rsidRPr="00FD71FF" w:rsidRDefault="00092000" w:rsidP="00180BBD">
      <w:pPr>
        <w:pStyle w:val="Default"/>
        <w:jc w:val="both"/>
        <w:rPr>
          <w:rFonts w:asciiTheme="minorHAnsi" w:hAnsiTheme="minorHAnsi"/>
          <w:b/>
        </w:rPr>
      </w:pPr>
      <w:r w:rsidRPr="00FD71FF">
        <w:rPr>
          <w:rFonts w:asciiTheme="minorHAnsi" w:hAnsiTheme="minorHAnsi"/>
          <w:b/>
        </w:rPr>
        <w:t>A.7</w:t>
      </w:r>
      <w:r w:rsidRPr="00FD71FF">
        <w:rPr>
          <w:rFonts w:asciiTheme="minorHAnsi" w:hAnsiTheme="minorHAnsi"/>
          <w:b/>
        </w:rPr>
        <w:tab/>
        <w:t>Special Circumstances Relating to the Guidelines of 5 CRF 1320.5</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rPr>
      </w:pPr>
      <w:r w:rsidRPr="00FD71FF">
        <w:rPr>
          <w:rFonts w:asciiTheme="minorHAnsi" w:hAnsiTheme="minorHAnsi"/>
        </w:rPr>
        <w:t>There are no special circumstances that would cause this information collection to be conducted in a manner inconsistent with 5 CFR 1320.5.</w:t>
      </w:r>
    </w:p>
    <w:p w:rsidR="00092000" w:rsidRDefault="00092000" w:rsidP="00180BBD">
      <w:pPr>
        <w:pStyle w:val="Default"/>
        <w:jc w:val="both"/>
        <w:rPr>
          <w:rFonts w:asciiTheme="minorHAnsi" w:hAnsiTheme="minorHAnsi"/>
        </w:rPr>
      </w:pPr>
    </w:p>
    <w:p w:rsidR="00796FDB" w:rsidRDefault="00796FDB" w:rsidP="00180BBD">
      <w:pPr>
        <w:pStyle w:val="Default"/>
        <w:jc w:val="both"/>
        <w:rPr>
          <w:rFonts w:asciiTheme="minorHAnsi" w:hAnsiTheme="minorHAnsi"/>
        </w:rPr>
        <w:sectPr w:rsidR="00796FDB" w:rsidSect="00720FB0">
          <w:pgSz w:w="12240" w:h="15840"/>
          <w:pgMar w:top="1440" w:right="1440" w:bottom="1440" w:left="1440" w:header="720" w:footer="720" w:gutter="0"/>
          <w:cols w:space="720"/>
          <w:docGrid w:linePitch="360"/>
        </w:sectPr>
      </w:pPr>
    </w:p>
    <w:p w:rsidR="00092000" w:rsidRPr="00FD71FF" w:rsidRDefault="00092000" w:rsidP="00180BBD">
      <w:pPr>
        <w:pStyle w:val="Default"/>
        <w:jc w:val="both"/>
        <w:rPr>
          <w:rFonts w:asciiTheme="minorHAnsi" w:hAnsiTheme="minorHAnsi"/>
          <w:b/>
        </w:rPr>
      </w:pPr>
      <w:r w:rsidRPr="00FD71FF">
        <w:rPr>
          <w:rFonts w:asciiTheme="minorHAnsi" w:hAnsiTheme="minorHAnsi"/>
          <w:b/>
        </w:rPr>
        <w:lastRenderedPageBreak/>
        <w:t>A.8</w:t>
      </w:r>
      <w:r w:rsidRPr="00FD71FF">
        <w:rPr>
          <w:rFonts w:asciiTheme="minorHAnsi" w:hAnsiTheme="minorHAnsi"/>
          <w:b/>
        </w:rPr>
        <w:tab/>
        <w:t>Comments in Response to the Federal Register Notice and Efforts to Consult Outside Agency</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i/>
          <w:u w:val="single"/>
        </w:rPr>
      </w:pPr>
      <w:r w:rsidRPr="00FD71FF">
        <w:rPr>
          <w:rFonts w:asciiTheme="minorHAnsi" w:hAnsiTheme="minorHAnsi"/>
          <w:i/>
          <w:u w:val="single"/>
        </w:rPr>
        <w:t>Comments in Response to the Federal Register Notice</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rPr>
      </w:pPr>
      <w:r w:rsidRPr="00FD71FF">
        <w:rPr>
          <w:rFonts w:asciiTheme="minorHAnsi" w:hAnsiTheme="minorHAnsi"/>
        </w:rPr>
        <w:t xml:space="preserve">The 60 day Federal Register Notice regarding </w:t>
      </w:r>
      <w:r w:rsidR="000345CB" w:rsidRPr="000345CB">
        <w:rPr>
          <w:rFonts w:asciiTheme="minorHAnsi" w:hAnsiTheme="minorHAnsi"/>
          <w:highlight w:val="yellow"/>
        </w:rPr>
        <w:t>Phase 1 of</w:t>
      </w:r>
      <w:r w:rsidR="000345CB">
        <w:rPr>
          <w:rFonts w:asciiTheme="minorHAnsi" w:hAnsiTheme="minorHAnsi"/>
        </w:rPr>
        <w:t xml:space="preserve"> </w:t>
      </w:r>
      <w:r w:rsidRPr="00FD71FF">
        <w:rPr>
          <w:rFonts w:asciiTheme="minorHAnsi" w:hAnsiTheme="minorHAnsi"/>
        </w:rPr>
        <w:t xml:space="preserve">the NCS </w:t>
      </w:r>
      <w:r w:rsidR="00D15B9E" w:rsidRPr="000345CB">
        <w:rPr>
          <w:rFonts w:asciiTheme="minorHAnsi" w:hAnsiTheme="minorHAnsi"/>
          <w:highlight w:val="yellow"/>
        </w:rPr>
        <w:t>Recruitment Substudy</w:t>
      </w:r>
      <w:r w:rsidR="00D15B9E">
        <w:rPr>
          <w:rFonts w:asciiTheme="minorHAnsi" w:hAnsiTheme="minorHAnsi"/>
        </w:rPr>
        <w:t xml:space="preserve"> </w:t>
      </w:r>
      <w:r w:rsidR="00A16467" w:rsidRPr="00FD71FF">
        <w:rPr>
          <w:rFonts w:asciiTheme="minorHAnsi" w:hAnsiTheme="minorHAnsi"/>
        </w:rPr>
        <w:t>was</w:t>
      </w:r>
      <w:r w:rsidRPr="00FD71FF">
        <w:rPr>
          <w:rFonts w:asciiTheme="minorHAnsi" w:hAnsiTheme="minorHAnsi"/>
        </w:rPr>
        <w:t xml:space="preserve"> published on pages </w:t>
      </w:r>
      <w:r w:rsidR="00A16467" w:rsidRPr="00FD71FF">
        <w:rPr>
          <w:rFonts w:asciiTheme="minorHAnsi" w:hAnsiTheme="minorHAnsi"/>
        </w:rPr>
        <w:t>14165-14168</w:t>
      </w:r>
      <w:r w:rsidRPr="00FD71FF">
        <w:rPr>
          <w:rFonts w:asciiTheme="minorHAnsi" w:hAnsiTheme="minorHAnsi"/>
        </w:rPr>
        <w:t xml:space="preserve"> of the Federal Register on</w:t>
      </w:r>
      <w:r w:rsidR="00FD71FF">
        <w:rPr>
          <w:rFonts w:asciiTheme="minorHAnsi" w:hAnsiTheme="minorHAnsi"/>
        </w:rPr>
        <w:t xml:space="preserve"> March 22, 2010. </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rPr>
      </w:pPr>
      <w:r w:rsidRPr="00FD71FF">
        <w:rPr>
          <w:rFonts w:asciiTheme="minorHAnsi" w:hAnsiTheme="minorHAnsi"/>
        </w:rPr>
        <w:t>One comment was received in response to the</w:t>
      </w:r>
      <w:r w:rsidR="00D15B9E">
        <w:rPr>
          <w:rFonts w:asciiTheme="minorHAnsi" w:hAnsiTheme="minorHAnsi"/>
        </w:rPr>
        <w:t xml:space="preserve"> </w:t>
      </w:r>
      <w:r w:rsidR="00D15B9E" w:rsidRPr="000345CB">
        <w:rPr>
          <w:rFonts w:asciiTheme="minorHAnsi" w:hAnsiTheme="minorHAnsi"/>
          <w:highlight w:val="yellow"/>
        </w:rPr>
        <w:t>March 22, 2010</w:t>
      </w:r>
      <w:r w:rsidRPr="00FD71FF">
        <w:rPr>
          <w:rFonts w:asciiTheme="minorHAnsi" w:hAnsiTheme="minorHAnsi"/>
        </w:rPr>
        <w:t xml:space="preserve"> Federal Register Notice.  That comment is reproduced below in its entirety:</w:t>
      </w:r>
    </w:p>
    <w:p w:rsidR="00092000" w:rsidRPr="00FD71FF" w:rsidRDefault="00092000" w:rsidP="00180BBD">
      <w:pPr>
        <w:pStyle w:val="Default"/>
        <w:jc w:val="both"/>
        <w:rPr>
          <w:rFonts w:asciiTheme="minorHAnsi" w:hAnsiTheme="minorHAnsi"/>
        </w:rPr>
      </w:pPr>
    </w:p>
    <w:p w:rsidR="00092000" w:rsidRPr="00FD71FF" w:rsidRDefault="00A16467" w:rsidP="00180BBD">
      <w:pPr>
        <w:pStyle w:val="Default"/>
        <w:ind w:left="720"/>
        <w:jc w:val="both"/>
        <w:rPr>
          <w:rFonts w:asciiTheme="minorHAnsi" w:hAnsiTheme="minorHAnsi"/>
          <w:i/>
        </w:rPr>
      </w:pPr>
      <w:r w:rsidRPr="00FD71FF">
        <w:rPr>
          <w:rFonts w:asciiTheme="minorHAnsi" w:eastAsia="Times New Roman" w:hAnsiTheme="minorHAnsi"/>
          <w:i/>
        </w:rPr>
        <w:t>THIS AND OTHER FEDERAL AGENCIES HAVE DONE ENDLESS STUDIES LIKE THIS ONE AND DIDNT EVEN BOTHER TO LOOK THEM UP AND STUDY THEM. THEY JUST LIKE TO DO MORE AND MORE AND MORE LIKE THIS ONE PROPOSED. THIS SPENDING OF AMERICAN TAX DOLLARS FOR NOTHING NEEDS TO STOP. THERE IS NEVER ANY PRODUCTIVITY FROM THESE STUDIES. THESE ARE SIMPLY MAKE WORK JOBS FOR POLITICIANS RELATIVES. SHUT THE WHOLE THING DOWN AND DOWNSIZE THIS AGENCY. THIS AGENCY CAN BE COM BINED WITH CDC AND OTHER HEALTH AENCIES. IT IS TIME TO STOP THIS SPENDING OF TRILLIONS OF DOLLARS TO GAIN ABSOLUTELY NO INCREASE IN HEALTH. AMERICA IS GOING DOWNHILL ON HEALTH AND RANKS ABOUT 50TH IN THE WORLD THESE DAYS, COURTESY OF NIH, C</w:t>
      </w:r>
      <w:r w:rsidR="00F17F18" w:rsidRPr="00FD71FF">
        <w:rPr>
          <w:rFonts w:asciiTheme="minorHAnsi" w:eastAsia="Times New Roman" w:hAnsiTheme="minorHAnsi"/>
          <w:i/>
        </w:rPr>
        <w:t>DC, US DEPT OF HEALTH, E</w:t>
      </w:r>
      <w:r w:rsidRPr="00FD71FF">
        <w:rPr>
          <w:rFonts w:asciiTheme="minorHAnsi" w:eastAsia="Times New Roman" w:hAnsiTheme="minorHAnsi"/>
          <w:i/>
        </w:rPr>
        <w:t>TC -ON WHICH WE SPEND TRILLIONS OF DOLLARS.</w:t>
      </w:r>
    </w:p>
    <w:p w:rsidR="00092000" w:rsidRPr="00FD71FF" w:rsidRDefault="00092000" w:rsidP="00180BBD">
      <w:pPr>
        <w:pStyle w:val="Default"/>
        <w:jc w:val="both"/>
        <w:rPr>
          <w:rFonts w:asciiTheme="minorHAnsi" w:hAnsiTheme="minorHAnsi"/>
        </w:rPr>
      </w:pPr>
    </w:p>
    <w:p w:rsidR="00092000" w:rsidRPr="000345CB" w:rsidRDefault="00D15B9E" w:rsidP="00180BBD">
      <w:pPr>
        <w:pStyle w:val="Default"/>
        <w:jc w:val="both"/>
        <w:rPr>
          <w:rFonts w:asciiTheme="minorHAnsi" w:hAnsiTheme="minorHAnsi"/>
          <w:highlight w:val="yellow"/>
        </w:rPr>
      </w:pPr>
      <w:r w:rsidRPr="000345CB">
        <w:rPr>
          <w:rFonts w:asciiTheme="minorHAnsi" w:hAnsiTheme="minorHAnsi"/>
          <w:highlight w:val="yellow"/>
        </w:rPr>
        <w:t xml:space="preserve">A second 60 day Federal Register notice was published on pages </w:t>
      </w:r>
      <w:r w:rsidR="00F41CAD" w:rsidRPr="000345CB">
        <w:rPr>
          <w:rFonts w:asciiTheme="minorHAnsi" w:hAnsiTheme="minorHAnsi"/>
          <w:highlight w:val="yellow"/>
        </w:rPr>
        <w:t>69680-81</w:t>
      </w:r>
      <w:r w:rsidRPr="000345CB">
        <w:rPr>
          <w:rFonts w:asciiTheme="minorHAnsi" w:hAnsiTheme="minorHAnsi"/>
          <w:highlight w:val="yellow"/>
        </w:rPr>
        <w:t xml:space="preserve"> of the Federal Reg</w:t>
      </w:r>
      <w:r w:rsidR="00F41CAD" w:rsidRPr="000345CB">
        <w:rPr>
          <w:rFonts w:asciiTheme="minorHAnsi" w:hAnsiTheme="minorHAnsi"/>
          <w:highlight w:val="yellow"/>
        </w:rPr>
        <w:t>ister on November 15</w:t>
      </w:r>
      <w:r w:rsidRPr="000345CB">
        <w:rPr>
          <w:rFonts w:asciiTheme="minorHAnsi" w:hAnsiTheme="minorHAnsi"/>
          <w:highlight w:val="yellow"/>
        </w:rPr>
        <w:t xml:space="preserve">, 2010.  This notice described the intent to revise the Recruitment Substudy by extending data collection from birth to age 24 months, thereby aligning the data collection activities of the 30 </w:t>
      </w:r>
      <w:r w:rsidR="000345CB" w:rsidRPr="000345CB">
        <w:rPr>
          <w:rFonts w:asciiTheme="minorHAnsi" w:hAnsiTheme="minorHAnsi"/>
          <w:highlight w:val="yellow"/>
        </w:rPr>
        <w:t>A</w:t>
      </w:r>
      <w:r w:rsidRPr="000345CB">
        <w:rPr>
          <w:rFonts w:asciiTheme="minorHAnsi" w:hAnsiTheme="minorHAnsi"/>
          <w:highlight w:val="yellow"/>
        </w:rPr>
        <w:t xml:space="preserve">lternate </w:t>
      </w:r>
      <w:r w:rsidR="000345CB" w:rsidRPr="000345CB">
        <w:rPr>
          <w:rFonts w:asciiTheme="minorHAnsi" w:hAnsiTheme="minorHAnsi"/>
          <w:highlight w:val="yellow"/>
        </w:rPr>
        <w:t>R</w:t>
      </w:r>
      <w:r w:rsidRPr="000345CB">
        <w:rPr>
          <w:rFonts w:asciiTheme="minorHAnsi" w:hAnsiTheme="minorHAnsi"/>
          <w:highlight w:val="yellow"/>
        </w:rPr>
        <w:t xml:space="preserve">ecruitment </w:t>
      </w:r>
      <w:r w:rsidR="000345CB" w:rsidRPr="000345CB">
        <w:rPr>
          <w:rFonts w:asciiTheme="minorHAnsi" w:hAnsiTheme="minorHAnsi"/>
          <w:highlight w:val="yellow"/>
        </w:rPr>
        <w:t>S</w:t>
      </w:r>
      <w:r w:rsidRPr="000345CB">
        <w:rPr>
          <w:rFonts w:asciiTheme="minorHAnsi" w:hAnsiTheme="minorHAnsi"/>
          <w:highlight w:val="yellow"/>
        </w:rPr>
        <w:t xml:space="preserve">ubstudy locations with the </w:t>
      </w:r>
      <w:r w:rsidR="000345CB" w:rsidRPr="000345CB">
        <w:rPr>
          <w:rFonts w:asciiTheme="minorHAnsi" w:hAnsiTheme="minorHAnsi"/>
          <w:highlight w:val="yellow"/>
        </w:rPr>
        <w:t>I</w:t>
      </w:r>
      <w:r w:rsidRPr="000345CB">
        <w:rPr>
          <w:rFonts w:asciiTheme="minorHAnsi" w:hAnsiTheme="minorHAnsi"/>
          <w:highlight w:val="yellow"/>
        </w:rPr>
        <w:t xml:space="preserve">nitial 7 </w:t>
      </w:r>
      <w:r w:rsidR="000345CB" w:rsidRPr="000345CB">
        <w:rPr>
          <w:rFonts w:asciiTheme="minorHAnsi" w:hAnsiTheme="minorHAnsi"/>
          <w:highlight w:val="yellow"/>
        </w:rPr>
        <w:t>Vanguard S</w:t>
      </w:r>
      <w:r w:rsidRPr="000345CB">
        <w:rPr>
          <w:rFonts w:asciiTheme="minorHAnsi" w:hAnsiTheme="minorHAnsi"/>
          <w:highlight w:val="yellow"/>
        </w:rPr>
        <w:t>tudy locations.</w:t>
      </w:r>
    </w:p>
    <w:p w:rsidR="00D15B9E" w:rsidRPr="000345CB" w:rsidRDefault="00D15B9E" w:rsidP="00180BBD">
      <w:pPr>
        <w:pStyle w:val="Default"/>
        <w:jc w:val="both"/>
        <w:rPr>
          <w:rFonts w:asciiTheme="minorHAnsi" w:hAnsiTheme="minorHAnsi"/>
          <w:highlight w:val="yellow"/>
        </w:rPr>
      </w:pPr>
    </w:p>
    <w:p w:rsidR="00D15B9E" w:rsidRPr="000345CB" w:rsidRDefault="00D15B9E" w:rsidP="00180BBD">
      <w:pPr>
        <w:pStyle w:val="Default"/>
        <w:jc w:val="both"/>
        <w:rPr>
          <w:rFonts w:asciiTheme="minorHAnsi" w:hAnsiTheme="minorHAnsi"/>
          <w:highlight w:val="yellow"/>
        </w:rPr>
      </w:pPr>
      <w:r w:rsidRPr="000345CB">
        <w:rPr>
          <w:rFonts w:asciiTheme="minorHAnsi" w:hAnsiTheme="minorHAnsi"/>
          <w:highlight w:val="yellow"/>
        </w:rPr>
        <w:t>One comment was receive</w:t>
      </w:r>
      <w:r w:rsidR="00F41CAD" w:rsidRPr="000345CB">
        <w:rPr>
          <w:rFonts w:asciiTheme="minorHAnsi" w:hAnsiTheme="minorHAnsi"/>
          <w:highlight w:val="yellow"/>
        </w:rPr>
        <w:t>d in response to the November 15</w:t>
      </w:r>
      <w:r w:rsidRPr="000345CB">
        <w:rPr>
          <w:rFonts w:asciiTheme="minorHAnsi" w:hAnsiTheme="minorHAnsi"/>
          <w:highlight w:val="yellow"/>
        </w:rPr>
        <w:t>, 2010 Federal Register Notice</w:t>
      </w:r>
      <w:r w:rsidR="000345CB" w:rsidRPr="000345CB">
        <w:rPr>
          <w:rFonts w:asciiTheme="minorHAnsi" w:hAnsiTheme="minorHAnsi"/>
          <w:highlight w:val="yellow"/>
        </w:rPr>
        <w:t>. T</w:t>
      </w:r>
      <w:r w:rsidRPr="000345CB">
        <w:rPr>
          <w:rFonts w:asciiTheme="minorHAnsi" w:hAnsiTheme="minorHAnsi"/>
          <w:highlight w:val="yellow"/>
        </w:rPr>
        <w:t xml:space="preserve">he comment is reproduced below in its entirety:  </w:t>
      </w:r>
    </w:p>
    <w:p w:rsidR="00D15B9E" w:rsidRPr="000345CB" w:rsidRDefault="00D15B9E" w:rsidP="00180BBD">
      <w:pPr>
        <w:pStyle w:val="Default"/>
        <w:jc w:val="both"/>
        <w:rPr>
          <w:rFonts w:asciiTheme="minorHAnsi" w:hAnsiTheme="minorHAnsi"/>
          <w:highlight w:val="yellow"/>
        </w:rPr>
      </w:pPr>
    </w:p>
    <w:p w:rsidR="00F85B5E" w:rsidRDefault="00C825D8" w:rsidP="00180BBD">
      <w:pPr>
        <w:pStyle w:val="Default"/>
        <w:ind w:left="720"/>
        <w:jc w:val="both"/>
        <w:rPr>
          <w:rFonts w:asciiTheme="minorHAnsi" w:eastAsia="Times New Roman" w:hAnsiTheme="minorHAnsi"/>
          <w:i/>
        </w:rPr>
      </w:pPr>
      <w:r w:rsidRPr="000345CB">
        <w:rPr>
          <w:rFonts w:asciiTheme="minorHAnsi" w:eastAsia="Times New Roman" w:hAnsiTheme="minorHAnsi"/>
          <w:i/>
          <w:highlight w:val="yellow"/>
        </w:rPr>
        <w:t xml:space="preserve">THIS IS A WASTE OF TAX DOLLARS AND NEEDS TO BE SHUT DOWN. IT IS NOT THE TIME TO SPEND TAX DOLLARS ON THIS NEW "LONGITUDINAL" STUDY. THE TAXPAYERS HAVE BEEN FUNDING VERY GENEROUSLY FOR THE PAST 80 YEARS ALL THE "STUDIES" THAT THIS FOUL BUREAUCRACY COULD COME UP WITH. IN RETURN FOR THAT THE HEALTH IN THE US HAS SUNK TO A NEW LOW, IN THE SAME PLACE AS ROMANIA, A THIRD WORLD COUNTRY. </w:t>
      </w:r>
      <w:proofErr w:type="gramStart"/>
      <w:r w:rsidRPr="000345CB">
        <w:rPr>
          <w:rFonts w:asciiTheme="minorHAnsi" w:eastAsia="Times New Roman" w:hAnsiTheme="minorHAnsi"/>
          <w:i/>
          <w:highlight w:val="yellow"/>
        </w:rPr>
        <w:t>SHOWING THAT SPENDING LOTS OF TAX DOLLARS DOESNT ALWAYS DO ONE DAMN THING FOR THE PEOPLE IN THIS COUNTRY.</w:t>
      </w:r>
      <w:proofErr w:type="gramEnd"/>
      <w:r w:rsidRPr="000345CB">
        <w:rPr>
          <w:rFonts w:asciiTheme="minorHAnsi" w:eastAsia="Times New Roman" w:hAnsiTheme="minorHAnsi"/>
          <w:i/>
          <w:highlight w:val="yellow"/>
        </w:rPr>
        <w:t xml:space="preserve"> OUR GOVT IN WASHINGTON DC HAS TURNED INTO A SKANKY, CORRUPT MESS. </w:t>
      </w:r>
      <w:proofErr w:type="gramStart"/>
      <w:r w:rsidRPr="000345CB">
        <w:rPr>
          <w:rFonts w:asciiTheme="minorHAnsi" w:eastAsia="Times New Roman" w:hAnsiTheme="minorHAnsi"/>
          <w:i/>
          <w:highlight w:val="yellow"/>
        </w:rPr>
        <w:t>A SIEVE FOR HIGH PAID DO NOTHING BUREAUCRATS WHO NEVER ACCOMPLISH ANYTHING FOR THE PEOPLE OF THIS COUNTRY.</w:t>
      </w:r>
      <w:proofErr w:type="gramEnd"/>
      <w:r w:rsidRPr="000345CB">
        <w:rPr>
          <w:rFonts w:asciiTheme="minorHAnsi" w:eastAsia="Times New Roman" w:hAnsiTheme="minorHAnsi"/>
          <w:i/>
          <w:highlight w:val="yellow"/>
        </w:rPr>
        <w:t xml:space="preserve"> WHAT HAS RESULTED FROM THE LAST "LONGITUDINAL" STUDY - NOTHING AT ALL FOR </w:t>
      </w:r>
      <w:proofErr w:type="gramStart"/>
      <w:r w:rsidRPr="000345CB">
        <w:rPr>
          <w:rFonts w:asciiTheme="minorHAnsi" w:eastAsia="Times New Roman" w:hAnsiTheme="minorHAnsi"/>
          <w:i/>
          <w:highlight w:val="yellow"/>
        </w:rPr>
        <w:t>AMERICA.</w:t>
      </w:r>
      <w:proofErr w:type="gramEnd"/>
      <w:r w:rsidRPr="000345CB">
        <w:rPr>
          <w:rFonts w:asciiTheme="minorHAnsi" w:eastAsia="Times New Roman" w:hAnsiTheme="minorHAnsi"/>
          <w:i/>
          <w:highlight w:val="yellow"/>
        </w:rPr>
        <w:t xml:space="preserve"> </w:t>
      </w:r>
      <w:proofErr w:type="gramStart"/>
      <w:r w:rsidRPr="000345CB">
        <w:rPr>
          <w:rFonts w:asciiTheme="minorHAnsi" w:eastAsia="Times New Roman" w:hAnsiTheme="minorHAnsi"/>
          <w:i/>
          <w:highlight w:val="yellow"/>
        </w:rPr>
        <w:t>NOTHING.</w:t>
      </w:r>
      <w:proofErr w:type="gramEnd"/>
      <w:r w:rsidRPr="000345CB">
        <w:rPr>
          <w:rFonts w:asciiTheme="minorHAnsi" w:eastAsia="Times New Roman" w:hAnsiTheme="minorHAnsi"/>
          <w:i/>
          <w:highlight w:val="yellow"/>
        </w:rPr>
        <w:t xml:space="preserve"> WE ARE SICK AND TIRED OF FUDNING THIS STUPID </w:t>
      </w:r>
      <w:r w:rsidRPr="000345CB">
        <w:rPr>
          <w:rFonts w:asciiTheme="minorHAnsi" w:eastAsia="Times New Roman" w:hAnsiTheme="minorHAnsi"/>
          <w:i/>
          <w:highlight w:val="yellow"/>
        </w:rPr>
        <w:lastRenderedPageBreak/>
        <w:t>STUDIES THAT RESULT IN NOTHING EXCEPT SO MUCH AS JOBS FOR FAT CAT BUREAUCRATS. SHUT DOWN THIS PROJECT. DEFUND IT TO ZERO.</w:t>
      </w:r>
    </w:p>
    <w:p w:rsidR="00D15B9E" w:rsidRPr="00FD71FF" w:rsidRDefault="00D15B9E" w:rsidP="00180BBD">
      <w:pPr>
        <w:pStyle w:val="Default"/>
        <w:jc w:val="both"/>
        <w:rPr>
          <w:rFonts w:asciiTheme="minorHAnsi" w:hAnsiTheme="minorHAnsi"/>
        </w:rPr>
      </w:pPr>
    </w:p>
    <w:p w:rsidR="00092000" w:rsidRPr="00FD71FF" w:rsidRDefault="00092000" w:rsidP="00180BBD">
      <w:pPr>
        <w:spacing w:after="0" w:line="240" w:lineRule="auto"/>
        <w:rPr>
          <w:sz w:val="24"/>
          <w:szCs w:val="24"/>
        </w:rPr>
      </w:pPr>
      <w:r w:rsidRPr="00FD71FF">
        <w:rPr>
          <w:sz w:val="24"/>
          <w:szCs w:val="24"/>
        </w:rPr>
        <w:t>Response to the comment:  The National Children’s Study was mandated by Congress through the Children’s Health Act of 2000 (Public Law 106-310), which states:</w:t>
      </w:r>
    </w:p>
    <w:p w:rsidR="00092000" w:rsidRPr="00FD71FF" w:rsidRDefault="00092000" w:rsidP="00180BBD">
      <w:pPr>
        <w:spacing w:after="0" w:line="240" w:lineRule="auto"/>
        <w:rPr>
          <w:sz w:val="24"/>
          <w:szCs w:val="24"/>
        </w:rPr>
      </w:pPr>
    </w:p>
    <w:p w:rsidR="00092000" w:rsidRPr="00FD71FF" w:rsidRDefault="00092000" w:rsidP="00180BBD">
      <w:pPr>
        <w:numPr>
          <w:ilvl w:val="0"/>
          <w:numId w:val="2"/>
        </w:numPr>
        <w:spacing w:after="0" w:line="240" w:lineRule="auto"/>
        <w:rPr>
          <w:color w:val="000000"/>
          <w:sz w:val="24"/>
          <w:szCs w:val="24"/>
        </w:rPr>
      </w:pPr>
      <w:r w:rsidRPr="00FD71FF">
        <w:rPr>
          <w:i/>
          <w:iCs/>
          <w:color w:val="000000"/>
          <w:sz w:val="24"/>
          <w:szCs w:val="24"/>
        </w:rPr>
        <w:t>PURPOSE.—It is the purpose of this section to authorize the National Institute of Child Health and Human Development* to conduct a national longitudinal study of environmental influences (including physical, chemical, biological, and psychosocial) on children’s health and development.</w:t>
      </w:r>
      <w:r w:rsidRPr="00FD71FF">
        <w:rPr>
          <w:i/>
          <w:iCs/>
          <w:color w:val="000000"/>
          <w:sz w:val="24"/>
          <w:szCs w:val="24"/>
        </w:rPr>
        <w:br/>
        <w:t>(b) IN GENERAL.—The Director of the National Institute of Child Health and Human Development* shall establish a consortium of representatives from appropriate Federal agencies (including the Centers for Disease Control and Prevention, the Environmental Protection Agency) to—</w:t>
      </w:r>
      <w:r w:rsidRPr="00FD71FF">
        <w:rPr>
          <w:i/>
          <w:iCs/>
          <w:color w:val="000000"/>
          <w:sz w:val="24"/>
          <w:szCs w:val="24"/>
        </w:rPr>
        <w:br/>
        <w:t>(1) plan, develop, and implement a prospective cohort study, from birth to adulthood, to evaluate the effects of both chronic and intermittent exposures on child health and human development; and</w:t>
      </w:r>
      <w:r w:rsidRPr="00FD71FF">
        <w:rPr>
          <w:i/>
          <w:iCs/>
          <w:color w:val="000000"/>
          <w:sz w:val="24"/>
          <w:szCs w:val="24"/>
        </w:rPr>
        <w:br/>
        <w:t>(2) investigate basic mechanisms of developmental disorders and environmental factors, both risk and protective, that influence health and developmental processes.</w:t>
      </w:r>
      <w:r w:rsidRPr="00FD71FF">
        <w:rPr>
          <w:i/>
          <w:iCs/>
          <w:color w:val="000000"/>
          <w:sz w:val="24"/>
          <w:szCs w:val="24"/>
        </w:rPr>
        <w:br/>
        <w:t>(c) REQUIREMENT.—The study under subsection (b) shall—</w:t>
      </w:r>
      <w:r w:rsidRPr="00FD71FF">
        <w:rPr>
          <w:i/>
          <w:iCs/>
          <w:color w:val="000000"/>
          <w:sz w:val="24"/>
          <w:szCs w:val="24"/>
        </w:rPr>
        <w:br/>
        <w:t>(1) incorporate behavioral, emotional, educational, and contextual consequences to enable a complete assessment of the physical, chemical, biological, and psychosocial environmental influences on children’s well-being;</w:t>
      </w:r>
      <w:r w:rsidRPr="00FD71FF">
        <w:rPr>
          <w:i/>
          <w:iCs/>
          <w:color w:val="000000"/>
          <w:sz w:val="24"/>
          <w:szCs w:val="24"/>
        </w:rPr>
        <w:br/>
        <w:t>(2) gather data on environmental influences and outcomes on diverse populations of children, which may include the consideration of prenatal exposures; and</w:t>
      </w:r>
      <w:r w:rsidRPr="00FD71FF">
        <w:rPr>
          <w:i/>
          <w:iCs/>
          <w:color w:val="000000"/>
          <w:sz w:val="24"/>
          <w:szCs w:val="24"/>
        </w:rPr>
        <w:br/>
        <w:t>(3) consider health disparities among children, which may include the consideration of prenatal exposures.</w:t>
      </w:r>
      <w:r w:rsidRPr="00FD71FF">
        <w:rPr>
          <w:color w:val="000000"/>
          <w:sz w:val="24"/>
          <w:szCs w:val="24"/>
        </w:rPr>
        <w:t xml:space="preserve"> </w:t>
      </w:r>
    </w:p>
    <w:p w:rsidR="00092000" w:rsidRPr="00FD71FF" w:rsidRDefault="00092000" w:rsidP="00180BBD">
      <w:pPr>
        <w:spacing w:after="0" w:line="240" w:lineRule="auto"/>
        <w:ind w:left="360"/>
        <w:rPr>
          <w:color w:val="000000"/>
          <w:sz w:val="24"/>
          <w:szCs w:val="24"/>
        </w:rPr>
      </w:pPr>
    </w:p>
    <w:p w:rsidR="00092000" w:rsidRPr="00FD71FF" w:rsidRDefault="00CF518D" w:rsidP="00180BBD">
      <w:pPr>
        <w:pStyle w:val="Default"/>
        <w:jc w:val="both"/>
        <w:rPr>
          <w:rFonts w:asciiTheme="minorHAnsi" w:hAnsiTheme="minorHAnsi"/>
        </w:rPr>
      </w:pPr>
      <w:r w:rsidRPr="00FD71FF">
        <w:rPr>
          <w:rFonts w:asciiTheme="minorHAnsi" w:hAnsiTheme="minorHAnsi"/>
          <w:i/>
          <w:u w:val="single"/>
        </w:rPr>
        <w:t xml:space="preserve">Efforts to Consult Outside </w:t>
      </w:r>
      <w:r w:rsidR="00474549">
        <w:rPr>
          <w:rFonts w:asciiTheme="minorHAnsi" w:hAnsiTheme="minorHAnsi"/>
          <w:i/>
          <w:u w:val="single"/>
        </w:rPr>
        <w:t>Agencies</w:t>
      </w:r>
      <w:r w:rsidRPr="00FD71FF">
        <w:rPr>
          <w:rFonts w:asciiTheme="minorHAnsi" w:hAnsiTheme="minorHAnsi"/>
          <w:i/>
          <w:u w:val="single"/>
        </w:rPr>
        <w:t>:</w:t>
      </w:r>
    </w:p>
    <w:p w:rsidR="00CF518D" w:rsidRPr="00FD71FF" w:rsidRDefault="00CF518D" w:rsidP="00180BBD">
      <w:pPr>
        <w:pStyle w:val="Default"/>
        <w:jc w:val="both"/>
        <w:rPr>
          <w:rFonts w:asciiTheme="minorHAnsi" w:hAnsiTheme="minorHAnsi"/>
        </w:rPr>
      </w:pPr>
    </w:p>
    <w:p w:rsidR="00CF518D" w:rsidRPr="00FD71FF" w:rsidRDefault="00CF518D" w:rsidP="00180BBD">
      <w:pPr>
        <w:spacing w:after="0" w:line="240" w:lineRule="auto"/>
        <w:rPr>
          <w:sz w:val="24"/>
          <w:szCs w:val="24"/>
        </w:rPr>
      </w:pPr>
      <w:r w:rsidRPr="00FD71FF">
        <w:rPr>
          <w:sz w:val="24"/>
          <w:szCs w:val="24"/>
        </w:rPr>
        <w:t xml:space="preserve">Strategic advice and oversight is </w:t>
      </w:r>
      <w:r w:rsidR="00474549">
        <w:rPr>
          <w:sz w:val="24"/>
          <w:szCs w:val="24"/>
        </w:rPr>
        <w:t xml:space="preserve">also </w:t>
      </w:r>
      <w:r w:rsidRPr="00FD71FF">
        <w:rPr>
          <w:sz w:val="24"/>
          <w:szCs w:val="24"/>
        </w:rPr>
        <w:t>provided by independent advisors through several groups</w:t>
      </w:r>
      <w:r w:rsidR="00A054E8">
        <w:rPr>
          <w:sz w:val="24"/>
          <w:szCs w:val="24"/>
        </w:rPr>
        <w:t xml:space="preserve"> as described below</w:t>
      </w:r>
      <w:r w:rsidRPr="00FD71FF">
        <w:rPr>
          <w:sz w:val="24"/>
          <w:szCs w:val="24"/>
        </w:rPr>
        <w:t>.</w:t>
      </w:r>
      <w:r w:rsidR="00A054E8">
        <w:rPr>
          <w:sz w:val="24"/>
          <w:szCs w:val="24"/>
        </w:rPr>
        <w:t xml:space="preserve">  Some of these committees are independent of the NCS; other committees </w:t>
      </w:r>
      <w:r w:rsidR="005213C0">
        <w:rPr>
          <w:sz w:val="24"/>
          <w:szCs w:val="24"/>
        </w:rPr>
        <w:t>comprise</w:t>
      </w:r>
      <w:r w:rsidR="00A054E8">
        <w:rPr>
          <w:sz w:val="24"/>
          <w:szCs w:val="24"/>
        </w:rPr>
        <w:t xml:space="preserve"> both NCS Program Office</w:t>
      </w:r>
      <w:r w:rsidR="005213C0">
        <w:rPr>
          <w:sz w:val="24"/>
          <w:szCs w:val="24"/>
        </w:rPr>
        <w:t xml:space="preserve">, </w:t>
      </w:r>
      <w:r w:rsidR="007D1F0C">
        <w:rPr>
          <w:sz w:val="24"/>
          <w:szCs w:val="24"/>
        </w:rPr>
        <w:t>s</w:t>
      </w:r>
      <w:r w:rsidR="00A054E8">
        <w:rPr>
          <w:sz w:val="24"/>
          <w:szCs w:val="24"/>
        </w:rPr>
        <w:t xml:space="preserve">tudy </w:t>
      </w:r>
      <w:r w:rsidR="007D1F0C">
        <w:rPr>
          <w:sz w:val="24"/>
          <w:szCs w:val="24"/>
        </w:rPr>
        <w:t>c</w:t>
      </w:r>
      <w:r w:rsidR="00A054E8">
        <w:rPr>
          <w:sz w:val="24"/>
          <w:szCs w:val="24"/>
        </w:rPr>
        <w:t>enter staff</w:t>
      </w:r>
      <w:r w:rsidR="005213C0">
        <w:rPr>
          <w:sz w:val="24"/>
          <w:szCs w:val="24"/>
        </w:rPr>
        <w:t>,</w:t>
      </w:r>
      <w:r w:rsidR="00A054E8">
        <w:rPr>
          <w:sz w:val="24"/>
          <w:szCs w:val="24"/>
        </w:rPr>
        <w:t xml:space="preserve"> </w:t>
      </w:r>
      <w:r w:rsidR="005213C0">
        <w:rPr>
          <w:sz w:val="24"/>
          <w:szCs w:val="24"/>
        </w:rPr>
        <w:t>and</w:t>
      </w:r>
      <w:r w:rsidR="00A054E8">
        <w:rPr>
          <w:sz w:val="24"/>
          <w:szCs w:val="24"/>
        </w:rPr>
        <w:t xml:space="preserve"> independent advisors.</w:t>
      </w:r>
      <w:r w:rsidRPr="00FD71FF">
        <w:rPr>
          <w:sz w:val="24"/>
          <w:szCs w:val="24"/>
        </w:rPr>
        <w:t xml:space="preserve">  </w:t>
      </w:r>
    </w:p>
    <w:p w:rsidR="00C82D6E" w:rsidRPr="00FD71FF" w:rsidRDefault="00C82D6E" w:rsidP="00180BBD">
      <w:pPr>
        <w:spacing w:after="0" w:line="240" w:lineRule="auto"/>
        <w:rPr>
          <w:sz w:val="24"/>
          <w:szCs w:val="24"/>
        </w:rPr>
      </w:pPr>
    </w:p>
    <w:p w:rsidR="009507CF" w:rsidRPr="00FD71FF" w:rsidRDefault="009507CF" w:rsidP="00180BBD">
      <w:pPr>
        <w:spacing w:after="0" w:line="240" w:lineRule="auto"/>
        <w:rPr>
          <w:color w:val="000000"/>
          <w:sz w:val="24"/>
          <w:szCs w:val="24"/>
        </w:rPr>
      </w:pPr>
      <w:r>
        <w:rPr>
          <w:color w:val="000000"/>
          <w:sz w:val="24"/>
          <w:szCs w:val="24"/>
        </w:rPr>
        <w:t>T</w:t>
      </w:r>
      <w:r w:rsidRPr="00FD71FF">
        <w:rPr>
          <w:color w:val="000000"/>
          <w:sz w:val="24"/>
          <w:szCs w:val="24"/>
        </w:rPr>
        <w:t xml:space="preserve">he Steering Committee provides </w:t>
      </w:r>
      <w:r>
        <w:rPr>
          <w:color w:val="000000"/>
          <w:sz w:val="24"/>
          <w:szCs w:val="24"/>
        </w:rPr>
        <w:t xml:space="preserve">first-level </w:t>
      </w:r>
      <w:r w:rsidRPr="00FD71FF">
        <w:rPr>
          <w:color w:val="000000"/>
          <w:sz w:val="24"/>
          <w:szCs w:val="24"/>
        </w:rPr>
        <w:t xml:space="preserve">scientific </w:t>
      </w:r>
      <w:r>
        <w:rPr>
          <w:color w:val="000000"/>
          <w:sz w:val="24"/>
          <w:szCs w:val="24"/>
        </w:rPr>
        <w:t xml:space="preserve">guidance  </w:t>
      </w:r>
      <w:r w:rsidRPr="00FD71FF">
        <w:rPr>
          <w:color w:val="000000"/>
          <w:sz w:val="24"/>
          <w:szCs w:val="24"/>
        </w:rPr>
        <w:t>to the National Children’s Study. It is the arbiter of issues referred to</w:t>
      </w:r>
      <w:r w:rsidR="007D1F0C">
        <w:rPr>
          <w:color w:val="000000"/>
          <w:sz w:val="24"/>
          <w:szCs w:val="24"/>
        </w:rPr>
        <w:t xml:space="preserve"> it by the Program Office, the </w:t>
      </w:r>
      <w:r w:rsidRPr="00FD71FF">
        <w:rPr>
          <w:color w:val="000000"/>
          <w:sz w:val="24"/>
          <w:szCs w:val="24"/>
        </w:rPr>
        <w:t xml:space="preserve">Principal Investigators, and the Executive Steering Committee. It is empowered to make protocol modifications that do not change the direction or cost of the </w:t>
      </w:r>
      <w:r>
        <w:rPr>
          <w:color w:val="000000"/>
          <w:sz w:val="24"/>
          <w:szCs w:val="24"/>
        </w:rPr>
        <w:t>s</w:t>
      </w:r>
      <w:r w:rsidRPr="00FD71FF">
        <w:rPr>
          <w:color w:val="000000"/>
          <w:sz w:val="24"/>
          <w:szCs w:val="24"/>
        </w:rPr>
        <w:t>tudy, subject to confirmation by the Program Office.  The full Steering Committee meets face-to-face twice a year. Interim meetings by conference call are scheduled as needed.</w:t>
      </w:r>
    </w:p>
    <w:p w:rsidR="009507CF" w:rsidRPr="00FD71FF" w:rsidRDefault="009507CF" w:rsidP="00180BBD">
      <w:pPr>
        <w:spacing w:after="0" w:line="240" w:lineRule="auto"/>
        <w:rPr>
          <w:color w:val="000000"/>
          <w:sz w:val="24"/>
          <w:szCs w:val="24"/>
        </w:rPr>
      </w:pPr>
    </w:p>
    <w:p w:rsidR="00CF518D" w:rsidRPr="00FD71FF" w:rsidRDefault="00CF518D" w:rsidP="00180BBD">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The National Children’s Study Federal Advisory Committee (NCSAC), constituted under the Federal Advisory Committee Act, </w:t>
      </w:r>
      <w:r w:rsidR="00A054E8">
        <w:rPr>
          <w:rFonts w:eastAsia="Times New Roman" w:cs="Times New Roman"/>
          <w:color w:val="000000"/>
          <w:sz w:val="24"/>
          <w:szCs w:val="24"/>
        </w:rPr>
        <w:t xml:space="preserve">meets quarterly to </w:t>
      </w:r>
      <w:r w:rsidRPr="00FD71FF">
        <w:rPr>
          <w:rFonts w:eastAsia="Times New Roman" w:cs="Times New Roman"/>
          <w:color w:val="000000"/>
          <w:sz w:val="24"/>
          <w:szCs w:val="24"/>
        </w:rPr>
        <w:t xml:space="preserve">provide </w:t>
      </w:r>
      <w:r w:rsidR="00A054E8">
        <w:rPr>
          <w:rFonts w:eastAsia="Times New Roman" w:cs="Times New Roman"/>
          <w:color w:val="000000"/>
          <w:sz w:val="24"/>
          <w:szCs w:val="24"/>
        </w:rPr>
        <w:t xml:space="preserve">strategic </w:t>
      </w:r>
      <w:r w:rsidRPr="00FD71FF">
        <w:rPr>
          <w:rFonts w:eastAsia="Times New Roman" w:cs="Times New Roman"/>
          <w:color w:val="000000"/>
          <w:sz w:val="24"/>
          <w:szCs w:val="24"/>
        </w:rPr>
        <w:t xml:space="preserve">advice and recommendations to the Director of the National Institutes of Health, the Director of the </w:t>
      </w:r>
      <w:r w:rsidRPr="00FD71FF">
        <w:rPr>
          <w:rFonts w:eastAsia="Times New Roman" w:cs="Times New Roman"/>
          <w:i/>
          <w:iCs/>
          <w:color w:val="000000"/>
          <w:sz w:val="24"/>
          <w:szCs w:val="24"/>
        </w:rPr>
        <w:t xml:space="preserve">Eunice </w:t>
      </w:r>
      <w:r w:rsidRPr="00FD71FF">
        <w:rPr>
          <w:rFonts w:eastAsia="Times New Roman" w:cs="Times New Roman"/>
          <w:i/>
          <w:iCs/>
          <w:color w:val="000000"/>
          <w:sz w:val="24"/>
          <w:szCs w:val="24"/>
        </w:rPr>
        <w:lastRenderedPageBreak/>
        <w:t xml:space="preserve">Kennedy Shriver </w:t>
      </w:r>
      <w:r w:rsidRPr="00FD71FF">
        <w:rPr>
          <w:rFonts w:eastAsia="Times New Roman" w:cs="Times New Roman"/>
          <w:color w:val="000000"/>
          <w:sz w:val="24"/>
          <w:szCs w:val="24"/>
        </w:rPr>
        <w:t>National Institute of Child Health and Human Development, and the Director of the National Children’s Study regarding critical aspects of the</w:t>
      </w:r>
      <w:r w:rsidR="007D1F0C">
        <w:rPr>
          <w:rFonts w:eastAsia="Times New Roman" w:cs="Times New Roman"/>
          <w:color w:val="000000"/>
          <w:sz w:val="24"/>
          <w:szCs w:val="24"/>
        </w:rPr>
        <w:t xml:space="preserve"> study</w:t>
      </w:r>
      <w:r w:rsidRPr="00FD71FF">
        <w:rPr>
          <w:rFonts w:eastAsia="Times New Roman" w:cs="Times New Roman"/>
          <w:color w:val="000000"/>
          <w:sz w:val="24"/>
          <w:szCs w:val="24"/>
        </w:rPr>
        <w:t>.</w:t>
      </w:r>
      <w:r w:rsidR="00C82D6E" w:rsidRPr="00FD71FF">
        <w:rPr>
          <w:rFonts w:eastAsia="Times New Roman" w:cs="Times New Roman"/>
          <w:color w:val="000000"/>
          <w:sz w:val="24"/>
          <w:szCs w:val="24"/>
        </w:rPr>
        <w:t xml:space="preserve">  </w:t>
      </w:r>
      <w:r w:rsidRPr="00FD71FF">
        <w:rPr>
          <w:rFonts w:eastAsia="Times New Roman" w:cs="Times New Roman"/>
          <w:color w:val="000000"/>
          <w:sz w:val="24"/>
          <w:szCs w:val="24"/>
        </w:rPr>
        <w:t xml:space="preserve">There are currently three designated NCSAC subcommittees: Scientific Review, Ethics, and Community Engagement. </w:t>
      </w:r>
      <w:r w:rsidR="00C82D6E" w:rsidRPr="00FD71FF">
        <w:rPr>
          <w:rFonts w:eastAsia="Times New Roman" w:cs="Times New Roman"/>
          <w:color w:val="000000"/>
          <w:sz w:val="24"/>
          <w:szCs w:val="24"/>
        </w:rPr>
        <w:t xml:space="preserve">  </w:t>
      </w:r>
      <w:r w:rsidRPr="00FD71FF">
        <w:rPr>
          <w:rFonts w:eastAsia="Times New Roman" w:cs="Times New Roman"/>
          <w:color w:val="000000"/>
          <w:sz w:val="24"/>
          <w:szCs w:val="24"/>
        </w:rPr>
        <w:t>The National Children’s Study Federal Advisory Committee meets quarterly. These meetings are open to the public.</w:t>
      </w:r>
    </w:p>
    <w:p w:rsidR="00CF518D" w:rsidRPr="00FD71FF" w:rsidRDefault="00CF518D" w:rsidP="00180BBD">
      <w:pPr>
        <w:spacing w:after="0" w:line="240" w:lineRule="auto"/>
        <w:rPr>
          <w:rFonts w:eastAsia="Times New Roman" w:cs="Times New Roman"/>
          <w:color w:val="000000"/>
          <w:sz w:val="24"/>
          <w:szCs w:val="24"/>
        </w:rPr>
      </w:pPr>
    </w:p>
    <w:p w:rsidR="00C57B45" w:rsidRPr="00FD71FF" w:rsidRDefault="00C57B45" w:rsidP="00180BBD">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The Interagency Coordinating Committee represents the lead agencies for the </w:t>
      </w:r>
      <w:r>
        <w:rPr>
          <w:rFonts w:eastAsia="Times New Roman" w:cs="Times New Roman"/>
          <w:color w:val="000000"/>
          <w:sz w:val="24"/>
          <w:szCs w:val="24"/>
        </w:rPr>
        <w:t>s</w:t>
      </w:r>
      <w:r w:rsidRPr="00FD71FF">
        <w:rPr>
          <w:rFonts w:eastAsia="Times New Roman" w:cs="Times New Roman"/>
          <w:color w:val="000000"/>
          <w:sz w:val="24"/>
          <w:szCs w:val="24"/>
        </w:rPr>
        <w:t>tudy and</w:t>
      </w:r>
      <w:r>
        <w:rPr>
          <w:rFonts w:eastAsia="Times New Roman" w:cs="Times New Roman"/>
          <w:color w:val="000000"/>
          <w:sz w:val="24"/>
          <w:szCs w:val="24"/>
        </w:rPr>
        <w:t xml:space="preserve"> meets monthly to</w:t>
      </w:r>
      <w:r w:rsidRPr="00FD71FF">
        <w:rPr>
          <w:rFonts w:eastAsia="Times New Roman" w:cs="Times New Roman"/>
          <w:color w:val="000000"/>
          <w:sz w:val="24"/>
          <w:szCs w:val="24"/>
        </w:rPr>
        <w:t xml:space="preserve"> oversee broad </w:t>
      </w:r>
      <w:r>
        <w:rPr>
          <w:rFonts w:eastAsia="Times New Roman" w:cs="Times New Roman"/>
          <w:color w:val="000000"/>
          <w:sz w:val="24"/>
          <w:szCs w:val="24"/>
        </w:rPr>
        <w:t>s</w:t>
      </w:r>
      <w:r w:rsidRPr="00FD71FF">
        <w:rPr>
          <w:rFonts w:eastAsia="Times New Roman" w:cs="Times New Roman"/>
          <w:color w:val="000000"/>
          <w:sz w:val="24"/>
          <w:szCs w:val="24"/>
        </w:rPr>
        <w:t xml:space="preserve">tudy issues and ensures interagency collaboration. The representatives assure that at a high level, the mission and goals of the National Children’s Study are maintained over time and that they reflect the scientific priorities of the </w:t>
      </w:r>
      <w:r>
        <w:rPr>
          <w:rFonts w:eastAsia="Times New Roman" w:cs="Times New Roman"/>
          <w:color w:val="000000"/>
          <w:sz w:val="24"/>
          <w:szCs w:val="24"/>
        </w:rPr>
        <w:t>s</w:t>
      </w:r>
      <w:r w:rsidRPr="00FD71FF">
        <w:rPr>
          <w:rFonts w:eastAsia="Times New Roman" w:cs="Times New Roman"/>
          <w:color w:val="000000"/>
          <w:sz w:val="24"/>
          <w:szCs w:val="24"/>
        </w:rPr>
        <w:t xml:space="preserve">tudy’s four lead agencies. The committee is made up of staff from the U.S. Department of Health and Human Services (including the </w:t>
      </w:r>
      <w:r w:rsidRPr="00FD71FF">
        <w:rPr>
          <w:rFonts w:eastAsia="Times New Roman" w:cs="Times New Roman"/>
          <w:i/>
          <w:iCs/>
          <w:color w:val="000000"/>
          <w:sz w:val="24"/>
          <w:szCs w:val="24"/>
        </w:rPr>
        <w:t>Eunice Kennedy Shriver</w:t>
      </w:r>
      <w:r w:rsidRPr="00FD71FF">
        <w:rPr>
          <w:rFonts w:eastAsia="Times New Roman" w:cs="Times New Roman"/>
          <w:color w:val="000000"/>
          <w:sz w:val="24"/>
          <w:szCs w:val="24"/>
        </w:rPr>
        <w:t xml:space="preserve"> National Institute of Child Health and Human Development and the National Institute of Environmental Health Sciences, of the National Institutes of Health, and the Centers for Disease Control and Prevention), and the U.S. Environmental Protection Agency.</w:t>
      </w:r>
    </w:p>
    <w:p w:rsidR="00C57B45" w:rsidRPr="00FD71FF" w:rsidRDefault="00C57B45" w:rsidP="00180BBD">
      <w:pPr>
        <w:spacing w:after="0" w:line="240" w:lineRule="auto"/>
        <w:rPr>
          <w:rFonts w:eastAsia="Times New Roman" w:cs="Times New Roman"/>
          <w:color w:val="000000"/>
          <w:sz w:val="24"/>
          <w:szCs w:val="24"/>
        </w:rPr>
      </w:pPr>
    </w:p>
    <w:p w:rsidR="00A054E8" w:rsidRPr="00FD71FF" w:rsidRDefault="00A054E8" w:rsidP="00180BBD">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The Independent Study Monitoring and Oversight Committee (iSMOC) monitors National Children’s Study data and the safety of</w:t>
      </w:r>
      <w:r w:rsidR="007D1F0C">
        <w:rPr>
          <w:rFonts w:eastAsia="Times New Roman" w:cs="Times New Roman"/>
          <w:color w:val="000000"/>
          <w:sz w:val="24"/>
          <w:szCs w:val="24"/>
        </w:rPr>
        <w:t xml:space="preserve"> study</w:t>
      </w:r>
      <w:r w:rsidRPr="00FD71FF">
        <w:rPr>
          <w:rFonts w:eastAsia="Times New Roman" w:cs="Times New Roman"/>
          <w:color w:val="000000"/>
          <w:sz w:val="24"/>
          <w:szCs w:val="24"/>
        </w:rPr>
        <w:t xml:space="preserve"> participants. The responsibilities of the iSMOC are to: </w:t>
      </w:r>
    </w:p>
    <w:p w:rsidR="00A054E8" w:rsidRPr="00FD71FF" w:rsidRDefault="00A054E8" w:rsidP="00180BBD">
      <w:pPr>
        <w:numPr>
          <w:ilvl w:val="0"/>
          <w:numId w:val="3"/>
        </w:num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Monitor human subject safety through review and evaluation of accumulated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data </w:t>
      </w:r>
    </w:p>
    <w:p w:rsidR="00A054E8" w:rsidRPr="00FD71FF" w:rsidRDefault="00A054E8" w:rsidP="00180BBD">
      <w:pPr>
        <w:numPr>
          <w:ilvl w:val="0"/>
          <w:numId w:val="3"/>
        </w:num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Review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conduct and progress </w:t>
      </w:r>
    </w:p>
    <w:p w:rsidR="00A054E8" w:rsidRPr="00FD71FF" w:rsidRDefault="00A054E8" w:rsidP="00180BBD">
      <w:pPr>
        <w:numPr>
          <w:ilvl w:val="0"/>
          <w:numId w:val="3"/>
        </w:num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Make recommendations concerning continuation or modification of the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w:t>
      </w:r>
    </w:p>
    <w:p w:rsidR="00A054E8" w:rsidRPr="00FD71FF" w:rsidRDefault="00A054E8" w:rsidP="00180BBD">
      <w:pPr>
        <w:spacing w:after="0" w:line="240" w:lineRule="auto"/>
        <w:rPr>
          <w:rFonts w:eastAsia="Times New Roman" w:cs="Times New Roman"/>
          <w:color w:val="000000"/>
          <w:sz w:val="24"/>
          <w:szCs w:val="24"/>
        </w:rPr>
      </w:pPr>
    </w:p>
    <w:p w:rsidR="00A054E8" w:rsidRPr="00FD71FF" w:rsidRDefault="00A054E8" w:rsidP="00180BBD">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During the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the iSMOC will review data regarding procedure-related adverse events; unanticipated problems involving risks to subjects or others; adherence to the protocol; factors that might affect </w:t>
      </w:r>
      <w:r w:rsidR="00D42A33">
        <w:rPr>
          <w:rFonts w:eastAsia="Times New Roman" w:cs="Times New Roman"/>
          <w:color w:val="000000"/>
          <w:sz w:val="24"/>
          <w:szCs w:val="24"/>
        </w:rPr>
        <w:t>the s</w:t>
      </w:r>
      <w:r w:rsidRPr="00FD71FF">
        <w:rPr>
          <w:rFonts w:eastAsia="Times New Roman" w:cs="Times New Roman"/>
          <w:color w:val="000000"/>
          <w:sz w:val="24"/>
          <w:szCs w:val="24"/>
        </w:rPr>
        <w:t>tudy outcome</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 or compromise</w:t>
      </w:r>
      <w:r w:rsidR="007D1F0C">
        <w:rPr>
          <w:rFonts w:eastAsia="Times New Roman" w:cs="Times New Roman"/>
          <w:color w:val="000000"/>
          <w:sz w:val="24"/>
          <w:szCs w:val="24"/>
        </w:rPr>
        <w:t xml:space="preserve"> </w:t>
      </w:r>
      <w:r w:rsidR="00D42A33">
        <w:rPr>
          <w:rFonts w:eastAsia="Times New Roman" w:cs="Times New Roman"/>
          <w:color w:val="000000"/>
          <w:sz w:val="24"/>
          <w:szCs w:val="24"/>
        </w:rPr>
        <w:t xml:space="preserve">the </w:t>
      </w:r>
      <w:r w:rsidRPr="00FD71FF">
        <w:rPr>
          <w:rFonts w:eastAsia="Times New Roman" w:cs="Times New Roman"/>
          <w:color w:val="000000"/>
          <w:sz w:val="24"/>
          <w:szCs w:val="24"/>
        </w:rPr>
        <w:t xml:space="preserve">data (for example, protocol violations, losses to follow-up, breach of subject confidentiality); and barriers to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progress or completion (such as slow enrollment, new data or findings, other milestones, change in resources, rate of endpoint accumulation). The iSMOC will recommend appropriateness of notification and referral of individual participants for significant abnormal findings on testing of stored samples. The committee consists of 5 to 10 individuals not associated with the </w:t>
      </w:r>
      <w:r w:rsidR="00D42A33">
        <w:rPr>
          <w:rFonts w:eastAsia="Times New Roman" w:cs="Times New Roman"/>
          <w:color w:val="000000"/>
          <w:sz w:val="24"/>
          <w:szCs w:val="24"/>
        </w:rPr>
        <w:t>s</w:t>
      </w:r>
      <w:r w:rsidRPr="00FD71FF">
        <w:rPr>
          <w:rFonts w:eastAsia="Times New Roman" w:cs="Times New Roman"/>
          <w:color w:val="000000"/>
          <w:sz w:val="24"/>
          <w:szCs w:val="24"/>
        </w:rPr>
        <w:t>tudy. Committee membership reflect</w:t>
      </w:r>
      <w:r w:rsidR="00A012C0">
        <w:rPr>
          <w:rFonts w:eastAsia="Times New Roman" w:cs="Times New Roman"/>
          <w:color w:val="000000"/>
          <w:sz w:val="24"/>
          <w:szCs w:val="24"/>
        </w:rPr>
        <w:t>s</w:t>
      </w:r>
      <w:r w:rsidRPr="00FD71FF">
        <w:rPr>
          <w:rFonts w:eastAsia="Times New Roman" w:cs="Times New Roman"/>
          <w:color w:val="000000"/>
          <w:sz w:val="24"/>
          <w:szCs w:val="24"/>
        </w:rPr>
        <w:t xml:space="preserve"> the disciplines and clinical specialties necessary to interpret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data and to evaluate subject safety. </w:t>
      </w:r>
    </w:p>
    <w:p w:rsidR="00A054E8" w:rsidRDefault="00A054E8" w:rsidP="00180BBD">
      <w:pPr>
        <w:spacing w:after="0" w:line="240" w:lineRule="auto"/>
        <w:rPr>
          <w:rFonts w:eastAsia="Times New Roman" w:cs="Times New Roman"/>
          <w:color w:val="000000"/>
          <w:sz w:val="24"/>
          <w:szCs w:val="24"/>
        </w:rPr>
      </w:pPr>
    </w:p>
    <w:p w:rsidR="00A054E8" w:rsidRPr="00FD71FF" w:rsidRDefault="009507CF" w:rsidP="00180BBD">
      <w:pPr>
        <w:spacing w:after="0" w:line="240" w:lineRule="auto"/>
        <w:rPr>
          <w:rFonts w:eastAsia="Times New Roman" w:cs="Times New Roman"/>
          <w:color w:val="000000"/>
          <w:sz w:val="24"/>
          <w:szCs w:val="24"/>
        </w:rPr>
      </w:pPr>
      <w:r>
        <w:rPr>
          <w:rFonts w:eastAsia="Times New Roman" w:cs="Times New Roman"/>
          <w:color w:val="000000"/>
          <w:sz w:val="24"/>
          <w:szCs w:val="24"/>
        </w:rPr>
        <w:t>T</w:t>
      </w:r>
      <w:r w:rsidR="00A054E8" w:rsidRPr="00FD71FF">
        <w:rPr>
          <w:rFonts w:eastAsia="Times New Roman" w:cs="Times New Roman"/>
          <w:color w:val="000000"/>
          <w:sz w:val="24"/>
          <w:szCs w:val="24"/>
        </w:rPr>
        <w:t xml:space="preserve">he Data Access and Confidentiality Committee (DACC) is a federal interagency committee that establishes policies regarding data access and confidentiality for the National Children’s Study. DACC is responsible for establishing policies related to who has access to </w:t>
      </w:r>
      <w:r w:rsidR="002D77B7">
        <w:rPr>
          <w:rFonts w:eastAsia="Times New Roman" w:cs="Times New Roman"/>
          <w:color w:val="000000"/>
          <w:sz w:val="24"/>
          <w:szCs w:val="24"/>
        </w:rPr>
        <w:t>s</w:t>
      </w:r>
      <w:r w:rsidR="00A054E8" w:rsidRPr="00FD71FF">
        <w:rPr>
          <w:rFonts w:eastAsia="Times New Roman" w:cs="Times New Roman"/>
          <w:color w:val="000000"/>
          <w:sz w:val="24"/>
          <w:szCs w:val="24"/>
        </w:rPr>
        <w:t xml:space="preserve">tudy data, which data may be accessed, and when data may be accessed, including after the </w:t>
      </w:r>
      <w:r w:rsidR="002D77B7">
        <w:rPr>
          <w:rFonts w:eastAsia="Times New Roman" w:cs="Times New Roman"/>
          <w:color w:val="000000"/>
          <w:sz w:val="24"/>
          <w:szCs w:val="24"/>
        </w:rPr>
        <w:t>s</w:t>
      </w:r>
      <w:r w:rsidR="00A054E8" w:rsidRPr="00FD71FF">
        <w:rPr>
          <w:rFonts w:eastAsia="Times New Roman" w:cs="Times New Roman"/>
          <w:color w:val="000000"/>
          <w:sz w:val="24"/>
          <w:szCs w:val="24"/>
        </w:rPr>
        <w:t xml:space="preserve">tudy’s completion. DACC reviews manuscripts and presentations to assess and reduce the risk of disclosure, that is, the direct or indirect identification of </w:t>
      </w:r>
      <w:r w:rsidR="002D77B7">
        <w:rPr>
          <w:rFonts w:eastAsia="Times New Roman" w:cs="Times New Roman"/>
          <w:color w:val="000000"/>
          <w:sz w:val="24"/>
          <w:szCs w:val="24"/>
        </w:rPr>
        <w:t>s</w:t>
      </w:r>
      <w:r w:rsidR="00A054E8" w:rsidRPr="00FD71FF">
        <w:rPr>
          <w:rFonts w:eastAsia="Times New Roman" w:cs="Times New Roman"/>
          <w:color w:val="000000"/>
          <w:sz w:val="24"/>
          <w:szCs w:val="24"/>
        </w:rPr>
        <w:t xml:space="preserve">tudy participants and their families. Because DACC also serves communication and coordination roles among data-collection task groups to address and find solutions for data security issues, its members are kept apprised of protocol implementation. Each of the lead federal agencies in addition to NICHD—the National Institute </w:t>
      </w:r>
      <w:r w:rsidR="00A054E8" w:rsidRPr="00FD71FF">
        <w:rPr>
          <w:rFonts w:eastAsia="Times New Roman" w:cs="Times New Roman"/>
          <w:color w:val="000000"/>
          <w:sz w:val="24"/>
          <w:szCs w:val="24"/>
        </w:rPr>
        <w:lastRenderedPageBreak/>
        <w:t>of Environmental Health Sciences (NIEHS), the Centers for Disease Control and Prevention (CDC), and the Environmental Protection Agency (EPA)—has selected a representative to serve on DACC.</w:t>
      </w:r>
    </w:p>
    <w:p w:rsidR="00CF518D" w:rsidRPr="00FD71FF" w:rsidRDefault="00CF518D" w:rsidP="00180BBD">
      <w:pPr>
        <w:spacing w:after="0" w:line="240" w:lineRule="auto"/>
        <w:rPr>
          <w:rFonts w:eastAsia="Times New Roman" w:cs="Times New Roman"/>
          <w:color w:val="000000"/>
          <w:sz w:val="24"/>
          <w:szCs w:val="24"/>
        </w:rPr>
      </w:pPr>
    </w:p>
    <w:p w:rsidR="00CF518D" w:rsidRPr="00FD71FF" w:rsidRDefault="008D693A" w:rsidP="00180BBD">
      <w:pPr>
        <w:pStyle w:val="Default"/>
        <w:jc w:val="both"/>
        <w:rPr>
          <w:rFonts w:asciiTheme="minorHAnsi" w:hAnsiTheme="minorHAnsi"/>
          <w:b/>
        </w:rPr>
      </w:pPr>
      <w:r w:rsidRPr="00FD71FF">
        <w:rPr>
          <w:rFonts w:asciiTheme="minorHAnsi" w:hAnsiTheme="minorHAnsi"/>
          <w:b/>
        </w:rPr>
        <w:t>A.9</w:t>
      </w:r>
      <w:r w:rsidRPr="00FD71FF">
        <w:rPr>
          <w:rFonts w:asciiTheme="minorHAnsi" w:hAnsiTheme="minorHAnsi"/>
          <w:b/>
        </w:rPr>
        <w:tab/>
        <w:t>Explanation of Any Payment or Gifts to Respondents</w:t>
      </w:r>
    </w:p>
    <w:p w:rsidR="008D693A" w:rsidRPr="00FD71FF" w:rsidRDefault="008D693A" w:rsidP="00180BBD">
      <w:pPr>
        <w:spacing w:after="0" w:line="240" w:lineRule="auto"/>
        <w:rPr>
          <w:rFonts w:eastAsia="Times New Roman" w:cs="Times New Roman"/>
          <w:color w:val="000000"/>
          <w:sz w:val="24"/>
          <w:szCs w:val="24"/>
        </w:rPr>
      </w:pPr>
    </w:p>
    <w:p w:rsidR="008D693A" w:rsidRPr="00FD71FF" w:rsidRDefault="00C57B45" w:rsidP="00180BBD">
      <w:pPr>
        <w:pStyle w:val="Default"/>
        <w:jc w:val="both"/>
        <w:rPr>
          <w:rFonts w:asciiTheme="minorHAnsi" w:hAnsiTheme="minorHAnsi"/>
        </w:rPr>
      </w:pPr>
      <w:r>
        <w:rPr>
          <w:rFonts w:asciiTheme="minorHAnsi" w:hAnsiTheme="minorHAnsi"/>
        </w:rPr>
        <w:t>To</w:t>
      </w:r>
      <w:r w:rsidR="008D693A" w:rsidRPr="00FD71FF">
        <w:rPr>
          <w:rFonts w:asciiTheme="minorHAnsi" w:hAnsiTheme="minorHAnsi"/>
        </w:rPr>
        <w:t xml:space="preserve"> maximize response rates, many research studies, particularly those involving medical procedures, offer incentives for participants. For example, the National Health and Nutrition Examination Survey (NHANES) has offered their participants incentives since the 1970’s. Incentives are effective in increasing response rates for in-person surveys and can help increase response rates especially for minorities and low-income households.  Incentives are particularly important for research studies involving the inconvenience of biologic specimen collection, or any other research activities involving clinical measures. </w:t>
      </w:r>
    </w:p>
    <w:p w:rsidR="008D693A" w:rsidRPr="00FD71FF" w:rsidRDefault="008D693A" w:rsidP="00180BBD">
      <w:pPr>
        <w:pStyle w:val="Default"/>
        <w:jc w:val="both"/>
        <w:rPr>
          <w:rFonts w:asciiTheme="minorHAnsi" w:hAnsiTheme="minorHAnsi"/>
        </w:rPr>
      </w:pPr>
    </w:p>
    <w:p w:rsidR="001312F0" w:rsidRDefault="008D693A" w:rsidP="00180BBD">
      <w:pPr>
        <w:spacing w:after="0" w:line="240" w:lineRule="auto"/>
        <w:rPr>
          <w:sz w:val="24"/>
          <w:szCs w:val="24"/>
        </w:rPr>
      </w:pPr>
      <w:r w:rsidRPr="00FD71FF">
        <w:rPr>
          <w:sz w:val="24"/>
          <w:szCs w:val="24"/>
        </w:rPr>
        <w:t xml:space="preserve">Recruitment and retention will be a significant challenge for the NCS in light of the long-term commitment required of participants (that is, 21 plus years), the invasive nature of some of the data collection elements (for example, saliva, blood, urine, vaginal swabs, hair, toenail clippings, environmental samples, and physical measures of height, weight, and skin fold), and the length of time required for certain data collection visits. </w:t>
      </w:r>
    </w:p>
    <w:p w:rsidR="001312F0" w:rsidRDefault="001312F0" w:rsidP="00180BBD">
      <w:pPr>
        <w:spacing w:after="0" w:line="240" w:lineRule="auto"/>
        <w:rPr>
          <w:sz w:val="24"/>
          <w:szCs w:val="24"/>
        </w:rPr>
      </w:pPr>
    </w:p>
    <w:p w:rsidR="008D693A" w:rsidRPr="00FD71FF" w:rsidRDefault="008D693A" w:rsidP="00180BBD">
      <w:pPr>
        <w:spacing w:after="0" w:line="240" w:lineRule="auto"/>
        <w:rPr>
          <w:sz w:val="24"/>
          <w:szCs w:val="24"/>
        </w:rPr>
      </w:pPr>
      <w:r w:rsidRPr="00FD71FF">
        <w:rPr>
          <w:sz w:val="24"/>
          <w:szCs w:val="24"/>
        </w:rPr>
        <w:t xml:space="preserve">To recognize the time and effort participants expend to provide information for the </w:t>
      </w:r>
      <w:r w:rsidR="001312F0">
        <w:rPr>
          <w:sz w:val="24"/>
          <w:szCs w:val="24"/>
        </w:rPr>
        <w:t>Recruitment Sub</w:t>
      </w:r>
      <w:r w:rsidRPr="00FD71FF">
        <w:rPr>
          <w:sz w:val="24"/>
          <w:szCs w:val="24"/>
        </w:rPr>
        <w:t xml:space="preserve">study, the NCS will provide to participants </w:t>
      </w:r>
      <w:r w:rsidR="001312F0">
        <w:rPr>
          <w:sz w:val="24"/>
          <w:szCs w:val="24"/>
        </w:rPr>
        <w:t>an</w:t>
      </w:r>
      <w:r w:rsidRPr="00FD71FF">
        <w:rPr>
          <w:sz w:val="24"/>
          <w:szCs w:val="24"/>
        </w:rPr>
        <w:t xml:space="preserve"> incentive after the completion of each in-person data collection </w:t>
      </w:r>
      <w:r w:rsidR="001312F0">
        <w:rPr>
          <w:sz w:val="24"/>
          <w:szCs w:val="24"/>
        </w:rPr>
        <w:t>event</w:t>
      </w:r>
      <w:r w:rsidRPr="00FD71FF">
        <w:rPr>
          <w:sz w:val="24"/>
          <w:szCs w:val="24"/>
        </w:rPr>
        <w:t>.</w:t>
      </w:r>
      <w:r w:rsidR="001312F0">
        <w:rPr>
          <w:sz w:val="24"/>
          <w:szCs w:val="24"/>
        </w:rPr>
        <w:t xml:space="preserve">  Monetary or non-monetary incentives not exceeding $25 will be offered.</w:t>
      </w:r>
      <w:r w:rsidRPr="00FD71FF">
        <w:rPr>
          <w:sz w:val="24"/>
          <w:szCs w:val="24"/>
        </w:rPr>
        <w:t xml:space="preserve">  </w:t>
      </w:r>
      <w:r w:rsidR="00AD0ABD" w:rsidRPr="000345CB">
        <w:rPr>
          <w:sz w:val="24"/>
          <w:szCs w:val="24"/>
          <w:highlight w:val="yellow"/>
        </w:rPr>
        <w:t>In addition,</w:t>
      </w:r>
      <w:r w:rsidR="000345CB" w:rsidRPr="000345CB">
        <w:rPr>
          <w:sz w:val="24"/>
          <w:szCs w:val="24"/>
          <w:highlight w:val="yellow"/>
        </w:rPr>
        <w:t xml:space="preserve"> woman participants</w:t>
      </w:r>
      <w:r w:rsidR="000345CB">
        <w:rPr>
          <w:sz w:val="24"/>
          <w:szCs w:val="24"/>
          <w:highlight w:val="yellow"/>
        </w:rPr>
        <w:t xml:space="preserve"> </w:t>
      </w:r>
      <w:r w:rsidR="00AD0ABD" w:rsidRPr="000345CB">
        <w:rPr>
          <w:sz w:val="24"/>
          <w:szCs w:val="24"/>
          <w:highlight w:val="yellow"/>
        </w:rPr>
        <w:t xml:space="preserve">agreeing to provide </w:t>
      </w:r>
      <w:r w:rsidR="00BD3121">
        <w:rPr>
          <w:sz w:val="24"/>
          <w:szCs w:val="24"/>
          <w:highlight w:val="yellow"/>
        </w:rPr>
        <w:t xml:space="preserve">biospecimen or environmental samples </w:t>
      </w:r>
      <w:r w:rsidR="00AD0ABD" w:rsidRPr="000345CB">
        <w:rPr>
          <w:sz w:val="24"/>
          <w:szCs w:val="24"/>
          <w:highlight w:val="yellow"/>
        </w:rPr>
        <w:t xml:space="preserve">will be offered </w:t>
      </w:r>
      <w:r w:rsidR="00DF556A">
        <w:rPr>
          <w:sz w:val="24"/>
          <w:szCs w:val="24"/>
          <w:highlight w:val="yellow"/>
        </w:rPr>
        <w:t xml:space="preserve">a </w:t>
      </w:r>
      <w:r w:rsidR="00AD0ABD" w:rsidRPr="000345CB">
        <w:rPr>
          <w:sz w:val="24"/>
          <w:szCs w:val="24"/>
          <w:highlight w:val="yellow"/>
        </w:rPr>
        <w:t xml:space="preserve">monetary incentive </w:t>
      </w:r>
      <w:r w:rsidR="00456433">
        <w:rPr>
          <w:sz w:val="24"/>
          <w:szCs w:val="24"/>
          <w:highlight w:val="yellow"/>
        </w:rPr>
        <w:t xml:space="preserve">or equivalent </w:t>
      </w:r>
      <w:r w:rsidR="00AD0ABD" w:rsidRPr="000345CB">
        <w:rPr>
          <w:sz w:val="24"/>
          <w:szCs w:val="24"/>
          <w:highlight w:val="yellow"/>
        </w:rPr>
        <w:t>not exceeding $25.</w:t>
      </w:r>
      <w:r w:rsidR="00AD0ABD">
        <w:rPr>
          <w:sz w:val="24"/>
          <w:szCs w:val="24"/>
        </w:rPr>
        <w:t xml:space="preserve">  </w:t>
      </w:r>
      <w:r w:rsidRPr="00FD71FF">
        <w:rPr>
          <w:sz w:val="24"/>
          <w:szCs w:val="24"/>
        </w:rPr>
        <w:t xml:space="preserve">Reimbursement will also be provided for any expenses incurred in research participation such as travel to and from the research centers, parking, etc. Small “gifts of appreciation” for continued participation will periodically be provided to participants. These may include items of small monetary value (for example, t-shirts, tote bags, etc.), and are intended as tokens of appreciation. In addition, incentives are planned to encourage health care providers and community leaders to provide responses to evaluation questions that will identify issues that are important for the </w:t>
      </w:r>
      <w:r w:rsidR="002D77B7">
        <w:rPr>
          <w:sz w:val="24"/>
          <w:szCs w:val="24"/>
        </w:rPr>
        <w:t>s</w:t>
      </w:r>
      <w:r w:rsidRPr="00FD71FF">
        <w:rPr>
          <w:sz w:val="24"/>
          <w:szCs w:val="24"/>
        </w:rPr>
        <w:t xml:space="preserve">tudy.  </w:t>
      </w:r>
    </w:p>
    <w:p w:rsidR="008D693A" w:rsidRPr="00FD71FF" w:rsidRDefault="008D693A" w:rsidP="00180BBD">
      <w:pPr>
        <w:spacing w:after="0" w:line="240" w:lineRule="auto"/>
        <w:rPr>
          <w:sz w:val="24"/>
          <w:szCs w:val="24"/>
        </w:rPr>
      </w:pPr>
    </w:p>
    <w:p w:rsidR="008D693A" w:rsidRPr="00FD71FF" w:rsidRDefault="008D693A" w:rsidP="00180BBD">
      <w:pPr>
        <w:widowControl w:val="0"/>
        <w:autoSpaceDE w:val="0"/>
        <w:autoSpaceDN w:val="0"/>
        <w:adjustRightInd w:val="0"/>
        <w:spacing w:after="0" w:line="240" w:lineRule="auto"/>
        <w:rPr>
          <w:sz w:val="24"/>
          <w:szCs w:val="24"/>
        </w:rPr>
      </w:pPr>
      <w:r w:rsidRPr="00FD71FF">
        <w:rPr>
          <w:sz w:val="24"/>
          <w:szCs w:val="24"/>
        </w:rPr>
        <w:t xml:space="preserve">The amount of incentives proposed by the NCS Program Office reflect the following criteria:  (a) the time and effort required of the participant for the particular visit or task; (b) the inconvenience to the participant – for example, whether the particular visit or task involves travelling to another location or takes place in the home; and (c) the invasiveness or sensitivity of the information requested.  Higher incentives and greater recognition are necessary to induce participation in activities that require more time and effort, are more invasive, involve more sensitive information, and are less convenient.  </w:t>
      </w:r>
    </w:p>
    <w:p w:rsidR="008D693A" w:rsidRPr="00FD71FF" w:rsidRDefault="008D693A" w:rsidP="00180BBD">
      <w:pPr>
        <w:widowControl w:val="0"/>
        <w:autoSpaceDE w:val="0"/>
        <w:autoSpaceDN w:val="0"/>
        <w:adjustRightInd w:val="0"/>
        <w:spacing w:after="0" w:line="240" w:lineRule="auto"/>
        <w:rPr>
          <w:sz w:val="24"/>
          <w:szCs w:val="24"/>
        </w:rPr>
      </w:pPr>
    </w:p>
    <w:p w:rsidR="002C7358" w:rsidRPr="00FD71FF" w:rsidRDefault="001312F0" w:rsidP="00180BBD">
      <w:pPr>
        <w:widowControl w:val="0"/>
        <w:autoSpaceDE w:val="0"/>
        <w:autoSpaceDN w:val="0"/>
        <w:adjustRightInd w:val="0"/>
        <w:spacing w:after="0" w:line="240" w:lineRule="auto"/>
        <w:rPr>
          <w:rFonts w:cs="Times New Roman"/>
          <w:sz w:val="24"/>
          <w:szCs w:val="24"/>
        </w:rPr>
      </w:pPr>
      <w:r>
        <w:rPr>
          <w:rFonts w:cs="Times New Roman"/>
          <w:sz w:val="24"/>
          <w:szCs w:val="24"/>
        </w:rPr>
        <w:t>In the proposed Recruitment Substudy</w:t>
      </w:r>
      <w:r w:rsidR="008D693A" w:rsidRPr="00FD71FF">
        <w:rPr>
          <w:rFonts w:cs="Times New Roman"/>
          <w:sz w:val="24"/>
          <w:szCs w:val="24"/>
        </w:rPr>
        <w:t xml:space="preserve">, data collection for the pre-conception through </w:t>
      </w:r>
      <w:r w:rsidR="00AD0ABD" w:rsidRPr="000345CB">
        <w:rPr>
          <w:rFonts w:cs="Times New Roman"/>
          <w:sz w:val="24"/>
          <w:szCs w:val="24"/>
          <w:highlight w:val="yellow"/>
        </w:rPr>
        <w:t>age 24 months</w:t>
      </w:r>
      <w:r w:rsidR="00AD0ABD" w:rsidRPr="00FD71FF">
        <w:rPr>
          <w:rFonts w:cs="Times New Roman"/>
          <w:sz w:val="24"/>
          <w:szCs w:val="24"/>
        </w:rPr>
        <w:t xml:space="preserve"> </w:t>
      </w:r>
      <w:r w:rsidR="008D693A" w:rsidRPr="00FD71FF">
        <w:rPr>
          <w:rFonts w:cs="Times New Roman"/>
          <w:sz w:val="24"/>
          <w:szCs w:val="24"/>
        </w:rPr>
        <w:t>visits wil</w:t>
      </w:r>
      <w:r w:rsidR="00BB7F69" w:rsidRPr="00FD71FF">
        <w:rPr>
          <w:rFonts w:cs="Times New Roman"/>
          <w:sz w:val="24"/>
          <w:szCs w:val="24"/>
        </w:rPr>
        <w:t xml:space="preserve">l </w:t>
      </w:r>
      <w:r w:rsidR="00AD0ABD" w:rsidRPr="002C7358">
        <w:rPr>
          <w:rFonts w:cs="Times New Roman"/>
          <w:sz w:val="24"/>
          <w:szCs w:val="24"/>
        </w:rPr>
        <w:t>feature</w:t>
      </w:r>
      <w:r w:rsidR="00BB7F69" w:rsidRPr="002C7358">
        <w:rPr>
          <w:rFonts w:cs="Times New Roman"/>
          <w:sz w:val="24"/>
          <w:szCs w:val="24"/>
        </w:rPr>
        <w:t xml:space="preserve"> </w:t>
      </w:r>
      <w:r w:rsidR="008D693A" w:rsidRPr="002C7358">
        <w:rPr>
          <w:rFonts w:cs="Times New Roman"/>
          <w:sz w:val="24"/>
          <w:szCs w:val="24"/>
        </w:rPr>
        <w:t xml:space="preserve">survey questionnaires </w:t>
      </w:r>
      <w:r w:rsidR="00AD0ABD" w:rsidRPr="002C7358">
        <w:rPr>
          <w:rFonts w:cs="Times New Roman"/>
          <w:sz w:val="24"/>
          <w:szCs w:val="24"/>
        </w:rPr>
        <w:t>ranging in length from</w:t>
      </w:r>
      <w:r w:rsidR="008D693A" w:rsidRPr="00FD71FF">
        <w:rPr>
          <w:rFonts w:cs="Times New Roman"/>
          <w:sz w:val="24"/>
          <w:szCs w:val="24"/>
        </w:rPr>
        <w:t xml:space="preserve"> 30-60 minutes.  This is a smaller time and burden commitment than </w:t>
      </w:r>
      <w:r w:rsidR="002C7358" w:rsidRPr="002C7358">
        <w:rPr>
          <w:rFonts w:cs="Times New Roman"/>
          <w:sz w:val="24"/>
          <w:szCs w:val="24"/>
          <w:highlight w:val="yellow"/>
        </w:rPr>
        <w:t>was experienced</w:t>
      </w:r>
      <w:r w:rsidR="008D693A" w:rsidRPr="00FD71FF">
        <w:rPr>
          <w:rFonts w:cs="Times New Roman"/>
          <w:sz w:val="24"/>
          <w:szCs w:val="24"/>
        </w:rPr>
        <w:t xml:space="preserve"> in the Initial Vanguard Study.  </w:t>
      </w:r>
      <w:r w:rsidR="008D693A" w:rsidRPr="00FD71FF">
        <w:rPr>
          <w:rFonts w:cs="Times New Roman"/>
          <w:sz w:val="24"/>
          <w:szCs w:val="24"/>
        </w:rPr>
        <w:lastRenderedPageBreak/>
        <w:t xml:space="preserve">Participants will receive a remuneration equivalent to $25 for completion of </w:t>
      </w:r>
      <w:r w:rsidR="007D1F0C">
        <w:rPr>
          <w:rFonts w:cs="Times New Roman"/>
          <w:sz w:val="24"/>
          <w:szCs w:val="24"/>
        </w:rPr>
        <w:t>s</w:t>
      </w:r>
      <w:r w:rsidR="008D693A" w:rsidRPr="00FD71FF">
        <w:rPr>
          <w:rFonts w:cs="Times New Roman"/>
          <w:sz w:val="24"/>
          <w:szCs w:val="24"/>
        </w:rPr>
        <w:t xml:space="preserve">tudy </w:t>
      </w:r>
      <w:r w:rsidR="008D693A" w:rsidRPr="002C7358">
        <w:rPr>
          <w:rFonts w:cs="Times New Roman"/>
          <w:sz w:val="24"/>
          <w:szCs w:val="24"/>
        </w:rPr>
        <w:t>questionnaires.</w:t>
      </w:r>
      <w:r w:rsidR="002C7358" w:rsidRPr="002C7358">
        <w:rPr>
          <w:rFonts w:cs="Times New Roman"/>
          <w:sz w:val="24"/>
          <w:szCs w:val="24"/>
        </w:rPr>
        <w:t xml:space="preserve"> This is comparable to the amounts given to Initial Vanguard Study participants for completing self-administered questionnaires of comparable duration.</w:t>
      </w:r>
      <w:r w:rsidR="002C7358" w:rsidRPr="00FD71FF">
        <w:rPr>
          <w:rFonts w:cs="Times New Roman"/>
          <w:sz w:val="24"/>
          <w:szCs w:val="24"/>
        </w:rPr>
        <w:t xml:space="preserve">  </w:t>
      </w:r>
    </w:p>
    <w:p w:rsidR="002C7358" w:rsidRDefault="002C7358" w:rsidP="00180BBD">
      <w:pPr>
        <w:widowControl w:val="0"/>
        <w:autoSpaceDE w:val="0"/>
        <w:autoSpaceDN w:val="0"/>
        <w:adjustRightInd w:val="0"/>
        <w:spacing w:after="0" w:line="240" w:lineRule="auto"/>
        <w:rPr>
          <w:rFonts w:cs="Times New Roman"/>
          <w:sz w:val="24"/>
          <w:szCs w:val="24"/>
        </w:rPr>
      </w:pPr>
    </w:p>
    <w:p w:rsidR="008D693A" w:rsidRDefault="00AD0ABD" w:rsidP="00E22A6E">
      <w:pPr>
        <w:widowControl w:val="0"/>
        <w:autoSpaceDE w:val="0"/>
        <w:autoSpaceDN w:val="0"/>
        <w:adjustRightInd w:val="0"/>
        <w:spacing w:after="0" w:line="240" w:lineRule="auto"/>
        <w:rPr>
          <w:rFonts w:cs="Times New Roman"/>
          <w:sz w:val="24"/>
          <w:szCs w:val="24"/>
        </w:rPr>
      </w:pPr>
      <w:r w:rsidRPr="000345CB">
        <w:rPr>
          <w:rFonts w:cs="Times New Roman"/>
          <w:sz w:val="24"/>
          <w:szCs w:val="24"/>
          <w:highlight w:val="yellow"/>
        </w:rPr>
        <w:t>In addition, bio</w:t>
      </w:r>
      <w:r w:rsidR="002C7358">
        <w:rPr>
          <w:rFonts w:cs="Times New Roman"/>
          <w:sz w:val="24"/>
          <w:szCs w:val="24"/>
          <w:highlight w:val="yellow"/>
        </w:rPr>
        <w:t>-</w:t>
      </w:r>
      <w:r w:rsidRPr="000345CB">
        <w:rPr>
          <w:rFonts w:cs="Times New Roman"/>
          <w:sz w:val="24"/>
          <w:szCs w:val="24"/>
          <w:highlight w:val="yellow"/>
        </w:rPr>
        <w:t>specimens and environmental samples will be collected at two</w:t>
      </w:r>
      <w:r w:rsidR="00BD3121">
        <w:rPr>
          <w:rFonts w:cs="Times New Roman"/>
          <w:sz w:val="24"/>
          <w:szCs w:val="24"/>
          <w:highlight w:val="yellow"/>
        </w:rPr>
        <w:t xml:space="preserve"> of the following</w:t>
      </w:r>
      <w:r w:rsidRPr="000345CB">
        <w:rPr>
          <w:rFonts w:cs="Times New Roman"/>
          <w:sz w:val="24"/>
          <w:szCs w:val="24"/>
          <w:highlight w:val="yellow"/>
        </w:rPr>
        <w:t xml:space="preserve"> in-person visits</w:t>
      </w:r>
      <w:r w:rsidR="00BD3121">
        <w:rPr>
          <w:rFonts w:cs="Times New Roman"/>
          <w:sz w:val="24"/>
          <w:szCs w:val="24"/>
          <w:highlight w:val="yellow"/>
        </w:rPr>
        <w:t>: Pre-pregnancy</w:t>
      </w:r>
      <w:r w:rsidR="00E57E8C">
        <w:rPr>
          <w:rFonts w:cs="Times New Roman"/>
          <w:sz w:val="24"/>
          <w:szCs w:val="24"/>
          <w:highlight w:val="yellow"/>
        </w:rPr>
        <w:t xml:space="preserve"> Visit, Pregnancy Visit 1, and (in cases where the Pre-pregnancy Visit was not completed) at Pregnancy Visit 2. For provision for any combination of the following bio</w:t>
      </w:r>
      <w:r w:rsidR="002C7358">
        <w:rPr>
          <w:rFonts w:cs="Times New Roman"/>
          <w:sz w:val="24"/>
          <w:szCs w:val="24"/>
          <w:highlight w:val="yellow"/>
        </w:rPr>
        <w:t>-</w:t>
      </w:r>
      <w:r w:rsidR="00E57E8C">
        <w:rPr>
          <w:rFonts w:cs="Times New Roman"/>
          <w:sz w:val="24"/>
          <w:szCs w:val="24"/>
          <w:highlight w:val="yellow"/>
        </w:rPr>
        <w:t xml:space="preserve">specimens and samples, a monetary incentive </w:t>
      </w:r>
      <w:r w:rsidR="00456433">
        <w:rPr>
          <w:rFonts w:cs="Times New Roman"/>
          <w:sz w:val="24"/>
          <w:szCs w:val="24"/>
          <w:highlight w:val="yellow"/>
        </w:rPr>
        <w:t xml:space="preserve">or equivalent </w:t>
      </w:r>
      <w:r w:rsidR="00E57E8C">
        <w:rPr>
          <w:rFonts w:cs="Times New Roman"/>
          <w:sz w:val="24"/>
          <w:szCs w:val="24"/>
          <w:highlight w:val="yellow"/>
        </w:rPr>
        <w:t xml:space="preserve">not exceeding $25 will be offered to </w:t>
      </w:r>
      <w:r w:rsidR="002C7358">
        <w:rPr>
          <w:rFonts w:cs="Times New Roman"/>
          <w:sz w:val="24"/>
          <w:szCs w:val="24"/>
          <w:highlight w:val="yellow"/>
        </w:rPr>
        <w:t>participants</w:t>
      </w:r>
      <w:r w:rsidR="00915AE5">
        <w:rPr>
          <w:rFonts w:cs="Times New Roman"/>
          <w:sz w:val="24"/>
          <w:szCs w:val="24"/>
          <w:highlight w:val="yellow"/>
        </w:rPr>
        <w:t>,</w:t>
      </w:r>
      <w:r w:rsidR="00E5114F" w:rsidRPr="00E5114F">
        <w:rPr>
          <w:sz w:val="24"/>
          <w:szCs w:val="24"/>
          <w:highlight w:val="yellow"/>
        </w:rPr>
        <w:t xml:space="preserve"> </w:t>
      </w:r>
      <w:r w:rsidR="00E5114F">
        <w:rPr>
          <w:sz w:val="24"/>
          <w:szCs w:val="24"/>
          <w:highlight w:val="yellow"/>
        </w:rPr>
        <w:t xml:space="preserve">per </w:t>
      </w:r>
      <w:r w:rsidR="00915AE5">
        <w:rPr>
          <w:sz w:val="24"/>
          <w:szCs w:val="24"/>
          <w:highlight w:val="yellow"/>
        </w:rPr>
        <w:t>visit</w:t>
      </w:r>
      <w:r w:rsidR="00E5114F">
        <w:rPr>
          <w:sz w:val="24"/>
          <w:szCs w:val="24"/>
          <w:highlight w:val="yellow"/>
        </w:rPr>
        <w:t xml:space="preserve">, in addition to </w:t>
      </w:r>
      <w:r w:rsidR="00915AE5">
        <w:rPr>
          <w:sz w:val="24"/>
          <w:szCs w:val="24"/>
          <w:highlight w:val="yellow"/>
        </w:rPr>
        <w:t xml:space="preserve">questionnaire </w:t>
      </w:r>
      <w:r w:rsidR="00E5114F">
        <w:rPr>
          <w:sz w:val="24"/>
          <w:szCs w:val="24"/>
          <w:highlight w:val="yellow"/>
        </w:rPr>
        <w:t>incentives</w:t>
      </w:r>
      <w:r w:rsidR="002C7358">
        <w:rPr>
          <w:rFonts w:cs="Times New Roman"/>
          <w:sz w:val="24"/>
          <w:szCs w:val="24"/>
          <w:highlight w:val="yellow"/>
        </w:rPr>
        <w:t xml:space="preserve">: venous blood, urine, household dust, and tap water. </w:t>
      </w:r>
      <w:r w:rsidR="00E57E8C">
        <w:rPr>
          <w:rFonts w:cs="Times New Roman"/>
          <w:sz w:val="24"/>
          <w:szCs w:val="24"/>
          <w:highlight w:val="yellow"/>
        </w:rPr>
        <w:t xml:space="preserve"> Cord </w:t>
      </w:r>
      <w:r w:rsidR="002C7358">
        <w:rPr>
          <w:rFonts w:cs="Times New Roman"/>
          <w:sz w:val="24"/>
          <w:szCs w:val="24"/>
          <w:highlight w:val="yellow"/>
        </w:rPr>
        <w:t>b</w:t>
      </w:r>
      <w:r w:rsidR="00E57E8C">
        <w:rPr>
          <w:rFonts w:cs="Times New Roman"/>
          <w:sz w:val="24"/>
          <w:szCs w:val="24"/>
          <w:highlight w:val="yellow"/>
        </w:rPr>
        <w:t>lood will be collected during the Birth Visit with prior consent of woman participants.</w:t>
      </w:r>
      <w:r w:rsidRPr="000345CB">
        <w:rPr>
          <w:rFonts w:cs="Times New Roman"/>
          <w:sz w:val="24"/>
          <w:szCs w:val="24"/>
          <w:highlight w:val="yellow"/>
        </w:rPr>
        <w:t xml:space="preserve"> Participants will receive an additional </w:t>
      </w:r>
      <w:r w:rsidR="00915AE5">
        <w:rPr>
          <w:rFonts w:cs="Times New Roman"/>
          <w:sz w:val="24"/>
          <w:szCs w:val="24"/>
          <w:highlight w:val="yellow"/>
        </w:rPr>
        <w:t xml:space="preserve">monetary incentive </w:t>
      </w:r>
      <w:r w:rsidR="00456433">
        <w:rPr>
          <w:rFonts w:cs="Times New Roman"/>
          <w:sz w:val="24"/>
          <w:szCs w:val="24"/>
          <w:highlight w:val="yellow"/>
        </w:rPr>
        <w:t xml:space="preserve">or equivalent </w:t>
      </w:r>
      <w:r w:rsidR="00915AE5">
        <w:rPr>
          <w:rFonts w:cs="Times New Roman"/>
          <w:sz w:val="24"/>
          <w:szCs w:val="24"/>
          <w:highlight w:val="yellow"/>
        </w:rPr>
        <w:t>of</w:t>
      </w:r>
      <w:r w:rsidRPr="000345CB">
        <w:rPr>
          <w:rFonts w:cs="Times New Roman"/>
          <w:sz w:val="24"/>
          <w:szCs w:val="24"/>
          <w:highlight w:val="yellow"/>
        </w:rPr>
        <w:t xml:space="preserve"> $25 for providing </w:t>
      </w:r>
      <w:r w:rsidR="00E57E8C">
        <w:rPr>
          <w:rFonts w:cs="Times New Roman"/>
          <w:sz w:val="24"/>
          <w:szCs w:val="24"/>
          <w:highlight w:val="yellow"/>
        </w:rPr>
        <w:t xml:space="preserve">the cord </w:t>
      </w:r>
      <w:r w:rsidRPr="000345CB">
        <w:rPr>
          <w:rFonts w:cs="Times New Roman"/>
          <w:sz w:val="24"/>
          <w:szCs w:val="24"/>
          <w:highlight w:val="yellow"/>
        </w:rPr>
        <w:t>blood</w:t>
      </w:r>
      <w:r w:rsidR="00E57E8C">
        <w:rPr>
          <w:rFonts w:cs="Times New Roman"/>
          <w:sz w:val="24"/>
          <w:szCs w:val="24"/>
          <w:highlight w:val="yellow"/>
        </w:rPr>
        <w:t xml:space="preserve"> sample.</w:t>
      </w:r>
      <w:r w:rsidR="00BB7F69" w:rsidRPr="00FD71FF">
        <w:rPr>
          <w:rFonts w:cs="Times New Roman"/>
          <w:sz w:val="24"/>
          <w:szCs w:val="24"/>
        </w:rPr>
        <w:t xml:space="preserve"> </w:t>
      </w:r>
    </w:p>
    <w:p w:rsidR="00E22A6E" w:rsidRPr="00FD71FF" w:rsidRDefault="00E22A6E" w:rsidP="00E22A6E">
      <w:pPr>
        <w:widowControl w:val="0"/>
        <w:autoSpaceDE w:val="0"/>
        <w:autoSpaceDN w:val="0"/>
        <w:adjustRightInd w:val="0"/>
        <w:spacing w:after="0" w:line="240" w:lineRule="auto"/>
        <w:rPr>
          <w:rFonts w:cs="Times New Roman"/>
          <w:sz w:val="24"/>
          <w:szCs w:val="24"/>
        </w:rPr>
      </w:pPr>
    </w:p>
    <w:tbl>
      <w:tblPr>
        <w:tblStyle w:val="LightList-Accent5"/>
        <w:tblW w:w="5000" w:type="pct"/>
        <w:tblBorders>
          <w:top w:val="single" w:sz="4" w:space="0" w:color="auto"/>
          <w:left w:val="none" w:sz="0" w:space="0" w:color="auto"/>
          <w:bottom w:val="single" w:sz="4" w:space="0" w:color="auto"/>
          <w:right w:val="none" w:sz="0" w:space="0" w:color="auto"/>
          <w:insideH w:val="single" w:sz="4" w:space="0" w:color="auto"/>
        </w:tblBorders>
        <w:tblLook w:val="04A0"/>
      </w:tblPr>
      <w:tblGrid>
        <w:gridCol w:w="2718"/>
        <w:gridCol w:w="2160"/>
        <w:gridCol w:w="2520"/>
        <w:gridCol w:w="2178"/>
      </w:tblGrid>
      <w:tr w:rsidR="00AD0ABD" w:rsidRPr="00FD71FF" w:rsidTr="00A11BD5">
        <w:trPr>
          <w:cnfStyle w:val="100000000000"/>
          <w:trHeight w:val="323"/>
        </w:trPr>
        <w:tc>
          <w:tcPr>
            <w:cnfStyle w:val="001000000000"/>
            <w:tcW w:w="5000" w:type="pct"/>
            <w:gridSpan w:val="4"/>
            <w:tcBorders>
              <w:left w:val="single" w:sz="4" w:space="0" w:color="auto"/>
              <w:bottom w:val="single" w:sz="4" w:space="0" w:color="auto"/>
              <w:right w:val="single" w:sz="4" w:space="0" w:color="auto"/>
            </w:tcBorders>
            <w:shd w:val="clear" w:color="auto" w:fill="FFFFFF" w:themeFill="background1"/>
          </w:tcPr>
          <w:p w:rsidR="00AE4CFB" w:rsidRDefault="00AD0ABD" w:rsidP="00AE4CFB">
            <w:pPr>
              <w:spacing w:line="480" w:lineRule="auto"/>
              <w:ind w:right="789"/>
              <w:rPr>
                <w:sz w:val="24"/>
                <w:szCs w:val="24"/>
              </w:rPr>
            </w:pPr>
            <w:r>
              <w:rPr>
                <w:color w:val="auto"/>
                <w:sz w:val="24"/>
                <w:szCs w:val="24"/>
              </w:rPr>
              <w:t>Table A.1</w:t>
            </w:r>
            <w:r w:rsidRPr="00FD71FF">
              <w:rPr>
                <w:color w:val="auto"/>
                <w:sz w:val="24"/>
                <w:szCs w:val="24"/>
              </w:rPr>
              <w:t>. NCS Incentives, by Study Activity and Impact on Participants</w:t>
            </w:r>
          </w:p>
        </w:tc>
      </w:tr>
      <w:tr w:rsidR="00BA5E31" w:rsidRPr="00FD71FF" w:rsidTr="00AE4CFB">
        <w:trPr>
          <w:cnfStyle w:val="000000100000"/>
          <w:trHeight w:val="503"/>
        </w:trPr>
        <w:tc>
          <w:tcPr>
            <w:cnfStyle w:val="001000000000"/>
            <w:tcW w:w="1419" w:type="pct"/>
            <w:tcBorders>
              <w:top w:val="single" w:sz="4" w:space="0" w:color="auto"/>
              <w:left w:val="single" w:sz="4" w:space="0" w:color="auto"/>
              <w:bottom w:val="nil"/>
            </w:tcBorders>
            <w:shd w:val="clear" w:color="auto" w:fill="FFFFFF" w:themeFill="background1"/>
          </w:tcPr>
          <w:p w:rsidR="00EC0871" w:rsidRPr="00FD71FF" w:rsidRDefault="00EC0871" w:rsidP="00180BBD">
            <w:pPr>
              <w:rPr>
                <w:sz w:val="24"/>
                <w:szCs w:val="24"/>
              </w:rPr>
            </w:pPr>
            <w:r w:rsidRPr="00FD71FF">
              <w:rPr>
                <w:sz w:val="24"/>
                <w:szCs w:val="24"/>
              </w:rPr>
              <w:t>Data Collection Activity Characteristics</w:t>
            </w:r>
          </w:p>
        </w:tc>
        <w:tc>
          <w:tcPr>
            <w:tcW w:w="1128" w:type="pct"/>
            <w:tcBorders>
              <w:top w:val="single" w:sz="4" w:space="0" w:color="auto"/>
              <w:bottom w:val="nil"/>
            </w:tcBorders>
            <w:shd w:val="clear" w:color="auto" w:fill="FFFFFF" w:themeFill="background1"/>
          </w:tcPr>
          <w:p w:rsidR="00EC0871" w:rsidRPr="00FD71FF" w:rsidRDefault="00EC0871" w:rsidP="00180BBD">
            <w:pPr>
              <w:cnfStyle w:val="000000100000"/>
              <w:rPr>
                <w:b/>
                <w:sz w:val="24"/>
                <w:szCs w:val="24"/>
              </w:rPr>
            </w:pPr>
            <w:r w:rsidRPr="00FD71FF">
              <w:rPr>
                <w:b/>
                <w:sz w:val="24"/>
                <w:szCs w:val="24"/>
              </w:rPr>
              <w:t>Initial NCS Vanguard Study</w:t>
            </w:r>
          </w:p>
        </w:tc>
        <w:tc>
          <w:tcPr>
            <w:tcW w:w="2453" w:type="pct"/>
            <w:gridSpan w:val="2"/>
            <w:tcBorders>
              <w:top w:val="single" w:sz="4" w:space="0" w:color="auto"/>
              <w:bottom w:val="single" w:sz="4" w:space="0" w:color="auto"/>
              <w:right w:val="single" w:sz="4" w:space="0" w:color="auto"/>
            </w:tcBorders>
            <w:shd w:val="clear" w:color="auto" w:fill="FFFFFF" w:themeFill="background1"/>
          </w:tcPr>
          <w:p w:rsidR="00EC0871" w:rsidRPr="00FD71FF" w:rsidRDefault="00EC0871" w:rsidP="00180BBD">
            <w:pPr>
              <w:jc w:val="center"/>
              <w:cnfStyle w:val="000000100000"/>
              <w:rPr>
                <w:b/>
                <w:sz w:val="24"/>
                <w:szCs w:val="24"/>
              </w:rPr>
            </w:pPr>
            <w:r w:rsidRPr="00FD71FF">
              <w:rPr>
                <w:b/>
                <w:sz w:val="24"/>
                <w:szCs w:val="24"/>
              </w:rPr>
              <w:t>NCS Recruitment Substudy</w:t>
            </w:r>
          </w:p>
        </w:tc>
      </w:tr>
      <w:tr w:rsidR="00EC0871" w:rsidRPr="00FD71FF" w:rsidTr="00AE4CFB">
        <w:tc>
          <w:tcPr>
            <w:cnfStyle w:val="001000000000"/>
            <w:tcW w:w="2547" w:type="pct"/>
            <w:gridSpan w:val="2"/>
            <w:tcBorders>
              <w:top w:val="nil"/>
              <w:left w:val="single" w:sz="4" w:space="0" w:color="auto"/>
            </w:tcBorders>
          </w:tcPr>
          <w:p w:rsidR="00EC0871" w:rsidRPr="00FD71FF" w:rsidRDefault="00EC0871" w:rsidP="00180BBD">
            <w:pPr>
              <w:rPr>
                <w:sz w:val="24"/>
                <w:szCs w:val="24"/>
              </w:rPr>
            </w:pPr>
          </w:p>
        </w:tc>
        <w:tc>
          <w:tcPr>
            <w:tcW w:w="1316" w:type="pct"/>
            <w:tcBorders>
              <w:top w:val="single" w:sz="4" w:space="0" w:color="auto"/>
            </w:tcBorders>
          </w:tcPr>
          <w:p w:rsidR="00EC0871" w:rsidRPr="00FB1E20" w:rsidRDefault="00EC0871" w:rsidP="00180BBD">
            <w:pPr>
              <w:cnfStyle w:val="000000000000"/>
              <w:rPr>
                <w:sz w:val="24"/>
                <w:szCs w:val="24"/>
                <w:highlight w:val="yellow"/>
              </w:rPr>
            </w:pPr>
            <w:r w:rsidRPr="00FB1E20">
              <w:rPr>
                <w:sz w:val="24"/>
                <w:szCs w:val="24"/>
                <w:highlight w:val="yellow"/>
              </w:rPr>
              <w:t>Phase 1</w:t>
            </w:r>
          </w:p>
        </w:tc>
        <w:tc>
          <w:tcPr>
            <w:tcW w:w="1137" w:type="pct"/>
            <w:tcBorders>
              <w:top w:val="single" w:sz="4" w:space="0" w:color="auto"/>
              <w:right w:val="single" w:sz="4" w:space="0" w:color="auto"/>
            </w:tcBorders>
          </w:tcPr>
          <w:p w:rsidR="00EC0871" w:rsidRPr="00FB1E20" w:rsidRDefault="00EC0871" w:rsidP="00180BBD">
            <w:pPr>
              <w:cnfStyle w:val="000000000000"/>
              <w:rPr>
                <w:sz w:val="24"/>
                <w:szCs w:val="24"/>
                <w:highlight w:val="yellow"/>
              </w:rPr>
            </w:pPr>
            <w:r w:rsidRPr="00FB1E20">
              <w:rPr>
                <w:sz w:val="24"/>
                <w:szCs w:val="24"/>
                <w:highlight w:val="yellow"/>
              </w:rPr>
              <w:t>Phase 2</w:t>
            </w:r>
          </w:p>
        </w:tc>
      </w:tr>
      <w:tr w:rsidR="00EC0871" w:rsidRPr="00FD71FF" w:rsidTr="00AE4CFB">
        <w:trPr>
          <w:cnfStyle w:val="000000100000"/>
        </w:trPr>
        <w:tc>
          <w:tcPr>
            <w:cnfStyle w:val="001000000000"/>
            <w:tcW w:w="1419" w:type="pct"/>
            <w:tcBorders>
              <w:top w:val="single" w:sz="4" w:space="0" w:color="auto"/>
              <w:left w:val="single" w:sz="4" w:space="0" w:color="auto"/>
            </w:tcBorders>
          </w:tcPr>
          <w:p w:rsidR="00AD0ABD" w:rsidRPr="00FD71FF" w:rsidRDefault="00AD0ABD" w:rsidP="00180BBD">
            <w:pPr>
              <w:rPr>
                <w:b w:val="0"/>
                <w:sz w:val="24"/>
                <w:szCs w:val="24"/>
              </w:rPr>
            </w:pPr>
            <w:r w:rsidRPr="00FD71FF">
              <w:rPr>
                <w:b w:val="0"/>
                <w:sz w:val="24"/>
                <w:szCs w:val="24"/>
              </w:rPr>
              <w:t>Time for encounter</w:t>
            </w:r>
          </w:p>
        </w:tc>
        <w:tc>
          <w:tcPr>
            <w:tcW w:w="1128" w:type="pct"/>
            <w:tcBorders>
              <w:top w:val="single" w:sz="4" w:space="0" w:color="auto"/>
            </w:tcBorders>
          </w:tcPr>
          <w:p w:rsidR="00AD0ABD" w:rsidRPr="00FD71FF" w:rsidRDefault="00AD0ABD" w:rsidP="00180BBD">
            <w:pPr>
              <w:cnfStyle w:val="000000100000"/>
              <w:rPr>
                <w:sz w:val="24"/>
                <w:szCs w:val="24"/>
              </w:rPr>
            </w:pPr>
            <w:r w:rsidRPr="00FD71FF">
              <w:rPr>
                <w:sz w:val="24"/>
                <w:szCs w:val="24"/>
              </w:rPr>
              <w:t>3 hours</w:t>
            </w:r>
          </w:p>
        </w:tc>
        <w:tc>
          <w:tcPr>
            <w:tcW w:w="1316" w:type="pct"/>
            <w:tcBorders>
              <w:top w:val="single" w:sz="4" w:space="0" w:color="auto"/>
            </w:tcBorders>
          </w:tcPr>
          <w:p w:rsidR="00AD0ABD" w:rsidRPr="00FD71FF" w:rsidRDefault="00AD0ABD" w:rsidP="00180BBD">
            <w:pPr>
              <w:cnfStyle w:val="000000100000"/>
              <w:rPr>
                <w:sz w:val="24"/>
                <w:szCs w:val="24"/>
              </w:rPr>
            </w:pPr>
            <w:r w:rsidRPr="00FD71FF">
              <w:rPr>
                <w:sz w:val="24"/>
                <w:szCs w:val="24"/>
              </w:rPr>
              <w:t>0.5 to 1 hour</w:t>
            </w:r>
          </w:p>
        </w:tc>
        <w:tc>
          <w:tcPr>
            <w:tcW w:w="1137" w:type="pct"/>
            <w:tcBorders>
              <w:top w:val="single" w:sz="4" w:space="0" w:color="auto"/>
              <w:right w:val="single" w:sz="4" w:space="0" w:color="auto"/>
            </w:tcBorders>
          </w:tcPr>
          <w:p w:rsidR="00AD0ABD" w:rsidRPr="00FB1E20" w:rsidRDefault="00EC0871" w:rsidP="00180BBD">
            <w:pPr>
              <w:cnfStyle w:val="000000100000"/>
              <w:rPr>
                <w:sz w:val="24"/>
                <w:szCs w:val="24"/>
                <w:highlight w:val="yellow"/>
              </w:rPr>
            </w:pPr>
            <w:r w:rsidRPr="00FB1E20">
              <w:rPr>
                <w:sz w:val="24"/>
                <w:szCs w:val="24"/>
                <w:highlight w:val="yellow"/>
              </w:rPr>
              <w:t>0.5 to 1 hour</w:t>
            </w:r>
          </w:p>
        </w:tc>
      </w:tr>
      <w:tr w:rsidR="00EC0871" w:rsidRPr="00FD71FF" w:rsidTr="00AE4CFB">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 xml:space="preserve">Sensitivity of questions </w:t>
            </w:r>
          </w:p>
        </w:tc>
        <w:tc>
          <w:tcPr>
            <w:tcW w:w="1128" w:type="pct"/>
          </w:tcPr>
          <w:p w:rsidR="00AD0ABD" w:rsidRPr="00FD71FF" w:rsidRDefault="00AD0ABD" w:rsidP="00180BBD">
            <w:pPr>
              <w:cnfStyle w:val="000000000000"/>
              <w:rPr>
                <w:sz w:val="24"/>
                <w:szCs w:val="24"/>
              </w:rPr>
            </w:pPr>
            <w:r w:rsidRPr="00FD71FF">
              <w:rPr>
                <w:sz w:val="24"/>
                <w:szCs w:val="24"/>
              </w:rPr>
              <w:t>Sensitive, including sexual activity</w:t>
            </w:r>
          </w:p>
        </w:tc>
        <w:tc>
          <w:tcPr>
            <w:tcW w:w="1316" w:type="pct"/>
          </w:tcPr>
          <w:p w:rsidR="00AD0ABD" w:rsidRPr="00FD71FF" w:rsidRDefault="00AD0ABD" w:rsidP="00180BBD">
            <w:pPr>
              <w:cnfStyle w:val="000000000000"/>
              <w:rPr>
                <w:sz w:val="24"/>
                <w:szCs w:val="24"/>
              </w:rPr>
            </w:pPr>
            <w:r w:rsidRPr="00FD71FF">
              <w:rPr>
                <w:sz w:val="24"/>
                <w:szCs w:val="24"/>
              </w:rPr>
              <w:t>Few sensitive questions</w:t>
            </w:r>
          </w:p>
        </w:tc>
        <w:tc>
          <w:tcPr>
            <w:tcW w:w="1137" w:type="pct"/>
            <w:tcBorders>
              <w:right w:val="single" w:sz="4" w:space="0" w:color="auto"/>
            </w:tcBorders>
          </w:tcPr>
          <w:p w:rsidR="00AD0ABD" w:rsidRPr="00FB1E20" w:rsidRDefault="00EC0871" w:rsidP="00180BBD">
            <w:pPr>
              <w:cnfStyle w:val="000000000000"/>
              <w:rPr>
                <w:sz w:val="24"/>
                <w:szCs w:val="24"/>
                <w:highlight w:val="yellow"/>
              </w:rPr>
            </w:pPr>
            <w:r w:rsidRPr="00FB1E20">
              <w:rPr>
                <w:sz w:val="24"/>
                <w:szCs w:val="24"/>
                <w:highlight w:val="yellow"/>
              </w:rPr>
              <w:t>Few sensitive questions</w:t>
            </w:r>
          </w:p>
        </w:tc>
      </w:tr>
      <w:tr w:rsidR="00EC0871" w:rsidRPr="00FD71FF" w:rsidTr="00AE4CFB">
        <w:trPr>
          <w:cnfStyle w:val="000000100000"/>
          <w:trHeight w:val="367"/>
        </w:trPr>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 xml:space="preserve">Physical measures </w:t>
            </w:r>
          </w:p>
        </w:tc>
        <w:tc>
          <w:tcPr>
            <w:tcW w:w="1128" w:type="pct"/>
          </w:tcPr>
          <w:p w:rsidR="00AD0ABD" w:rsidRPr="00FD71FF" w:rsidRDefault="00AD0ABD" w:rsidP="00180BBD">
            <w:pPr>
              <w:cnfStyle w:val="000000100000"/>
              <w:rPr>
                <w:sz w:val="24"/>
                <w:szCs w:val="24"/>
              </w:rPr>
            </w:pPr>
            <w:r w:rsidRPr="00FD71FF">
              <w:rPr>
                <w:sz w:val="24"/>
                <w:szCs w:val="24"/>
              </w:rPr>
              <w:t>Yes</w:t>
            </w:r>
          </w:p>
        </w:tc>
        <w:tc>
          <w:tcPr>
            <w:tcW w:w="1316" w:type="pct"/>
          </w:tcPr>
          <w:p w:rsidR="00AD0ABD" w:rsidRPr="00FD71FF" w:rsidRDefault="00AD0ABD" w:rsidP="00180BBD">
            <w:pPr>
              <w:cnfStyle w:val="000000100000"/>
              <w:rPr>
                <w:sz w:val="24"/>
                <w:szCs w:val="24"/>
              </w:rPr>
            </w:pPr>
            <w:r w:rsidRPr="00FD71FF">
              <w:rPr>
                <w:sz w:val="24"/>
                <w:szCs w:val="24"/>
              </w:rPr>
              <w:t>No</w:t>
            </w:r>
          </w:p>
        </w:tc>
        <w:tc>
          <w:tcPr>
            <w:tcW w:w="1137" w:type="pct"/>
            <w:tcBorders>
              <w:right w:val="single" w:sz="4" w:space="0" w:color="auto"/>
            </w:tcBorders>
          </w:tcPr>
          <w:p w:rsidR="00AD0ABD" w:rsidRPr="00FB1E20" w:rsidRDefault="00EC0871" w:rsidP="00180BBD">
            <w:pPr>
              <w:cnfStyle w:val="000000100000"/>
              <w:rPr>
                <w:sz w:val="24"/>
                <w:szCs w:val="24"/>
                <w:highlight w:val="yellow"/>
              </w:rPr>
            </w:pPr>
            <w:r w:rsidRPr="00FB1E20">
              <w:rPr>
                <w:sz w:val="24"/>
                <w:szCs w:val="24"/>
                <w:highlight w:val="yellow"/>
              </w:rPr>
              <w:t>No</w:t>
            </w:r>
          </w:p>
        </w:tc>
      </w:tr>
      <w:tr w:rsidR="00EC0871" w:rsidRPr="00FD71FF" w:rsidTr="00AE4CFB">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 xml:space="preserve">Environmental specimens </w:t>
            </w:r>
          </w:p>
        </w:tc>
        <w:tc>
          <w:tcPr>
            <w:tcW w:w="1128" w:type="pct"/>
          </w:tcPr>
          <w:p w:rsidR="00AD0ABD" w:rsidRPr="00FD71FF" w:rsidRDefault="00AD0ABD" w:rsidP="00180BBD">
            <w:pPr>
              <w:cnfStyle w:val="000000000000"/>
              <w:rPr>
                <w:sz w:val="24"/>
                <w:szCs w:val="24"/>
              </w:rPr>
            </w:pPr>
            <w:r w:rsidRPr="00FD71FF">
              <w:rPr>
                <w:sz w:val="24"/>
                <w:szCs w:val="24"/>
              </w:rPr>
              <w:t>Yes</w:t>
            </w:r>
          </w:p>
        </w:tc>
        <w:tc>
          <w:tcPr>
            <w:tcW w:w="1316" w:type="pct"/>
          </w:tcPr>
          <w:p w:rsidR="00AD0ABD" w:rsidRPr="00FD71FF" w:rsidRDefault="00AD0ABD" w:rsidP="00180BBD">
            <w:pPr>
              <w:cnfStyle w:val="000000000000"/>
              <w:rPr>
                <w:sz w:val="24"/>
                <w:szCs w:val="24"/>
              </w:rPr>
            </w:pPr>
            <w:r w:rsidRPr="00FD71FF">
              <w:rPr>
                <w:sz w:val="24"/>
                <w:szCs w:val="24"/>
              </w:rPr>
              <w:t>No</w:t>
            </w:r>
          </w:p>
        </w:tc>
        <w:tc>
          <w:tcPr>
            <w:tcW w:w="1137" w:type="pct"/>
            <w:tcBorders>
              <w:right w:val="single" w:sz="4" w:space="0" w:color="auto"/>
            </w:tcBorders>
          </w:tcPr>
          <w:p w:rsidR="00AD0ABD" w:rsidRPr="00FB1E20" w:rsidRDefault="00EC0871" w:rsidP="00180BBD">
            <w:pPr>
              <w:cnfStyle w:val="000000000000"/>
              <w:rPr>
                <w:sz w:val="24"/>
                <w:szCs w:val="24"/>
                <w:highlight w:val="yellow"/>
              </w:rPr>
            </w:pPr>
            <w:r w:rsidRPr="00FB1E20">
              <w:rPr>
                <w:sz w:val="24"/>
                <w:szCs w:val="24"/>
                <w:highlight w:val="yellow"/>
              </w:rPr>
              <w:t>Yes</w:t>
            </w:r>
          </w:p>
        </w:tc>
      </w:tr>
      <w:tr w:rsidR="00EC0871" w:rsidRPr="00FD71FF" w:rsidTr="00AE4CFB">
        <w:trPr>
          <w:cnfStyle w:val="000000100000"/>
        </w:trPr>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 xml:space="preserve">Biospecimens </w:t>
            </w:r>
          </w:p>
        </w:tc>
        <w:tc>
          <w:tcPr>
            <w:tcW w:w="1128" w:type="pct"/>
          </w:tcPr>
          <w:p w:rsidR="00AD0ABD" w:rsidRPr="00FD71FF" w:rsidRDefault="00AD0ABD" w:rsidP="00180BBD">
            <w:pPr>
              <w:cnfStyle w:val="000000100000"/>
              <w:rPr>
                <w:sz w:val="24"/>
                <w:szCs w:val="24"/>
              </w:rPr>
            </w:pPr>
            <w:r w:rsidRPr="00FD71FF">
              <w:rPr>
                <w:sz w:val="24"/>
                <w:szCs w:val="24"/>
              </w:rPr>
              <w:t>Yes</w:t>
            </w:r>
          </w:p>
        </w:tc>
        <w:tc>
          <w:tcPr>
            <w:tcW w:w="1316" w:type="pct"/>
          </w:tcPr>
          <w:p w:rsidR="00AD0ABD" w:rsidRPr="00FD71FF" w:rsidRDefault="00AD0ABD" w:rsidP="00180BBD">
            <w:pPr>
              <w:cnfStyle w:val="000000100000"/>
              <w:rPr>
                <w:sz w:val="24"/>
                <w:szCs w:val="24"/>
              </w:rPr>
            </w:pPr>
            <w:r w:rsidRPr="00FD71FF">
              <w:rPr>
                <w:sz w:val="24"/>
                <w:szCs w:val="24"/>
              </w:rPr>
              <w:t>No</w:t>
            </w:r>
          </w:p>
        </w:tc>
        <w:tc>
          <w:tcPr>
            <w:tcW w:w="1137" w:type="pct"/>
            <w:tcBorders>
              <w:right w:val="single" w:sz="4" w:space="0" w:color="auto"/>
            </w:tcBorders>
          </w:tcPr>
          <w:p w:rsidR="00AD0ABD" w:rsidRPr="00FB1E20" w:rsidRDefault="00EC0871" w:rsidP="00180BBD">
            <w:pPr>
              <w:cnfStyle w:val="000000100000"/>
              <w:rPr>
                <w:sz w:val="24"/>
                <w:szCs w:val="24"/>
                <w:highlight w:val="yellow"/>
              </w:rPr>
            </w:pPr>
            <w:r w:rsidRPr="00FB1E20">
              <w:rPr>
                <w:sz w:val="24"/>
                <w:szCs w:val="24"/>
                <w:highlight w:val="yellow"/>
              </w:rPr>
              <w:t>Yes</w:t>
            </w:r>
          </w:p>
        </w:tc>
      </w:tr>
      <w:tr w:rsidR="00EC0871" w:rsidRPr="00FD71FF" w:rsidTr="00AE4CFB">
        <w:trPr>
          <w:trHeight w:val="313"/>
        </w:trPr>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 xml:space="preserve">Participant observation </w:t>
            </w:r>
          </w:p>
        </w:tc>
        <w:tc>
          <w:tcPr>
            <w:tcW w:w="1128" w:type="pct"/>
          </w:tcPr>
          <w:p w:rsidR="00AD0ABD" w:rsidRPr="00FD71FF" w:rsidRDefault="00AD0ABD" w:rsidP="00180BBD">
            <w:pPr>
              <w:cnfStyle w:val="000000000000"/>
              <w:rPr>
                <w:sz w:val="24"/>
                <w:szCs w:val="24"/>
              </w:rPr>
            </w:pPr>
            <w:r w:rsidRPr="00FD71FF">
              <w:rPr>
                <w:sz w:val="24"/>
                <w:szCs w:val="24"/>
              </w:rPr>
              <w:t>Yes</w:t>
            </w:r>
          </w:p>
        </w:tc>
        <w:tc>
          <w:tcPr>
            <w:tcW w:w="1316" w:type="pct"/>
          </w:tcPr>
          <w:p w:rsidR="00AD0ABD" w:rsidRPr="00FD71FF" w:rsidRDefault="00AD0ABD" w:rsidP="00180BBD">
            <w:pPr>
              <w:cnfStyle w:val="000000000000"/>
              <w:rPr>
                <w:sz w:val="24"/>
                <w:szCs w:val="24"/>
              </w:rPr>
            </w:pPr>
            <w:r w:rsidRPr="00FD71FF">
              <w:rPr>
                <w:sz w:val="24"/>
                <w:szCs w:val="24"/>
              </w:rPr>
              <w:t>No</w:t>
            </w:r>
          </w:p>
        </w:tc>
        <w:tc>
          <w:tcPr>
            <w:tcW w:w="1137" w:type="pct"/>
            <w:tcBorders>
              <w:right w:val="single" w:sz="4" w:space="0" w:color="auto"/>
            </w:tcBorders>
          </w:tcPr>
          <w:p w:rsidR="00AD0ABD" w:rsidRPr="00FB1E20" w:rsidRDefault="00EC0871" w:rsidP="00180BBD">
            <w:pPr>
              <w:cnfStyle w:val="000000000000"/>
              <w:rPr>
                <w:sz w:val="24"/>
                <w:szCs w:val="24"/>
                <w:highlight w:val="yellow"/>
              </w:rPr>
            </w:pPr>
            <w:r w:rsidRPr="00FB1E20">
              <w:rPr>
                <w:sz w:val="24"/>
                <w:szCs w:val="24"/>
                <w:highlight w:val="yellow"/>
              </w:rPr>
              <w:t>No</w:t>
            </w:r>
          </w:p>
        </w:tc>
      </w:tr>
      <w:tr w:rsidR="00EC0871" w:rsidRPr="00FD71FF" w:rsidTr="00AE4CFB">
        <w:trPr>
          <w:cnfStyle w:val="000000100000"/>
        </w:trPr>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Monetary incentive, per visit</w:t>
            </w:r>
          </w:p>
        </w:tc>
        <w:tc>
          <w:tcPr>
            <w:tcW w:w="1128" w:type="pct"/>
          </w:tcPr>
          <w:p w:rsidR="00AD0ABD" w:rsidRPr="00FD71FF" w:rsidRDefault="00AD0ABD" w:rsidP="00180BBD">
            <w:pPr>
              <w:cnfStyle w:val="000000100000"/>
              <w:rPr>
                <w:sz w:val="24"/>
                <w:szCs w:val="24"/>
              </w:rPr>
            </w:pPr>
            <w:r w:rsidRPr="00FD71FF">
              <w:rPr>
                <w:sz w:val="24"/>
                <w:szCs w:val="24"/>
              </w:rPr>
              <w:t xml:space="preserve">$100* </w:t>
            </w:r>
          </w:p>
        </w:tc>
        <w:tc>
          <w:tcPr>
            <w:tcW w:w="1316" w:type="pct"/>
          </w:tcPr>
          <w:p w:rsidR="00AD0ABD" w:rsidRPr="00FD71FF" w:rsidRDefault="00AD0ABD" w:rsidP="00180BBD">
            <w:pPr>
              <w:cnfStyle w:val="000000100000"/>
              <w:rPr>
                <w:sz w:val="24"/>
                <w:szCs w:val="24"/>
              </w:rPr>
            </w:pPr>
            <w:r w:rsidRPr="00FD71FF">
              <w:rPr>
                <w:sz w:val="24"/>
                <w:szCs w:val="24"/>
              </w:rPr>
              <w:t>$25</w:t>
            </w:r>
          </w:p>
        </w:tc>
        <w:tc>
          <w:tcPr>
            <w:tcW w:w="1137" w:type="pct"/>
            <w:tcBorders>
              <w:right w:val="single" w:sz="4" w:space="0" w:color="auto"/>
            </w:tcBorders>
          </w:tcPr>
          <w:p w:rsidR="00AD0ABD" w:rsidRPr="00FB1E20" w:rsidRDefault="00EC0871" w:rsidP="00180BBD">
            <w:pPr>
              <w:cnfStyle w:val="000000100000"/>
              <w:rPr>
                <w:sz w:val="24"/>
                <w:szCs w:val="24"/>
                <w:highlight w:val="yellow"/>
              </w:rPr>
            </w:pPr>
            <w:r w:rsidRPr="00FB1E20">
              <w:rPr>
                <w:sz w:val="24"/>
                <w:szCs w:val="24"/>
                <w:highlight w:val="yellow"/>
              </w:rPr>
              <w:t>$25 for study questionnaires, plus $25 for</w:t>
            </w:r>
            <w:r w:rsidR="00AA21D3">
              <w:rPr>
                <w:sz w:val="24"/>
                <w:szCs w:val="24"/>
                <w:highlight w:val="yellow"/>
              </w:rPr>
              <w:t xml:space="preserve"> any</w:t>
            </w:r>
            <w:r w:rsidRPr="00FB1E20">
              <w:rPr>
                <w:sz w:val="24"/>
                <w:szCs w:val="24"/>
                <w:highlight w:val="yellow"/>
              </w:rPr>
              <w:t xml:space="preserve"> bio</w:t>
            </w:r>
            <w:r w:rsidR="00BD3121">
              <w:rPr>
                <w:sz w:val="24"/>
                <w:szCs w:val="24"/>
                <w:highlight w:val="yellow"/>
              </w:rPr>
              <w:t>-</w:t>
            </w:r>
            <w:r w:rsidRPr="00FB1E20">
              <w:rPr>
                <w:sz w:val="24"/>
                <w:szCs w:val="24"/>
                <w:highlight w:val="yellow"/>
              </w:rPr>
              <w:t>specimens</w:t>
            </w:r>
            <w:r w:rsidR="00C3466F" w:rsidRPr="00FB1E20">
              <w:rPr>
                <w:sz w:val="24"/>
                <w:szCs w:val="24"/>
                <w:highlight w:val="yellow"/>
              </w:rPr>
              <w:t xml:space="preserve"> or</w:t>
            </w:r>
            <w:r w:rsidR="00AA21D3">
              <w:rPr>
                <w:sz w:val="24"/>
                <w:szCs w:val="24"/>
                <w:highlight w:val="yellow"/>
              </w:rPr>
              <w:t xml:space="preserve"> any</w:t>
            </w:r>
            <w:r w:rsidR="00C3466F" w:rsidRPr="00FB1E20">
              <w:rPr>
                <w:sz w:val="24"/>
                <w:szCs w:val="24"/>
                <w:highlight w:val="yellow"/>
              </w:rPr>
              <w:t xml:space="preserve"> environmental specimens</w:t>
            </w:r>
          </w:p>
        </w:tc>
      </w:tr>
      <w:tr w:rsidR="00EC0871" w:rsidRPr="00FD71FF" w:rsidTr="00AE4CFB">
        <w:trPr>
          <w:trHeight w:val="3085"/>
        </w:trPr>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Non-monetary incentives (tote bags, post its, key chains, etc.)</w:t>
            </w:r>
          </w:p>
        </w:tc>
        <w:tc>
          <w:tcPr>
            <w:tcW w:w="1128" w:type="pct"/>
          </w:tcPr>
          <w:p w:rsidR="00AD0ABD" w:rsidRPr="00FD71FF" w:rsidRDefault="00AD0ABD" w:rsidP="00180BBD">
            <w:pPr>
              <w:cnfStyle w:val="000000000000"/>
              <w:rPr>
                <w:sz w:val="24"/>
                <w:szCs w:val="24"/>
              </w:rPr>
            </w:pPr>
            <w:r w:rsidRPr="00FD71FF">
              <w:rPr>
                <w:sz w:val="24"/>
                <w:szCs w:val="24"/>
                <w:u w:val="single"/>
              </w:rPr>
              <w:t>In addition to the monetary incentive</w:t>
            </w:r>
            <w:r w:rsidRPr="00FD71FF">
              <w:rPr>
                <w:sz w:val="24"/>
                <w:szCs w:val="24"/>
              </w:rPr>
              <w:t>, non-monetary incentives valued at $25 or less may be offered to participants</w:t>
            </w:r>
          </w:p>
        </w:tc>
        <w:tc>
          <w:tcPr>
            <w:tcW w:w="1316" w:type="pct"/>
          </w:tcPr>
          <w:p w:rsidR="00AD0ABD" w:rsidRPr="00FD71FF" w:rsidRDefault="00AD0ABD" w:rsidP="00180BBD">
            <w:pPr>
              <w:cnfStyle w:val="000000000000"/>
              <w:rPr>
                <w:sz w:val="24"/>
                <w:szCs w:val="24"/>
              </w:rPr>
            </w:pPr>
            <w:r w:rsidRPr="00FD71FF">
              <w:rPr>
                <w:sz w:val="24"/>
                <w:szCs w:val="24"/>
                <w:u w:val="single"/>
              </w:rPr>
              <w:t>As an alternative to the monetary incentive</w:t>
            </w:r>
            <w:r w:rsidRPr="00FD71FF">
              <w:rPr>
                <w:sz w:val="24"/>
                <w:szCs w:val="24"/>
              </w:rPr>
              <w:t>, NCS logo gifts valued at $25 or less may be offered to the participants in lieu of cash or local incentives not exceeding $25 in value and deemed non-coercive by local IRBs</w:t>
            </w:r>
          </w:p>
        </w:tc>
        <w:tc>
          <w:tcPr>
            <w:tcW w:w="1137" w:type="pct"/>
            <w:tcBorders>
              <w:right w:val="single" w:sz="4" w:space="0" w:color="auto"/>
            </w:tcBorders>
          </w:tcPr>
          <w:p w:rsidR="00AD0ABD" w:rsidRPr="00FB1E20" w:rsidRDefault="00BD3121" w:rsidP="00180BBD">
            <w:pPr>
              <w:cnfStyle w:val="000000000000"/>
              <w:rPr>
                <w:sz w:val="24"/>
                <w:szCs w:val="24"/>
                <w:highlight w:val="yellow"/>
                <w:u w:val="single"/>
              </w:rPr>
            </w:pPr>
            <w:r>
              <w:rPr>
                <w:sz w:val="24"/>
                <w:szCs w:val="24"/>
                <w:highlight w:val="yellow"/>
                <w:u w:val="single"/>
              </w:rPr>
              <w:t>In addition</w:t>
            </w:r>
            <w:r w:rsidR="00EC0871" w:rsidRPr="00FB1E20">
              <w:rPr>
                <w:sz w:val="24"/>
                <w:szCs w:val="24"/>
                <w:highlight w:val="yellow"/>
                <w:u w:val="single"/>
              </w:rPr>
              <w:t xml:space="preserve"> to the monetary incentive</w:t>
            </w:r>
            <w:r w:rsidR="00EC0871" w:rsidRPr="00FB1E20">
              <w:rPr>
                <w:sz w:val="24"/>
                <w:szCs w:val="24"/>
                <w:highlight w:val="yellow"/>
              </w:rPr>
              <w:t xml:space="preserve">, NCS logo gifts valued at $25 or less may be offered to the participants </w:t>
            </w:r>
            <w:r>
              <w:rPr>
                <w:sz w:val="24"/>
                <w:szCs w:val="24"/>
                <w:highlight w:val="yellow"/>
              </w:rPr>
              <w:t>if these</w:t>
            </w:r>
            <w:r w:rsidRPr="00FB1E20">
              <w:rPr>
                <w:sz w:val="24"/>
                <w:szCs w:val="24"/>
                <w:highlight w:val="yellow"/>
              </w:rPr>
              <w:t xml:space="preserve"> </w:t>
            </w:r>
            <w:r>
              <w:rPr>
                <w:sz w:val="24"/>
                <w:szCs w:val="24"/>
                <w:highlight w:val="yellow"/>
              </w:rPr>
              <w:t xml:space="preserve">are </w:t>
            </w:r>
            <w:r w:rsidR="00EC0871" w:rsidRPr="00FB1E20">
              <w:rPr>
                <w:sz w:val="24"/>
                <w:szCs w:val="24"/>
                <w:highlight w:val="yellow"/>
              </w:rPr>
              <w:t xml:space="preserve">deemed </w:t>
            </w:r>
            <w:r>
              <w:rPr>
                <w:sz w:val="24"/>
                <w:szCs w:val="24"/>
                <w:highlight w:val="yellow"/>
              </w:rPr>
              <w:t xml:space="preserve">acceptable </w:t>
            </w:r>
            <w:r w:rsidR="00EC0871" w:rsidRPr="00FB1E20">
              <w:rPr>
                <w:sz w:val="24"/>
                <w:szCs w:val="24"/>
                <w:highlight w:val="yellow"/>
              </w:rPr>
              <w:t xml:space="preserve"> by local IRBs</w:t>
            </w:r>
          </w:p>
        </w:tc>
      </w:tr>
    </w:tbl>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lastRenderedPageBreak/>
        <w:t>NOTE: *For Preconception, First Trimester</w:t>
      </w:r>
      <w:r w:rsidRPr="00FD71FF">
        <w:rPr>
          <w:sz w:val="24"/>
          <w:szCs w:val="24"/>
        </w:rPr>
        <w:t xml:space="preserve"> Mother Interview, and Third Trimester Mother Interview Visits.</w:t>
      </w:r>
    </w:p>
    <w:p w:rsidR="008D693A" w:rsidRPr="00FD71FF" w:rsidRDefault="008D693A" w:rsidP="00180BBD">
      <w:pPr>
        <w:spacing w:after="0" w:line="240" w:lineRule="auto"/>
        <w:rPr>
          <w:rFonts w:eastAsia="Times New Roman" w:cs="Times New Roman"/>
          <w:color w:val="000000"/>
          <w:sz w:val="24"/>
          <w:szCs w:val="24"/>
        </w:rPr>
      </w:pPr>
    </w:p>
    <w:p w:rsidR="00CF518D" w:rsidRPr="00FD71FF" w:rsidRDefault="008D693A" w:rsidP="00180BBD">
      <w:pPr>
        <w:pStyle w:val="Default"/>
        <w:jc w:val="both"/>
        <w:rPr>
          <w:rFonts w:asciiTheme="minorHAnsi" w:hAnsiTheme="minorHAnsi"/>
          <w:b/>
        </w:rPr>
      </w:pPr>
      <w:r w:rsidRPr="00FD71FF">
        <w:rPr>
          <w:rFonts w:asciiTheme="minorHAnsi" w:hAnsiTheme="minorHAnsi"/>
          <w:b/>
        </w:rPr>
        <w:t>A.10</w:t>
      </w:r>
      <w:r w:rsidRPr="00FD71FF">
        <w:rPr>
          <w:rFonts w:asciiTheme="minorHAnsi" w:hAnsiTheme="minorHAnsi"/>
          <w:b/>
        </w:rPr>
        <w:tab/>
        <w:t xml:space="preserve">Assurance of Confidentiality Provided to Respondents </w:t>
      </w:r>
    </w:p>
    <w:p w:rsidR="00C82D6E" w:rsidRPr="00FD71FF" w:rsidRDefault="00C82D6E" w:rsidP="00180BBD">
      <w:pPr>
        <w:pStyle w:val="Default"/>
        <w:jc w:val="both"/>
        <w:rPr>
          <w:rFonts w:asciiTheme="minorHAnsi" w:hAnsiTheme="minorHAnsi"/>
          <w:b/>
        </w:rPr>
      </w:pPr>
    </w:p>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w:t>
      </w:r>
      <w:r w:rsidR="002D77B7">
        <w:rPr>
          <w:rFonts w:cs="Times New Roman"/>
          <w:sz w:val="24"/>
          <w:szCs w:val="24"/>
        </w:rPr>
        <w:t>R</w:t>
      </w:r>
      <w:r w:rsidRPr="00FD71FF">
        <w:rPr>
          <w:rFonts w:cs="Times New Roman"/>
          <w:sz w:val="24"/>
          <w:szCs w:val="24"/>
        </w:rPr>
        <w:t xml:space="preserve">ecruitment </w:t>
      </w:r>
      <w:r w:rsidR="002D77B7">
        <w:rPr>
          <w:rFonts w:cs="Times New Roman"/>
          <w:sz w:val="24"/>
          <w:szCs w:val="24"/>
        </w:rPr>
        <w:t xml:space="preserve">Substudy </w:t>
      </w:r>
      <w:r w:rsidRPr="00FD71FF">
        <w:rPr>
          <w:rFonts w:cs="Times New Roman"/>
          <w:sz w:val="24"/>
          <w:szCs w:val="24"/>
        </w:rPr>
        <w:t xml:space="preserve">will follow the same procedures and standards of confidentiality applicable to the </w:t>
      </w:r>
      <w:r w:rsidR="001312F0">
        <w:rPr>
          <w:rFonts w:cs="Times New Roman"/>
          <w:sz w:val="24"/>
          <w:szCs w:val="24"/>
        </w:rPr>
        <w:t>NCS Initial Vanguard Study</w:t>
      </w:r>
      <w:r w:rsidRPr="00FD71FF">
        <w:rPr>
          <w:rFonts w:cs="Times New Roman"/>
          <w:sz w:val="24"/>
          <w:szCs w:val="24"/>
        </w:rPr>
        <w:t xml:space="preserve">. Study data collected will be safeguarded closely and that actions will be taken to protect </w:t>
      </w:r>
      <w:r w:rsidR="001312F0">
        <w:rPr>
          <w:rFonts w:cs="Times New Roman"/>
          <w:sz w:val="24"/>
          <w:szCs w:val="24"/>
        </w:rPr>
        <w:t xml:space="preserve">participant </w:t>
      </w:r>
      <w:r w:rsidRPr="00FD71FF">
        <w:rPr>
          <w:rFonts w:cs="Times New Roman"/>
          <w:sz w:val="24"/>
          <w:szCs w:val="24"/>
        </w:rPr>
        <w:t>confidentiality. Participants will be informed about the Certificate of Confidentiality granted to NCS to protect data from involuntary disclosure.</w:t>
      </w:r>
    </w:p>
    <w:p w:rsidR="008D693A" w:rsidRPr="00FD71FF" w:rsidRDefault="008D693A" w:rsidP="00180BBD">
      <w:pPr>
        <w:widowControl w:val="0"/>
        <w:autoSpaceDE w:val="0"/>
        <w:autoSpaceDN w:val="0"/>
        <w:adjustRightInd w:val="0"/>
        <w:spacing w:after="0" w:line="240" w:lineRule="auto"/>
        <w:rPr>
          <w:rFonts w:cs="Times New Roman"/>
          <w:sz w:val="24"/>
          <w:szCs w:val="24"/>
        </w:rPr>
      </w:pPr>
    </w:p>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enters, un</w:t>
      </w:r>
      <w:r w:rsidR="00B8065F" w:rsidRPr="00FD71FF">
        <w:rPr>
          <w:rFonts w:cs="Times New Roman"/>
          <w:sz w:val="24"/>
          <w:szCs w:val="24"/>
        </w:rPr>
        <w:t>der contract to conduct the NCS</w:t>
      </w:r>
      <w:r w:rsidRPr="00FD71FF">
        <w:rPr>
          <w:rFonts w:cs="Times New Roman"/>
          <w:sz w:val="24"/>
          <w:szCs w:val="24"/>
        </w:rPr>
        <w:t xml:space="preserve">, will have policies and procedures regarding confidentiality and protection of study data which will be reviewed </w:t>
      </w:r>
      <w:r w:rsidR="001312F0">
        <w:rPr>
          <w:rFonts w:cs="Times New Roman"/>
          <w:sz w:val="24"/>
          <w:szCs w:val="24"/>
        </w:rPr>
        <w:t xml:space="preserve">and monitored </w:t>
      </w:r>
      <w:r w:rsidRPr="00FD71FF">
        <w:rPr>
          <w:rFonts w:cs="Times New Roman"/>
          <w:sz w:val="24"/>
          <w:szCs w:val="24"/>
        </w:rPr>
        <w:t xml:space="preserve">by the NCS </w:t>
      </w:r>
      <w:r w:rsidR="002D77B7">
        <w:rPr>
          <w:rFonts w:cs="Times New Roman"/>
          <w:sz w:val="24"/>
          <w:szCs w:val="24"/>
        </w:rPr>
        <w:t>Program</w:t>
      </w:r>
      <w:r w:rsidR="002D77B7" w:rsidRPr="00FD71FF">
        <w:rPr>
          <w:rFonts w:cs="Times New Roman"/>
          <w:sz w:val="24"/>
          <w:szCs w:val="24"/>
        </w:rPr>
        <w:t xml:space="preserve"> </w:t>
      </w:r>
      <w:r w:rsidRPr="00FD71FF">
        <w:rPr>
          <w:rFonts w:cs="Times New Roman"/>
          <w:sz w:val="24"/>
          <w:szCs w:val="24"/>
        </w:rPr>
        <w:t>Office.</w:t>
      </w:r>
      <w:r w:rsidR="002D77B7">
        <w:rPr>
          <w:rFonts w:cs="Times New Roman"/>
          <w:sz w:val="24"/>
          <w:szCs w:val="24"/>
        </w:rPr>
        <w:t xml:space="preserve">  </w:t>
      </w:r>
    </w:p>
    <w:p w:rsidR="008D693A" w:rsidRPr="00FD71FF" w:rsidRDefault="008D693A" w:rsidP="00180BBD">
      <w:pPr>
        <w:widowControl w:val="0"/>
        <w:autoSpaceDE w:val="0"/>
        <w:autoSpaceDN w:val="0"/>
        <w:adjustRightInd w:val="0"/>
        <w:spacing w:after="0" w:line="240" w:lineRule="auto"/>
        <w:rPr>
          <w:rFonts w:cs="Times New Roman"/>
          <w:sz w:val="24"/>
          <w:szCs w:val="24"/>
        </w:rPr>
      </w:pPr>
    </w:p>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In addition to their own confidentiality procedures and policies,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enters will implement all federally required study-related confidentiality and data security procedures. All NCS Project Office staff, NCS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enter staff, and other NCS contracting staff with access to NCS data must receive data confidential</w:t>
      </w:r>
      <w:r w:rsidR="00C57B45">
        <w:rPr>
          <w:rFonts w:cs="Times New Roman"/>
          <w:sz w:val="24"/>
          <w:szCs w:val="24"/>
        </w:rPr>
        <w:t>it</w:t>
      </w:r>
      <w:r w:rsidRPr="00FD71FF">
        <w:rPr>
          <w:rFonts w:cs="Times New Roman"/>
          <w:sz w:val="24"/>
          <w:szCs w:val="24"/>
        </w:rPr>
        <w:t>y and security training provided by the NCS Program Office or its agent. These include completion of the NIH Computer Security Awareness Training, completion of a Human Subjects Protection Training, and signing an Assurance of Confidentiality or similar pledge that NCS data will only be used for the intended scientific purpose. All NCS Staff are required to complete security background checks consistent with Office of Personnel Management requirements. Only those cleared for</w:t>
      </w:r>
      <w:r w:rsidR="00C82D6E" w:rsidRPr="00FD71FF">
        <w:rPr>
          <w:rFonts w:cs="Times New Roman"/>
          <w:sz w:val="24"/>
          <w:szCs w:val="24"/>
        </w:rPr>
        <w:t xml:space="preserve"> </w:t>
      </w:r>
      <w:r w:rsidRPr="00FD71FF">
        <w:rPr>
          <w:rFonts w:cs="Times New Roman"/>
          <w:sz w:val="24"/>
          <w:szCs w:val="24"/>
        </w:rPr>
        <w:t>Security Level D or higher will be eligible to request NCS data access.</w:t>
      </w:r>
    </w:p>
    <w:p w:rsidR="008D693A" w:rsidRPr="00FD71FF" w:rsidRDefault="008D693A" w:rsidP="00180BBD">
      <w:pPr>
        <w:widowControl w:val="0"/>
        <w:autoSpaceDE w:val="0"/>
        <w:autoSpaceDN w:val="0"/>
        <w:adjustRightInd w:val="0"/>
        <w:spacing w:after="0" w:line="240" w:lineRule="auto"/>
        <w:rPr>
          <w:rFonts w:cs="Times New Roman"/>
          <w:sz w:val="24"/>
          <w:szCs w:val="24"/>
        </w:rPr>
      </w:pPr>
    </w:p>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To further assure confidentiality of participant data, the study will employ rigorous methods to provide security for personal identifying information. Each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enter and the NCS Program Office Data</w:t>
      </w:r>
      <w:r w:rsidR="00C82D6E" w:rsidRPr="00FD71FF">
        <w:rPr>
          <w:rFonts w:cs="Times New Roman"/>
          <w:sz w:val="24"/>
          <w:szCs w:val="24"/>
        </w:rPr>
        <w:t xml:space="preserve"> </w:t>
      </w:r>
      <w:r w:rsidRPr="00FD71FF">
        <w:rPr>
          <w:rFonts w:cs="Times New Roman"/>
          <w:sz w:val="24"/>
          <w:szCs w:val="24"/>
        </w:rPr>
        <w:t xml:space="preserve">Warehouse will be required to submit an NCS Security Plan and Assessment that </w:t>
      </w:r>
      <w:r w:rsidR="00C57B45">
        <w:rPr>
          <w:rFonts w:cs="Times New Roman"/>
          <w:sz w:val="24"/>
          <w:szCs w:val="24"/>
        </w:rPr>
        <w:t>complies with the Federal Information Security Management Act (FISMA)</w:t>
      </w:r>
      <w:r w:rsidRPr="00FD71FF">
        <w:rPr>
          <w:rFonts w:cs="Times New Roman"/>
          <w:sz w:val="24"/>
          <w:szCs w:val="24"/>
        </w:rPr>
        <w:t xml:space="preserve"> .</w:t>
      </w:r>
      <w:r w:rsidR="00C82D6E" w:rsidRPr="00FD71FF">
        <w:rPr>
          <w:rFonts w:cs="Times New Roman"/>
          <w:sz w:val="24"/>
          <w:szCs w:val="24"/>
        </w:rPr>
        <w:t xml:space="preserve">  </w:t>
      </w:r>
      <w:r w:rsidRPr="00FD71FF">
        <w:rPr>
          <w:rFonts w:cs="Times New Roman"/>
          <w:sz w:val="24"/>
          <w:szCs w:val="24"/>
        </w:rPr>
        <w:t>This Security Plan will include a) certification and accreditation of proposed data capture and case</w:t>
      </w:r>
      <w:r w:rsidR="00C82D6E" w:rsidRPr="00FD71FF">
        <w:rPr>
          <w:rFonts w:cs="Times New Roman"/>
          <w:sz w:val="24"/>
          <w:szCs w:val="24"/>
        </w:rPr>
        <w:t xml:space="preserve"> </w:t>
      </w:r>
      <w:r w:rsidRPr="00FD71FF">
        <w:rPr>
          <w:rFonts w:cs="Times New Roman"/>
          <w:sz w:val="24"/>
          <w:szCs w:val="24"/>
        </w:rPr>
        <w:t>management software; b) configuration of those systems on</w:t>
      </w:r>
      <w:r w:rsidR="007D1F0C">
        <w:rPr>
          <w:rFonts w:cs="Times New Roman"/>
          <w:sz w:val="24"/>
          <w:szCs w:val="24"/>
        </w:rPr>
        <w:t xml:space="preserve"> study</w:t>
      </w:r>
      <w:r w:rsidRPr="00FD71FF">
        <w:rPr>
          <w:rFonts w:cs="Times New Roman"/>
          <w:sz w:val="24"/>
          <w:szCs w:val="24"/>
        </w:rPr>
        <w:t xml:space="preserve"> equipment; c) full disk encryption and two-factor authentication of</w:t>
      </w:r>
      <w:r w:rsidR="007D1F0C">
        <w:rPr>
          <w:rFonts w:cs="Times New Roman"/>
          <w:sz w:val="24"/>
          <w:szCs w:val="24"/>
        </w:rPr>
        <w:t xml:space="preserve"> study</w:t>
      </w:r>
      <w:r w:rsidRPr="00FD71FF">
        <w:rPr>
          <w:rFonts w:cs="Times New Roman"/>
          <w:sz w:val="24"/>
          <w:szCs w:val="24"/>
        </w:rPr>
        <w:t xml:space="preserve"> computers housing NCS data; and d) security assessment of the physical computing environment. After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 </w:t>
      </w:r>
      <w:r w:rsidR="002D77B7">
        <w:rPr>
          <w:rFonts w:cs="Times New Roman"/>
          <w:sz w:val="24"/>
          <w:szCs w:val="24"/>
        </w:rPr>
        <w:t xml:space="preserve">complete the </w:t>
      </w:r>
      <w:r w:rsidRPr="00FD71FF">
        <w:rPr>
          <w:rFonts w:cs="Times New Roman"/>
          <w:sz w:val="24"/>
          <w:szCs w:val="24"/>
        </w:rPr>
        <w:t xml:space="preserve">self-assessment of their </w:t>
      </w:r>
      <w:r w:rsidR="002D77B7">
        <w:rPr>
          <w:rFonts w:cs="Times New Roman"/>
          <w:sz w:val="24"/>
          <w:szCs w:val="24"/>
        </w:rPr>
        <w:t>s</w:t>
      </w:r>
      <w:r w:rsidRPr="00FD71FF">
        <w:rPr>
          <w:rFonts w:cs="Times New Roman"/>
          <w:sz w:val="24"/>
          <w:szCs w:val="24"/>
        </w:rPr>
        <w:t xml:space="preserve">ecurity </w:t>
      </w:r>
      <w:r w:rsidR="002D77B7">
        <w:rPr>
          <w:rFonts w:cs="Times New Roman"/>
          <w:sz w:val="24"/>
          <w:szCs w:val="24"/>
        </w:rPr>
        <w:t>p</w:t>
      </w:r>
      <w:r w:rsidRPr="00FD71FF">
        <w:rPr>
          <w:rFonts w:cs="Times New Roman"/>
          <w:sz w:val="24"/>
          <w:szCs w:val="24"/>
        </w:rPr>
        <w:t>lans, the</w:t>
      </w:r>
      <w:r w:rsidR="00C82D6E" w:rsidRPr="00FD71FF">
        <w:rPr>
          <w:rFonts w:cs="Times New Roman"/>
          <w:sz w:val="24"/>
          <w:szCs w:val="24"/>
        </w:rPr>
        <w:t xml:space="preserve"> </w:t>
      </w:r>
      <w:r w:rsidRPr="00FD71FF">
        <w:rPr>
          <w:rFonts w:cs="Times New Roman"/>
          <w:sz w:val="24"/>
          <w:szCs w:val="24"/>
        </w:rPr>
        <w:t xml:space="preserve">NICHD </w:t>
      </w:r>
      <w:r w:rsidR="00C57B45">
        <w:rPr>
          <w:rFonts w:cs="Times New Roman"/>
          <w:sz w:val="24"/>
          <w:szCs w:val="24"/>
        </w:rPr>
        <w:t>Chief Information Officer</w:t>
      </w:r>
      <w:r w:rsidRPr="00FD71FF">
        <w:rPr>
          <w:rFonts w:cs="Times New Roman"/>
          <w:sz w:val="24"/>
          <w:szCs w:val="24"/>
        </w:rPr>
        <w:t xml:space="preserve"> will review all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 </w:t>
      </w:r>
      <w:r w:rsidR="002D77B7">
        <w:rPr>
          <w:rFonts w:cs="Times New Roman"/>
          <w:sz w:val="24"/>
          <w:szCs w:val="24"/>
        </w:rPr>
        <w:t>s</w:t>
      </w:r>
      <w:r w:rsidRPr="00FD71FF">
        <w:rPr>
          <w:rFonts w:cs="Times New Roman"/>
          <w:sz w:val="24"/>
          <w:szCs w:val="24"/>
        </w:rPr>
        <w:t xml:space="preserve">ecurity </w:t>
      </w:r>
      <w:r w:rsidR="002D77B7">
        <w:rPr>
          <w:rFonts w:cs="Times New Roman"/>
          <w:sz w:val="24"/>
          <w:szCs w:val="24"/>
        </w:rPr>
        <w:t>p</w:t>
      </w:r>
      <w:r w:rsidRPr="00FD71FF">
        <w:rPr>
          <w:rFonts w:cs="Times New Roman"/>
          <w:sz w:val="24"/>
          <w:szCs w:val="24"/>
        </w:rPr>
        <w:t xml:space="preserve">lans to determine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enter’s </w:t>
      </w:r>
      <w:r w:rsidR="002D77B7">
        <w:rPr>
          <w:rFonts w:cs="Times New Roman"/>
          <w:sz w:val="24"/>
          <w:szCs w:val="24"/>
        </w:rPr>
        <w:t>a</w:t>
      </w:r>
      <w:r w:rsidRPr="00FD71FF">
        <w:rPr>
          <w:rFonts w:cs="Times New Roman"/>
          <w:sz w:val="24"/>
          <w:szCs w:val="24"/>
        </w:rPr>
        <w:t>uthority to</w:t>
      </w:r>
      <w:r w:rsidR="00C82D6E" w:rsidRPr="00FD71FF">
        <w:rPr>
          <w:rFonts w:cs="Times New Roman"/>
          <w:sz w:val="24"/>
          <w:szCs w:val="24"/>
        </w:rPr>
        <w:t xml:space="preserve"> </w:t>
      </w:r>
      <w:r w:rsidR="002D77B7">
        <w:rPr>
          <w:rFonts w:cs="Times New Roman"/>
          <w:sz w:val="24"/>
          <w:szCs w:val="24"/>
        </w:rPr>
        <w:t>o</w:t>
      </w:r>
      <w:r w:rsidRPr="00FD71FF">
        <w:rPr>
          <w:rFonts w:cs="Times New Roman"/>
          <w:sz w:val="24"/>
          <w:szCs w:val="24"/>
        </w:rPr>
        <w:t>perate. Frequent and regular monitoring visits will assist in compliance with these terms.</w:t>
      </w:r>
    </w:p>
    <w:p w:rsidR="008D693A" w:rsidRPr="00FD71FF" w:rsidRDefault="008D693A" w:rsidP="00180BBD">
      <w:pPr>
        <w:widowControl w:val="0"/>
        <w:autoSpaceDE w:val="0"/>
        <w:autoSpaceDN w:val="0"/>
        <w:adjustRightInd w:val="0"/>
        <w:spacing w:after="0" w:line="240" w:lineRule="auto"/>
        <w:rPr>
          <w:rFonts w:cs="Times New Roman"/>
          <w:sz w:val="24"/>
          <w:szCs w:val="24"/>
        </w:rPr>
      </w:pPr>
    </w:p>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Privacy Impact Assessments will be conducted prospectively and recurrently as needed.</w:t>
      </w:r>
    </w:p>
    <w:p w:rsidR="008D693A" w:rsidRPr="00FD71FF" w:rsidRDefault="008D693A" w:rsidP="00180BBD">
      <w:pPr>
        <w:widowControl w:val="0"/>
        <w:autoSpaceDE w:val="0"/>
        <w:autoSpaceDN w:val="0"/>
        <w:adjustRightInd w:val="0"/>
        <w:spacing w:after="0" w:line="240" w:lineRule="auto"/>
        <w:rPr>
          <w:rFonts w:cs="Times New Roman"/>
          <w:sz w:val="24"/>
          <w:szCs w:val="24"/>
        </w:rPr>
      </w:pPr>
    </w:p>
    <w:p w:rsidR="008D693A" w:rsidRPr="00FD71FF" w:rsidRDefault="008D693A" w:rsidP="00AE4CFB">
      <w:pPr>
        <w:autoSpaceDE w:val="0"/>
        <w:autoSpaceDN w:val="0"/>
        <w:adjustRightInd w:val="0"/>
        <w:spacing w:after="0" w:line="240" w:lineRule="auto"/>
        <w:rPr>
          <w:rFonts w:cs="Times New Roman"/>
          <w:sz w:val="24"/>
          <w:szCs w:val="24"/>
        </w:rPr>
      </w:pPr>
      <w:r w:rsidRPr="00FD71FF">
        <w:rPr>
          <w:rFonts w:cs="Times New Roman"/>
          <w:sz w:val="24"/>
          <w:szCs w:val="24"/>
        </w:rPr>
        <w:t xml:space="preserve">Specific NCS data </w:t>
      </w:r>
      <w:r w:rsidR="001312F0">
        <w:rPr>
          <w:rFonts w:cs="Times New Roman"/>
          <w:sz w:val="24"/>
          <w:szCs w:val="24"/>
        </w:rPr>
        <w:t>and materials</w:t>
      </w:r>
      <w:r w:rsidR="001312F0" w:rsidRPr="00FD71FF">
        <w:rPr>
          <w:rFonts w:cs="Times New Roman"/>
          <w:sz w:val="24"/>
          <w:szCs w:val="24"/>
        </w:rPr>
        <w:t xml:space="preserve"> </w:t>
      </w:r>
      <w:r w:rsidRPr="00FD71FF">
        <w:rPr>
          <w:rFonts w:cs="Times New Roman"/>
          <w:sz w:val="24"/>
          <w:szCs w:val="24"/>
        </w:rPr>
        <w:t xml:space="preserve">to be collected, disclosure review, and data access are described in detail in the Data Access and Confidentiality Committee Manual. Principles and policies are available at </w:t>
      </w:r>
      <w:hyperlink r:id="rId9" w:history="1">
        <w:r w:rsidRPr="00FD71FF">
          <w:rPr>
            <w:rStyle w:val="Hyperlink"/>
            <w:rFonts w:cs="Times New Roman"/>
            <w:sz w:val="24"/>
            <w:szCs w:val="24"/>
          </w:rPr>
          <w:t>http://www.nationalchildrensstudy.gov/about/organization/dacc/Pages/PolicyManualandData</w:t>
        </w:r>
        <w:r w:rsidRPr="00FD71FF">
          <w:rPr>
            <w:rStyle w:val="Hyperlink"/>
            <w:rFonts w:cs="Times New Roman"/>
            <w:sz w:val="24"/>
            <w:szCs w:val="24"/>
          </w:rPr>
          <w:lastRenderedPageBreak/>
          <w:t>UseAgreements.aspx</w:t>
        </w:r>
      </w:hyperlink>
      <w:r w:rsidRPr="00FD71FF">
        <w:rPr>
          <w:rFonts w:cs="Times New Roman"/>
          <w:sz w:val="24"/>
          <w:szCs w:val="24"/>
        </w:rPr>
        <w:t xml:space="preserve">; the </w:t>
      </w:r>
      <w:r w:rsidR="00445497">
        <w:rPr>
          <w:rFonts w:cs="Times New Roman"/>
          <w:sz w:val="24"/>
          <w:szCs w:val="24"/>
        </w:rPr>
        <w:t>m</w:t>
      </w:r>
      <w:r w:rsidRPr="00FD71FF">
        <w:rPr>
          <w:rFonts w:cs="Times New Roman"/>
          <w:sz w:val="24"/>
          <w:szCs w:val="24"/>
        </w:rPr>
        <w:t xml:space="preserve">anual is available </w:t>
      </w:r>
      <w:r w:rsidR="00A012C0">
        <w:rPr>
          <w:rFonts w:cs="Times New Roman"/>
          <w:sz w:val="24"/>
          <w:szCs w:val="24"/>
        </w:rPr>
        <w:t xml:space="preserve">to the public </w:t>
      </w:r>
      <w:r w:rsidRPr="00FD71FF">
        <w:rPr>
          <w:rFonts w:cs="Times New Roman"/>
          <w:sz w:val="24"/>
          <w:szCs w:val="24"/>
        </w:rPr>
        <w:t xml:space="preserve">upon request. Specifically, all NCS data files will undergo disclosure review </w:t>
      </w:r>
      <w:r w:rsidR="002D77B7">
        <w:rPr>
          <w:rFonts w:cs="Times New Roman"/>
          <w:sz w:val="24"/>
          <w:szCs w:val="24"/>
        </w:rPr>
        <w:t xml:space="preserve">for </w:t>
      </w:r>
      <w:r w:rsidRPr="00FD71FF">
        <w:rPr>
          <w:rFonts w:cs="Times New Roman"/>
          <w:sz w:val="24"/>
          <w:szCs w:val="24"/>
        </w:rPr>
        <w:t>personally identifiable information</w:t>
      </w:r>
      <w:r w:rsidR="002D77B7">
        <w:rPr>
          <w:rFonts w:cs="Times New Roman"/>
          <w:sz w:val="24"/>
          <w:szCs w:val="24"/>
        </w:rPr>
        <w:t>,</w:t>
      </w:r>
      <w:r w:rsidRPr="00FD71FF">
        <w:rPr>
          <w:rFonts w:cs="Times New Roman"/>
          <w:sz w:val="24"/>
          <w:szCs w:val="24"/>
        </w:rPr>
        <w:t xml:space="preserve"> using procedures consistent with or exceeding those named in Working Paper 22 of the Federal Committee on Statistical Methodology, and steps will be taken to appropriately manage disclosure risk. For example, genome-wide scans conducted on NCS specimens will be considered personally identifiable information and treated as such. Some biologic analyses (</w:t>
      </w:r>
      <w:r w:rsidR="001312F0">
        <w:rPr>
          <w:rFonts w:cs="Times New Roman"/>
          <w:sz w:val="24"/>
          <w:szCs w:val="24"/>
        </w:rPr>
        <w:t>for example</w:t>
      </w:r>
      <w:r w:rsidRPr="00FD71FF">
        <w:rPr>
          <w:rFonts w:cs="Times New Roman"/>
          <w:sz w:val="24"/>
          <w:szCs w:val="24"/>
        </w:rPr>
        <w:t>, HIV status, exposure to specific toxicants), results of some mental health screening tests, and reports of abuse are also considered sensitive.</w:t>
      </w:r>
    </w:p>
    <w:p w:rsidR="008D693A" w:rsidRPr="00FD71FF" w:rsidRDefault="008D693A" w:rsidP="00180BBD">
      <w:pPr>
        <w:pStyle w:val="Default"/>
        <w:jc w:val="both"/>
        <w:rPr>
          <w:rFonts w:asciiTheme="minorHAnsi" w:hAnsiTheme="minorHAnsi"/>
        </w:rPr>
      </w:pPr>
    </w:p>
    <w:p w:rsidR="003829B4" w:rsidRDefault="008D693A" w:rsidP="00180BBD">
      <w:pPr>
        <w:pStyle w:val="Default"/>
        <w:rPr>
          <w:rFonts w:asciiTheme="minorHAnsi" w:hAnsiTheme="minorHAnsi"/>
          <w:b/>
        </w:rPr>
      </w:pPr>
      <w:r w:rsidRPr="00FD71FF">
        <w:rPr>
          <w:rFonts w:asciiTheme="minorHAnsi" w:hAnsiTheme="minorHAnsi"/>
          <w:b/>
        </w:rPr>
        <w:t>A.11</w:t>
      </w:r>
      <w:r w:rsidRPr="00FD71FF">
        <w:rPr>
          <w:rFonts w:asciiTheme="minorHAnsi" w:hAnsiTheme="minorHAnsi"/>
          <w:b/>
        </w:rPr>
        <w:tab/>
        <w:t>Justification for Sensitive Questions</w:t>
      </w:r>
    </w:p>
    <w:p w:rsidR="003829B4" w:rsidRDefault="003829B4" w:rsidP="00180BBD">
      <w:pPr>
        <w:pStyle w:val="Default"/>
        <w:rPr>
          <w:rFonts w:asciiTheme="minorHAnsi" w:hAnsiTheme="minorHAnsi"/>
        </w:rPr>
      </w:pPr>
    </w:p>
    <w:p w:rsidR="003829B4" w:rsidRDefault="008D693A" w:rsidP="00180BBD">
      <w:pPr>
        <w:pStyle w:val="Default"/>
        <w:rPr>
          <w:rFonts w:asciiTheme="minorHAnsi" w:hAnsiTheme="minorHAnsi"/>
        </w:rPr>
      </w:pPr>
      <w:r w:rsidRPr="00FD71FF">
        <w:rPr>
          <w:rFonts w:asciiTheme="minorHAnsi" w:hAnsiTheme="minorHAnsi"/>
        </w:rPr>
        <w:t xml:space="preserve">There are a number of questions contained in NCS questionnaires that could be considered sensitive. As part of the informed consent process, women will be informed that their participation in NCS is voluntary and that they may refuse to answer any question. All study questionnaires being proposed for the </w:t>
      </w:r>
      <w:r w:rsidR="002D77B7">
        <w:rPr>
          <w:rFonts w:asciiTheme="minorHAnsi" w:hAnsiTheme="minorHAnsi"/>
        </w:rPr>
        <w:t>Recruitment Sub</w:t>
      </w:r>
      <w:r w:rsidRPr="00FD71FF">
        <w:rPr>
          <w:rFonts w:asciiTheme="minorHAnsi" w:hAnsiTheme="minorHAnsi"/>
        </w:rPr>
        <w:t xml:space="preserve">study </w:t>
      </w:r>
      <w:r w:rsidR="002A748E">
        <w:rPr>
          <w:rFonts w:asciiTheme="minorHAnsi" w:hAnsiTheme="minorHAnsi"/>
        </w:rPr>
        <w:t xml:space="preserve">have been or </w:t>
      </w:r>
      <w:r w:rsidRPr="00FD71FF">
        <w:rPr>
          <w:rFonts w:asciiTheme="minorHAnsi" w:hAnsiTheme="minorHAnsi"/>
        </w:rPr>
        <w:t xml:space="preserve">will be reviewed by Human Subjects Review Boards at NICHD and participating institutions. </w:t>
      </w:r>
    </w:p>
    <w:p w:rsidR="003829B4" w:rsidRDefault="003829B4" w:rsidP="00180BBD">
      <w:pPr>
        <w:pStyle w:val="Default"/>
        <w:rPr>
          <w:rFonts w:asciiTheme="minorHAnsi" w:hAnsiTheme="minorHAnsi"/>
        </w:rPr>
      </w:pPr>
    </w:p>
    <w:p w:rsidR="003829B4" w:rsidRDefault="008D693A" w:rsidP="00180BBD">
      <w:pPr>
        <w:pStyle w:val="Default"/>
        <w:rPr>
          <w:rFonts w:asciiTheme="minorHAnsi" w:hAnsiTheme="minorHAnsi"/>
        </w:rPr>
      </w:pPr>
      <w:r w:rsidRPr="00FD71FF">
        <w:rPr>
          <w:rFonts w:asciiTheme="minorHAnsi" w:hAnsiTheme="minorHAnsi"/>
        </w:rPr>
        <w:t xml:space="preserve">During household enumeration, household reporters will be asked if any women in the household are pregnant. During pregnancy screening, women will be asked about their plans for pregnancy. These questions are necessary to determine eligibility for enrollment in NCS.  </w:t>
      </w:r>
      <w:r w:rsidR="00EC0871" w:rsidRPr="00AA21D3">
        <w:rPr>
          <w:rFonts w:asciiTheme="minorHAnsi" w:hAnsiTheme="minorHAnsi"/>
          <w:highlight w:val="yellow"/>
        </w:rPr>
        <w:t xml:space="preserve">Fathers will also be asked to participate </w:t>
      </w:r>
      <w:r w:rsidR="00AF461F">
        <w:rPr>
          <w:rFonts w:asciiTheme="minorHAnsi" w:hAnsiTheme="minorHAnsi"/>
          <w:highlight w:val="yellow"/>
        </w:rPr>
        <w:t>in Phase 2 of the NCS Vanguard Study</w:t>
      </w:r>
      <w:r w:rsidR="00EC0871" w:rsidRPr="00AA21D3">
        <w:rPr>
          <w:rFonts w:asciiTheme="minorHAnsi" w:hAnsiTheme="minorHAnsi"/>
          <w:highlight w:val="yellow"/>
        </w:rPr>
        <w:t xml:space="preserve">.  During the </w:t>
      </w:r>
      <w:r w:rsidR="00AF461F">
        <w:rPr>
          <w:rFonts w:asciiTheme="minorHAnsi" w:hAnsiTheme="minorHAnsi"/>
          <w:highlight w:val="yellow"/>
        </w:rPr>
        <w:t>Pregnancy Visit 1</w:t>
      </w:r>
      <w:r w:rsidR="00AF461F" w:rsidRPr="00AA21D3">
        <w:rPr>
          <w:rFonts w:asciiTheme="minorHAnsi" w:hAnsiTheme="minorHAnsi"/>
          <w:highlight w:val="yellow"/>
        </w:rPr>
        <w:t xml:space="preserve"> </w:t>
      </w:r>
      <w:r w:rsidR="00AF461F">
        <w:rPr>
          <w:rFonts w:asciiTheme="minorHAnsi" w:hAnsiTheme="minorHAnsi"/>
          <w:highlight w:val="yellow"/>
        </w:rPr>
        <w:t>interview,</w:t>
      </w:r>
      <w:r w:rsidR="00EC0871" w:rsidRPr="00AA21D3">
        <w:rPr>
          <w:rFonts w:asciiTheme="minorHAnsi" w:hAnsiTheme="minorHAnsi"/>
          <w:highlight w:val="yellow"/>
        </w:rPr>
        <w:t xml:space="preserve"> we will ask the enrolled mother if we may contact the baby’s father and invite him to complete an interview.  We will not contact fathers without</w:t>
      </w:r>
      <w:r w:rsidR="00BF3FEF" w:rsidRPr="00AA21D3">
        <w:rPr>
          <w:rFonts w:asciiTheme="minorHAnsi" w:hAnsiTheme="minorHAnsi"/>
          <w:highlight w:val="yellow"/>
        </w:rPr>
        <w:t xml:space="preserve"> mothers’ agreement.</w:t>
      </w:r>
      <w:r w:rsidR="00BF3FEF">
        <w:rPr>
          <w:rFonts w:asciiTheme="minorHAnsi" w:hAnsiTheme="minorHAnsi"/>
        </w:rPr>
        <w:t xml:space="preserve">  </w:t>
      </w:r>
      <w:r w:rsidRPr="00FD71FF">
        <w:rPr>
          <w:rFonts w:asciiTheme="minorHAnsi" w:hAnsiTheme="minorHAnsi"/>
        </w:rPr>
        <w:t xml:space="preserve">Using in-person and telephone interview, other potentially sensitive questions will be asked, such as </w:t>
      </w:r>
      <w:r w:rsidR="00E166B1" w:rsidRPr="00FD71FF">
        <w:rPr>
          <w:rFonts w:asciiTheme="minorHAnsi" w:hAnsiTheme="minorHAnsi"/>
        </w:rPr>
        <w:t>alcohol and tobacco use</w:t>
      </w:r>
      <w:r w:rsidRPr="00FD71FF">
        <w:rPr>
          <w:rFonts w:asciiTheme="minorHAnsi" w:hAnsiTheme="minorHAnsi"/>
        </w:rPr>
        <w:t>, pregnancy</w:t>
      </w:r>
      <w:r w:rsidR="001312F0">
        <w:rPr>
          <w:rFonts w:asciiTheme="minorHAnsi" w:hAnsiTheme="minorHAnsi"/>
        </w:rPr>
        <w:t xml:space="preserve"> plans</w:t>
      </w:r>
      <w:r w:rsidRPr="00FD71FF">
        <w:rPr>
          <w:rFonts w:asciiTheme="minorHAnsi" w:hAnsiTheme="minorHAnsi"/>
        </w:rPr>
        <w:t xml:space="preserve">, and income.  Each of these questions is necessary to assess potential eligibility into the study and </w:t>
      </w:r>
      <w:r w:rsidR="00CF6DF5" w:rsidRPr="00FD71FF">
        <w:rPr>
          <w:rFonts w:asciiTheme="minorHAnsi" w:hAnsiTheme="minorHAnsi"/>
        </w:rPr>
        <w:t xml:space="preserve">to address key potential environmental exposures for children before and after birth.  </w:t>
      </w:r>
    </w:p>
    <w:p w:rsidR="00FB6476" w:rsidRDefault="00FB6476" w:rsidP="00180BBD">
      <w:pPr>
        <w:rPr>
          <w:rFonts w:cs="Times New Roman"/>
          <w:b/>
          <w:color w:val="000000"/>
          <w:sz w:val="24"/>
          <w:szCs w:val="24"/>
        </w:rPr>
      </w:pPr>
    </w:p>
    <w:p w:rsidR="003829B4" w:rsidRDefault="00CF6DF5" w:rsidP="00180BBD">
      <w:pPr>
        <w:pStyle w:val="Default"/>
        <w:rPr>
          <w:rFonts w:asciiTheme="minorHAnsi" w:hAnsiTheme="minorHAnsi"/>
          <w:b/>
        </w:rPr>
      </w:pPr>
      <w:r w:rsidRPr="00FD71FF">
        <w:rPr>
          <w:rFonts w:asciiTheme="minorHAnsi" w:hAnsiTheme="minorHAnsi"/>
          <w:b/>
        </w:rPr>
        <w:t>A.12</w:t>
      </w:r>
      <w:r w:rsidRPr="00FD71FF">
        <w:rPr>
          <w:rFonts w:asciiTheme="minorHAnsi" w:hAnsiTheme="minorHAnsi"/>
          <w:b/>
        </w:rPr>
        <w:tab/>
        <w:t xml:space="preserve">Estimates of </w:t>
      </w:r>
      <w:proofErr w:type="spellStart"/>
      <w:r w:rsidRPr="00FD71FF">
        <w:rPr>
          <w:rFonts w:asciiTheme="minorHAnsi" w:hAnsiTheme="minorHAnsi"/>
          <w:b/>
        </w:rPr>
        <w:t>Hour</w:t>
      </w:r>
      <w:proofErr w:type="spellEnd"/>
      <w:r w:rsidRPr="00FD71FF">
        <w:rPr>
          <w:rFonts w:asciiTheme="minorHAnsi" w:hAnsiTheme="minorHAnsi"/>
          <w:b/>
        </w:rPr>
        <w:t xml:space="preserve"> Burden, Including Annualized Hourly Costs</w:t>
      </w:r>
    </w:p>
    <w:p w:rsidR="0082416F" w:rsidRDefault="0082416F" w:rsidP="00180BBD">
      <w:pPr>
        <w:pStyle w:val="Default"/>
        <w:rPr>
          <w:rFonts w:asciiTheme="minorHAnsi" w:hAnsiTheme="minorHAnsi"/>
          <w:b/>
        </w:rPr>
      </w:pPr>
    </w:p>
    <w:tbl>
      <w:tblPr>
        <w:tblW w:w="11051" w:type="dxa"/>
        <w:tblInd w:w="-972" w:type="dxa"/>
        <w:tblLook w:val="04A0"/>
      </w:tblPr>
      <w:tblGrid>
        <w:gridCol w:w="682"/>
        <w:gridCol w:w="3500"/>
        <w:gridCol w:w="1754"/>
        <w:gridCol w:w="1188"/>
        <w:gridCol w:w="1116"/>
        <w:gridCol w:w="933"/>
        <w:gridCol w:w="762"/>
        <w:gridCol w:w="1116"/>
      </w:tblGrid>
      <w:tr w:rsidR="00A97E0C" w:rsidRPr="00591000" w:rsidTr="00E425B8">
        <w:trPr>
          <w:trHeight w:val="315"/>
          <w:tblHeader/>
        </w:trPr>
        <w:tc>
          <w:tcPr>
            <w:tcW w:w="11051" w:type="dxa"/>
            <w:gridSpan w:val="8"/>
            <w:tcBorders>
              <w:top w:val="nil"/>
              <w:left w:val="nil"/>
              <w:bottom w:val="nil"/>
              <w:right w:val="nil"/>
            </w:tcBorders>
            <w:shd w:val="clear" w:color="auto" w:fill="auto"/>
            <w:noWrap/>
            <w:vAlign w:val="bottom"/>
            <w:hideMark/>
          </w:tcPr>
          <w:p w:rsidR="00A97E0C" w:rsidRPr="00591000" w:rsidRDefault="00A97E0C" w:rsidP="00180BBD">
            <w:pPr>
              <w:spacing w:after="0"/>
              <w:rPr>
                <w:rFonts w:ascii="Calibri" w:hAnsi="Calibri"/>
                <w:b/>
                <w:bCs/>
                <w:sz w:val="18"/>
                <w:szCs w:val="18"/>
              </w:rPr>
            </w:pPr>
            <w:r w:rsidRPr="00591000">
              <w:rPr>
                <w:rFonts w:ascii="Calibri" w:hAnsi="Calibri"/>
                <w:b/>
                <w:bCs/>
                <w:sz w:val="18"/>
                <w:szCs w:val="18"/>
              </w:rPr>
              <w:t>Table A.</w:t>
            </w:r>
            <w:r w:rsidR="0082416F">
              <w:rPr>
                <w:rFonts w:ascii="Calibri" w:hAnsi="Calibri"/>
                <w:b/>
                <w:bCs/>
                <w:sz w:val="18"/>
                <w:szCs w:val="18"/>
              </w:rPr>
              <w:t>1</w:t>
            </w:r>
            <w:r w:rsidRPr="00591000">
              <w:rPr>
                <w:rFonts w:ascii="Calibri" w:hAnsi="Calibri"/>
                <w:b/>
                <w:bCs/>
                <w:sz w:val="18"/>
                <w:szCs w:val="18"/>
              </w:rPr>
              <w:t>2.a Estimated Additional</w:t>
            </w:r>
            <w:r>
              <w:rPr>
                <w:rFonts w:ascii="Calibri" w:hAnsi="Calibri"/>
                <w:b/>
                <w:bCs/>
                <w:sz w:val="18"/>
                <w:szCs w:val="18"/>
              </w:rPr>
              <w:t xml:space="preserve"> </w:t>
            </w:r>
            <w:r w:rsidRPr="00591000">
              <w:rPr>
                <w:rFonts w:ascii="Calibri" w:hAnsi="Calibri"/>
                <w:b/>
                <w:bCs/>
                <w:sz w:val="18"/>
                <w:szCs w:val="18"/>
              </w:rPr>
              <w:t>Hour Burden and Cost for the Recruitment Substudy Respondents, PROVIDER-BASED</w:t>
            </w:r>
          </w:p>
        </w:tc>
      </w:tr>
      <w:tr w:rsidR="0082416F" w:rsidRPr="00591000" w:rsidTr="00E425B8">
        <w:trPr>
          <w:trHeight w:val="780"/>
          <w:tblHeader/>
        </w:trPr>
        <w:tc>
          <w:tcPr>
            <w:tcW w:w="682" w:type="dxa"/>
            <w:tcBorders>
              <w:top w:val="single" w:sz="8" w:space="0" w:color="auto"/>
              <w:left w:val="single" w:sz="8" w:space="0" w:color="auto"/>
              <w:bottom w:val="single" w:sz="8" w:space="0" w:color="auto"/>
              <w:right w:val="single" w:sz="4" w:space="0" w:color="auto"/>
            </w:tcBorders>
            <w:shd w:val="clear" w:color="000000" w:fill="7F7F7F"/>
            <w:textDirection w:val="btLr"/>
            <w:vAlign w:val="center"/>
            <w:hideMark/>
          </w:tcPr>
          <w:p w:rsidR="0082416F" w:rsidRPr="00591000" w:rsidRDefault="0082416F" w:rsidP="00180BBD">
            <w:pPr>
              <w:spacing w:after="0"/>
              <w:jc w:val="center"/>
              <w:rPr>
                <w:rFonts w:ascii="Calibri" w:hAnsi="Calibri"/>
                <w:b/>
                <w:bCs/>
                <w:sz w:val="18"/>
                <w:szCs w:val="18"/>
              </w:rPr>
            </w:pPr>
            <w:r w:rsidRPr="00591000">
              <w:rPr>
                <w:rFonts w:ascii="Calibri" w:hAnsi="Calibri"/>
                <w:b/>
                <w:bCs/>
                <w:sz w:val="18"/>
                <w:szCs w:val="18"/>
              </w:rPr>
              <w:t>Strategy</w:t>
            </w:r>
          </w:p>
        </w:tc>
        <w:tc>
          <w:tcPr>
            <w:tcW w:w="3500"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Activity</w:t>
            </w:r>
          </w:p>
        </w:tc>
        <w:tc>
          <w:tcPr>
            <w:tcW w:w="1754"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Type of Respondent</w:t>
            </w:r>
          </w:p>
        </w:tc>
        <w:tc>
          <w:tcPr>
            <w:tcW w:w="1188"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Number of Respondents</w:t>
            </w:r>
          </w:p>
        </w:tc>
        <w:tc>
          <w:tcPr>
            <w:tcW w:w="1116"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Responses per Respondent</w:t>
            </w:r>
          </w:p>
        </w:tc>
        <w:tc>
          <w:tcPr>
            <w:tcW w:w="933"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Hours per Response</w:t>
            </w:r>
          </w:p>
        </w:tc>
        <w:tc>
          <w:tcPr>
            <w:tcW w:w="762"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Annual Hour Burden</w:t>
            </w:r>
          </w:p>
        </w:tc>
        <w:tc>
          <w:tcPr>
            <w:tcW w:w="1116" w:type="dxa"/>
            <w:tcBorders>
              <w:top w:val="single" w:sz="8" w:space="0" w:color="auto"/>
              <w:left w:val="nil"/>
              <w:bottom w:val="single" w:sz="8" w:space="0" w:color="auto"/>
              <w:right w:val="single" w:sz="8"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Annual Respondent Cost</w:t>
            </w:r>
          </w:p>
        </w:tc>
      </w:tr>
      <w:tr w:rsidR="0082416F" w:rsidRPr="00591000" w:rsidTr="0082416F">
        <w:trPr>
          <w:trHeight w:val="300"/>
        </w:trPr>
        <w:tc>
          <w:tcPr>
            <w:tcW w:w="682" w:type="dxa"/>
            <w:vMerge w:val="restart"/>
            <w:tcBorders>
              <w:top w:val="nil"/>
              <w:left w:val="single" w:sz="8" w:space="0" w:color="auto"/>
              <w:bottom w:val="single" w:sz="8" w:space="0" w:color="000000"/>
              <w:right w:val="single" w:sz="4" w:space="0" w:color="auto"/>
            </w:tcBorders>
            <w:shd w:val="clear" w:color="000000" w:fill="7F7F7F"/>
            <w:noWrap/>
            <w:textDirection w:val="btLr"/>
            <w:vAlign w:val="center"/>
            <w:hideMark/>
          </w:tcPr>
          <w:p w:rsidR="0082416F" w:rsidRPr="00591000" w:rsidRDefault="0082416F" w:rsidP="00180BBD">
            <w:pPr>
              <w:spacing w:after="0"/>
              <w:jc w:val="center"/>
              <w:rPr>
                <w:rFonts w:ascii="Calibri" w:hAnsi="Calibri"/>
                <w:b/>
                <w:bCs/>
                <w:sz w:val="18"/>
                <w:szCs w:val="18"/>
              </w:rPr>
            </w:pPr>
            <w:r w:rsidRPr="00591000">
              <w:rPr>
                <w:rFonts w:ascii="Calibri" w:hAnsi="Calibri"/>
                <w:b/>
                <w:bCs/>
                <w:sz w:val="18"/>
                <w:szCs w:val="18"/>
              </w:rPr>
              <w:t>Provider-Based</w:t>
            </w:r>
          </w:p>
        </w:tc>
        <w:tc>
          <w:tcPr>
            <w:tcW w:w="350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Screening Activities</w:t>
            </w:r>
          </w:p>
        </w:tc>
        <w:tc>
          <w:tcPr>
            <w:tcW w:w="1754"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33"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762"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Address Lookup Tool</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7,500</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0.10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750</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$7,500</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Screener (Provider Based)</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1,500</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0.40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600</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$6,000</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Healthcare Provider Questionnaire</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Healthcare Providers</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600</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0.16</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96</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$960</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Preconception Activities</w:t>
            </w:r>
          </w:p>
        </w:tc>
        <w:tc>
          <w:tcPr>
            <w:tcW w:w="1754"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33"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762"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Non-pregnant Women's Informed Consent</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205</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103</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$1,025</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Pre-Pregnancy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123</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0.75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92</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$923</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Pre-Pregnancy Blood and Urine Collection</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111</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28</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$277</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Probability Group Script</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123</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0.10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74</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$738</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Validation Script</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225</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0.08</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19</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$188</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Pregnancy Activities</w:t>
            </w:r>
          </w:p>
        </w:tc>
        <w:tc>
          <w:tcPr>
            <w:tcW w:w="1754"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33"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762"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Women’s Informed Consent Form</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1,295</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648</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$6,475</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1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572</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1.00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572</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$5,720</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1 Blood and Urine Collection</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415</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104</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$1,038</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2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572</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0.75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429</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$4,290</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2 Blood and Urine Collection</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515</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129</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$1,287</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Health Care Log</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458</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0.33</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153</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$1,525</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Father Informed Consent Form</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Alternate Caregiver</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458</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229</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$2,288</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Father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Alternate Caregiver</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275</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69</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$686</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Birth-Related Activities</w:t>
            </w:r>
          </w:p>
        </w:tc>
        <w:tc>
          <w:tcPr>
            <w:tcW w:w="1754"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33"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762"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Birth Visit Interview</w:t>
            </w:r>
          </w:p>
        </w:tc>
        <w:tc>
          <w:tcPr>
            <w:tcW w:w="1754" w:type="dxa"/>
            <w:tcBorders>
              <w:top w:val="nil"/>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299</w:t>
            </w:r>
          </w:p>
        </w:tc>
        <w:tc>
          <w:tcPr>
            <w:tcW w:w="1116"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0.40</w:t>
            </w:r>
          </w:p>
        </w:tc>
        <w:tc>
          <w:tcPr>
            <w:tcW w:w="762"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120</w:t>
            </w:r>
          </w:p>
        </w:tc>
        <w:tc>
          <w:tcPr>
            <w:tcW w:w="1116" w:type="dxa"/>
            <w:tcBorders>
              <w:top w:val="nil"/>
              <w:left w:val="nil"/>
              <w:bottom w:val="single" w:sz="4" w:space="0" w:color="auto"/>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$1,196</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Total, Prenatal and Birth Activities</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15,244</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 </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 </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4,212</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$42,115</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Postnatal Activities</w:t>
            </w:r>
          </w:p>
        </w:tc>
        <w:tc>
          <w:tcPr>
            <w:tcW w:w="1754"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33"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762"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Infant/Child Health Care Log</w:t>
            </w:r>
          </w:p>
        </w:tc>
        <w:tc>
          <w:tcPr>
            <w:tcW w:w="1754" w:type="dxa"/>
            <w:tcBorders>
              <w:top w:val="nil"/>
              <w:left w:val="nil"/>
              <w:bottom w:val="nil"/>
              <w:right w:val="nil"/>
            </w:tcBorders>
            <w:shd w:val="clear" w:color="auto" w:fill="auto"/>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single" w:sz="4" w:space="0" w:color="auto"/>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290</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0.33</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96</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$957</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3-Month Phone Call</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290</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0.33</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96</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$957</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6-Month Visit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281</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141</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$1,407</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9-Month Phone Call</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273</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0.17</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46</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$464</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12-Month Visit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265</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132</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$1,324</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18-Month Maternal Phone Call</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251</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126</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$1,257</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24-Month Maternal Phone Call</w:t>
            </w:r>
          </w:p>
        </w:tc>
        <w:tc>
          <w:tcPr>
            <w:tcW w:w="1754" w:type="dxa"/>
            <w:tcBorders>
              <w:top w:val="nil"/>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239</w:t>
            </w:r>
          </w:p>
        </w:tc>
        <w:tc>
          <w:tcPr>
            <w:tcW w:w="1116"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119</w:t>
            </w:r>
          </w:p>
        </w:tc>
        <w:tc>
          <w:tcPr>
            <w:tcW w:w="1116" w:type="dxa"/>
            <w:tcBorders>
              <w:top w:val="nil"/>
              <w:left w:val="nil"/>
              <w:bottom w:val="single" w:sz="4" w:space="0" w:color="auto"/>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$1,194</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Total, Postnatal to 24-Month</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1,889</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 </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 </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756</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$7,560</w:t>
            </w:r>
          </w:p>
        </w:tc>
      </w:tr>
      <w:tr w:rsidR="0082416F" w:rsidRPr="00591000" w:rsidTr="0082416F">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single" w:sz="4" w:space="0" w:color="auto"/>
              <w:left w:val="nil"/>
              <w:bottom w:val="single" w:sz="8"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Total, Provider-Based</w:t>
            </w:r>
          </w:p>
        </w:tc>
        <w:tc>
          <w:tcPr>
            <w:tcW w:w="1754" w:type="dxa"/>
            <w:tcBorders>
              <w:top w:val="single" w:sz="4" w:space="0" w:color="auto"/>
              <w:left w:val="nil"/>
              <w:bottom w:val="single" w:sz="8"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 </w:t>
            </w:r>
          </w:p>
        </w:tc>
        <w:tc>
          <w:tcPr>
            <w:tcW w:w="1188" w:type="dxa"/>
            <w:tcBorders>
              <w:top w:val="single" w:sz="4" w:space="0" w:color="auto"/>
              <w:left w:val="nil"/>
              <w:bottom w:val="single" w:sz="8"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b/>
                <w:bCs/>
                <w:sz w:val="18"/>
                <w:szCs w:val="18"/>
              </w:rPr>
            </w:pPr>
            <w:r w:rsidRPr="00591000">
              <w:rPr>
                <w:rFonts w:ascii="Calibri" w:hAnsi="Calibri"/>
                <w:b/>
                <w:bCs/>
                <w:sz w:val="18"/>
                <w:szCs w:val="18"/>
              </w:rPr>
              <w:t>17,134</w:t>
            </w:r>
          </w:p>
        </w:tc>
        <w:tc>
          <w:tcPr>
            <w:tcW w:w="1116" w:type="dxa"/>
            <w:tcBorders>
              <w:top w:val="single" w:sz="4" w:space="0" w:color="auto"/>
              <w:left w:val="nil"/>
              <w:bottom w:val="single" w:sz="8"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 </w:t>
            </w:r>
          </w:p>
        </w:tc>
        <w:tc>
          <w:tcPr>
            <w:tcW w:w="933" w:type="dxa"/>
            <w:tcBorders>
              <w:top w:val="single" w:sz="4" w:space="0" w:color="auto"/>
              <w:left w:val="nil"/>
              <w:bottom w:val="single" w:sz="8"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 </w:t>
            </w:r>
          </w:p>
        </w:tc>
        <w:tc>
          <w:tcPr>
            <w:tcW w:w="762" w:type="dxa"/>
            <w:tcBorders>
              <w:top w:val="single" w:sz="4" w:space="0" w:color="auto"/>
              <w:left w:val="nil"/>
              <w:bottom w:val="single" w:sz="8"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b/>
                <w:bCs/>
                <w:sz w:val="18"/>
                <w:szCs w:val="18"/>
              </w:rPr>
            </w:pPr>
            <w:r w:rsidRPr="00591000">
              <w:rPr>
                <w:rFonts w:ascii="Calibri" w:hAnsi="Calibri"/>
                <w:b/>
                <w:bCs/>
                <w:sz w:val="18"/>
                <w:szCs w:val="18"/>
              </w:rPr>
              <w:t>4,968</w:t>
            </w:r>
          </w:p>
        </w:tc>
        <w:tc>
          <w:tcPr>
            <w:tcW w:w="1116" w:type="dxa"/>
            <w:tcBorders>
              <w:top w:val="single" w:sz="4" w:space="0" w:color="auto"/>
              <w:left w:val="nil"/>
              <w:bottom w:val="single" w:sz="8" w:space="0" w:color="auto"/>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b/>
                <w:bCs/>
                <w:sz w:val="18"/>
                <w:szCs w:val="18"/>
              </w:rPr>
            </w:pPr>
            <w:r w:rsidRPr="00591000">
              <w:rPr>
                <w:rFonts w:ascii="Calibri" w:hAnsi="Calibri"/>
                <w:b/>
                <w:bCs/>
                <w:sz w:val="18"/>
                <w:szCs w:val="18"/>
              </w:rPr>
              <w:t>$49,675</w:t>
            </w:r>
          </w:p>
        </w:tc>
      </w:tr>
    </w:tbl>
    <w:p w:rsidR="005D3A96" w:rsidRDefault="005D3A96" w:rsidP="00180BBD">
      <w:pPr>
        <w:spacing w:after="0"/>
        <w:rPr>
          <w:rFonts w:cs="Times New Roman"/>
          <w:b/>
          <w:color w:val="000000"/>
          <w:sz w:val="24"/>
          <w:szCs w:val="24"/>
        </w:rPr>
      </w:pPr>
    </w:p>
    <w:tbl>
      <w:tblPr>
        <w:tblW w:w="11051" w:type="dxa"/>
        <w:tblInd w:w="-972" w:type="dxa"/>
        <w:tblLook w:val="04A0"/>
      </w:tblPr>
      <w:tblGrid>
        <w:gridCol w:w="682"/>
        <w:gridCol w:w="3500"/>
        <w:gridCol w:w="1754"/>
        <w:gridCol w:w="1188"/>
        <w:gridCol w:w="1116"/>
        <w:gridCol w:w="933"/>
        <w:gridCol w:w="762"/>
        <w:gridCol w:w="1116"/>
      </w:tblGrid>
      <w:tr w:rsidR="005D3A96" w:rsidRPr="00591000" w:rsidTr="00463622">
        <w:trPr>
          <w:trHeight w:val="300"/>
          <w:tblHeader/>
        </w:trPr>
        <w:tc>
          <w:tcPr>
            <w:tcW w:w="11051" w:type="dxa"/>
            <w:gridSpan w:val="8"/>
            <w:tcBorders>
              <w:top w:val="nil"/>
              <w:left w:val="nil"/>
              <w:bottom w:val="nil"/>
              <w:right w:val="nil"/>
            </w:tcBorders>
            <w:shd w:val="clear" w:color="auto" w:fill="auto"/>
            <w:noWrap/>
            <w:vAlign w:val="center"/>
            <w:hideMark/>
          </w:tcPr>
          <w:p w:rsidR="005D3A96" w:rsidRPr="00591000" w:rsidRDefault="005D3A96" w:rsidP="00180BBD">
            <w:pPr>
              <w:spacing w:after="0"/>
              <w:rPr>
                <w:rFonts w:ascii="Calibri" w:hAnsi="Calibri"/>
                <w:b/>
                <w:bCs/>
                <w:sz w:val="18"/>
                <w:szCs w:val="18"/>
              </w:rPr>
            </w:pPr>
            <w:r w:rsidRPr="00591000">
              <w:rPr>
                <w:rFonts w:ascii="Calibri" w:hAnsi="Calibri"/>
                <w:b/>
                <w:bCs/>
                <w:sz w:val="18"/>
                <w:szCs w:val="18"/>
              </w:rPr>
              <w:t>Table A.</w:t>
            </w:r>
            <w:r w:rsidR="0082416F">
              <w:rPr>
                <w:rFonts w:ascii="Calibri" w:hAnsi="Calibri"/>
                <w:b/>
                <w:bCs/>
                <w:sz w:val="18"/>
                <w:szCs w:val="18"/>
              </w:rPr>
              <w:t>1</w:t>
            </w:r>
            <w:r w:rsidRPr="00591000">
              <w:rPr>
                <w:rFonts w:ascii="Calibri" w:hAnsi="Calibri"/>
                <w:b/>
                <w:bCs/>
                <w:sz w:val="18"/>
                <w:szCs w:val="18"/>
              </w:rPr>
              <w:t>2.b Estimated Additional Hour Burden and Cost for the Recruitment Substudy Respondents, ENHANCED HOUSEHOLD</w:t>
            </w:r>
          </w:p>
        </w:tc>
      </w:tr>
      <w:tr w:rsidR="0082416F" w:rsidRPr="00591000" w:rsidTr="00463622">
        <w:trPr>
          <w:trHeight w:val="780"/>
          <w:tblHeader/>
        </w:trPr>
        <w:tc>
          <w:tcPr>
            <w:tcW w:w="682" w:type="dxa"/>
            <w:tcBorders>
              <w:top w:val="single" w:sz="8" w:space="0" w:color="auto"/>
              <w:left w:val="single" w:sz="8" w:space="0" w:color="auto"/>
              <w:bottom w:val="single" w:sz="8" w:space="0" w:color="auto"/>
              <w:right w:val="single" w:sz="4" w:space="0" w:color="auto"/>
            </w:tcBorders>
            <w:shd w:val="clear" w:color="000000" w:fill="7F7F7F"/>
            <w:textDirection w:val="btLr"/>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Strategy</w:t>
            </w:r>
          </w:p>
        </w:tc>
        <w:tc>
          <w:tcPr>
            <w:tcW w:w="3500" w:type="dxa"/>
            <w:tcBorders>
              <w:top w:val="single" w:sz="8" w:space="0" w:color="auto"/>
              <w:left w:val="nil"/>
              <w:bottom w:val="single" w:sz="8" w:space="0" w:color="auto"/>
              <w:right w:val="single" w:sz="4" w:space="0" w:color="auto"/>
            </w:tcBorders>
            <w:shd w:val="clear" w:color="000000" w:fill="7F7F7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Activity</w:t>
            </w:r>
          </w:p>
        </w:tc>
        <w:tc>
          <w:tcPr>
            <w:tcW w:w="1754" w:type="dxa"/>
            <w:tcBorders>
              <w:top w:val="single" w:sz="8" w:space="0" w:color="auto"/>
              <w:left w:val="nil"/>
              <w:bottom w:val="single" w:sz="8" w:space="0" w:color="auto"/>
              <w:right w:val="single" w:sz="4" w:space="0" w:color="auto"/>
            </w:tcBorders>
            <w:shd w:val="clear" w:color="000000" w:fill="7F7F7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Type of Respondent</w:t>
            </w:r>
          </w:p>
        </w:tc>
        <w:tc>
          <w:tcPr>
            <w:tcW w:w="1188" w:type="dxa"/>
            <w:tcBorders>
              <w:top w:val="single" w:sz="8" w:space="0" w:color="auto"/>
              <w:left w:val="nil"/>
              <w:bottom w:val="single" w:sz="8" w:space="0" w:color="auto"/>
              <w:right w:val="single" w:sz="4" w:space="0" w:color="auto"/>
            </w:tcBorders>
            <w:shd w:val="clear" w:color="000000" w:fill="7F7F7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Number of Respondents</w:t>
            </w:r>
          </w:p>
        </w:tc>
        <w:tc>
          <w:tcPr>
            <w:tcW w:w="1116" w:type="dxa"/>
            <w:tcBorders>
              <w:top w:val="single" w:sz="8" w:space="0" w:color="auto"/>
              <w:left w:val="nil"/>
              <w:bottom w:val="single" w:sz="8" w:space="0" w:color="auto"/>
              <w:right w:val="single" w:sz="4" w:space="0" w:color="auto"/>
            </w:tcBorders>
            <w:shd w:val="clear" w:color="000000" w:fill="7F7F7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Responses per Respondent</w:t>
            </w:r>
          </w:p>
        </w:tc>
        <w:tc>
          <w:tcPr>
            <w:tcW w:w="933" w:type="dxa"/>
            <w:tcBorders>
              <w:top w:val="single" w:sz="8" w:space="0" w:color="auto"/>
              <w:left w:val="nil"/>
              <w:bottom w:val="single" w:sz="8" w:space="0" w:color="auto"/>
              <w:right w:val="single" w:sz="4" w:space="0" w:color="auto"/>
            </w:tcBorders>
            <w:shd w:val="clear" w:color="000000" w:fill="7F7F7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Hours per Response</w:t>
            </w:r>
          </w:p>
        </w:tc>
        <w:tc>
          <w:tcPr>
            <w:tcW w:w="762" w:type="dxa"/>
            <w:tcBorders>
              <w:top w:val="single" w:sz="8" w:space="0" w:color="auto"/>
              <w:left w:val="nil"/>
              <w:bottom w:val="single" w:sz="8" w:space="0" w:color="auto"/>
              <w:right w:val="single" w:sz="4" w:space="0" w:color="auto"/>
            </w:tcBorders>
            <w:shd w:val="clear" w:color="000000" w:fill="7F7F7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Annual Hour Burden</w:t>
            </w:r>
          </w:p>
        </w:tc>
        <w:tc>
          <w:tcPr>
            <w:tcW w:w="1116" w:type="dxa"/>
            <w:tcBorders>
              <w:top w:val="single" w:sz="8" w:space="0" w:color="auto"/>
              <w:left w:val="nil"/>
              <w:bottom w:val="single" w:sz="8" w:space="0" w:color="auto"/>
              <w:right w:val="single" w:sz="8" w:space="0" w:color="auto"/>
            </w:tcBorders>
            <w:shd w:val="clear" w:color="000000" w:fill="7F7F7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Annual Respondent Cost</w:t>
            </w:r>
          </w:p>
        </w:tc>
      </w:tr>
      <w:tr w:rsidR="0082416F" w:rsidRPr="00591000" w:rsidTr="00463622">
        <w:trPr>
          <w:trHeight w:val="300"/>
        </w:trPr>
        <w:tc>
          <w:tcPr>
            <w:tcW w:w="682" w:type="dxa"/>
            <w:vMerge w:val="restart"/>
            <w:tcBorders>
              <w:top w:val="nil"/>
              <w:left w:val="single" w:sz="8" w:space="0" w:color="auto"/>
              <w:bottom w:val="single" w:sz="8" w:space="0" w:color="000000"/>
              <w:right w:val="single" w:sz="4" w:space="0" w:color="auto"/>
            </w:tcBorders>
            <w:shd w:val="clear" w:color="000000" w:fill="7F7F7F"/>
            <w:noWrap/>
            <w:textDirection w:val="btLr"/>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Enhanced Household</w:t>
            </w:r>
          </w:p>
        </w:tc>
        <w:tc>
          <w:tcPr>
            <w:tcW w:w="3500" w:type="dxa"/>
            <w:tcBorders>
              <w:top w:val="nil"/>
              <w:left w:val="nil"/>
              <w:bottom w:val="nil"/>
              <w:right w:val="single" w:sz="4" w:space="0" w:color="auto"/>
            </w:tcBorders>
            <w:shd w:val="clear" w:color="000000" w:fill="BFBFB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Screening Activities</w:t>
            </w:r>
          </w:p>
        </w:tc>
        <w:tc>
          <w:tcPr>
            <w:tcW w:w="1754" w:type="dxa"/>
            <w:tcBorders>
              <w:top w:val="nil"/>
              <w:left w:val="nil"/>
              <w:bottom w:val="nil"/>
              <w:right w:val="single" w:sz="4" w:space="0" w:color="auto"/>
            </w:tcBorders>
            <w:shd w:val="clear" w:color="000000" w:fill="BFBFBF"/>
            <w:vAlign w:val="center"/>
            <w:hideMark/>
          </w:tcPr>
          <w:p w:rsidR="0082416F" w:rsidRPr="00591000" w:rsidRDefault="0082416F" w:rsidP="00180BBD">
            <w:pPr>
              <w:spacing w:after="0"/>
              <w:rPr>
                <w:rFonts w:ascii="Calibri" w:hAnsi="Calibri"/>
                <w:sz w:val="18"/>
                <w:szCs w:val="18"/>
              </w:rPr>
            </w:pPr>
          </w:p>
        </w:tc>
        <w:tc>
          <w:tcPr>
            <w:tcW w:w="1188"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rPr>
                <w:rFonts w:ascii="Calibri" w:hAnsi="Calibri"/>
                <w:sz w:val="18"/>
                <w:szCs w:val="18"/>
              </w:rPr>
            </w:pPr>
          </w:p>
        </w:tc>
        <w:tc>
          <w:tcPr>
            <w:tcW w:w="1116"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rPr>
                <w:rFonts w:ascii="Calibri" w:hAnsi="Calibri"/>
                <w:sz w:val="18"/>
                <w:szCs w:val="18"/>
              </w:rPr>
            </w:pPr>
          </w:p>
        </w:tc>
        <w:tc>
          <w:tcPr>
            <w:tcW w:w="933"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rPr>
                <w:rFonts w:ascii="Calibri" w:hAnsi="Calibri"/>
                <w:sz w:val="18"/>
                <w:szCs w:val="18"/>
              </w:rPr>
            </w:pPr>
          </w:p>
        </w:tc>
        <w:tc>
          <w:tcPr>
            <w:tcW w:w="762"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rPr>
                <w:rFonts w:ascii="Calibri" w:hAnsi="Calibri"/>
                <w:sz w:val="18"/>
                <w:szCs w:val="18"/>
              </w:rPr>
            </w:pPr>
          </w:p>
        </w:tc>
        <w:tc>
          <w:tcPr>
            <w:tcW w:w="1116" w:type="dxa"/>
            <w:tcBorders>
              <w:top w:val="nil"/>
              <w:left w:val="nil"/>
              <w:bottom w:val="nil"/>
              <w:right w:val="single" w:sz="8" w:space="0" w:color="auto"/>
            </w:tcBorders>
            <w:shd w:val="clear" w:color="000000" w:fill="BFBFBF"/>
            <w:noWrap/>
            <w:vAlign w:val="center"/>
            <w:hideMark/>
          </w:tcPr>
          <w:p w:rsidR="0082416F" w:rsidRPr="00591000" w:rsidRDefault="0082416F" w:rsidP="00180BBD">
            <w:pPr>
              <w:spacing w:after="0"/>
              <w:rPr>
                <w:rFonts w:ascii="Calibri" w:hAnsi="Calibri"/>
                <w:sz w:val="18"/>
                <w:szCs w:val="18"/>
              </w:rPr>
            </w:pP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Household Enumeration Instrument</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HH Reporters</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120,000</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0.33</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39,600</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$396,000</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Screener (Enhanced Household)</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51,198</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0.42</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21,503</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$215,032</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Preconception Activities</w:t>
            </w:r>
          </w:p>
        </w:tc>
        <w:tc>
          <w:tcPr>
            <w:tcW w:w="1754" w:type="dxa"/>
            <w:tcBorders>
              <w:top w:val="nil"/>
              <w:left w:val="nil"/>
              <w:bottom w:val="nil"/>
              <w:right w:val="single" w:sz="4" w:space="0" w:color="auto"/>
            </w:tcBorders>
            <w:shd w:val="clear" w:color="000000" w:fill="BFBFBF"/>
            <w:vAlign w:val="center"/>
            <w:hideMark/>
          </w:tcPr>
          <w:p w:rsidR="0082416F" w:rsidRPr="00591000" w:rsidRDefault="0082416F" w:rsidP="00180BBD">
            <w:pPr>
              <w:spacing w:after="0"/>
              <w:rPr>
                <w:rFonts w:ascii="Calibri" w:hAnsi="Calibri"/>
                <w:sz w:val="18"/>
                <w:szCs w:val="18"/>
              </w:rPr>
            </w:pPr>
          </w:p>
        </w:tc>
        <w:tc>
          <w:tcPr>
            <w:tcW w:w="1188"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1116"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933"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762"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1116" w:type="dxa"/>
            <w:tcBorders>
              <w:top w:val="nil"/>
              <w:left w:val="nil"/>
              <w:bottom w:val="nil"/>
              <w:right w:val="single" w:sz="8"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Non-pregnant Women's Informed Consent</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352</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176</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$1,758</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Pre-Pregnancy Interview</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211</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0.75</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158</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$1,583</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Pre-Pregnancy Blood and Urine Collection</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190</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47</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$475</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Probability Group Script</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211</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0.10</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127</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$1,266</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Validation Script</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388</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0.08</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31</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$311</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Pregnancy Activities</w:t>
            </w:r>
          </w:p>
        </w:tc>
        <w:tc>
          <w:tcPr>
            <w:tcW w:w="1754" w:type="dxa"/>
            <w:tcBorders>
              <w:top w:val="nil"/>
              <w:left w:val="nil"/>
              <w:bottom w:val="nil"/>
              <w:right w:val="single" w:sz="4" w:space="0" w:color="auto"/>
            </w:tcBorders>
            <w:shd w:val="clear" w:color="000000" w:fill="BFBFBF"/>
            <w:vAlign w:val="center"/>
            <w:hideMark/>
          </w:tcPr>
          <w:p w:rsidR="0082416F" w:rsidRPr="00591000" w:rsidRDefault="0082416F" w:rsidP="00180BBD">
            <w:pPr>
              <w:spacing w:after="0"/>
              <w:rPr>
                <w:rFonts w:ascii="Calibri" w:hAnsi="Calibri"/>
                <w:sz w:val="18"/>
                <w:szCs w:val="18"/>
              </w:rPr>
            </w:pPr>
          </w:p>
        </w:tc>
        <w:tc>
          <w:tcPr>
            <w:tcW w:w="1188"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1116"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933"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762"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1116" w:type="dxa"/>
            <w:tcBorders>
              <w:top w:val="nil"/>
              <w:left w:val="nil"/>
              <w:bottom w:val="nil"/>
              <w:right w:val="single" w:sz="8"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Women’s Informed Consent Form</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2,236</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1,118</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$11,180</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1 Interview</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986</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1.00</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986</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$9,860</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1 Blood and Urine Collection</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716</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179</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$1,791</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2 Interview</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986</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0.75</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740</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$7,395</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2 Blood and Urine Collection</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887</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222</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$2,219</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Health Care Log</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789</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0.33</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263</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$2,629</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Father Informed Consent Form</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Alternate Caregiver</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789</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394</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$3,944</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Father Interview</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Alternate Caregiver</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473</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118</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$1,183</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Birth-Related Activities</w:t>
            </w:r>
          </w:p>
        </w:tc>
        <w:tc>
          <w:tcPr>
            <w:tcW w:w="1754" w:type="dxa"/>
            <w:tcBorders>
              <w:top w:val="nil"/>
              <w:left w:val="nil"/>
              <w:bottom w:val="nil"/>
              <w:right w:val="single" w:sz="4" w:space="0" w:color="auto"/>
            </w:tcBorders>
            <w:shd w:val="clear" w:color="000000" w:fill="BFBFBF"/>
            <w:vAlign w:val="center"/>
            <w:hideMark/>
          </w:tcPr>
          <w:p w:rsidR="0082416F" w:rsidRPr="00591000" w:rsidRDefault="0082416F" w:rsidP="00180BBD">
            <w:pPr>
              <w:spacing w:after="0"/>
              <w:rPr>
                <w:rFonts w:ascii="Calibri" w:hAnsi="Calibri"/>
                <w:sz w:val="18"/>
                <w:szCs w:val="18"/>
              </w:rPr>
            </w:pPr>
          </w:p>
        </w:tc>
        <w:tc>
          <w:tcPr>
            <w:tcW w:w="1188"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1116"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933"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762"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1116" w:type="dxa"/>
            <w:tcBorders>
              <w:top w:val="nil"/>
              <w:left w:val="nil"/>
              <w:bottom w:val="nil"/>
              <w:right w:val="single" w:sz="8"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Birth Visit Interview</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516</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0.40</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206</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$2,064</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single" w:sz="4" w:space="0" w:color="auto"/>
              <w:left w:val="nil"/>
              <w:bottom w:val="single" w:sz="4" w:space="0" w:color="auto"/>
              <w:right w:val="single" w:sz="4" w:space="0" w:color="auto"/>
            </w:tcBorders>
            <w:shd w:val="clear" w:color="auto" w:fill="auto"/>
            <w:vAlign w:val="center"/>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Total, Prenatal and Birth Activities</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180,928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i/>
                <w:iCs/>
                <w:sz w:val="18"/>
                <w:szCs w:val="18"/>
              </w:rPr>
            </w:pP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i/>
                <w:iCs/>
                <w:sz w:val="18"/>
                <w:szCs w:val="18"/>
              </w:rPr>
            </w:pP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65,869</w:t>
            </w:r>
          </w:p>
        </w:tc>
        <w:tc>
          <w:tcPr>
            <w:tcW w:w="1116" w:type="dxa"/>
            <w:tcBorders>
              <w:top w:val="single" w:sz="4" w:space="0" w:color="auto"/>
              <w:left w:val="nil"/>
              <w:bottom w:val="single" w:sz="4" w:space="0" w:color="auto"/>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$658,689</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Postnatal Activities</w:t>
            </w:r>
          </w:p>
        </w:tc>
        <w:tc>
          <w:tcPr>
            <w:tcW w:w="1754" w:type="dxa"/>
            <w:tcBorders>
              <w:top w:val="nil"/>
              <w:left w:val="nil"/>
              <w:bottom w:val="nil"/>
              <w:right w:val="single" w:sz="4" w:space="0" w:color="auto"/>
            </w:tcBorders>
            <w:shd w:val="clear" w:color="000000" w:fill="BFBFBF"/>
            <w:vAlign w:val="center"/>
            <w:hideMark/>
          </w:tcPr>
          <w:p w:rsidR="0082416F" w:rsidRPr="00591000" w:rsidRDefault="0082416F" w:rsidP="00180BBD">
            <w:pPr>
              <w:spacing w:after="0"/>
              <w:rPr>
                <w:rFonts w:ascii="Calibri" w:hAnsi="Calibri"/>
                <w:sz w:val="18"/>
                <w:szCs w:val="18"/>
              </w:rPr>
            </w:pPr>
          </w:p>
        </w:tc>
        <w:tc>
          <w:tcPr>
            <w:tcW w:w="1188"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1116"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933"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762" w:type="dxa"/>
            <w:tcBorders>
              <w:top w:val="nil"/>
              <w:left w:val="nil"/>
              <w:bottom w:val="nil"/>
              <w:right w:val="single" w:sz="4"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c>
          <w:tcPr>
            <w:tcW w:w="1116" w:type="dxa"/>
            <w:tcBorders>
              <w:top w:val="nil"/>
              <w:left w:val="nil"/>
              <w:bottom w:val="nil"/>
              <w:right w:val="single" w:sz="8" w:space="0" w:color="auto"/>
            </w:tcBorders>
            <w:shd w:val="clear" w:color="000000" w:fill="BFBFBF"/>
            <w:noWrap/>
            <w:vAlign w:val="center"/>
            <w:hideMark/>
          </w:tcPr>
          <w:p w:rsidR="0082416F" w:rsidRPr="00591000" w:rsidRDefault="0082416F" w:rsidP="00180BBD">
            <w:pPr>
              <w:spacing w:after="0"/>
              <w:jc w:val="right"/>
              <w:rPr>
                <w:rFonts w:ascii="Calibri" w:hAnsi="Calibri"/>
                <w:sz w:val="18"/>
                <w:szCs w:val="18"/>
              </w:rPr>
            </w:pP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Infant/Child Health Care Log</w:t>
            </w:r>
          </w:p>
        </w:tc>
        <w:tc>
          <w:tcPr>
            <w:tcW w:w="1754" w:type="dxa"/>
            <w:tcBorders>
              <w:top w:val="nil"/>
              <w:left w:val="nil"/>
              <w:bottom w:val="nil"/>
              <w:right w:val="nil"/>
            </w:tcBorders>
            <w:shd w:val="clear" w:color="auto" w:fill="auto"/>
            <w:noWrap/>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single" w:sz="4" w:space="0" w:color="auto"/>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501</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0.33</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165</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$1,652</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3-Month Phone Call</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501</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0.33</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165</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$1,652</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6-Month Visit Interview</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486</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243</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$2,428</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9-Month Phone Call</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471</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0.17</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80</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$801</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12-Month Visit Interview</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457</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228</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$2,284</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18-Month Maternal Phone Call</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434</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217</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$2,170</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24-Month Maternal Phone Call</w:t>
            </w:r>
          </w:p>
        </w:tc>
        <w:tc>
          <w:tcPr>
            <w:tcW w:w="1754" w:type="dxa"/>
            <w:tcBorders>
              <w:top w:val="nil"/>
              <w:left w:val="nil"/>
              <w:bottom w:val="nil"/>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412</w:t>
            </w:r>
          </w:p>
        </w:tc>
        <w:tc>
          <w:tcPr>
            <w:tcW w:w="1116"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206</w:t>
            </w:r>
          </w:p>
        </w:tc>
        <w:tc>
          <w:tcPr>
            <w:tcW w:w="1116" w:type="dxa"/>
            <w:tcBorders>
              <w:top w:val="nil"/>
              <w:left w:val="nil"/>
              <w:bottom w:val="nil"/>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$2,061</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single" w:sz="4" w:space="0" w:color="auto"/>
              <w:left w:val="nil"/>
              <w:bottom w:val="single" w:sz="4" w:space="0" w:color="auto"/>
              <w:right w:val="single" w:sz="4" w:space="0" w:color="auto"/>
            </w:tcBorders>
            <w:shd w:val="clear" w:color="auto" w:fill="auto"/>
            <w:vAlign w:val="center"/>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Total, Postnatal to 24-Month</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3,261</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i/>
                <w:iCs/>
                <w:sz w:val="18"/>
                <w:szCs w:val="18"/>
              </w:rPr>
            </w:pP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i/>
                <w:iCs/>
                <w:sz w:val="18"/>
                <w:szCs w:val="18"/>
              </w:rPr>
            </w:pP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1,305</w:t>
            </w:r>
          </w:p>
        </w:tc>
        <w:tc>
          <w:tcPr>
            <w:tcW w:w="1116" w:type="dxa"/>
            <w:tcBorders>
              <w:top w:val="single" w:sz="4" w:space="0" w:color="auto"/>
              <w:left w:val="nil"/>
              <w:bottom w:val="single" w:sz="4" w:space="0" w:color="auto"/>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$13,047</w:t>
            </w:r>
          </w:p>
        </w:tc>
      </w:tr>
      <w:tr w:rsidR="0082416F" w:rsidRPr="00591000" w:rsidTr="00463622">
        <w:trPr>
          <w:trHeight w:val="300"/>
        </w:trPr>
        <w:tc>
          <w:tcPr>
            <w:tcW w:w="682" w:type="dxa"/>
            <w:vMerge/>
            <w:tcBorders>
              <w:top w:val="nil"/>
              <w:left w:val="single" w:sz="8" w:space="0" w:color="auto"/>
              <w:bottom w:val="single" w:sz="8"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single" w:sz="8" w:space="0" w:color="auto"/>
              <w:right w:val="single" w:sz="4" w:space="0" w:color="auto"/>
            </w:tcBorders>
            <w:shd w:val="clear" w:color="auto" w:fill="auto"/>
            <w:vAlign w:val="center"/>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Total, Enhanced Household</w:t>
            </w:r>
          </w:p>
        </w:tc>
        <w:tc>
          <w:tcPr>
            <w:tcW w:w="1754" w:type="dxa"/>
            <w:tcBorders>
              <w:top w:val="nil"/>
              <w:left w:val="nil"/>
              <w:bottom w:val="single" w:sz="8" w:space="0" w:color="auto"/>
              <w:right w:val="single" w:sz="4" w:space="0" w:color="auto"/>
            </w:tcBorders>
            <w:shd w:val="clear" w:color="auto" w:fill="auto"/>
            <w:vAlign w:val="center"/>
            <w:hideMark/>
          </w:tcPr>
          <w:p w:rsidR="0082416F" w:rsidRPr="00591000" w:rsidRDefault="0082416F" w:rsidP="00180BBD">
            <w:pPr>
              <w:spacing w:after="0"/>
              <w:rPr>
                <w:rFonts w:ascii="Calibri" w:hAnsi="Calibri"/>
                <w:sz w:val="18"/>
                <w:szCs w:val="18"/>
              </w:rPr>
            </w:pPr>
          </w:p>
        </w:tc>
        <w:tc>
          <w:tcPr>
            <w:tcW w:w="1188" w:type="dxa"/>
            <w:tcBorders>
              <w:top w:val="nil"/>
              <w:left w:val="nil"/>
              <w:bottom w:val="single" w:sz="8"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sz w:val="18"/>
                <w:szCs w:val="18"/>
              </w:rPr>
            </w:pPr>
            <w:r w:rsidRPr="00591000">
              <w:rPr>
                <w:rFonts w:ascii="Calibri" w:hAnsi="Calibri"/>
                <w:b/>
                <w:bCs/>
                <w:sz w:val="18"/>
                <w:szCs w:val="18"/>
              </w:rPr>
              <w:t>184,189</w:t>
            </w:r>
          </w:p>
        </w:tc>
        <w:tc>
          <w:tcPr>
            <w:tcW w:w="1116" w:type="dxa"/>
            <w:tcBorders>
              <w:top w:val="nil"/>
              <w:left w:val="nil"/>
              <w:bottom w:val="single" w:sz="8"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sz w:val="18"/>
                <w:szCs w:val="18"/>
              </w:rPr>
            </w:pPr>
          </w:p>
        </w:tc>
        <w:tc>
          <w:tcPr>
            <w:tcW w:w="933" w:type="dxa"/>
            <w:tcBorders>
              <w:top w:val="nil"/>
              <w:left w:val="nil"/>
              <w:bottom w:val="single" w:sz="8"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sz w:val="18"/>
                <w:szCs w:val="18"/>
              </w:rPr>
            </w:pPr>
          </w:p>
        </w:tc>
        <w:tc>
          <w:tcPr>
            <w:tcW w:w="762" w:type="dxa"/>
            <w:tcBorders>
              <w:top w:val="nil"/>
              <w:left w:val="nil"/>
              <w:bottom w:val="single" w:sz="8" w:space="0" w:color="auto"/>
              <w:right w:val="single" w:sz="4" w:space="0" w:color="auto"/>
            </w:tcBorders>
            <w:shd w:val="clear" w:color="auto" w:fill="auto"/>
            <w:noWrap/>
            <w:vAlign w:val="center"/>
            <w:hideMark/>
          </w:tcPr>
          <w:p w:rsidR="0082416F" w:rsidRPr="00591000" w:rsidRDefault="0082416F" w:rsidP="00180BBD">
            <w:pPr>
              <w:spacing w:after="0"/>
              <w:jc w:val="right"/>
              <w:rPr>
                <w:rFonts w:ascii="Calibri" w:hAnsi="Calibri"/>
                <w:b/>
                <w:bCs/>
                <w:sz w:val="18"/>
                <w:szCs w:val="18"/>
              </w:rPr>
            </w:pPr>
            <w:r w:rsidRPr="00591000">
              <w:rPr>
                <w:rFonts w:ascii="Calibri" w:hAnsi="Calibri"/>
                <w:b/>
                <w:bCs/>
                <w:sz w:val="18"/>
                <w:szCs w:val="18"/>
              </w:rPr>
              <w:t>67,174</w:t>
            </w:r>
          </w:p>
        </w:tc>
        <w:tc>
          <w:tcPr>
            <w:tcW w:w="1116" w:type="dxa"/>
            <w:tcBorders>
              <w:top w:val="nil"/>
              <w:left w:val="nil"/>
              <w:bottom w:val="single" w:sz="8" w:space="0" w:color="auto"/>
              <w:right w:val="single" w:sz="8" w:space="0" w:color="auto"/>
            </w:tcBorders>
            <w:shd w:val="clear" w:color="auto" w:fill="auto"/>
            <w:noWrap/>
            <w:vAlign w:val="center"/>
            <w:hideMark/>
          </w:tcPr>
          <w:p w:rsidR="0082416F" w:rsidRPr="00591000" w:rsidRDefault="0082416F" w:rsidP="00180BBD">
            <w:pPr>
              <w:spacing w:after="0"/>
              <w:jc w:val="right"/>
              <w:rPr>
                <w:rFonts w:ascii="Calibri" w:hAnsi="Calibri"/>
                <w:b/>
                <w:bCs/>
                <w:sz w:val="18"/>
                <w:szCs w:val="18"/>
              </w:rPr>
            </w:pPr>
            <w:r w:rsidRPr="00591000">
              <w:rPr>
                <w:rFonts w:ascii="Calibri" w:hAnsi="Calibri"/>
                <w:b/>
                <w:bCs/>
                <w:sz w:val="18"/>
                <w:szCs w:val="18"/>
              </w:rPr>
              <w:t>$671,736</w:t>
            </w:r>
          </w:p>
        </w:tc>
      </w:tr>
    </w:tbl>
    <w:p w:rsidR="005D3A96" w:rsidRDefault="005D3A96" w:rsidP="00180BBD">
      <w:pPr>
        <w:pStyle w:val="Default"/>
        <w:rPr>
          <w:rFonts w:asciiTheme="minorHAnsi" w:hAnsiTheme="minorHAnsi"/>
          <w:b/>
        </w:rPr>
      </w:pPr>
    </w:p>
    <w:tbl>
      <w:tblPr>
        <w:tblW w:w="11051" w:type="dxa"/>
        <w:tblInd w:w="-972" w:type="dxa"/>
        <w:tblLook w:val="04A0"/>
      </w:tblPr>
      <w:tblGrid>
        <w:gridCol w:w="682"/>
        <w:gridCol w:w="3500"/>
        <w:gridCol w:w="1754"/>
        <w:gridCol w:w="1188"/>
        <w:gridCol w:w="1116"/>
        <w:gridCol w:w="933"/>
        <w:gridCol w:w="762"/>
        <w:gridCol w:w="1116"/>
      </w:tblGrid>
      <w:tr w:rsidR="005D3A96" w:rsidRPr="00591000" w:rsidTr="005246F3">
        <w:trPr>
          <w:trHeight w:val="300"/>
          <w:tblHeader/>
        </w:trPr>
        <w:tc>
          <w:tcPr>
            <w:tcW w:w="11051" w:type="dxa"/>
            <w:gridSpan w:val="8"/>
            <w:tcBorders>
              <w:top w:val="nil"/>
              <w:left w:val="nil"/>
              <w:bottom w:val="nil"/>
              <w:right w:val="nil"/>
            </w:tcBorders>
            <w:shd w:val="clear" w:color="auto" w:fill="auto"/>
            <w:noWrap/>
            <w:vAlign w:val="bottom"/>
            <w:hideMark/>
          </w:tcPr>
          <w:p w:rsidR="005D3A96" w:rsidRPr="00591000" w:rsidRDefault="005D3A96" w:rsidP="00180BBD">
            <w:pPr>
              <w:spacing w:after="0"/>
              <w:rPr>
                <w:rFonts w:ascii="Calibri" w:hAnsi="Calibri"/>
                <w:b/>
                <w:bCs/>
                <w:sz w:val="18"/>
                <w:szCs w:val="18"/>
              </w:rPr>
            </w:pPr>
            <w:r w:rsidRPr="00591000">
              <w:rPr>
                <w:rFonts w:ascii="Calibri" w:hAnsi="Calibri"/>
                <w:b/>
                <w:bCs/>
                <w:sz w:val="18"/>
                <w:szCs w:val="18"/>
              </w:rPr>
              <w:t>Table A.</w:t>
            </w:r>
            <w:r w:rsidR="0082416F">
              <w:rPr>
                <w:rFonts w:ascii="Calibri" w:hAnsi="Calibri"/>
                <w:b/>
                <w:bCs/>
                <w:sz w:val="18"/>
                <w:szCs w:val="18"/>
              </w:rPr>
              <w:t>1</w:t>
            </w:r>
            <w:r w:rsidRPr="00591000">
              <w:rPr>
                <w:rFonts w:ascii="Calibri" w:hAnsi="Calibri"/>
                <w:b/>
                <w:bCs/>
                <w:sz w:val="18"/>
                <w:szCs w:val="18"/>
              </w:rPr>
              <w:t>2.c Estimated Additional Hour Burden and Cost for the Recruitment Substudy Respondents, TWO TIER HIGH INTENSITY</w:t>
            </w:r>
          </w:p>
        </w:tc>
      </w:tr>
      <w:tr w:rsidR="0082416F" w:rsidRPr="00591000" w:rsidTr="005246F3">
        <w:trPr>
          <w:trHeight w:val="780"/>
          <w:tblHeader/>
        </w:trPr>
        <w:tc>
          <w:tcPr>
            <w:tcW w:w="682" w:type="dxa"/>
            <w:tcBorders>
              <w:top w:val="single" w:sz="8" w:space="0" w:color="auto"/>
              <w:left w:val="single" w:sz="8" w:space="0" w:color="auto"/>
              <w:bottom w:val="single" w:sz="8" w:space="0" w:color="auto"/>
              <w:right w:val="single" w:sz="4" w:space="0" w:color="auto"/>
            </w:tcBorders>
            <w:shd w:val="clear" w:color="000000" w:fill="7F7F7F"/>
            <w:textDirection w:val="btLr"/>
            <w:vAlign w:val="center"/>
            <w:hideMark/>
          </w:tcPr>
          <w:p w:rsidR="0082416F" w:rsidRPr="00591000" w:rsidRDefault="0082416F" w:rsidP="00180BBD">
            <w:pPr>
              <w:spacing w:after="0"/>
              <w:jc w:val="center"/>
              <w:rPr>
                <w:rFonts w:ascii="Calibri" w:hAnsi="Calibri"/>
                <w:b/>
                <w:bCs/>
                <w:sz w:val="18"/>
                <w:szCs w:val="18"/>
              </w:rPr>
            </w:pPr>
            <w:r w:rsidRPr="00591000">
              <w:rPr>
                <w:rFonts w:ascii="Calibri" w:hAnsi="Calibri"/>
                <w:b/>
                <w:bCs/>
                <w:sz w:val="18"/>
                <w:szCs w:val="18"/>
              </w:rPr>
              <w:t>Strategy</w:t>
            </w:r>
          </w:p>
        </w:tc>
        <w:tc>
          <w:tcPr>
            <w:tcW w:w="3500"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Activity</w:t>
            </w:r>
          </w:p>
        </w:tc>
        <w:tc>
          <w:tcPr>
            <w:tcW w:w="1754"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Type of Respondent</w:t>
            </w:r>
          </w:p>
        </w:tc>
        <w:tc>
          <w:tcPr>
            <w:tcW w:w="1188"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Number of Respondents</w:t>
            </w:r>
          </w:p>
        </w:tc>
        <w:tc>
          <w:tcPr>
            <w:tcW w:w="1116"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Responses per Respondent</w:t>
            </w:r>
          </w:p>
        </w:tc>
        <w:tc>
          <w:tcPr>
            <w:tcW w:w="933"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Hours per Response</w:t>
            </w:r>
          </w:p>
        </w:tc>
        <w:tc>
          <w:tcPr>
            <w:tcW w:w="762"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Annual Hour Burden</w:t>
            </w:r>
          </w:p>
        </w:tc>
        <w:tc>
          <w:tcPr>
            <w:tcW w:w="1116" w:type="dxa"/>
            <w:tcBorders>
              <w:top w:val="single" w:sz="8" w:space="0" w:color="auto"/>
              <w:left w:val="nil"/>
              <w:bottom w:val="single" w:sz="8" w:space="0" w:color="auto"/>
              <w:right w:val="single" w:sz="8"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Annual Respondent Cost</w:t>
            </w:r>
          </w:p>
        </w:tc>
      </w:tr>
      <w:tr w:rsidR="0082416F" w:rsidRPr="00591000" w:rsidTr="0082416F">
        <w:trPr>
          <w:trHeight w:val="300"/>
        </w:trPr>
        <w:tc>
          <w:tcPr>
            <w:tcW w:w="682" w:type="dxa"/>
            <w:vMerge w:val="restart"/>
            <w:tcBorders>
              <w:top w:val="nil"/>
              <w:left w:val="single" w:sz="8" w:space="0" w:color="auto"/>
              <w:bottom w:val="single" w:sz="4" w:space="0" w:color="000000"/>
              <w:right w:val="single" w:sz="4" w:space="0" w:color="auto"/>
            </w:tcBorders>
            <w:shd w:val="clear" w:color="000000" w:fill="7F7F7F"/>
            <w:noWrap/>
            <w:textDirection w:val="btLr"/>
            <w:vAlign w:val="center"/>
            <w:hideMark/>
          </w:tcPr>
          <w:p w:rsidR="0082416F" w:rsidRPr="00591000" w:rsidRDefault="0082416F" w:rsidP="00180BBD">
            <w:pPr>
              <w:spacing w:after="0"/>
              <w:jc w:val="center"/>
              <w:rPr>
                <w:rFonts w:ascii="Calibri" w:hAnsi="Calibri"/>
                <w:b/>
                <w:bCs/>
                <w:sz w:val="18"/>
                <w:szCs w:val="18"/>
              </w:rPr>
            </w:pPr>
            <w:r w:rsidRPr="00591000">
              <w:rPr>
                <w:rFonts w:ascii="Calibri" w:hAnsi="Calibri"/>
                <w:b/>
                <w:bCs/>
                <w:sz w:val="18"/>
                <w:szCs w:val="18"/>
              </w:rPr>
              <w:t>Two-Tier (High)</w:t>
            </w:r>
          </w:p>
        </w:tc>
        <w:tc>
          <w:tcPr>
            <w:tcW w:w="350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Screening Activities</w:t>
            </w:r>
          </w:p>
        </w:tc>
        <w:tc>
          <w:tcPr>
            <w:tcW w:w="1754"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33"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762"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Invitation from Low- to High-intensity Script</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15,840</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3,960</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$39,600</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Screener</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15,840</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0.42</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6,653</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$66,528</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Preconception Activities</w:t>
            </w:r>
          </w:p>
        </w:tc>
        <w:tc>
          <w:tcPr>
            <w:tcW w:w="1754"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33"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762"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Non-pregnant Women's Informed Consent</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1,268</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634</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$6,342</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Pre-Pregnancy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761</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0.75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571</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$5,708</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Pre-Pregnancy Blood and Urine Collection</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685</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171</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$1,712</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Probability Group Script</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761</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0.10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457</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$4,566</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Validation Script</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1,426</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0.08</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114</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$1,141</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Pregnancy Activities</w:t>
            </w:r>
          </w:p>
        </w:tc>
        <w:tc>
          <w:tcPr>
            <w:tcW w:w="1754"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33"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762"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Women’s Informed Consent Form</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8,236</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4,118</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$41,180</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1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3,552</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1.00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3,552</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$35,520</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1 Blood and Urine Collection</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2,580</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645</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$6,451</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2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3,552</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0.75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2,664</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$26,640</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Visit 2 Blood and Urine Collection</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3,197</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799</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$7,992</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Health Care Log</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2,842</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0.33</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947</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$9,472</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Father Informed Consent Form</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Alternate Caregiver</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2,842</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1,421</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$14,208</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Father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Alternate Caregiver</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1,705</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0.25</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426</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$4,262</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Birth-Related Activities</w:t>
            </w:r>
          </w:p>
        </w:tc>
        <w:tc>
          <w:tcPr>
            <w:tcW w:w="1754"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33"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762"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Birth Visit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1,857</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0.40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743</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$7,428</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single" w:sz="4" w:space="0" w:color="auto"/>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Total, Prenatal and Birth Activities</w:t>
            </w:r>
          </w:p>
        </w:tc>
        <w:tc>
          <w:tcPr>
            <w:tcW w:w="1754" w:type="dxa"/>
            <w:tcBorders>
              <w:top w:val="single" w:sz="4" w:space="0" w:color="auto"/>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82416F" w:rsidRPr="009901B1" w:rsidRDefault="009901B1" w:rsidP="00180BBD">
            <w:pPr>
              <w:spacing w:after="0"/>
              <w:jc w:val="right"/>
              <w:rPr>
                <w:rFonts w:ascii="Calibri" w:hAnsi="Calibri"/>
                <w:b/>
                <w:i/>
                <w:sz w:val="18"/>
                <w:szCs w:val="18"/>
              </w:rPr>
            </w:pPr>
            <w:r w:rsidRPr="009901B1">
              <w:rPr>
                <w:rFonts w:ascii="Calibri" w:hAnsi="Calibri"/>
                <w:b/>
                <w:i/>
                <w:sz w:val="18"/>
                <w:szCs w:val="18"/>
              </w:rPr>
              <w:t>66,943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82416F" w:rsidRPr="009901B1" w:rsidRDefault="0082416F" w:rsidP="00180BBD">
            <w:pPr>
              <w:spacing w:after="0"/>
              <w:jc w:val="right"/>
              <w:rPr>
                <w:rFonts w:ascii="Calibri" w:hAnsi="Calibri"/>
                <w:b/>
                <w:i/>
                <w:sz w:val="18"/>
                <w:szCs w:val="18"/>
              </w:rPr>
            </w:pP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82416F" w:rsidRPr="009901B1" w:rsidRDefault="0082416F" w:rsidP="00180BBD">
            <w:pPr>
              <w:spacing w:after="0"/>
              <w:jc w:val="right"/>
              <w:rPr>
                <w:rFonts w:ascii="Calibri" w:hAnsi="Calibri"/>
                <w:b/>
                <w:i/>
                <w:sz w:val="18"/>
                <w:szCs w:val="18"/>
              </w:rPr>
            </w:pP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rsidR="0082416F" w:rsidRPr="009901B1" w:rsidRDefault="009901B1" w:rsidP="00180BBD">
            <w:pPr>
              <w:spacing w:after="0"/>
              <w:jc w:val="right"/>
              <w:rPr>
                <w:rFonts w:ascii="Calibri" w:hAnsi="Calibri"/>
                <w:b/>
                <w:i/>
                <w:sz w:val="18"/>
                <w:szCs w:val="18"/>
              </w:rPr>
            </w:pPr>
            <w:r w:rsidRPr="009901B1">
              <w:rPr>
                <w:rFonts w:ascii="Calibri" w:hAnsi="Calibri"/>
                <w:b/>
                <w:i/>
                <w:sz w:val="18"/>
                <w:szCs w:val="18"/>
              </w:rPr>
              <w:t>27,875</w:t>
            </w:r>
          </w:p>
        </w:tc>
        <w:tc>
          <w:tcPr>
            <w:tcW w:w="1116" w:type="dxa"/>
            <w:tcBorders>
              <w:top w:val="single" w:sz="4" w:space="0" w:color="auto"/>
              <w:left w:val="nil"/>
              <w:bottom w:val="single" w:sz="4" w:space="0" w:color="auto"/>
              <w:right w:val="single" w:sz="8" w:space="0" w:color="auto"/>
            </w:tcBorders>
            <w:shd w:val="clear" w:color="auto" w:fill="auto"/>
            <w:noWrap/>
            <w:vAlign w:val="bottom"/>
            <w:hideMark/>
          </w:tcPr>
          <w:p w:rsidR="0082416F" w:rsidRPr="009901B1" w:rsidRDefault="0082416F" w:rsidP="00180BBD">
            <w:pPr>
              <w:spacing w:after="0"/>
              <w:jc w:val="right"/>
              <w:rPr>
                <w:rFonts w:ascii="Calibri" w:hAnsi="Calibri"/>
                <w:b/>
                <w:i/>
                <w:sz w:val="18"/>
                <w:szCs w:val="18"/>
              </w:rPr>
            </w:pPr>
            <w:r w:rsidRPr="009901B1">
              <w:rPr>
                <w:rFonts w:ascii="Calibri" w:hAnsi="Calibri"/>
                <w:b/>
                <w:i/>
                <w:sz w:val="18"/>
                <w:szCs w:val="18"/>
              </w:rPr>
              <w:t>$</w:t>
            </w:r>
            <w:r w:rsidR="009901B1" w:rsidRPr="009901B1">
              <w:rPr>
                <w:rFonts w:ascii="Calibri" w:hAnsi="Calibri"/>
                <w:b/>
                <w:i/>
                <w:sz w:val="18"/>
                <w:szCs w:val="18"/>
              </w:rPr>
              <w:t>278,749</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Postnatal Activities</w:t>
            </w:r>
          </w:p>
        </w:tc>
        <w:tc>
          <w:tcPr>
            <w:tcW w:w="1754"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33"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762"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16"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Infant/Child Health Care Log</w:t>
            </w:r>
          </w:p>
        </w:tc>
        <w:tc>
          <w:tcPr>
            <w:tcW w:w="1754" w:type="dxa"/>
            <w:tcBorders>
              <w:top w:val="nil"/>
              <w:left w:val="nil"/>
              <w:bottom w:val="nil"/>
              <w:right w:val="nil"/>
            </w:tcBorders>
            <w:shd w:val="clear" w:color="auto" w:fill="auto"/>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single" w:sz="4" w:space="0" w:color="auto"/>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1,801</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0.33</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594</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$5,944</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3-Month Phone Call</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1,801</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0.33</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594</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$5,944</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6-Month Visit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1,747</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874</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$8,736</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9-Month Phone Call</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1,695</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0.17</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288</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$2,881</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12-Month Visit Interview</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1,644</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822</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$8,220</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18-Month Maternal Phone Call</w:t>
            </w:r>
          </w:p>
        </w:tc>
        <w:tc>
          <w:tcPr>
            <w:tcW w:w="1754"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1,562</w:t>
            </w:r>
          </w:p>
        </w:tc>
        <w:tc>
          <w:tcPr>
            <w:tcW w:w="1116"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781</w:t>
            </w:r>
          </w:p>
        </w:tc>
        <w:tc>
          <w:tcPr>
            <w:tcW w:w="1116"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$7,809</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24-Month Maternal Phone Call</w:t>
            </w:r>
          </w:p>
        </w:tc>
        <w:tc>
          <w:tcPr>
            <w:tcW w:w="1754" w:type="dxa"/>
            <w:tcBorders>
              <w:top w:val="nil"/>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1,484</w:t>
            </w:r>
          </w:p>
        </w:tc>
        <w:tc>
          <w:tcPr>
            <w:tcW w:w="1116"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33"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762"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742</w:t>
            </w:r>
          </w:p>
        </w:tc>
        <w:tc>
          <w:tcPr>
            <w:tcW w:w="1116" w:type="dxa"/>
            <w:tcBorders>
              <w:top w:val="nil"/>
              <w:left w:val="nil"/>
              <w:bottom w:val="single" w:sz="4" w:space="0" w:color="auto"/>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$7,418</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Total, Postnatal to 24-Month Activities</w:t>
            </w:r>
          </w:p>
        </w:tc>
        <w:tc>
          <w:tcPr>
            <w:tcW w:w="1754" w:type="dxa"/>
            <w:tcBorders>
              <w:top w:val="nil"/>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11,734</w:t>
            </w:r>
          </w:p>
        </w:tc>
        <w:tc>
          <w:tcPr>
            <w:tcW w:w="1116"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 </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 </w:t>
            </w:r>
          </w:p>
        </w:tc>
        <w:tc>
          <w:tcPr>
            <w:tcW w:w="762"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4,695</w:t>
            </w:r>
          </w:p>
        </w:tc>
        <w:tc>
          <w:tcPr>
            <w:tcW w:w="1116" w:type="dxa"/>
            <w:tcBorders>
              <w:top w:val="nil"/>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$46,949</w:t>
            </w:r>
          </w:p>
        </w:tc>
      </w:tr>
      <w:tr w:rsidR="0082416F" w:rsidRPr="00591000" w:rsidTr="0082416F">
        <w:trPr>
          <w:trHeight w:val="300"/>
        </w:trPr>
        <w:tc>
          <w:tcPr>
            <w:tcW w:w="682"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00" w:type="dxa"/>
            <w:tcBorders>
              <w:top w:val="nil"/>
              <w:left w:val="nil"/>
              <w:bottom w:val="single" w:sz="8"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 xml:space="preserve">Total, Two-Tier (High) </w:t>
            </w:r>
          </w:p>
        </w:tc>
        <w:tc>
          <w:tcPr>
            <w:tcW w:w="1754" w:type="dxa"/>
            <w:tcBorders>
              <w:top w:val="nil"/>
              <w:left w:val="nil"/>
              <w:bottom w:val="single" w:sz="8"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88" w:type="dxa"/>
            <w:tcBorders>
              <w:top w:val="nil"/>
              <w:left w:val="nil"/>
              <w:bottom w:val="single" w:sz="8" w:space="0" w:color="auto"/>
              <w:right w:val="single" w:sz="4" w:space="0" w:color="auto"/>
            </w:tcBorders>
            <w:shd w:val="clear" w:color="auto" w:fill="auto"/>
            <w:noWrap/>
            <w:vAlign w:val="bottom"/>
            <w:hideMark/>
          </w:tcPr>
          <w:p w:rsidR="0082416F" w:rsidRPr="00591000" w:rsidRDefault="009901B1" w:rsidP="00180BBD">
            <w:pPr>
              <w:spacing w:after="0"/>
              <w:jc w:val="right"/>
              <w:rPr>
                <w:rFonts w:ascii="Calibri" w:hAnsi="Calibri"/>
                <w:b/>
                <w:bCs/>
                <w:sz w:val="18"/>
                <w:szCs w:val="18"/>
              </w:rPr>
            </w:pPr>
            <w:r>
              <w:rPr>
                <w:rFonts w:ascii="Calibri" w:hAnsi="Calibri"/>
                <w:b/>
                <w:bCs/>
                <w:sz w:val="18"/>
                <w:szCs w:val="18"/>
              </w:rPr>
              <w:t>78,677</w:t>
            </w:r>
          </w:p>
        </w:tc>
        <w:tc>
          <w:tcPr>
            <w:tcW w:w="1116" w:type="dxa"/>
            <w:tcBorders>
              <w:top w:val="nil"/>
              <w:left w:val="nil"/>
              <w:bottom w:val="single" w:sz="8"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 </w:t>
            </w:r>
          </w:p>
        </w:tc>
        <w:tc>
          <w:tcPr>
            <w:tcW w:w="933" w:type="dxa"/>
            <w:tcBorders>
              <w:top w:val="nil"/>
              <w:left w:val="nil"/>
              <w:bottom w:val="single" w:sz="8"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 </w:t>
            </w:r>
          </w:p>
        </w:tc>
        <w:tc>
          <w:tcPr>
            <w:tcW w:w="762" w:type="dxa"/>
            <w:tcBorders>
              <w:top w:val="nil"/>
              <w:left w:val="nil"/>
              <w:bottom w:val="single" w:sz="8" w:space="0" w:color="auto"/>
              <w:right w:val="single" w:sz="4" w:space="0" w:color="auto"/>
            </w:tcBorders>
            <w:shd w:val="clear" w:color="auto" w:fill="auto"/>
            <w:noWrap/>
            <w:vAlign w:val="bottom"/>
            <w:hideMark/>
          </w:tcPr>
          <w:p w:rsidR="0082416F" w:rsidRPr="00591000" w:rsidRDefault="009901B1" w:rsidP="00180BBD">
            <w:pPr>
              <w:spacing w:after="0"/>
              <w:jc w:val="right"/>
              <w:rPr>
                <w:rFonts w:ascii="Calibri" w:hAnsi="Calibri"/>
                <w:b/>
                <w:bCs/>
                <w:sz w:val="18"/>
                <w:szCs w:val="18"/>
              </w:rPr>
            </w:pPr>
            <w:r>
              <w:rPr>
                <w:rFonts w:ascii="Calibri" w:hAnsi="Calibri"/>
                <w:b/>
                <w:bCs/>
                <w:sz w:val="18"/>
                <w:szCs w:val="18"/>
              </w:rPr>
              <w:t>32,570</w:t>
            </w:r>
          </w:p>
        </w:tc>
        <w:tc>
          <w:tcPr>
            <w:tcW w:w="1116" w:type="dxa"/>
            <w:tcBorders>
              <w:top w:val="nil"/>
              <w:left w:val="nil"/>
              <w:bottom w:val="single" w:sz="8" w:space="0" w:color="auto"/>
              <w:right w:val="single" w:sz="4" w:space="0" w:color="auto"/>
            </w:tcBorders>
            <w:shd w:val="clear" w:color="auto" w:fill="auto"/>
            <w:noWrap/>
            <w:vAlign w:val="bottom"/>
            <w:hideMark/>
          </w:tcPr>
          <w:p w:rsidR="0082416F" w:rsidRPr="00591000" w:rsidRDefault="0082416F" w:rsidP="009901B1">
            <w:pPr>
              <w:spacing w:after="0"/>
              <w:jc w:val="right"/>
              <w:rPr>
                <w:rFonts w:ascii="Calibri" w:hAnsi="Calibri"/>
                <w:b/>
                <w:bCs/>
                <w:sz w:val="18"/>
                <w:szCs w:val="18"/>
              </w:rPr>
            </w:pPr>
            <w:r w:rsidRPr="00591000">
              <w:rPr>
                <w:rFonts w:ascii="Calibri" w:hAnsi="Calibri"/>
                <w:b/>
                <w:bCs/>
                <w:sz w:val="18"/>
                <w:szCs w:val="18"/>
              </w:rPr>
              <w:t>$</w:t>
            </w:r>
            <w:r w:rsidR="009901B1">
              <w:rPr>
                <w:rFonts w:ascii="Calibri" w:hAnsi="Calibri"/>
                <w:b/>
                <w:bCs/>
                <w:sz w:val="18"/>
                <w:szCs w:val="18"/>
              </w:rPr>
              <w:t>325,698</w:t>
            </w:r>
          </w:p>
        </w:tc>
      </w:tr>
    </w:tbl>
    <w:p w:rsidR="005D3A96" w:rsidRDefault="005D3A96" w:rsidP="00180BBD">
      <w:pPr>
        <w:spacing w:after="0"/>
        <w:rPr>
          <w:rFonts w:cs="Times New Roman"/>
          <w:b/>
          <w:color w:val="000000"/>
          <w:sz w:val="24"/>
          <w:szCs w:val="24"/>
        </w:rPr>
      </w:pPr>
    </w:p>
    <w:tbl>
      <w:tblPr>
        <w:tblW w:w="11160" w:type="dxa"/>
        <w:tblInd w:w="-972" w:type="dxa"/>
        <w:tblLayout w:type="fixed"/>
        <w:tblLook w:val="04A0"/>
      </w:tblPr>
      <w:tblGrid>
        <w:gridCol w:w="540"/>
        <w:gridCol w:w="3510"/>
        <w:gridCol w:w="1710"/>
        <w:gridCol w:w="1260"/>
        <w:gridCol w:w="1170"/>
        <w:gridCol w:w="990"/>
        <w:gridCol w:w="810"/>
        <w:gridCol w:w="1170"/>
      </w:tblGrid>
      <w:tr w:rsidR="005D3A96" w:rsidRPr="00591000" w:rsidTr="00EF62A8">
        <w:trPr>
          <w:trHeight w:val="300"/>
          <w:tblHeader/>
        </w:trPr>
        <w:tc>
          <w:tcPr>
            <w:tcW w:w="11160" w:type="dxa"/>
            <w:gridSpan w:val="8"/>
            <w:tcBorders>
              <w:top w:val="nil"/>
              <w:left w:val="nil"/>
              <w:bottom w:val="nil"/>
              <w:right w:val="nil"/>
            </w:tcBorders>
            <w:shd w:val="clear" w:color="auto" w:fill="auto"/>
            <w:noWrap/>
            <w:vAlign w:val="bottom"/>
            <w:hideMark/>
          </w:tcPr>
          <w:p w:rsidR="005D3A96" w:rsidRPr="00591000" w:rsidRDefault="005D3A96" w:rsidP="00180BBD">
            <w:pPr>
              <w:spacing w:after="0"/>
              <w:rPr>
                <w:rFonts w:ascii="Calibri" w:hAnsi="Calibri"/>
                <w:b/>
                <w:bCs/>
                <w:sz w:val="18"/>
                <w:szCs w:val="18"/>
              </w:rPr>
            </w:pPr>
            <w:r w:rsidRPr="00591000">
              <w:rPr>
                <w:rFonts w:ascii="Calibri" w:hAnsi="Calibri"/>
                <w:b/>
                <w:bCs/>
                <w:sz w:val="18"/>
                <w:szCs w:val="18"/>
              </w:rPr>
              <w:t>Table A.</w:t>
            </w:r>
            <w:r w:rsidR="0082416F">
              <w:rPr>
                <w:rFonts w:ascii="Calibri" w:hAnsi="Calibri"/>
                <w:b/>
                <w:bCs/>
                <w:sz w:val="18"/>
                <w:szCs w:val="18"/>
              </w:rPr>
              <w:t>1</w:t>
            </w:r>
            <w:r w:rsidRPr="00591000">
              <w:rPr>
                <w:rFonts w:ascii="Calibri" w:hAnsi="Calibri"/>
                <w:b/>
                <w:bCs/>
                <w:sz w:val="18"/>
                <w:szCs w:val="18"/>
              </w:rPr>
              <w:t>2.d Estimated Additional Hour Burden and Cost for the Recruitment Substudy Respondents, TWO TIER LOW INTENSITY</w:t>
            </w:r>
          </w:p>
        </w:tc>
      </w:tr>
      <w:tr w:rsidR="0082416F" w:rsidRPr="00591000" w:rsidTr="00EF62A8">
        <w:trPr>
          <w:trHeight w:val="780"/>
          <w:tblHeader/>
        </w:trPr>
        <w:tc>
          <w:tcPr>
            <w:tcW w:w="540" w:type="dxa"/>
            <w:tcBorders>
              <w:top w:val="single" w:sz="8" w:space="0" w:color="auto"/>
              <w:left w:val="single" w:sz="8" w:space="0" w:color="auto"/>
              <w:bottom w:val="single" w:sz="8" w:space="0" w:color="auto"/>
              <w:right w:val="single" w:sz="4" w:space="0" w:color="auto"/>
            </w:tcBorders>
            <w:shd w:val="clear" w:color="000000" w:fill="7F7F7F"/>
            <w:textDirection w:val="btLr"/>
            <w:vAlign w:val="center"/>
            <w:hideMark/>
          </w:tcPr>
          <w:p w:rsidR="0082416F" w:rsidRPr="00591000" w:rsidRDefault="0082416F" w:rsidP="00180BBD">
            <w:pPr>
              <w:spacing w:after="0"/>
              <w:jc w:val="center"/>
              <w:rPr>
                <w:rFonts w:ascii="Calibri" w:hAnsi="Calibri"/>
                <w:b/>
                <w:bCs/>
                <w:sz w:val="18"/>
                <w:szCs w:val="18"/>
              </w:rPr>
            </w:pPr>
            <w:r w:rsidRPr="00591000">
              <w:rPr>
                <w:rFonts w:ascii="Calibri" w:hAnsi="Calibri"/>
                <w:b/>
                <w:bCs/>
                <w:sz w:val="18"/>
                <w:szCs w:val="18"/>
              </w:rPr>
              <w:t>Strategy</w:t>
            </w:r>
          </w:p>
        </w:tc>
        <w:tc>
          <w:tcPr>
            <w:tcW w:w="3510"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Activity</w:t>
            </w:r>
          </w:p>
        </w:tc>
        <w:tc>
          <w:tcPr>
            <w:tcW w:w="1710"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Type of Respondent</w:t>
            </w:r>
          </w:p>
        </w:tc>
        <w:tc>
          <w:tcPr>
            <w:tcW w:w="1260"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Number of Respondents</w:t>
            </w:r>
          </w:p>
        </w:tc>
        <w:tc>
          <w:tcPr>
            <w:tcW w:w="1170"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Responses per Respondent</w:t>
            </w:r>
          </w:p>
        </w:tc>
        <w:tc>
          <w:tcPr>
            <w:tcW w:w="990"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Hours per Response</w:t>
            </w:r>
          </w:p>
        </w:tc>
        <w:tc>
          <w:tcPr>
            <w:tcW w:w="810"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Annual Hour Burden</w:t>
            </w:r>
          </w:p>
        </w:tc>
        <w:tc>
          <w:tcPr>
            <w:tcW w:w="1170" w:type="dxa"/>
            <w:tcBorders>
              <w:top w:val="single" w:sz="8" w:space="0" w:color="auto"/>
              <w:left w:val="nil"/>
              <w:bottom w:val="single" w:sz="8" w:space="0" w:color="auto"/>
              <w:right w:val="single" w:sz="8"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Annual Respondent Cost</w:t>
            </w:r>
          </w:p>
        </w:tc>
      </w:tr>
      <w:tr w:rsidR="0082416F" w:rsidRPr="00591000" w:rsidTr="00EF62A8">
        <w:trPr>
          <w:trHeight w:val="300"/>
        </w:trPr>
        <w:tc>
          <w:tcPr>
            <w:tcW w:w="540" w:type="dxa"/>
            <w:vMerge w:val="restart"/>
            <w:tcBorders>
              <w:top w:val="nil"/>
              <w:left w:val="single" w:sz="8" w:space="0" w:color="auto"/>
              <w:bottom w:val="single" w:sz="4" w:space="0" w:color="000000"/>
              <w:right w:val="single" w:sz="4" w:space="0" w:color="auto"/>
            </w:tcBorders>
            <w:shd w:val="clear" w:color="000000" w:fill="7F7F7F"/>
            <w:noWrap/>
            <w:textDirection w:val="btLr"/>
            <w:vAlign w:val="center"/>
            <w:hideMark/>
          </w:tcPr>
          <w:p w:rsidR="0082416F" w:rsidRPr="00591000" w:rsidRDefault="0082416F" w:rsidP="00180BBD">
            <w:pPr>
              <w:spacing w:after="0"/>
              <w:jc w:val="center"/>
              <w:rPr>
                <w:rFonts w:ascii="Calibri" w:hAnsi="Calibri"/>
                <w:b/>
                <w:bCs/>
                <w:sz w:val="18"/>
                <w:szCs w:val="18"/>
              </w:rPr>
            </w:pPr>
            <w:r w:rsidRPr="00591000">
              <w:rPr>
                <w:rFonts w:ascii="Calibri" w:hAnsi="Calibri"/>
                <w:b/>
                <w:bCs/>
                <w:sz w:val="18"/>
                <w:szCs w:val="18"/>
              </w:rPr>
              <w:t>Two-Tier (Low)</w:t>
            </w:r>
          </w:p>
        </w:tc>
        <w:tc>
          <w:tcPr>
            <w:tcW w:w="351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Screening Activities</w:t>
            </w:r>
          </w:p>
        </w:tc>
        <w:tc>
          <w:tcPr>
            <w:tcW w:w="171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26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7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9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81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70"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Screener (TT-LI, TT-HI)</w:t>
            </w:r>
          </w:p>
        </w:tc>
        <w:tc>
          <w:tcPr>
            <w:tcW w:w="17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26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48,000</w:t>
            </w:r>
          </w:p>
        </w:tc>
        <w:tc>
          <w:tcPr>
            <w:tcW w:w="117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9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0.35</w:t>
            </w:r>
          </w:p>
        </w:tc>
        <w:tc>
          <w:tcPr>
            <w:tcW w:w="81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16,800</w:t>
            </w:r>
          </w:p>
        </w:tc>
        <w:tc>
          <w:tcPr>
            <w:tcW w:w="1170"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$168,000</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Low-Intensity Consent Script</w:t>
            </w:r>
          </w:p>
        </w:tc>
        <w:tc>
          <w:tcPr>
            <w:tcW w:w="17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26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28,800</w:t>
            </w:r>
          </w:p>
        </w:tc>
        <w:tc>
          <w:tcPr>
            <w:tcW w:w="117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9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0.33</w:t>
            </w:r>
          </w:p>
        </w:tc>
        <w:tc>
          <w:tcPr>
            <w:tcW w:w="81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9,504</w:t>
            </w:r>
          </w:p>
        </w:tc>
        <w:tc>
          <w:tcPr>
            <w:tcW w:w="1170"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$95,040</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Preconception and Pregnancy Activities</w:t>
            </w:r>
          </w:p>
        </w:tc>
        <w:tc>
          <w:tcPr>
            <w:tcW w:w="171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26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7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9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81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70"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Low-intensity Questionnaire (Non-Pregnant)</w:t>
            </w:r>
          </w:p>
        </w:tc>
        <w:tc>
          <w:tcPr>
            <w:tcW w:w="17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26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10,057</w:t>
            </w:r>
          </w:p>
        </w:tc>
        <w:tc>
          <w:tcPr>
            <w:tcW w:w="117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9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81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5,029</w:t>
            </w:r>
          </w:p>
        </w:tc>
        <w:tc>
          <w:tcPr>
            <w:tcW w:w="1170"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$50,285</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Pregnancy Probability Group Script</w:t>
            </w:r>
          </w:p>
        </w:tc>
        <w:tc>
          <w:tcPr>
            <w:tcW w:w="17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26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10,057</w:t>
            </w:r>
          </w:p>
        </w:tc>
        <w:tc>
          <w:tcPr>
            <w:tcW w:w="117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w:t>
            </w:r>
          </w:p>
        </w:tc>
        <w:tc>
          <w:tcPr>
            <w:tcW w:w="99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0.10</w:t>
            </w:r>
          </w:p>
        </w:tc>
        <w:tc>
          <w:tcPr>
            <w:tcW w:w="81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6,034</w:t>
            </w:r>
          </w:p>
        </w:tc>
        <w:tc>
          <w:tcPr>
            <w:tcW w:w="1170"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$60,342</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Low-intensity Questionnaire (Pregnant)</w:t>
            </w:r>
          </w:p>
        </w:tc>
        <w:tc>
          <w:tcPr>
            <w:tcW w:w="17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Pregnant Women</w:t>
            </w:r>
          </w:p>
        </w:tc>
        <w:tc>
          <w:tcPr>
            <w:tcW w:w="126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518</w:t>
            </w:r>
          </w:p>
        </w:tc>
        <w:tc>
          <w:tcPr>
            <w:tcW w:w="117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9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81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259</w:t>
            </w:r>
          </w:p>
        </w:tc>
        <w:tc>
          <w:tcPr>
            <w:tcW w:w="1170"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$2,590</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Validation Script</w:t>
            </w:r>
          </w:p>
        </w:tc>
        <w:tc>
          <w:tcPr>
            <w:tcW w:w="17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Age-Eligible Women</w:t>
            </w:r>
          </w:p>
        </w:tc>
        <w:tc>
          <w:tcPr>
            <w:tcW w:w="126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1,586</w:t>
            </w:r>
          </w:p>
        </w:tc>
        <w:tc>
          <w:tcPr>
            <w:tcW w:w="117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9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0.08</w:t>
            </w:r>
          </w:p>
        </w:tc>
        <w:tc>
          <w:tcPr>
            <w:tcW w:w="81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127</w:t>
            </w:r>
          </w:p>
        </w:tc>
        <w:tc>
          <w:tcPr>
            <w:tcW w:w="1170"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$1,269</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Birth-Related Activities</w:t>
            </w:r>
          </w:p>
        </w:tc>
        <w:tc>
          <w:tcPr>
            <w:tcW w:w="171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26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7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9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81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70"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Low-intensity Questionnaire (Birth-focus)</w:t>
            </w:r>
          </w:p>
        </w:tc>
        <w:tc>
          <w:tcPr>
            <w:tcW w:w="17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26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1,296</w:t>
            </w:r>
          </w:p>
        </w:tc>
        <w:tc>
          <w:tcPr>
            <w:tcW w:w="117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w:t>
            </w:r>
          </w:p>
        </w:tc>
        <w:tc>
          <w:tcPr>
            <w:tcW w:w="99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81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648</w:t>
            </w:r>
          </w:p>
        </w:tc>
        <w:tc>
          <w:tcPr>
            <w:tcW w:w="1170"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$6,480</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single" w:sz="4" w:space="0" w:color="auto"/>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Total, Prenatal and Birth Activities</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2416F" w:rsidRPr="00591000" w:rsidRDefault="007917FA" w:rsidP="00180BBD">
            <w:pPr>
              <w:spacing w:after="0"/>
              <w:jc w:val="right"/>
              <w:rPr>
                <w:rFonts w:ascii="Calibri" w:hAnsi="Calibri"/>
                <w:b/>
                <w:bCs/>
                <w:i/>
                <w:iCs/>
                <w:sz w:val="18"/>
                <w:szCs w:val="18"/>
              </w:rPr>
            </w:pPr>
            <w:r>
              <w:rPr>
                <w:rFonts w:ascii="Calibri" w:hAnsi="Calibri"/>
                <w:b/>
                <w:bCs/>
                <w:i/>
                <w:iCs/>
                <w:sz w:val="18"/>
                <w:szCs w:val="18"/>
              </w:rPr>
              <w:t>100,314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2416F" w:rsidRPr="00591000" w:rsidRDefault="007917FA" w:rsidP="00180BBD">
            <w:pPr>
              <w:spacing w:after="0"/>
              <w:jc w:val="right"/>
              <w:rPr>
                <w:rFonts w:ascii="Calibri" w:hAnsi="Calibri"/>
                <w:b/>
                <w:bCs/>
                <w:i/>
                <w:iCs/>
                <w:sz w:val="18"/>
                <w:szCs w:val="18"/>
              </w:rPr>
            </w:pPr>
            <w:r>
              <w:rPr>
                <w:rFonts w:ascii="Calibri" w:hAnsi="Calibri"/>
                <w:b/>
                <w:bCs/>
                <w:i/>
                <w:iCs/>
                <w:sz w:val="18"/>
                <w:szCs w:val="18"/>
              </w:rPr>
              <w:t>38,401</w:t>
            </w:r>
          </w:p>
        </w:tc>
        <w:tc>
          <w:tcPr>
            <w:tcW w:w="1170" w:type="dxa"/>
            <w:tcBorders>
              <w:top w:val="single" w:sz="4" w:space="0" w:color="auto"/>
              <w:left w:val="nil"/>
              <w:bottom w:val="single" w:sz="4" w:space="0" w:color="auto"/>
              <w:right w:val="single" w:sz="8" w:space="0" w:color="auto"/>
            </w:tcBorders>
            <w:shd w:val="clear" w:color="auto" w:fill="auto"/>
            <w:noWrap/>
            <w:vAlign w:val="bottom"/>
            <w:hideMark/>
          </w:tcPr>
          <w:p w:rsidR="0082416F" w:rsidRPr="00591000" w:rsidRDefault="007917FA" w:rsidP="00180BBD">
            <w:pPr>
              <w:spacing w:after="0"/>
              <w:jc w:val="right"/>
              <w:rPr>
                <w:rFonts w:ascii="Calibri" w:hAnsi="Calibri"/>
                <w:b/>
                <w:bCs/>
                <w:i/>
                <w:iCs/>
                <w:sz w:val="18"/>
                <w:szCs w:val="18"/>
              </w:rPr>
            </w:pPr>
            <w:r>
              <w:rPr>
                <w:rFonts w:ascii="Calibri" w:hAnsi="Calibri"/>
                <w:b/>
                <w:bCs/>
                <w:i/>
                <w:iCs/>
                <w:sz w:val="18"/>
                <w:szCs w:val="18"/>
              </w:rPr>
              <w:t>$384,006</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Postnatal Activities</w:t>
            </w:r>
          </w:p>
        </w:tc>
        <w:tc>
          <w:tcPr>
            <w:tcW w:w="1710" w:type="dxa"/>
            <w:tcBorders>
              <w:top w:val="nil"/>
              <w:left w:val="nil"/>
              <w:bottom w:val="nil"/>
              <w:right w:val="single" w:sz="4" w:space="0" w:color="auto"/>
            </w:tcBorders>
            <w:shd w:val="clear" w:color="000000" w:fill="BFBFBF"/>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26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7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99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810" w:type="dxa"/>
            <w:tcBorders>
              <w:top w:val="nil"/>
              <w:left w:val="nil"/>
              <w:bottom w:val="nil"/>
              <w:right w:val="single" w:sz="4"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170" w:type="dxa"/>
            <w:tcBorders>
              <w:top w:val="nil"/>
              <w:left w:val="nil"/>
              <w:bottom w:val="nil"/>
              <w:right w:val="single" w:sz="8" w:space="0" w:color="auto"/>
            </w:tcBorders>
            <w:shd w:val="clear" w:color="000000" w:fill="BFBFBF"/>
            <w:noWrap/>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Low-intensity Questionnaire (Child-focus)</w:t>
            </w:r>
          </w:p>
        </w:tc>
        <w:tc>
          <w:tcPr>
            <w:tcW w:w="1710" w:type="dxa"/>
            <w:tcBorders>
              <w:top w:val="nil"/>
              <w:left w:val="nil"/>
              <w:bottom w:val="nil"/>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Mother/Baby</w:t>
            </w:r>
          </w:p>
        </w:tc>
        <w:tc>
          <w:tcPr>
            <w:tcW w:w="126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1,147</w:t>
            </w:r>
          </w:p>
        </w:tc>
        <w:tc>
          <w:tcPr>
            <w:tcW w:w="117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4</w:t>
            </w:r>
          </w:p>
        </w:tc>
        <w:tc>
          <w:tcPr>
            <w:tcW w:w="99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0.50</w:t>
            </w:r>
          </w:p>
        </w:tc>
        <w:tc>
          <w:tcPr>
            <w:tcW w:w="810" w:type="dxa"/>
            <w:tcBorders>
              <w:top w:val="nil"/>
              <w:left w:val="nil"/>
              <w:bottom w:val="nil"/>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2,295</w:t>
            </w:r>
          </w:p>
        </w:tc>
        <w:tc>
          <w:tcPr>
            <w:tcW w:w="1170" w:type="dxa"/>
            <w:tcBorders>
              <w:top w:val="nil"/>
              <w:left w:val="nil"/>
              <w:bottom w:val="nil"/>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sz w:val="18"/>
                <w:szCs w:val="18"/>
              </w:rPr>
            </w:pPr>
            <w:r w:rsidRPr="00591000">
              <w:rPr>
                <w:rFonts w:ascii="Calibri" w:hAnsi="Calibri"/>
                <w:sz w:val="18"/>
                <w:szCs w:val="18"/>
              </w:rPr>
              <w:t>$22,947</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single" w:sz="4" w:space="0" w:color="auto"/>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Total, Postnatal to 24-Month Activities</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1,147</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i/>
                <w:iCs/>
                <w:sz w:val="18"/>
                <w:szCs w:val="18"/>
              </w:rPr>
            </w:pPr>
            <w:r w:rsidRPr="00591000">
              <w:rPr>
                <w:rFonts w:ascii="Calibri" w:hAnsi="Calibri"/>
                <w:b/>
                <w:bCs/>
                <w:i/>
                <w:iCs/>
                <w:sz w:val="18"/>
                <w:szCs w:val="18"/>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2,295</w:t>
            </w:r>
          </w:p>
        </w:tc>
        <w:tc>
          <w:tcPr>
            <w:tcW w:w="1170" w:type="dxa"/>
            <w:tcBorders>
              <w:top w:val="single" w:sz="4" w:space="0" w:color="auto"/>
              <w:left w:val="nil"/>
              <w:bottom w:val="single" w:sz="4" w:space="0" w:color="auto"/>
              <w:right w:val="single" w:sz="8" w:space="0" w:color="auto"/>
            </w:tcBorders>
            <w:shd w:val="clear" w:color="auto" w:fill="auto"/>
            <w:noWrap/>
            <w:vAlign w:val="bottom"/>
            <w:hideMark/>
          </w:tcPr>
          <w:p w:rsidR="0082416F" w:rsidRPr="00591000" w:rsidRDefault="0082416F" w:rsidP="00180BBD">
            <w:pPr>
              <w:spacing w:after="0"/>
              <w:jc w:val="right"/>
              <w:rPr>
                <w:rFonts w:ascii="Calibri" w:hAnsi="Calibri"/>
                <w:b/>
                <w:bCs/>
                <w:i/>
                <w:iCs/>
                <w:sz w:val="18"/>
                <w:szCs w:val="18"/>
              </w:rPr>
            </w:pPr>
            <w:r w:rsidRPr="00591000">
              <w:rPr>
                <w:rFonts w:ascii="Calibri" w:hAnsi="Calibri"/>
                <w:b/>
                <w:bCs/>
                <w:i/>
                <w:iCs/>
                <w:sz w:val="18"/>
                <w:szCs w:val="18"/>
              </w:rPr>
              <w:t>$22,947</w:t>
            </w:r>
          </w:p>
        </w:tc>
      </w:tr>
      <w:tr w:rsidR="0082416F" w:rsidRPr="00591000" w:rsidTr="00EF62A8">
        <w:trPr>
          <w:trHeight w:val="300"/>
        </w:trPr>
        <w:tc>
          <w:tcPr>
            <w:tcW w:w="540" w:type="dxa"/>
            <w:vMerge/>
            <w:tcBorders>
              <w:top w:val="nil"/>
              <w:left w:val="single" w:sz="8" w:space="0" w:color="auto"/>
              <w:bottom w:val="single" w:sz="4" w:space="0" w:color="000000"/>
              <w:right w:val="single" w:sz="4" w:space="0" w:color="auto"/>
            </w:tcBorders>
            <w:vAlign w:val="center"/>
            <w:hideMark/>
          </w:tcPr>
          <w:p w:rsidR="0082416F" w:rsidRPr="00591000" w:rsidRDefault="0082416F" w:rsidP="00180BBD">
            <w:pPr>
              <w:spacing w:after="0"/>
              <w:rPr>
                <w:rFonts w:ascii="Calibri" w:hAnsi="Calibri"/>
                <w:b/>
                <w:bCs/>
                <w:sz w:val="18"/>
                <w:szCs w:val="18"/>
              </w:rPr>
            </w:pPr>
          </w:p>
        </w:tc>
        <w:tc>
          <w:tcPr>
            <w:tcW w:w="3510" w:type="dxa"/>
            <w:tcBorders>
              <w:top w:val="nil"/>
              <w:left w:val="nil"/>
              <w:bottom w:val="single" w:sz="8"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Total, Two-Tier (Low)</w:t>
            </w:r>
          </w:p>
        </w:tc>
        <w:tc>
          <w:tcPr>
            <w:tcW w:w="1710" w:type="dxa"/>
            <w:tcBorders>
              <w:top w:val="nil"/>
              <w:left w:val="nil"/>
              <w:bottom w:val="single" w:sz="8" w:space="0" w:color="auto"/>
              <w:right w:val="single" w:sz="4" w:space="0" w:color="auto"/>
            </w:tcBorders>
            <w:shd w:val="clear" w:color="auto" w:fill="auto"/>
            <w:vAlign w:val="bottom"/>
            <w:hideMark/>
          </w:tcPr>
          <w:p w:rsidR="0082416F" w:rsidRPr="00591000" w:rsidRDefault="0082416F" w:rsidP="00180BBD">
            <w:pPr>
              <w:spacing w:after="0"/>
              <w:rPr>
                <w:rFonts w:ascii="Calibri" w:hAnsi="Calibri"/>
                <w:sz w:val="18"/>
                <w:szCs w:val="18"/>
              </w:rPr>
            </w:pPr>
            <w:r w:rsidRPr="00591000">
              <w:rPr>
                <w:rFonts w:ascii="Calibri" w:hAnsi="Calibri"/>
                <w:sz w:val="18"/>
                <w:szCs w:val="18"/>
              </w:rPr>
              <w:t> </w:t>
            </w:r>
          </w:p>
        </w:tc>
        <w:tc>
          <w:tcPr>
            <w:tcW w:w="1260" w:type="dxa"/>
            <w:tcBorders>
              <w:top w:val="nil"/>
              <w:left w:val="nil"/>
              <w:bottom w:val="single" w:sz="8" w:space="0" w:color="auto"/>
              <w:right w:val="single" w:sz="4" w:space="0" w:color="auto"/>
            </w:tcBorders>
            <w:shd w:val="clear" w:color="auto" w:fill="auto"/>
            <w:noWrap/>
            <w:vAlign w:val="bottom"/>
            <w:hideMark/>
          </w:tcPr>
          <w:p w:rsidR="0082416F" w:rsidRPr="00591000" w:rsidRDefault="007917FA" w:rsidP="00180BBD">
            <w:pPr>
              <w:spacing w:after="0"/>
              <w:jc w:val="right"/>
              <w:rPr>
                <w:rFonts w:ascii="Calibri" w:hAnsi="Calibri"/>
                <w:b/>
                <w:bCs/>
                <w:sz w:val="18"/>
                <w:szCs w:val="18"/>
              </w:rPr>
            </w:pPr>
            <w:r>
              <w:rPr>
                <w:rFonts w:ascii="Calibri" w:hAnsi="Calibri"/>
                <w:b/>
                <w:bCs/>
                <w:sz w:val="18"/>
                <w:szCs w:val="18"/>
              </w:rPr>
              <w:t>101,462</w:t>
            </w:r>
          </w:p>
        </w:tc>
        <w:tc>
          <w:tcPr>
            <w:tcW w:w="1170" w:type="dxa"/>
            <w:tcBorders>
              <w:top w:val="nil"/>
              <w:left w:val="nil"/>
              <w:bottom w:val="single" w:sz="8"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 </w:t>
            </w:r>
          </w:p>
        </w:tc>
        <w:tc>
          <w:tcPr>
            <w:tcW w:w="990" w:type="dxa"/>
            <w:tcBorders>
              <w:top w:val="nil"/>
              <w:left w:val="nil"/>
              <w:bottom w:val="single" w:sz="8" w:space="0" w:color="auto"/>
              <w:right w:val="single" w:sz="4" w:space="0" w:color="auto"/>
            </w:tcBorders>
            <w:shd w:val="clear" w:color="auto" w:fill="auto"/>
            <w:noWrap/>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 </w:t>
            </w:r>
          </w:p>
        </w:tc>
        <w:tc>
          <w:tcPr>
            <w:tcW w:w="810" w:type="dxa"/>
            <w:tcBorders>
              <w:top w:val="nil"/>
              <w:left w:val="nil"/>
              <w:bottom w:val="single" w:sz="8" w:space="0" w:color="auto"/>
              <w:right w:val="single" w:sz="4" w:space="0" w:color="auto"/>
            </w:tcBorders>
            <w:shd w:val="clear" w:color="auto" w:fill="auto"/>
            <w:noWrap/>
            <w:vAlign w:val="bottom"/>
            <w:hideMark/>
          </w:tcPr>
          <w:p w:rsidR="0082416F" w:rsidRPr="00591000" w:rsidRDefault="007917FA" w:rsidP="00180BBD">
            <w:pPr>
              <w:spacing w:after="0"/>
              <w:jc w:val="right"/>
              <w:rPr>
                <w:rFonts w:ascii="Calibri" w:hAnsi="Calibri"/>
                <w:b/>
                <w:bCs/>
                <w:sz w:val="18"/>
                <w:szCs w:val="18"/>
              </w:rPr>
            </w:pPr>
            <w:r>
              <w:rPr>
                <w:rFonts w:ascii="Calibri" w:hAnsi="Calibri"/>
                <w:b/>
                <w:bCs/>
                <w:sz w:val="18"/>
                <w:szCs w:val="18"/>
              </w:rPr>
              <w:t>40,695</w:t>
            </w:r>
          </w:p>
        </w:tc>
        <w:tc>
          <w:tcPr>
            <w:tcW w:w="1170" w:type="dxa"/>
            <w:tcBorders>
              <w:top w:val="nil"/>
              <w:left w:val="nil"/>
              <w:bottom w:val="single" w:sz="8" w:space="0" w:color="auto"/>
              <w:right w:val="single" w:sz="8" w:space="0" w:color="auto"/>
            </w:tcBorders>
            <w:shd w:val="clear" w:color="auto" w:fill="auto"/>
            <w:noWrap/>
            <w:vAlign w:val="bottom"/>
            <w:hideMark/>
          </w:tcPr>
          <w:p w:rsidR="0082416F" w:rsidRPr="00591000" w:rsidRDefault="007917FA" w:rsidP="00180BBD">
            <w:pPr>
              <w:spacing w:after="0"/>
              <w:jc w:val="right"/>
              <w:rPr>
                <w:rFonts w:ascii="Calibri" w:hAnsi="Calibri"/>
                <w:b/>
                <w:bCs/>
                <w:sz w:val="18"/>
                <w:szCs w:val="18"/>
              </w:rPr>
            </w:pPr>
            <w:r>
              <w:rPr>
                <w:rFonts w:ascii="Calibri" w:hAnsi="Calibri"/>
                <w:b/>
                <w:bCs/>
                <w:sz w:val="18"/>
                <w:szCs w:val="18"/>
              </w:rPr>
              <w:t>$406,953</w:t>
            </w:r>
          </w:p>
        </w:tc>
      </w:tr>
    </w:tbl>
    <w:p w:rsidR="005D3A96" w:rsidRDefault="005D3A96" w:rsidP="00180BBD">
      <w:pPr>
        <w:spacing w:after="0"/>
        <w:rPr>
          <w:rFonts w:cs="Times New Roman"/>
          <w:b/>
          <w:color w:val="000000"/>
          <w:sz w:val="24"/>
          <w:szCs w:val="24"/>
        </w:rPr>
      </w:pPr>
    </w:p>
    <w:p w:rsidR="00456433" w:rsidRDefault="00456433" w:rsidP="00180BBD">
      <w:pPr>
        <w:spacing w:after="0"/>
        <w:rPr>
          <w:rFonts w:cs="Times New Roman"/>
          <w:b/>
          <w:color w:val="000000"/>
          <w:sz w:val="24"/>
          <w:szCs w:val="24"/>
        </w:rPr>
      </w:pPr>
    </w:p>
    <w:tbl>
      <w:tblPr>
        <w:tblW w:w="11070" w:type="dxa"/>
        <w:tblInd w:w="-972" w:type="dxa"/>
        <w:tblLook w:val="04A0"/>
      </w:tblPr>
      <w:tblGrid>
        <w:gridCol w:w="5671"/>
        <w:gridCol w:w="1188"/>
        <w:gridCol w:w="2771"/>
        <w:gridCol w:w="1440"/>
      </w:tblGrid>
      <w:tr w:rsidR="005D3A96" w:rsidRPr="00591000" w:rsidTr="0082416F">
        <w:trPr>
          <w:trHeight w:val="300"/>
        </w:trPr>
        <w:tc>
          <w:tcPr>
            <w:tcW w:w="11070" w:type="dxa"/>
            <w:gridSpan w:val="4"/>
            <w:tcBorders>
              <w:top w:val="nil"/>
              <w:left w:val="nil"/>
              <w:bottom w:val="nil"/>
              <w:right w:val="nil"/>
            </w:tcBorders>
            <w:shd w:val="clear" w:color="auto" w:fill="auto"/>
            <w:noWrap/>
            <w:vAlign w:val="bottom"/>
            <w:hideMark/>
          </w:tcPr>
          <w:p w:rsidR="005D3A96" w:rsidRPr="00591000" w:rsidRDefault="005D3A96" w:rsidP="00180BBD">
            <w:pPr>
              <w:spacing w:after="0"/>
              <w:rPr>
                <w:rFonts w:ascii="Calibri" w:hAnsi="Calibri"/>
                <w:b/>
                <w:bCs/>
                <w:sz w:val="18"/>
                <w:szCs w:val="18"/>
              </w:rPr>
            </w:pPr>
            <w:r w:rsidRPr="00591000">
              <w:rPr>
                <w:rFonts w:ascii="Calibri" w:hAnsi="Calibri"/>
                <w:b/>
                <w:bCs/>
                <w:sz w:val="18"/>
                <w:szCs w:val="18"/>
              </w:rPr>
              <w:t>Table A.</w:t>
            </w:r>
            <w:r w:rsidR="000345E5">
              <w:rPr>
                <w:rFonts w:ascii="Calibri" w:hAnsi="Calibri"/>
                <w:b/>
                <w:bCs/>
                <w:sz w:val="18"/>
                <w:szCs w:val="18"/>
              </w:rPr>
              <w:t>1</w:t>
            </w:r>
            <w:r w:rsidRPr="00591000">
              <w:rPr>
                <w:rFonts w:ascii="Calibri" w:hAnsi="Calibri"/>
                <w:b/>
                <w:bCs/>
                <w:sz w:val="18"/>
                <w:szCs w:val="18"/>
              </w:rPr>
              <w:t>2.e Estimated Additional Hour Burden and Cost for the Recruitment Substudy Respondents, COMBINED TOTAL</w:t>
            </w:r>
          </w:p>
        </w:tc>
      </w:tr>
      <w:tr w:rsidR="0082416F" w:rsidRPr="00591000" w:rsidTr="0082416F">
        <w:trPr>
          <w:trHeight w:val="610"/>
        </w:trPr>
        <w:tc>
          <w:tcPr>
            <w:tcW w:w="5671" w:type="dxa"/>
            <w:tcBorders>
              <w:top w:val="single" w:sz="8" w:space="0" w:color="auto"/>
              <w:left w:val="single" w:sz="8" w:space="0" w:color="auto"/>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Activity</w:t>
            </w:r>
          </w:p>
        </w:tc>
        <w:tc>
          <w:tcPr>
            <w:tcW w:w="1188"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Number of Respondents</w:t>
            </w:r>
          </w:p>
        </w:tc>
        <w:tc>
          <w:tcPr>
            <w:tcW w:w="2771" w:type="dxa"/>
            <w:tcBorders>
              <w:top w:val="single" w:sz="8" w:space="0" w:color="auto"/>
              <w:left w:val="nil"/>
              <w:bottom w:val="single" w:sz="8" w:space="0" w:color="auto"/>
              <w:right w:val="single" w:sz="4" w:space="0" w:color="auto"/>
            </w:tcBorders>
            <w:shd w:val="clear" w:color="000000" w:fill="7F7F7F"/>
            <w:vAlign w:val="bottom"/>
            <w:hideMark/>
          </w:tcPr>
          <w:p w:rsidR="0082416F" w:rsidRPr="00591000" w:rsidRDefault="0082416F" w:rsidP="00180BBD">
            <w:pPr>
              <w:spacing w:after="0"/>
              <w:jc w:val="right"/>
              <w:rPr>
                <w:rFonts w:ascii="Calibri" w:hAnsi="Calibri"/>
                <w:b/>
                <w:bCs/>
                <w:sz w:val="18"/>
                <w:szCs w:val="18"/>
              </w:rPr>
            </w:pPr>
            <w:r w:rsidRPr="00591000">
              <w:rPr>
                <w:rFonts w:ascii="Calibri" w:hAnsi="Calibri"/>
                <w:b/>
                <w:bCs/>
                <w:sz w:val="18"/>
                <w:szCs w:val="18"/>
              </w:rPr>
              <w:t>Annual Hour Burden</w:t>
            </w:r>
          </w:p>
        </w:tc>
        <w:tc>
          <w:tcPr>
            <w:tcW w:w="1440" w:type="dxa"/>
            <w:tcBorders>
              <w:top w:val="single" w:sz="8" w:space="0" w:color="auto"/>
              <w:left w:val="nil"/>
              <w:bottom w:val="single" w:sz="8" w:space="0" w:color="auto"/>
              <w:right w:val="single" w:sz="8" w:space="0" w:color="auto"/>
            </w:tcBorders>
            <w:shd w:val="clear" w:color="000000" w:fill="7F7F7F"/>
            <w:vAlign w:val="bottom"/>
            <w:hideMark/>
          </w:tcPr>
          <w:p w:rsidR="0082416F" w:rsidRPr="00591000" w:rsidRDefault="0082416F" w:rsidP="00180BBD">
            <w:pPr>
              <w:spacing w:after="0"/>
              <w:rPr>
                <w:rFonts w:ascii="Calibri" w:hAnsi="Calibri"/>
                <w:b/>
                <w:bCs/>
                <w:sz w:val="18"/>
                <w:szCs w:val="18"/>
              </w:rPr>
            </w:pPr>
            <w:r w:rsidRPr="00591000">
              <w:rPr>
                <w:rFonts w:ascii="Calibri" w:hAnsi="Calibri"/>
                <w:b/>
                <w:bCs/>
                <w:sz w:val="18"/>
                <w:szCs w:val="18"/>
              </w:rPr>
              <w:t>Annual Respondent Cost</w:t>
            </w:r>
          </w:p>
        </w:tc>
      </w:tr>
      <w:tr w:rsidR="005D3A96" w:rsidRPr="00591000" w:rsidTr="0082416F">
        <w:trPr>
          <w:trHeight w:val="300"/>
        </w:trPr>
        <w:tc>
          <w:tcPr>
            <w:tcW w:w="5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3A96" w:rsidRPr="00591000" w:rsidRDefault="005D3A96" w:rsidP="00180BBD">
            <w:pPr>
              <w:spacing w:after="0"/>
              <w:rPr>
                <w:rFonts w:ascii="Calibri" w:hAnsi="Calibri"/>
                <w:sz w:val="18"/>
                <w:szCs w:val="18"/>
              </w:rPr>
            </w:pPr>
            <w:r w:rsidRPr="00591000">
              <w:rPr>
                <w:rFonts w:ascii="Calibri" w:hAnsi="Calibri"/>
                <w:sz w:val="18"/>
                <w:szCs w:val="18"/>
              </w:rPr>
              <w:t xml:space="preserve">  Total, Prenatal and Birth, Recruitment Substudy</w:t>
            </w:r>
          </w:p>
        </w:tc>
        <w:tc>
          <w:tcPr>
            <w:tcW w:w="1188" w:type="dxa"/>
            <w:tcBorders>
              <w:top w:val="nil"/>
              <w:left w:val="single" w:sz="8" w:space="0" w:color="auto"/>
              <w:bottom w:val="single" w:sz="8" w:space="0" w:color="auto"/>
              <w:right w:val="single" w:sz="4" w:space="0" w:color="auto"/>
            </w:tcBorders>
            <w:shd w:val="clear" w:color="auto" w:fill="auto"/>
            <w:noWrap/>
            <w:vAlign w:val="bottom"/>
            <w:hideMark/>
          </w:tcPr>
          <w:p w:rsidR="005D3A96" w:rsidRPr="00591000" w:rsidRDefault="007917FA" w:rsidP="00180BBD">
            <w:pPr>
              <w:spacing w:after="0"/>
              <w:jc w:val="right"/>
              <w:rPr>
                <w:rFonts w:ascii="Calibri" w:hAnsi="Calibri"/>
                <w:sz w:val="18"/>
                <w:szCs w:val="18"/>
              </w:rPr>
            </w:pPr>
            <w:r>
              <w:rPr>
                <w:rFonts w:ascii="Calibri" w:hAnsi="Calibri"/>
                <w:sz w:val="18"/>
                <w:szCs w:val="18"/>
              </w:rPr>
              <w:t>363,430</w:t>
            </w:r>
          </w:p>
        </w:tc>
        <w:tc>
          <w:tcPr>
            <w:tcW w:w="2771" w:type="dxa"/>
            <w:tcBorders>
              <w:top w:val="nil"/>
              <w:left w:val="nil"/>
              <w:bottom w:val="single" w:sz="8" w:space="0" w:color="auto"/>
              <w:right w:val="single" w:sz="4" w:space="0" w:color="auto"/>
            </w:tcBorders>
            <w:shd w:val="clear" w:color="auto" w:fill="auto"/>
            <w:noWrap/>
            <w:vAlign w:val="bottom"/>
            <w:hideMark/>
          </w:tcPr>
          <w:p w:rsidR="005D3A96" w:rsidRPr="00591000" w:rsidRDefault="007917FA" w:rsidP="00180BBD">
            <w:pPr>
              <w:spacing w:after="0"/>
              <w:jc w:val="right"/>
              <w:rPr>
                <w:rFonts w:ascii="Calibri" w:hAnsi="Calibri"/>
                <w:sz w:val="18"/>
                <w:szCs w:val="18"/>
              </w:rPr>
            </w:pPr>
            <w:r>
              <w:rPr>
                <w:rFonts w:ascii="Calibri" w:hAnsi="Calibri"/>
                <w:sz w:val="18"/>
                <w:szCs w:val="18"/>
              </w:rPr>
              <w:t>136,356</w:t>
            </w:r>
          </w:p>
        </w:tc>
        <w:tc>
          <w:tcPr>
            <w:tcW w:w="1440" w:type="dxa"/>
            <w:tcBorders>
              <w:top w:val="nil"/>
              <w:left w:val="nil"/>
              <w:bottom w:val="single" w:sz="8" w:space="0" w:color="auto"/>
              <w:right w:val="single" w:sz="8" w:space="0" w:color="auto"/>
            </w:tcBorders>
            <w:shd w:val="clear" w:color="auto" w:fill="auto"/>
            <w:noWrap/>
            <w:vAlign w:val="bottom"/>
            <w:hideMark/>
          </w:tcPr>
          <w:p w:rsidR="005D3A96" w:rsidRPr="00591000" w:rsidRDefault="007917FA" w:rsidP="00AC0DAB">
            <w:pPr>
              <w:spacing w:after="0"/>
              <w:jc w:val="right"/>
              <w:rPr>
                <w:rFonts w:ascii="Calibri" w:hAnsi="Calibri"/>
                <w:b/>
                <w:bCs/>
                <w:sz w:val="18"/>
                <w:szCs w:val="18"/>
              </w:rPr>
            </w:pPr>
            <w:r>
              <w:rPr>
                <w:rFonts w:ascii="Calibri" w:hAnsi="Calibri"/>
                <w:b/>
                <w:bCs/>
                <w:sz w:val="18"/>
                <w:szCs w:val="18"/>
              </w:rPr>
              <w:t>$1,363,560</w:t>
            </w:r>
          </w:p>
        </w:tc>
      </w:tr>
      <w:tr w:rsidR="005D3A96" w:rsidRPr="00591000" w:rsidTr="0082416F">
        <w:trPr>
          <w:trHeight w:val="300"/>
        </w:trPr>
        <w:tc>
          <w:tcPr>
            <w:tcW w:w="5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3A96" w:rsidRPr="00591000" w:rsidRDefault="005D3A96" w:rsidP="00180BBD">
            <w:pPr>
              <w:spacing w:after="0"/>
              <w:rPr>
                <w:rFonts w:ascii="Calibri" w:hAnsi="Calibri"/>
                <w:sz w:val="18"/>
                <w:szCs w:val="18"/>
              </w:rPr>
            </w:pPr>
            <w:r w:rsidRPr="00591000">
              <w:rPr>
                <w:rFonts w:ascii="Calibri" w:hAnsi="Calibri"/>
                <w:sz w:val="18"/>
                <w:szCs w:val="18"/>
              </w:rPr>
              <w:t xml:space="preserve">  Total, Postnatal to 24-Months, Recruitment Substudy*</w:t>
            </w:r>
          </w:p>
        </w:tc>
        <w:tc>
          <w:tcPr>
            <w:tcW w:w="1188" w:type="dxa"/>
            <w:tcBorders>
              <w:top w:val="nil"/>
              <w:left w:val="single" w:sz="8" w:space="0" w:color="auto"/>
              <w:bottom w:val="single" w:sz="8" w:space="0" w:color="auto"/>
              <w:right w:val="single" w:sz="4" w:space="0" w:color="auto"/>
            </w:tcBorders>
            <w:shd w:val="clear" w:color="auto" w:fill="auto"/>
            <w:noWrap/>
            <w:vAlign w:val="bottom"/>
            <w:hideMark/>
          </w:tcPr>
          <w:p w:rsidR="005D3A96" w:rsidRPr="00591000" w:rsidRDefault="0009098D" w:rsidP="00180BBD">
            <w:pPr>
              <w:spacing w:after="0"/>
              <w:jc w:val="right"/>
              <w:rPr>
                <w:rFonts w:ascii="Calibri" w:hAnsi="Calibri"/>
                <w:sz w:val="18"/>
                <w:szCs w:val="18"/>
              </w:rPr>
            </w:pPr>
            <w:r>
              <w:rPr>
                <w:rFonts w:ascii="Calibri" w:hAnsi="Calibri"/>
                <w:sz w:val="18"/>
                <w:szCs w:val="18"/>
              </w:rPr>
              <w:t>15,440</w:t>
            </w:r>
          </w:p>
        </w:tc>
        <w:tc>
          <w:tcPr>
            <w:tcW w:w="2771" w:type="dxa"/>
            <w:tcBorders>
              <w:top w:val="nil"/>
              <w:left w:val="nil"/>
              <w:bottom w:val="single" w:sz="8" w:space="0" w:color="auto"/>
              <w:right w:val="single" w:sz="4" w:space="0" w:color="auto"/>
            </w:tcBorders>
            <w:shd w:val="clear" w:color="auto" w:fill="auto"/>
            <w:noWrap/>
            <w:vAlign w:val="bottom"/>
            <w:hideMark/>
          </w:tcPr>
          <w:p w:rsidR="005D3A96" w:rsidRPr="00591000" w:rsidRDefault="0009098D" w:rsidP="00180BBD">
            <w:pPr>
              <w:spacing w:after="0"/>
              <w:jc w:val="right"/>
              <w:rPr>
                <w:rFonts w:ascii="Calibri" w:hAnsi="Calibri"/>
                <w:sz w:val="18"/>
                <w:szCs w:val="18"/>
              </w:rPr>
            </w:pPr>
            <w:r>
              <w:rPr>
                <w:rFonts w:ascii="Calibri" w:hAnsi="Calibri"/>
                <w:sz w:val="18"/>
                <w:szCs w:val="18"/>
              </w:rPr>
              <w:t>8,195</w:t>
            </w:r>
          </w:p>
        </w:tc>
        <w:tc>
          <w:tcPr>
            <w:tcW w:w="1440" w:type="dxa"/>
            <w:tcBorders>
              <w:top w:val="nil"/>
              <w:left w:val="nil"/>
              <w:bottom w:val="single" w:sz="8" w:space="0" w:color="auto"/>
              <w:right w:val="single" w:sz="8" w:space="0" w:color="auto"/>
            </w:tcBorders>
            <w:shd w:val="clear" w:color="auto" w:fill="auto"/>
            <w:noWrap/>
            <w:vAlign w:val="bottom"/>
            <w:hideMark/>
          </w:tcPr>
          <w:p w:rsidR="005D3A96" w:rsidRPr="00591000" w:rsidRDefault="005D3A96" w:rsidP="00AC0DAB">
            <w:pPr>
              <w:spacing w:after="0"/>
              <w:jc w:val="right"/>
              <w:rPr>
                <w:rFonts w:ascii="Calibri" w:hAnsi="Calibri"/>
                <w:b/>
                <w:bCs/>
                <w:sz w:val="18"/>
                <w:szCs w:val="18"/>
              </w:rPr>
            </w:pPr>
            <w:r w:rsidRPr="00591000">
              <w:rPr>
                <w:rFonts w:ascii="Calibri" w:hAnsi="Calibri"/>
                <w:b/>
                <w:bCs/>
                <w:sz w:val="18"/>
                <w:szCs w:val="18"/>
              </w:rPr>
              <w:t>$</w:t>
            </w:r>
            <w:r w:rsidR="0009098D">
              <w:rPr>
                <w:rFonts w:ascii="Calibri" w:hAnsi="Calibri"/>
                <w:b/>
                <w:bCs/>
                <w:sz w:val="18"/>
                <w:szCs w:val="18"/>
              </w:rPr>
              <w:t>81</w:t>
            </w:r>
            <w:r w:rsidR="00AC0DAB">
              <w:rPr>
                <w:rFonts w:ascii="Calibri" w:hAnsi="Calibri"/>
                <w:b/>
                <w:bCs/>
                <w:sz w:val="18"/>
                <w:szCs w:val="18"/>
              </w:rPr>
              <w:t>,</w:t>
            </w:r>
            <w:r w:rsidR="0009098D">
              <w:rPr>
                <w:rFonts w:ascii="Calibri" w:hAnsi="Calibri"/>
                <w:b/>
                <w:bCs/>
                <w:sz w:val="18"/>
                <w:szCs w:val="18"/>
              </w:rPr>
              <w:t>954</w:t>
            </w:r>
          </w:p>
        </w:tc>
      </w:tr>
      <w:tr w:rsidR="005D3A96" w:rsidRPr="00591000" w:rsidTr="0082416F">
        <w:trPr>
          <w:trHeight w:val="300"/>
        </w:trPr>
        <w:tc>
          <w:tcPr>
            <w:tcW w:w="5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3A96" w:rsidRPr="00591000" w:rsidRDefault="005D3A96" w:rsidP="00180BBD">
            <w:pPr>
              <w:spacing w:after="0"/>
              <w:rPr>
                <w:rFonts w:ascii="Calibri" w:hAnsi="Calibri"/>
                <w:sz w:val="18"/>
                <w:szCs w:val="18"/>
              </w:rPr>
            </w:pPr>
            <w:r w:rsidRPr="00591000">
              <w:rPr>
                <w:rFonts w:ascii="Calibri" w:hAnsi="Calibri"/>
                <w:sz w:val="18"/>
                <w:szCs w:val="18"/>
              </w:rPr>
              <w:t xml:space="preserve">      Total, Reintroduction of Selected Measures, Prenatal and Postnatal</w:t>
            </w:r>
          </w:p>
        </w:tc>
        <w:tc>
          <w:tcPr>
            <w:tcW w:w="1188" w:type="dxa"/>
            <w:tcBorders>
              <w:top w:val="nil"/>
              <w:left w:val="single" w:sz="8" w:space="0" w:color="auto"/>
              <w:bottom w:val="nil"/>
              <w:right w:val="single" w:sz="4" w:space="0" w:color="auto"/>
            </w:tcBorders>
            <w:shd w:val="clear" w:color="auto" w:fill="auto"/>
            <w:noWrap/>
            <w:vAlign w:val="bottom"/>
            <w:hideMark/>
          </w:tcPr>
          <w:p w:rsidR="005D3A96" w:rsidRPr="00591000" w:rsidRDefault="005D3A96" w:rsidP="00180BBD">
            <w:pPr>
              <w:spacing w:after="0"/>
              <w:jc w:val="right"/>
              <w:rPr>
                <w:rFonts w:ascii="Calibri" w:hAnsi="Calibri"/>
                <w:sz w:val="18"/>
                <w:szCs w:val="18"/>
              </w:rPr>
            </w:pPr>
            <w:r w:rsidRPr="00591000">
              <w:rPr>
                <w:rFonts w:ascii="Calibri" w:hAnsi="Calibri"/>
                <w:sz w:val="18"/>
                <w:szCs w:val="18"/>
              </w:rPr>
              <w:t>24,839</w:t>
            </w:r>
          </w:p>
        </w:tc>
        <w:tc>
          <w:tcPr>
            <w:tcW w:w="2771" w:type="dxa"/>
            <w:tcBorders>
              <w:top w:val="nil"/>
              <w:left w:val="nil"/>
              <w:bottom w:val="nil"/>
              <w:right w:val="single" w:sz="4" w:space="0" w:color="auto"/>
            </w:tcBorders>
            <w:shd w:val="clear" w:color="auto" w:fill="auto"/>
            <w:noWrap/>
            <w:vAlign w:val="bottom"/>
            <w:hideMark/>
          </w:tcPr>
          <w:p w:rsidR="005D3A96" w:rsidRPr="00591000" w:rsidRDefault="005D3A96" w:rsidP="00180BBD">
            <w:pPr>
              <w:spacing w:after="0"/>
              <w:jc w:val="right"/>
              <w:rPr>
                <w:rFonts w:ascii="Calibri" w:hAnsi="Calibri"/>
                <w:sz w:val="18"/>
                <w:szCs w:val="18"/>
              </w:rPr>
            </w:pPr>
            <w:r w:rsidRPr="00591000">
              <w:rPr>
                <w:rFonts w:ascii="Calibri" w:hAnsi="Calibri"/>
                <w:sz w:val="18"/>
                <w:szCs w:val="18"/>
              </w:rPr>
              <w:t>7,828</w:t>
            </w:r>
          </w:p>
        </w:tc>
        <w:tc>
          <w:tcPr>
            <w:tcW w:w="1440" w:type="dxa"/>
            <w:tcBorders>
              <w:top w:val="nil"/>
              <w:left w:val="nil"/>
              <w:bottom w:val="nil"/>
              <w:right w:val="single" w:sz="8" w:space="0" w:color="auto"/>
            </w:tcBorders>
            <w:shd w:val="clear" w:color="auto" w:fill="auto"/>
            <w:noWrap/>
            <w:vAlign w:val="bottom"/>
            <w:hideMark/>
          </w:tcPr>
          <w:p w:rsidR="005D3A96" w:rsidRPr="00591000" w:rsidRDefault="005D3A96" w:rsidP="00180BBD">
            <w:pPr>
              <w:spacing w:after="0"/>
              <w:jc w:val="right"/>
              <w:rPr>
                <w:rFonts w:ascii="Calibri" w:hAnsi="Calibri"/>
                <w:b/>
                <w:bCs/>
                <w:sz w:val="18"/>
                <w:szCs w:val="18"/>
              </w:rPr>
            </w:pPr>
            <w:r w:rsidRPr="00591000">
              <w:rPr>
                <w:rFonts w:ascii="Calibri" w:hAnsi="Calibri"/>
                <w:b/>
                <w:bCs/>
                <w:sz w:val="18"/>
                <w:szCs w:val="18"/>
              </w:rPr>
              <w:t>$78,277</w:t>
            </w:r>
          </w:p>
        </w:tc>
      </w:tr>
      <w:tr w:rsidR="005D3A96" w:rsidRPr="00591000" w:rsidTr="0082416F">
        <w:trPr>
          <w:trHeight w:val="300"/>
        </w:trPr>
        <w:tc>
          <w:tcPr>
            <w:tcW w:w="11070" w:type="dxa"/>
            <w:gridSpan w:val="4"/>
            <w:tcBorders>
              <w:top w:val="single" w:sz="8" w:space="0" w:color="auto"/>
              <w:left w:val="single" w:sz="8" w:space="0" w:color="auto"/>
              <w:bottom w:val="single" w:sz="8" w:space="0" w:color="auto"/>
              <w:right w:val="single" w:sz="8" w:space="0" w:color="auto"/>
            </w:tcBorders>
            <w:shd w:val="clear" w:color="auto" w:fill="auto"/>
            <w:noWrap/>
            <w:vAlign w:val="bottom"/>
          </w:tcPr>
          <w:p w:rsidR="005D3A96" w:rsidRPr="00591000" w:rsidRDefault="005D3A96" w:rsidP="00180BBD">
            <w:pPr>
              <w:spacing w:after="0"/>
              <w:rPr>
                <w:rFonts w:ascii="Calibri" w:hAnsi="Calibri"/>
                <w:b/>
                <w:bCs/>
                <w:sz w:val="18"/>
                <w:szCs w:val="18"/>
              </w:rPr>
            </w:pPr>
            <w:r w:rsidRPr="00591000">
              <w:rPr>
                <w:rFonts w:ascii="Calibri" w:hAnsi="Calibri"/>
                <w:sz w:val="18"/>
                <w:szCs w:val="18"/>
              </w:rPr>
              <w:t>* Infant health care log hours are represented in the tally of hours for the reintroduction of selected measures.</w:t>
            </w:r>
          </w:p>
        </w:tc>
      </w:tr>
    </w:tbl>
    <w:p w:rsidR="0020549C" w:rsidRDefault="0020549C" w:rsidP="00180BBD">
      <w:pPr>
        <w:pStyle w:val="Default"/>
        <w:rPr>
          <w:rFonts w:asciiTheme="minorHAnsi" w:hAnsiTheme="minorHAnsi"/>
          <w:b/>
        </w:rPr>
      </w:pPr>
    </w:p>
    <w:p w:rsidR="003829B4" w:rsidRDefault="00CF6DF5" w:rsidP="00180BBD">
      <w:pPr>
        <w:pStyle w:val="Default"/>
        <w:rPr>
          <w:rFonts w:asciiTheme="minorHAnsi" w:hAnsiTheme="minorHAnsi"/>
          <w:b/>
        </w:rPr>
      </w:pPr>
      <w:r w:rsidRPr="00FD71FF">
        <w:rPr>
          <w:rFonts w:asciiTheme="minorHAnsi" w:hAnsiTheme="minorHAnsi"/>
          <w:b/>
        </w:rPr>
        <w:t>A.13</w:t>
      </w:r>
      <w:r w:rsidRPr="00FD71FF">
        <w:rPr>
          <w:rFonts w:asciiTheme="minorHAnsi" w:hAnsiTheme="minorHAnsi"/>
          <w:b/>
        </w:rPr>
        <w:tab/>
        <w:t xml:space="preserve">Provide an Estimate of the Total Annual Cost Burden to Respondents or </w:t>
      </w:r>
      <w:proofErr w:type="spellStart"/>
      <w:r w:rsidRPr="00FD71FF">
        <w:rPr>
          <w:rFonts w:asciiTheme="minorHAnsi" w:hAnsiTheme="minorHAnsi"/>
          <w:b/>
        </w:rPr>
        <w:t>Recordkeepers</w:t>
      </w:r>
      <w:proofErr w:type="spellEnd"/>
      <w:r w:rsidRPr="00FD71FF">
        <w:rPr>
          <w:rFonts w:asciiTheme="minorHAnsi" w:hAnsiTheme="minorHAnsi"/>
          <w:b/>
        </w:rPr>
        <w:t xml:space="preserve"> Resulting from the Collection of Information</w:t>
      </w:r>
    </w:p>
    <w:p w:rsidR="003829B4" w:rsidRDefault="003829B4" w:rsidP="00180BBD">
      <w:pPr>
        <w:pStyle w:val="Default"/>
        <w:rPr>
          <w:rFonts w:asciiTheme="minorHAnsi" w:hAnsiTheme="minorHAnsi"/>
        </w:rPr>
      </w:pPr>
    </w:p>
    <w:p w:rsidR="003829B4" w:rsidRDefault="00CF6DF5" w:rsidP="00180BBD">
      <w:pPr>
        <w:pStyle w:val="Default"/>
        <w:rPr>
          <w:rFonts w:asciiTheme="minorHAnsi" w:hAnsiTheme="minorHAnsi"/>
        </w:rPr>
      </w:pPr>
      <w:r w:rsidRPr="00FD71FF">
        <w:rPr>
          <w:rFonts w:asciiTheme="minorHAnsi" w:hAnsiTheme="minorHAnsi"/>
        </w:rPr>
        <w:t xml:space="preserve">NCS participants will be reimbursed for any expenses resulting from their participation in NCS. This may include transportation costs to and from study visits or activities, and babysitting or elder care expenses. There are no other known costs to study participants.  </w:t>
      </w:r>
    </w:p>
    <w:p w:rsidR="003829B4" w:rsidRDefault="003829B4" w:rsidP="00180BBD">
      <w:pPr>
        <w:pStyle w:val="Default"/>
        <w:rPr>
          <w:rFonts w:asciiTheme="minorHAnsi" w:hAnsiTheme="minorHAnsi"/>
        </w:rPr>
      </w:pPr>
    </w:p>
    <w:p w:rsidR="003829B4" w:rsidRDefault="00CF6DF5" w:rsidP="00180BBD">
      <w:pPr>
        <w:pStyle w:val="Default"/>
        <w:rPr>
          <w:rFonts w:asciiTheme="minorHAnsi" w:hAnsiTheme="minorHAnsi"/>
          <w:b/>
        </w:rPr>
      </w:pPr>
      <w:r w:rsidRPr="00FD71FF">
        <w:rPr>
          <w:rFonts w:asciiTheme="minorHAnsi" w:hAnsiTheme="minorHAnsi"/>
          <w:b/>
        </w:rPr>
        <w:t>A.14</w:t>
      </w:r>
      <w:r w:rsidRPr="00FD71FF">
        <w:rPr>
          <w:rFonts w:asciiTheme="minorHAnsi" w:hAnsiTheme="minorHAnsi"/>
          <w:b/>
        </w:rPr>
        <w:tab/>
        <w:t>Annualized Cost to the Federal Government</w:t>
      </w:r>
    </w:p>
    <w:p w:rsidR="003829B4" w:rsidRDefault="003829B4" w:rsidP="00180BBD">
      <w:pPr>
        <w:pStyle w:val="Default"/>
        <w:rPr>
          <w:rFonts w:asciiTheme="minorHAnsi" w:hAnsiTheme="minorHAnsi"/>
        </w:rPr>
      </w:pPr>
    </w:p>
    <w:p w:rsidR="003829B4" w:rsidRDefault="00CF6DF5" w:rsidP="00180BBD">
      <w:pPr>
        <w:pStyle w:val="Default"/>
        <w:rPr>
          <w:rFonts w:asciiTheme="minorHAnsi" w:hAnsiTheme="minorHAnsi"/>
        </w:rPr>
      </w:pPr>
      <w:r w:rsidRPr="00FD71FF">
        <w:rPr>
          <w:rFonts w:asciiTheme="minorHAnsi" w:hAnsiTheme="minorHAnsi"/>
        </w:rPr>
        <w:t xml:space="preserve">Based on the proposed study budget, the estimated overall cost to the federal government for </w:t>
      </w:r>
      <w:r w:rsidR="00403B00">
        <w:rPr>
          <w:rFonts w:asciiTheme="minorHAnsi" w:hAnsiTheme="minorHAnsi"/>
        </w:rPr>
        <w:t xml:space="preserve">Phase 2 of </w:t>
      </w:r>
      <w:r w:rsidRPr="00FD71FF">
        <w:rPr>
          <w:rFonts w:asciiTheme="minorHAnsi" w:hAnsiTheme="minorHAnsi"/>
        </w:rPr>
        <w:t xml:space="preserve">the </w:t>
      </w:r>
      <w:r w:rsidR="0067712A">
        <w:rPr>
          <w:rFonts w:asciiTheme="minorHAnsi" w:hAnsiTheme="minorHAnsi"/>
        </w:rPr>
        <w:t xml:space="preserve">Recruitment Substudy </w:t>
      </w:r>
      <w:r w:rsidR="005213C0">
        <w:rPr>
          <w:rFonts w:asciiTheme="minorHAnsi" w:hAnsiTheme="minorHAnsi"/>
        </w:rPr>
        <w:t xml:space="preserve">of the </w:t>
      </w:r>
      <w:r w:rsidRPr="00FD71FF">
        <w:rPr>
          <w:rFonts w:asciiTheme="minorHAnsi" w:hAnsiTheme="minorHAnsi"/>
        </w:rPr>
        <w:t xml:space="preserve">National Children’s Study during the period of this </w:t>
      </w:r>
      <w:r w:rsidRPr="005213C0">
        <w:rPr>
          <w:rFonts w:asciiTheme="minorHAnsi" w:hAnsiTheme="minorHAnsi"/>
        </w:rPr>
        <w:t xml:space="preserve">submission is </w:t>
      </w:r>
      <w:r w:rsidR="00F90C0E">
        <w:rPr>
          <w:rFonts w:asciiTheme="minorHAnsi" w:hAnsiTheme="minorHAnsi"/>
        </w:rPr>
        <w:t>$__27</w:t>
      </w:r>
      <w:r w:rsidR="00AD02A1" w:rsidRPr="00AD02A1">
        <w:rPr>
          <w:rFonts w:asciiTheme="minorHAnsi" w:hAnsiTheme="minorHAnsi"/>
        </w:rPr>
        <w:t xml:space="preserve">___ million.  </w:t>
      </w:r>
    </w:p>
    <w:p w:rsidR="003829B4" w:rsidRDefault="003829B4" w:rsidP="00180BBD">
      <w:pPr>
        <w:pStyle w:val="Default"/>
        <w:rPr>
          <w:rFonts w:asciiTheme="minorHAnsi" w:hAnsiTheme="minorHAnsi"/>
        </w:rPr>
      </w:pPr>
    </w:p>
    <w:p w:rsidR="00CF6DF5" w:rsidRPr="00FD71FF" w:rsidRDefault="00CF6DF5" w:rsidP="00180BBD">
      <w:pPr>
        <w:pStyle w:val="Default"/>
        <w:jc w:val="both"/>
        <w:rPr>
          <w:rFonts w:asciiTheme="minorHAnsi" w:hAnsiTheme="minorHAnsi"/>
          <w:b/>
        </w:rPr>
      </w:pPr>
      <w:r w:rsidRPr="00FD71FF">
        <w:rPr>
          <w:rFonts w:asciiTheme="minorHAnsi" w:hAnsiTheme="minorHAnsi"/>
          <w:b/>
        </w:rPr>
        <w:t>A.15</w:t>
      </w:r>
      <w:r w:rsidRPr="00FD71FF">
        <w:rPr>
          <w:rFonts w:asciiTheme="minorHAnsi" w:hAnsiTheme="minorHAnsi"/>
          <w:b/>
        </w:rPr>
        <w:tab/>
        <w:t>Explanation for Program Changes or Adjustments</w:t>
      </w:r>
    </w:p>
    <w:p w:rsidR="00CF6DF5" w:rsidRPr="00FD71FF" w:rsidRDefault="00CF6DF5" w:rsidP="00180BBD">
      <w:pPr>
        <w:pStyle w:val="Default"/>
        <w:jc w:val="both"/>
        <w:rPr>
          <w:rFonts w:asciiTheme="minorHAnsi" w:hAnsiTheme="minorHAnsi"/>
        </w:rPr>
      </w:pPr>
    </w:p>
    <w:p w:rsidR="005213C0" w:rsidRDefault="0067712A" w:rsidP="00180BBD">
      <w:pPr>
        <w:pStyle w:val="Default"/>
        <w:jc w:val="both"/>
        <w:rPr>
          <w:rFonts w:asciiTheme="minorHAnsi" w:hAnsiTheme="minorHAnsi"/>
        </w:rPr>
      </w:pPr>
      <w:r>
        <w:rPr>
          <w:rFonts w:asciiTheme="minorHAnsi" w:hAnsiTheme="minorHAnsi"/>
        </w:rPr>
        <w:t>This request for revision proposes the addition of a Recruitment Substudy to the Initial Vanguard Study</w:t>
      </w:r>
      <w:r w:rsidR="00CF6DF5" w:rsidRPr="00FD71FF">
        <w:rPr>
          <w:rFonts w:asciiTheme="minorHAnsi" w:hAnsiTheme="minorHAnsi"/>
        </w:rPr>
        <w:t xml:space="preserve"> to better inform the </w:t>
      </w:r>
      <w:r w:rsidR="00403B00">
        <w:rPr>
          <w:rFonts w:asciiTheme="minorHAnsi" w:hAnsiTheme="minorHAnsi"/>
        </w:rPr>
        <w:t xml:space="preserve">design and </w:t>
      </w:r>
      <w:r w:rsidR="00CF6DF5" w:rsidRPr="00FD71FF">
        <w:rPr>
          <w:rFonts w:asciiTheme="minorHAnsi" w:hAnsiTheme="minorHAnsi"/>
        </w:rPr>
        <w:t xml:space="preserve">implementation of the Main Study.  </w:t>
      </w:r>
    </w:p>
    <w:p w:rsidR="005213C0" w:rsidRDefault="005213C0" w:rsidP="00180BBD">
      <w:pPr>
        <w:pStyle w:val="Default"/>
        <w:jc w:val="both"/>
        <w:rPr>
          <w:rFonts w:asciiTheme="minorHAnsi" w:hAnsiTheme="minorHAnsi"/>
        </w:rPr>
      </w:pPr>
    </w:p>
    <w:p w:rsidR="00C82D6E" w:rsidRPr="00FD71FF" w:rsidRDefault="0067712A" w:rsidP="00180BBD">
      <w:pPr>
        <w:pStyle w:val="Default"/>
        <w:jc w:val="both"/>
        <w:rPr>
          <w:rFonts w:asciiTheme="minorHAnsi" w:hAnsiTheme="minorHAnsi"/>
        </w:rPr>
      </w:pPr>
      <w:r>
        <w:rPr>
          <w:rFonts w:asciiTheme="minorHAnsi" w:hAnsiTheme="minorHAnsi"/>
        </w:rPr>
        <w:t xml:space="preserve">Additionally, we request that eligibility of women in the Initial Vanguard Study be extended to include women who resided in the </w:t>
      </w:r>
      <w:r w:rsidR="00650A8E">
        <w:rPr>
          <w:rFonts w:asciiTheme="minorHAnsi" w:hAnsiTheme="minorHAnsi"/>
        </w:rPr>
        <w:t>geographically-eligible locations at recruitment, but who subsequently moved residence outside of a geographically-eligible location prior to the sample child’s birth.  We estimate that this extension of the eligibility criteria pertains to very few women</w:t>
      </w:r>
      <w:r w:rsidR="0084534A">
        <w:rPr>
          <w:rFonts w:asciiTheme="minorHAnsi" w:hAnsiTheme="minorHAnsi"/>
        </w:rPr>
        <w:t>,</w:t>
      </w:r>
      <w:r w:rsidR="00650A8E">
        <w:rPr>
          <w:rFonts w:asciiTheme="minorHAnsi" w:hAnsiTheme="minorHAnsi"/>
        </w:rPr>
        <w:t xml:space="preserve"> but </w:t>
      </w:r>
      <w:r w:rsidR="0084534A">
        <w:rPr>
          <w:rFonts w:asciiTheme="minorHAnsi" w:hAnsiTheme="minorHAnsi"/>
        </w:rPr>
        <w:t xml:space="preserve">it </w:t>
      </w:r>
      <w:r w:rsidR="00650A8E">
        <w:rPr>
          <w:rFonts w:asciiTheme="minorHAnsi" w:hAnsiTheme="minorHAnsi"/>
        </w:rPr>
        <w:t xml:space="preserve">would be advantageous to the </w:t>
      </w:r>
      <w:r w:rsidR="0084534A">
        <w:rPr>
          <w:rFonts w:asciiTheme="minorHAnsi" w:hAnsiTheme="minorHAnsi"/>
        </w:rPr>
        <w:t>s</w:t>
      </w:r>
      <w:r w:rsidR="00650A8E">
        <w:rPr>
          <w:rFonts w:asciiTheme="minorHAnsi" w:hAnsiTheme="minorHAnsi"/>
        </w:rPr>
        <w:t xml:space="preserve">tudy by maintaining good will with participants and supporting analysis on instrument functionality.  Since the </w:t>
      </w:r>
      <w:r w:rsidR="0084534A">
        <w:rPr>
          <w:rFonts w:asciiTheme="minorHAnsi" w:hAnsiTheme="minorHAnsi"/>
        </w:rPr>
        <w:t xml:space="preserve">Initial </w:t>
      </w:r>
      <w:r w:rsidR="00650A8E">
        <w:rPr>
          <w:rFonts w:asciiTheme="minorHAnsi" w:hAnsiTheme="minorHAnsi"/>
        </w:rPr>
        <w:t xml:space="preserve">Vanguard Study is not </w:t>
      </w:r>
      <w:r w:rsidR="00650A8E">
        <w:rPr>
          <w:rFonts w:asciiTheme="minorHAnsi" w:hAnsiTheme="minorHAnsi"/>
        </w:rPr>
        <w:lastRenderedPageBreak/>
        <w:t xml:space="preserve">designed to yield national rates, expanding inclusion criteria in this small way would not impair the ability of the </w:t>
      </w:r>
      <w:r w:rsidR="0084534A">
        <w:rPr>
          <w:rFonts w:asciiTheme="minorHAnsi" w:hAnsiTheme="minorHAnsi"/>
        </w:rPr>
        <w:t>s</w:t>
      </w:r>
      <w:r w:rsidR="00650A8E">
        <w:rPr>
          <w:rFonts w:asciiTheme="minorHAnsi" w:hAnsiTheme="minorHAnsi"/>
        </w:rPr>
        <w:t xml:space="preserve">tudy to meet its objectives. </w:t>
      </w:r>
      <w:r w:rsidR="00BB7F69" w:rsidRPr="00FD71FF">
        <w:rPr>
          <w:rFonts w:asciiTheme="minorHAnsi" w:hAnsiTheme="minorHAnsi"/>
        </w:rPr>
        <w:t xml:space="preserve">  </w:t>
      </w:r>
    </w:p>
    <w:p w:rsidR="00BB7F69" w:rsidRPr="00FD71FF" w:rsidRDefault="00BB7F69" w:rsidP="00180BBD">
      <w:pPr>
        <w:pStyle w:val="Default"/>
        <w:jc w:val="both"/>
        <w:rPr>
          <w:rFonts w:asciiTheme="minorHAnsi" w:hAnsiTheme="minorHAnsi"/>
        </w:rPr>
      </w:pPr>
    </w:p>
    <w:p w:rsidR="00C82D6E" w:rsidRPr="00FD71FF" w:rsidRDefault="00C82D6E" w:rsidP="00180BBD">
      <w:pPr>
        <w:pStyle w:val="Default"/>
        <w:jc w:val="both"/>
        <w:rPr>
          <w:rFonts w:asciiTheme="minorHAnsi" w:hAnsiTheme="minorHAnsi"/>
          <w:b/>
        </w:rPr>
      </w:pPr>
      <w:r w:rsidRPr="00FD71FF">
        <w:rPr>
          <w:rFonts w:asciiTheme="minorHAnsi" w:hAnsiTheme="minorHAnsi"/>
          <w:b/>
        </w:rPr>
        <w:t>A.16</w:t>
      </w:r>
      <w:r w:rsidRPr="00FD71FF">
        <w:rPr>
          <w:rFonts w:asciiTheme="minorHAnsi" w:hAnsiTheme="minorHAnsi"/>
          <w:b/>
        </w:rPr>
        <w:tab/>
        <w:t>Plans for Tabulation and Publication and Project Time Schedule</w:t>
      </w:r>
    </w:p>
    <w:p w:rsidR="00C82D6E" w:rsidRPr="00FD71FF" w:rsidRDefault="00C82D6E" w:rsidP="00180BBD">
      <w:pPr>
        <w:pStyle w:val="Default"/>
        <w:jc w:val="both"/>
        <w:rPr>
          <w:rFonts w:asciiTheme="minorHAnsi" w:hAnsiTheme="minorHAnsi"/>
        </w:rPr>
      </w:pPr>
    </w:p>
    <w:p w:rsidR="001C50CA" w:rsidRDefault="001F0BF4" w:rsidP="00180BBD">
      <w:pPr>
        <w:pStyle w:val="Default"/>
        <w:jc w:val="both"/>
        <w:rPr>
          <w:rFonts w:asciiTheme="minorHAnsi" w:hAnsiTheme="minorHAnsi"/>
        </w:rPr>
      </w:pPr>
      <w:r w:rsidRPr="00C44C68">
        <w:rPr>
          <w:rFonts w:asciiTheme="minorHAnsi" w:hAnsiTheme="minorHAnsi"/>
          <w:highlight w:val="yellow"/>
        </w:rPr>
        <w:t xml:space="preserve">Phase </w:t>
      </w:r>
      <w:r w:rsidR="00E166B1" w:rsidRPr="00C44C68">
        <w:rPr>
          <w:rFonts w:asciiTheme="minorHAnsi" w:hAnsiTheme="minorHAnsi"/>
          <w:highlight w:val="yellow"/>
        </w:rPr>
        <w:t>I</w:t>
      </w:r>
      <w:r w:rsidR="00E166B1" w:rsidRPr="00FD71FF">
        <w:rPr>
          <w:rFonts w:asciiTheme="minorHAnsi" w:hAnsiTheme="minorHAnsi"/>
        </w:rPr>
        <w:t xml:space="preserve"> of the Recruitment Substudy is planned </w:t>
      </w:r>
      <w:r w:rsidR="00650A8E">
        <w:rPr>
          <w:rFonts w:asciiTheme="minorHAnsi" w:hAnsiTheme="minorHAnsi"/>
        </w:rPr>
        <w:t>to begin in July</w:t>
      </w:r>
      <w:r w:rsidR="00C44C68">
        <w:rPr>
          <w:rFonts w:asciiTheme="minorHAnsi" w:hAnsiTheme="minorHAnsi"/>
        </w:rPr>
        <w:t xml:space="preserve"> 2010</w:t>
      </w:r>
      <w:r w:rsidR="00E166B1" w:rsidRPr="00FD71FF">
        <w:rPr>
          <w:rFonts w:asciiTheme="minorHAnsi" w:hAnsiTheme="minorHAnsi"/>
        </w:rPr>
        <w:t>.  Data on recruitment, retention, feasibility, acceptability and cost will be reported by each location on a biweekly basis</w:t>
      </w:r>
      <w:r w:rsidR="00650A8E">
        <w:rPr>
          <w:rFonts w:asciiTheme="minorHAnsi" w:hAnsiTheme="minorHAnsi"/>
        </w:rPr>
        <w:t xml:space="preserve"> to the NCS Program Office in standard form</w:t>
      </w:r>
      <w:r w:rsidR="00E166B1" w:rsidRPr="00FD71FF">
        <w:rPr>
          <w:rFonts w:asciiTheme="minorHAnsi" w:hAnsiTheme="minorHAnsi"/>
        </w:rPr>
        <w:t>.  Field updates will also be delivered by the locations on a biweekly basis</w:t>
      </w:r>
      <w:r w:rsidR="00650A8E">
        <w:rPr>
          <w:rFonts w:asciiTheme="minorHAnsi" w:hAnsiTheme="minorHAnsi"/>
        </w:rPr>
        <w:t xml:space="preserve"> in standard form</w:t>
      </w:r>
      <w:r w:rsidR="00E166B1" w:rsidRPr="00FD71FF">
        <w:rPr>
          <w:rFonts w:asciiTheme="minorHAnsi" w:hAnsiTheme="minorHAnsi"/>
        </w:rPr>
        <w:t xml:space="preserve">.  These data deliverables and field reports will be aggregated and analyzed by the NCS Program Office </w:t>
      </w:r>
      <w:r w:rsidR="00650A8E">
        <w:rPr>
          <w:rFonts w:asciiTheme="minorHAnsi" w:hAnsiTheme="minorHAnsi"/>
        </w:rPr>
        <w:t>on a flow basis to evaluate</w:t>
      </w:r>
      <w:r w:rsidR="00E166B1" w:rsidRPr="00FD71FF">
        <w:rPr>
          <w:rFonts w:asciiTheme="minorHAnsi" w:hAnsiTheme="minorHAnsi"/>
        </w:rPr>
        <w:t xml:space="preserve"> Recruitment Substudy</w:t>
      </w:r>
      <w:r w:rsidR="00CD105C">
        <w:rPr>
          <w:rFonts w:asciiTheme="minorHAnsi" w:hAnsiTheme="minorHAnsi"/>
        </w:rPr>
        <w:t xml:space="preserve"> progress</w:t>
      </w:r>
      <w:r w:rsidR="00E166B1" w:rsidRPr="00FD71FF">
        <w:rPr>
          <w:rFonts w:asciiTheme="minorHAnsi" w:hAnsiTheme="minorHAnsi"/>
        </w:rPr>
        <w:t>.  (</w:t>
      </w:r>
      <w:r w:rsidR="00CD105C">
        <w:rPr>
          <w:rFonts w:asciiTheme="minorHAnsi" w:hAnsiTheme="minorHAnsi"/>
        </w:rPr>
        <w:t xml:space="preserve">Anticipated </w:t>
      </w:r>
      <w:r w:rsidR="004B35DF">
        <w:rPr>
          <w:rFonts w:asciiTheme="minorHAnsi" w:hAnsiTheme="minorHAnsi"/>
        </w:rPr>
        <w:t xml:space="preserve">measures are shown in Table </w:t>
      </w:r>
      <w:r w:rsidR="004B35DF" w:rsidRPr="00C44C68">
        <w:rPr>
          <w:rFonts w:asciiTheme="minorHAnsi" w:hAnsiTheme="minorHAnsi"/>
          <w:highlight w:val="yellow"/>
        </w:rPr>
        <w:t>A.3</w:t>
      </w:r>
      <w:r w:rsidR="00154B71" w:rsidRPr="00C44C68">
        <w:rPr>
          <w:rFonts w:asciiTheme="minorHAnsi" w:hAnsiTheme="minorHAnsi"/>
          <w:highlight w:val="yellow"/>
        </w:rPr>
        <w:t>.a</w:t>
      </w:r>
      <w:r w:rsidR="00E166B1" w:rsidRPr="00FD71FF">
        <w:rPr>
          <w:rFonts w:asciiTheme="minorHAnsi" w:hAnsiTheme="minorHAnsi"/>
        </w:rPr>
        <w:t xml:space="preserve"> below.)  </w:t>
      </w:r>
    </w:p>
    <w:p w:rsidR="00C44C68" w:rsidRPr="00FD71FF" w:rsidRDefault="00C44C68" w:rsidP="00180BBD">
      <w:pPr>
        <w:pStyle w:val="Default"/>
        <w:jc w:val="both"/>
        <w:rPr>
          <w:rFonts w:asciiTheme="minorHAnsi" w:hAnsiTheme="minorHAnsi"/>
        </w:rPr>
      </w:pPr>
    </w:p>
    <w:p w:rsidR="001C50CA" w:rsidRPr="00FD71FF" w:rsidRDefault="004B35DF" w:rsidP="00180BBD">
      <w:pPr>
        <w:pStyle w:val="Default"/>
        <w:jc w:val="both"/>
        <w:rPr>
          <w:rFonts w:asciiTheme="minorHAnsi" w:hAnsiTheme="minorHAnsi"/>
        </w:rPr>
      </w:pPr>
      <w:r>
        <w:rPr>
          <w:rFonts w:asciiTheme="minorHAnsi" w:hAnsiTheme="minorHAnsi"/>
        </w:rPr>
        <w:t>Table A.3</w:t>
      </w:r>
      <w:r w:rsidR="00BF3FEF" w:rsidRPr="00C44C68">
        <w:rPr>
          <w:rFonts w:asciiTheme="minorHAnsi" w:hAnsiTheme="minorHAnsi"/>
          <w:highlight w:val="yellow"/>
        </w:rPr>
        <w:t>.a</w:t>
      </w:r>
      <w:r w:rsidR="001C50CA" w:rsidRPr="00FD71FF">
        <w:rPr>
          <w:rFonts w:asciiTheme="minorHAnsi" w:hAnsiTheme="minorHAnsi"/>
        </w:rPr>
        <w:t xml:space="preserve">:  Measures to be </w:t>
      </w:r>
      <w:proofErr w:type="gramStart"/>
      <w:r w:rsidR="001C50CA" w:rsidRPr="00FD71FF">
        <w:rPr>
          <w:rFonts w:asciiTheme="minorHAnsi" w:hAnsiTheme="minorHAnsi"/>
        </w:rPr>
        <w:t>Computed</w:t>
      </w:r>
      <w:proofErr w:type="gramEnd"/>
      <w:r w:rsidR="001C50CA" w:rsidRPr="00FD71FF">
        <w:rPr>
          <w:rFonts w:asciiTheme="minorHAnsi" w:hAnsiTheme="minorHAnsi"/>
        </w:rPr>
        <w:t xml:space="preserve"> for the Recruitment Substudy,</w:t>
      </w:r>
      <w:r w:rsidR="001F0BF4">
        <w:rPr>
          <w:rFonts w:asciiTheme="minorHAnsi" w:hAnsiTheme="minorHAnsi"/>
        </w:rPr>
        <w:t xml:space="preserve"> </w:t>
      </w:r>
      <w:r w:rsidR="001F0BF4" w:rsidRPr="00C44C68">
        <w:rPr>
          <w:rFonts w:asciiTheme="minorHAnsi" w:hAnsiTheme="minorHAnsi"/>
          <w:highlight w:val="yellow"/>
        </w:rPr>
        <w:t>Phase 1</w:t>
      </w:r>
      <w:r w:rsidR="001F0BF4">
        <w:rPr>
          <w:rFonts w:asciiTheme="minorHAnsi" w:hAnsiTheme="minorHAnsi"/>
        </w:rPr>
        <w:t>,</w:t>
      </w:r>
      <w:r w:rsidR="001C50CA" w:rsidRPr="00FD71FF">
        <w:rPr>
          <w:rFonts w:asciiTheme="minorHAnsi" w:hAnsiTheme="minorHAnsi"/>
        </w:rPr>
        <w:t xml:space="preserve"> with Timetable</w:t>
      </w:r>
    </w:p>
    <w:tbl>
      <w:tblPr>
        <w:tblW w:w="85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5"/>
        <w:gridCol w:w="3611"/>
        <w:gridCol w:w="1979"/>
        <w:gridCol w:w="1620"/>
      </w:tblGrid>
      <w:tr w:rsidR="00403B00" w:rsidRPr="00C50C57" w:rsidTr="00E46AD0">
        <w:trPr>
          <w:trHeight w:val="323"/>
          <w:tblHeader/>
        </w:trPr>
        <w:tc>
          <w:tcPr>
            <w:tcW w:w="8565" w:type="dxa"/>
            <w:gridSpan w:val="4"/>
            <w:shd w:val="clear" w:color="auto" w:fill="auto"/>
            <w:noWrap/>
            <w:hideMark/>
          </w:tcPr>
          <w:p w:rsidR="00403B00" w:rsidRPr="00FE6105" w:rsidRDefault="00403B00" w:rsidP="00180BBD">
            <w:pPr>
              <w:pStyle w:val="Default"/>
              <w:jc w:val="both"/>
              <w:rPr>
                <w:rFonts w:ascii="Calibri" w:eastAsia="Times New Roman" w:hAnsi="Calibri"/>
                <w:b/>
                <w:sz w:val="18"/>
                <w:szCs w:val="18"/>
              </w:rPr>
            </w:pPr>
            <w:r w:rsidRPr="00403B00">
              <w:rPr>
                <w:rFonts w:asciiTheme="minorHAnsi" w:hAnsiTheme="minorHAnsi"/>
                <w:sz w:val="22"/>
                <w:szCs w:val="22"/>
              </w:rPr>
              <w:t>Table A.3.a:  Measures to be Computed for the Recruitment Substudy, Phase 1, with</w:t>
            </w:r>
            <w:r w:rsidRPr="00403B00">
              <w:rPr>
                <w:rFonts w:asciiTheme="minorHAnsi" w:hAnsiTheme="minorHAnsi"/>
                <w:sz w:val="22"/>
                <w:szCs w:val="22"/>
                <w:highlight w:val="yellow"/>
              </w:rPr>
              <w:t xml:space="preserve"> </w:t>
            </w:r>
            <w:r w:rsidRPr="00403B00">
              <w:rPr>
                <w:rFonts w:asciiTheme="minorHAnsi" w:hAnsiTheme="minorHAnsi"/>
                <w:sz w:val="22"/>
                <w:szCs w:val="22"/>
              </w:rPr>
              <w:t>Timetable</w:t>
            </w:r>
          </w:p>
        </w:tc>
      </w:tr>
      <w:tr w:rsidR="00C822A1" w:rsidRPr="00C50C57" w:rsidTr="007E6017">
        <w:trPr>
          <w:trHeight w:val="323"/>
        </w:trPr>
        <w:tc>
          <w:tcPr>
            <w:tcW w:w="8565" w:type="dxa"/>
            <w:gridSpan w:val="4"/>
            <w:shd w:val="clear" w:color="auto" w:fill="BFBFBF" w:themeFill="background1" w:themeFillShade="BF"/>
            <w:noWrap/>
            <w:hideMark/>
          </w:tcPr>
          <w:p w:rsidR="00C822A1" w:rsidRDefault="00C822A1" w:rsidP="00180BBD">
            <w:pPr>
              <w:spacing w:after="0" w:line="240" w:lineRule="auto"/>
              <w:rPr>
                <w:rFonts w:ascii="Calibri" w:eastAsia="Times New Roman" w:hAnsi="Calibri" w:cs="Times New Roman"/>
                <w:color w:val="000000"/>
                <w:sz w:val="18"/>
                <w:szCs w:val="18"/>
              </w:rPr>
            </w:pPr>
            <w:r w:rsidRPr="00FE6105">
              <w:rPr>
                <w:rFonts w:ascii="Calibri" w:eastAsia="Times New Roman" w:hAnsi="Calibri" w:cs="Times New Roman"/>
                <w:b/>
                <w:color w:val="000000"/>
                <w:sz w:val="18"/>
                <w:szCs w:val="18"/>
              </w:rPr>
              <w:t>RECRUITMENT STRATEGIES</w:t>
            </w:r>
          </w:p>
        </w:tc>
      </w:tr>
      <w:tr w:rsidR="00C50C57" w:rsidRPr="00C50C57" w:rsidTr="00C50C57">
        <w:trPr>
          <w:trHeight w:val="503"/>
        </w:trPr>
        <w:tc>
          <w:tcPr>
            <w:tcW w:w="4966" w:type="dxa"/>
            <w:gridSpan w:val="2"/>
            <w:shd w:val="clear" w:color="auto" w:fill="auto"/>
            <w:noWrap/>
            <w:hideMark/>
          </w:tcPr>
          <w:p w:rsidR="00C50C57" w:rsidRPr="00C50C57" w:rsidRDefault="00C50C57" w:rsidP="00180BBD">
            <w:pPr>
              <w:spacing w:after="0" w:line="240" w:lineRule="auto"/>
              <w:jc w:val="center"/>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Key Evaluation Question</w:t>
            </w:r>
          </w:p>
        </w:tc>
        <w:tc>
          <w:tcPr>
            <w:tcW w:w="1979"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Data Source/</w:t>
            </w:r>
            <w:r>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Questionnaire</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Frequency </w:t>
            </w:r>
            <w:r w:rsidR="004B35DF">
              <w:rPr>
                <w:rFonts w:ascii="Calibri" w:eastAsia="Times New Roman" w:hAnsi="Calibri" w:cs="Times New Roman"/>
                <w:color w:val="000000"/>
                <w:sz w:val="18"/>
                <w:szCs w:val="18"/>
              </w:rPr>
              <w:t>of data reporting</w:t>
            </w:r>
          </w:p>
        </w:tc>
      </w:tr>
      <w:tr w:rsidR="00C822A1" w:rsidRPr="00C50C57" w:rsidTr="00C822A1">
        <w:trPr>
          <w:trHeight w:val="300"/>
        </w:trPr>
        <w:tc>
          <w:tcPr>
            <w:tcW w:w="8565" w:type="dxa"/>
            <w:gridSpan w:val="4"/>
            <w:shd w:val="clear" w:color="auto" w:fill="auto"/>
            <w:noWrap/>
            <w:hideMark/>
          </w:tcPr>
          <w:p w:rsidR="00C822A1" w:rsidRPr="00C50C57" w:rsidRDefault="00C822A1" w:rsidP="00180BBD">
            <w:pPr>
              <w:spacing w:after="0" w:line="240" w:lineRule="auto"/>
              <w:rPr>
                <w:rFonts w:ascii="Calibri" w:eastAsia="Times New Roman" w:hAnsi="Calibri" w:cs="Times New Roman"/>
                <w:color w:val="000000"/>
                <w:sz w:val="18"/>
                <w:szCs w:val="18"/>
              </w:rPr>
            </w:pPr>
            <w:r w:rsidRPr="00FE6105">
              <w:rPr>
                <w:rFonts w:ascii="Calibri" w:eastAsia="Times New Roman" w:hAnsi="Calibri" w:cs="Times New Roman"/>
                <w:bCs/>
                <w:color w:val="000000"/>
                <w:sz w:val="18"/>
                <w:szCs w:val="18"/>
              </w:rPr>
              <w:t>FEASIBILITY</w:t>
            </w:r>
          </w:p>
        </w:tc>
      </w:tr>
      <w:tr w:rsidR="00C822A1" w:rsidRPr="00C50C57" w:rsidTr="00C822A1">
        <w:trPr>
          <w:trHeight w:val="312"/>
        </w:trPr>
        <w:tc>
          <w:tcPr>
            <w:tcW w:w="1355" w:type="dxa"/>
            <w:shd w:val="clear" w:color="auto" w:fill="auto"/>
            <w:noWrap/>
            <w:hideMark/>
          </w:tcPr>
          <w:p w:rsidR="00C822A1" w:rsidRPr="00C50C57" w:rsidRDefault="00C822A1"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w:t>
            </w:r>
          </w:p>
        </w:tc>
        <w:tc>
          <w:tcPr>
            <w:tcW w:w="7210" w:type="dxa"/>
            <w:gridSpan w:val="3"/>
            <w:shd w:val="clear" w:color="auto" w:fill="auto"/>
            <w:hideMark/>
          </w:tcPr>
          <w:p w:rsidR="00C822A1" w:rsidRPr="00C50C57" w:rsidRDefault="00C822A1"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effective is the recruitment strategy per location and per schema?</w:t>
            </w:r>
          </w:p>
        </w:tc>
      </w:tr>
      <w:tr w:rsidR="00C50C57" w:rsidRPr="00C50C57" w:rsidTr="00C50C57">
        <w:trPr>
          <w:trHeight w:val="540"/>
        </w:trPr>
        <w:tc>
          <w:tcPr>
            <w:tcW w:w="1355" w:type="dxa"/>
            <w:vMerge w:val="restart"/>
            <w:shd w:val="clear" w:color="auto" w:fill="auto"/>
            <w:noWrap/>
            <w:hideMark/>
          </w:tcPr>
          <w:p w:rsidR="00C50C57" w:rsidRPr="00C50C57" w:rsidRDefault="00C50C57" w:rsidP="00180BBD">
            <w:pPr>
              <w:spacing w:after="0" w:line="240" w:lineRule="auto"/>
              <w:jc w:val="center"/>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w:t>
            </w:r>
            <w:r w:rsidRPr="00C50C57">
              <w:rPr>
                <w:rFonts w:ascii="Times New Roman" w:eastAsia="Times New Roman" w:hAnsi="Times New Roman" w:cs="Times New Roman"/>
                <w:color w:val="000000"/>
                <w:sz w:val="18"/>
                <w:szCs w:val="18"/>
              </w:rPr>
              <w:t> </w:t>
            </w:r>
            <w:r w:rsidRPr="00C50C57">
              <w:rPr>
                <w:rFonts w:ascii="Calibri" w:eastAsia="Times New Roman" w:hAnsi="Calibri" w:cs="Times New Roman"/>
                <w:color w:val="000000"/>
                <w:sz w:val="18"/>
                <w:szCs w:val="18"/>
              </w:rPr>
              <w:t>Number of women to be contacted for screening per month</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N/A</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w:t>
            </w:r>
            <w:r w:rsidRPr="00C50C57">
              <w:rPr>
                <w:rFonts w:ascii="Times New Roman" w:eastAsia="Times New Roman" w:hAnsi="Times New Roman" w:cs="Times New Roman"/>
                <w:color w:val="000000"/>
                <w:sz w:val="18"/>
                <w:szCs w:val="18"/>
              </w:rPr>
              <w:t> </w:t>
            </w:r>
            <w:r w:rsidRPr="00C50C57">
              <w:rPr>
                <w:rFonts w:ascii="Calibri" w:eastAsia="Times New Roman" w:hAnsi="Calibri" w:cs="Times New Roman"/>
                <w:color w:val="000000"/>
                <w:sz w:val="18"/>
                <w:szCs w:val="18"/>
              </w:rPr>
              <w:t>Number eligible women contacted by study per month</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N/A</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N/A</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Number eligible women consented per month</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63"/>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 d. Distribution of women enrolled while preconception, during pregnancy, or at birth</w:t>
            </w:r>
          </w:p>
        </w:tc>
        <w:tc>
          <w:tcPr>
            <w:tcW w:w="1979"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Birth Visit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4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e. Distribution of gestational ages at consent and first study visit</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63"/>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 Monthly enrollment rate of babies among all eligible women with due date in that month</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Birth Visit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89"/>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g.     Birth visits (full &amp; partial complete) among women receiving at least one pre-birth study visit</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restart"/>
            <w:shd w:val="clear" w:color="auto" w:fill="auto"/>
            <w:noWrap/>
            <w:hideMark/>
          </w:tcPr>
          <w:p w:rsidR="0042501C"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2</w:t>
            </w:r>
          </w:p>
        </w:tc>
        <w:tc>
          <w:tcPr>
            <w:tcW w:w="5590" w:type="dxa"/>
            <w:gridSpan w:val="2"/>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Is the population recruited representative of the target population?</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Race</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  Ethnicity</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Age</w:t>
            </w:r>
            <w:r>
              <w:rPr>
                <w:rFonts w:ascii="Calibri" w:eastAsia="Times New Roman" w:hAnsi="Calibri" w:cs="Times New Roman"/>
                <w:color w:val="000000"/>
                <w:sz w:val="18"/>
                <w:szCs w:val="18"/>
              </w:rPr>
              <w:t xml:space="preserve"> (DOB)</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822A1"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  </w:t>
            </w:r>
            <w:r w:rsidR="00CD105C" w:rsidRPr="00C50C57">
              <w:rPr>
                <w:rFonts w:ascii="Calibri" w:eastAsia="Times New Roman" w:hAnsi="Calibri" w:cs="Times New Roman"/>
                <w:color w:val="000000"/>
                <w:sz w:val="18"/>
                <w:szCs w:val="18"/>
              </w:rPr>
              <w:t>Marital Status</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e.  Primary language</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    Employment</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g.   Education</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822A1" w:rsidRPr="00C50C57" w:rsidTr="00C822A1">
        <w:trPr>
          <w:trHeight w:val="300"/>
        </w:trPr>
        <w:tc>
          <w:tcPr>
            <w:tcW w:w="1355" w:type="dxa"/>
            <w:shd w:val="clear" w:color="auto" w:fill="auto"/>
            <w:noWrap/>
            <w:hideMark/>
          </w:tcPr>
          <w:p w:rsidR="00C822A1" w:rsidRPr="00C50C57" w:rsidRDefault="00C822A1"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3</w:t>
            </w:r>
          </w:p>
        </w:tc>
        <w:tc>
          <w:tcPr>
            <w:tcW w:w="7210" w:type="dxa"/>
            <w:gridSpan w:val="3"/>
            <w:shd w:val="clear" w:color="auto" w:fill="auto"/>
            <w:hideMark/>
          </w:tcPr>
          <w:p w:rsidR="00C822A1" w:rsidRPr="00C50C57" w:rsidRDefault="00C822A1"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effectively do outreach and media campaigns reach eligible women?</w:t>
            </w:r>
          </w:p>
        </w:tc>
      </w:tr>
      <w:tr w:rsidR="00C50C57" w:rsidRPr="00C50C57" w:rsidTr="00C50C57">
        <w:trPr>
          <w:trHeight w:val="300"/>
        </w:trPr>
        <w:tc>
          <w:tcPr>
            <w:tcW w:w="1355" w:type="dxa"/>
            <w:vMerge w:val="restart"/>
            <w:shd w:val="clear" w:color="auto" w:fill="auto"/>
            <w:noWrap/>
            <w:hideMark/>
          </w:tcPr>
          <w:p w:rsidR="00C50C57" w:rsidRPr="00C50C57" w:rsidRDefault="00C50C57" w:rsidP="00180BBD">
            <w:pPr>
              <w:spacing w:after="0" w:line="240" w:lineRule="auto"/>
              <w:jc w:val="center"/>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What was primary source for entry?</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48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proofErr w:type="gramStart"/>
            <w:r w:rsidRPr="00C50C57">
              <w:rPr>
                <w:rFonts w:ascii="Calibri" w:eastAsia="Times New Roman" w:hAnsi="Calibri" w:cs="Times New Roman"/>
                <w:color w:val="000000"/>
                <w:sz w:val="18"/>
                <w:szCs w:val="18"/>
              </w:rPr>
              <w:t>b.  What</w:t>
            </w:r>
            <w:proofErr w:type="gramEnd"/>
            <w:r w:rsidRPr="00C50C57">
              <w:rPr>
                <w:rFonts w:ascii="Calibri" w:eastAsia="Times New Roman" w:hAnsi="Calibri" w:cs="Times New Roman"/>
                <w:color w:val="000000"/>
                <w:sz w:val="18"/>
                <w:szCs w:val="18"/>
              </w:rPr>
              <w:t xml:space="preserve"> were the number of and types of ways women heard about NCS?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48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Principal media sources including print, broadcast, internet, social media</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To be addressed through formative research</w:t>
            </w:r>
            <w:r w:rsidR="00CD105C">
              <w:rPr>
                <w:rFonts w:ascii="Calibri" w:eastAsia="Times New Roman" w:hAnsi="Calibri" w:cs="Times New Roman"/>
                <w:color w:val="000000"/>
                <w:sz w:val="18"/>
                <w:szCs w:val="18"/>
              </w:rPr>
              <w: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822A1" w:rsidRPr="00C50C57" w:rsidTr="00C822A1">
        <w:trPr>
          <w:trHeight w:val="305"/>
        </w:trPr>
        <w:tc>
          <w:tcPr>
            <w:tcW w:w="1355" w:type="dxa"/>
            <w:shd w:val="clear" w:color="auto" w:fill="auto"/>
            <w:noWrap/>
            <w:vAlign w:val="bottom"/>
            <w:hideMark/>
          </w:tcPr>
          <w:p w:rsidR="00C822A1" w:rsidRPr="00FE6105" w:rsidRDefault="00C822A1" w:rsidP="00180BBD">
            <w:pPr>
              <w:spacing w:after="0" w:line="240" w:lineRule="auto"/>
              <w:rPr>
                <w:rFonts w:ascii="Calibri" w:eastAsia="Times New Roman" w:hAnsi="Calibri" w:cs="Times New Roman"/>
                <w:bCs/>
                <w:color w:val="000000"/>
                <w:sz w:val="18"/>
                <w:szCs w:val="18"/>
              </w:rPr>
            </w:pPr>
            <w:r w:rsidRPr="00FE6105">
              <w:rPr>
                <w:rFonts w:ascii="Calibri" w:eastAsia="Times New Roman" w:hAnsi="Calibri" w:cs="Times New Roman"/>
                <w:bCs/>
                <w:color w:val="000000"/>
                <w:sz w:val="18"/>
                <w:szCs w:val="18"/>
              </w:rPr>
              <w:t>ACCEPTABILITY</w:t>
            </w:r>
          </w:p>
        </w:tc>
        <w:tc>
          <w:tcPr>
            <w:tcW w:w="7210" w:type="dxa"/>
            <w:gridSpan w:val="3"/>
            <w:shd w:val="clear" w:color="auto" w:fill="auto"/>
            <w:hideMark/>
          </w:tcPr>
          <w:p w:rsidR="00C822A1" w:rsidRPr="00C50C57" w:rsidRDefault="00C822A1" w:rsidP="00180BBD">
            <w:pPr>
              <w:spacing w:after="0" w:line="240" w:lineRule="auto"/>
              <w:rPr>
                <w:rFonts w:ascii="Calibri" w:eastAsia="Times New Roman" w:hAnsi="Calibri" w:cs="Times New Roman"/>
                <w:b/>
                <w:bCs/>
                <w:color w:val="000000"/>
                <w:sz w:val="18"/>
                <w:szCs w:val="18"/>
              </w:rPr>
            </w:pPr>
            <w:r w:rsidRPr="00C50C57">
              <w:rPr>
                <w:rFonts w:ascii="Calibri" w:eastAsia="Times New Roman" w:hAnsi="Calibri" w:cs="Times New Roman"/>
                <w:b/>
                <w:bCs/>
                <w:color w:val="000000"/>
                <w:sz w:val="18"/>
                <w:szCs w:val="18"/>
              </w:rPr>
              <w:t>  </w:t>
            </w:r>
          </w:p>
        </w:tc>
      </w:tr>
      <w:tr w:rsidR="007E6017" w:rsidRPr="00C50C57" w:rsidTr="007E6017">
        <w:trPr>
          <w:trHeight w:val="300"/>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4</w:t>
            </w:r>
          </w:p>
        </w:tc>
        <w:tc>
          <w:tcPr>
            <w:tcW w:w="7210" w:type="dxa"/>
            <w:gridSpan w:val="3"/>
            <w:shd w:val="clear" w:color="auto" w:fill="auto"/>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does retention vary by recruitment strategy?</w:t>
            </w:r>
          </w:p>
        </w:tc>
      </w:tr>
      <w:tr w:rsidR="00C50C57" w:rsidRPr="00C50C57" w:rsidTr="00C50C57">
        <w:trPr>
          <w:trHeight w:val="289"/>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a.   Number retained to first </w:t>
            </w:r>
            <w:r w:rsidR="00CD105C">
              <w:rPr>
                <w:rFonts w:ascii="Calibri" w:eastAsia="Times New Roman" w:hAnsi="Calibri" w:cs="Times New Roman"/>
                <w:color w:val="000000"/>
                <w:sz w:val="18"/>
                <w:szCs w:val="18"/>
              </w:rPr>
              <w:t>visit</w:t>
            </w:r>
            <w:r w:rsidR="00CD105C" w:rsidRPr="00C50C57">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vs. total consented</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Follow-up calls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89"/>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 b.  Retention across all study visits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Follow-up calls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Percent "movers"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Follow-up calls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7E6017" w:rsidRPr="00C50C57" w:rsidTr="007E6017">
        <w:trPr>
          <w:trHeight w:val="289"/>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5</w:t>
            </w:r>
          </w:p>
        </w:tc>
        <w:tc>
          <w:tcPr>
            <w:tcW w:w="7210" w:type="dxa"/>
            <w:gridSpan w:val="3"/>
            <w:shd w:val="clear" w:color="auto" w:fill="auto"/>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Are the reasons for </w:t>
            </w:r>
            <w:r>
              <w:rPr>
                <w:rFonts w:ascii="Calibri" w:eastAsia="Times New Roman" w:hAnsi="Calibri" w:cs="Times New Roman"/>
                <w:color w:val="000000"/>
                <w:sz w:val="18"/>
                <w:szCs w:val="18"/>
              </w:rPr>
              <w:t>participation</w:t>
            </w:r>
            <w:r w:rsidRPr="00C50C57">
              <w:rPr>
                <w:rFonts w:ascii="Calibri" w:eastAsia="Times New Roman" w:hAnsi="Calibri" w:cs="Times New Roman"/>
                <w:color w:val="000000"/>
                <w:sz w:val="18"/>
                <w:szCs w:val="18"/>
              </w:rPr>
              <w:t xml:space="preserve"> and nonparticipation comparable across the three recruitment strategies?</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a.  </w:t>
            </w:r>
            <w:r w:rsidR="00FB6476">
              <w:rPr>
                <w:rFonts w:ascii="Calibri" w:eastAsia="Times New Roman" w:hAnsi="Calibri" w:cs="Times New Roman"/>
                <w:color w:val="000000"/>
                <w:sz w:val="18"/>
                <w:szCs w:val="18"/>
              </w:rPr>
              <w:t>Evaluate</w:t>
            </w:r>
            <w:r w:rsidR="00FB6476" w:rsidRPr="00C50C57">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reasons given for nonparticipation</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To be addressed through formative research</w:t>
            </w:r>
            <w:r w:rsidR="00CD105C">
              <w:rPr>
                <w:rFonts w:ascii="Calibri" w:eastAsia="Times New Roman" w:hAnsi="Calibri" w:cs="Times New Roman"/>
                <w:color w:val="000000"/>
                <w:sz w:val="18"/>
                <w:szCs w:val="18"/>
              </w:rPr>
              <w: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b.  </w:t>
            </w:r>
            <w:r w:rsidR="00FB6476">
              <w:rPr>
                <w:rFonts w:ascii="Calibri" w:eastAsia="Times New Roman" w:hAnsi="Calibri" w:cs="Times New Roman"/>
                <w:color w:val="000000"/>
                <w:sz w:val="18"/>
                <w:szCs w:val="18"/>
              </w:rPr>
              <w:t>Evaluate</w:t>
            </w:r>
            <w:r w:rsidR="00FB6476" w:rsidRPr="00C50C57">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reasons given for participation in the study</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To be addressed through formative research</w:t>
            </w:r>
            <w:r w:rsidR="00CD105C">
              <w:rPr>
                <w:rFonts w:ascii="Calibri" w:eastAsia="Times New Roman" w:hAnsi="Calibri" w:cs="Times New Roman"/>
                <w:color w:val="000000"/>
                <w:sz w:val="18"/>
                <w:szCs w:val="18"/>
              </w:rPr>
              <w: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Respondent reactions to study assessments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4B35DF"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7E6017" w:rsidRPr="00C50C57" w:rsidTr="007E6017">
        <w:trPr>
          <w:trHeight w:val="300"/>
        </w:trPr>
        <w:tc>
          <w:tcPr>
            <w:tcW w:w="8565" w:type="dxa"/>
            <w:gridSpan w:val="4"/>
            <w:shd w:val="clear" w:color="auto" w:fill="auto"/>
            <w:noWrap/>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FE6105">
              <w:rPr>
                <w:rFonts w:ascii="Calibri" w:eastAsia="Times New Roman" w:hAnsi="Calibri" w:cs="Times New Roman"/>
                <w:bCs/>
                <w:color w:val="000000"/>
                <w:sz w:val="18"/>
                <w:szCs w:val="18"/>
              </w:rPr>
              <w:t>COST</w:t>
            </w:r>
            <w:r w:rsidRPr="00C50C57">
              <w:rPr>
                <w:rFonts w:ascii="Calibri" w:eastAsia="Times New Roman" w:hAnsi="Calibri" w:cs="Times New Roman"/>
                <w:color w:val="000000"/>
                <w:sz w:val="18"/>
                <w:szCs w:val="18"/>
              </w:rPr>
              <w:t> </w:t>
            </w:r>
          </w:p>
        </w:tc>
      </w:tr>
      <w:tr w:rsidR="007E6017" w:rsidRPr="00C50C57" w:rsidTr="007E6017">
        <w:trPr>
          <w:trHeight w:val="300"/>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6</w:t>
            </w:r>
          </w:p>
        </w:tc>
        <w:tc>
          <w:tcPr>
            <w:tcW w:w="7210" w:type="dxa"/>
            <w:gridSpan w:val="3"/>
            <w:shd w:val="clear" w:color="auto" w:fill="auto"/>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What is the cost per recruited participant?</w:t>
            </w:r>
          </w:p>
        </w:tc>
      </w:tr>
      <w:tr w:rsidR="00C50C57" w:rsidRPr="00C50C57" w:rsidTr="00C50C57">
        <w:trPr>
          <w:trHeight w:val="300"/>
        </w:trPr>
        <w:tc>
          <w:tcPr>
            <w:tcW w:w="1355" w:type="dxa"/>
            <w:vMerge/>
            <w:vAlign w:val="center"/>
            <w:hideMark/>
          </w:tcPr>
          <w:p w:rsidR="00DE1C68" w:rsidRDefault="00DE1C68"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Total number of consented participants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Bimonthly</w:t>
            </w:r>
          </w:p>
        </w:tc>
      </w:tr>
      <w:tr w:rsidR="00C50C57" w:rsidRPr="00C50C57" w:rsidTr="00C50C57">
        <w:trPr>
          <w:trHeight w:val="300"/>
        </w:trPr>
        <w:tc>
          <w:tcPr>
            <w:tcW w:w="1355" w:type="dxa"/>
            <w:vMerge/>
            <w:vAlign w:val="center"/>
            <w:hideMark/>
          </w:tcPr>
          <w:p w:rsidR="00DE1C68" w:rsidRDefault="00DE1C68"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  Total study cost</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Invoice</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DE1C68" w:rsidRDefault="00DE1C68"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Calculated cost per consented participant</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See Note</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p>
        </w:tc>
      </w:tr>
      <w:tr w:rsidR="007E6017" w:rsidRPr="00C50C57" w:rsidTr="007E6017">
        <w:trPr>
          <w:trHeight w:val="300"/>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7</w:t>
            </w:r>
          </w:p>
        </w:tc>
        <w:tc>
          <w:tcPr>
            <w:tcW w:w="7210" w:type="dxa"/>
            <w:gridSpan w:val="3"/>
            <w:shd w:val="clear" w:color="auto" w:fill="auto"/>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do local travel costs vary across recruitment schema? </w:t>
            </w:r>
          </w:p>
        </w:tc>
      </w:tr>
      <w:tr w:rsidR="00C50C57" w:rsidRPr="00C50C57" w:rsidTr="00C50C57">
        <w:trPr>
          <w:trHeight w:val="289"/>
        </w:trPr>
        <w:tc>
          <w:tcPr>
            <w:tcW w:w="1355" w:type="dxa"/>
            <w:vMerge/>
            <w:vAlign w:val="center"/>
            <w:hideMark/>
          </w:tcPr>
          <w:p w:rsidR="00DE1C68" w:rsidRDefault="00DE1C68"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For each PSU_ID, sum weekly STAFF_MILES from Weekly Staff Expense Table</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7E6017" w:rsidRPr="00C50C57" w:rsidTr="007E6017">
        <w:trPr>
          <w:trHeight w:val="287"/>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8</w:t>
            </w:r>
          </w:p>
        </w:tc>
        <w:tc>
          <w:tcPr>
            <w:tcW w:w="7210" w:type="dxa"/>
            <w:gridSpan w:val="3"/>
            <w:shd w:val="clear" w:color="auto" w:fill="auto"/>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do total charged administrative and field staff hours vary across recruitment schema?</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Administrative hours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 Field staff hours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720"/>
        </w:trPr>
        <w:tc>
          <w:tcPr>
            <w:tcW w:w="1355"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lastRenderedPageBreak/>
              <w:t>9</w:t>
            </w:r>
          </w:p>
        </w:tc>
        <w:tc>
          <w:tcPr>
            <w:tcW w:w="3611" w:type="dxa"/>
            <w:shd w:val="clear" w:color="auto" w:fill="auto"/>
            <w:hideMark/>
          </w:tcPr>
          <w:p w:rsidR="00C50C57" w:rsidRPr="00103E6C" w:rsidRDefault="007E7206" w:rsidP="00180BBD">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How does total charged time for scientific staff vary across recruitment schema? (Cost of scientific staff as function of recruitment schema)</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Invoice</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720"/>
        </w:trPr>
        <w:tc>
          <w:tcPr>
            <w:tcW w:w="1355"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10</w:t>
            </w:r>
          </w:p>
        </w:tc>
        <w:tc>
          <w:tcPr>
            <w:tcW w:w="3611" w:type="dxa"/>
            <w:shd w:val="clear" w:color="auto" w:fill="auto"/>
            <w:hideMark/>
          </w:tcPr>
          <w:p w:rsidR="00C50C57" w:rsidRPr="00103E6C" w:rsidRDefault="007E7206" w:rsidP="00180BBD">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What were the dates, costs, and geographic targeting of outreach and media campaigns? (Need to capture the media outreach process for each schema type)</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7E6017" w:rsidRPr="00C50C57" w:rsidTr="00C50C57">
        <w:trPr>
          <w:trHeight w:val="720"/>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11</w:t>
            </w:r>
          </w:p>
        </w:tc>
        <w:tc>
          <w:tcPr>
            <w:tcW w:w="3611" w:type="dxa"/>
            <w:shd w:val="clear" w:color="auto" w:fill="auto"/>
            <w:hideMark/>
          </w:tcPr>
          <w:p w:rsidR="007E6017" w:rsidRPr="00103E6C" w:rsidRDefault="007E6017" w:rsidP="00180BBD">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What is the cost per delivered message in media campaigns (exact or appropriate)?  (Need to capture the media outreach process for each schema type)</w:t>
            </w:r>
          </w:p>
        </w:tc>
        <w:tc>
          <w:tcPr>
            <w:tcW w:w="1979"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vMerge w:val="restart"/>
          </w:tcPr>
          <w:p w:rsidR="007E6017" w:rsidRDefault="007E601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7E6017" w:rsidRPr="00C50C57" w:rsidTr="00C50C57">
        <w:trPr>
          <w:trHeight w:val="480"/>
        </w:trPr>
        <w:tc>
          <w:tcPr>
            <w:tcW w:w="1355" w:type="dxa"/>
            <w:vMerge/>
            <w:vAlign w:val="center"/>
            <w:hideMark/>
          </w:tcPr>
          <w:p w:rsidR="007E6017" w:rsidRPr="00C50C57" w:rsidRDefault="007E601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7E6017" w:rsidRPr="00103E6C" w:rsidRDefault="007E6017" w:rsidP="00180BBD">
            <w:pPr>
              <w:spacing w:after="0" w:line="240" w:lineRule="auto"/>
              <w:rPr>
                <w:rFonts w:ascii="Calibri" w:eastAsia="Times New Roman" w:hAnsi="Calibri" w:cs="Times New Roman"/>
                <w:sz w:val="18"/>
                <w:szCs w:val="18"/>
              </w:rPr>
            </w:pPr>
            <w:proofErr w:type="gramStart"/>
            <w:r w:rsidRPr="007E7206">
              <w:rPr>
                <w:rFonts w:ascii="Calibri" w:eastAsia="Times New Roman" w:hAnsi="Calibri" w:cs="Times New Roman"/>
                <w:sz w:val="18"/>
                <w:szCs w:val="18"/>
              </w:rPr>
              <w:t>a.  What</w:t>
            </w:r>
            <w:proofErr w:type="gramEnd"/>
            <w:r w:rsidRPr="007E7206">
              <w:rPr>
                <w:rFonts w:ascii="Calibri" w:eastAsia="Times New Roman" w:hAnsi="Calibri" w:cs="Times New Roman"/>
                <w:sz w:val="18"/>
                <w:szCs w:val="18"/>
              </w:rPr>
              <w:t xml:space="preserve"> is the size of the targeted population of the media campaign?</w:t>
            </w:r>
          </w:p>
        </w:tc>
        <w:tc>
          <w:tcPr>
            <w:tcW w:w="1979" w:type="dxa"/>
            <w:vMerge/>
            <w:vAlign w:val="center"/>
            <w:hideMark/>
          </w:tcPr>
          <w:p w:rsidR="007E6017" w:rsidRPr="00C50C57" w:rsidRDefault="007E6017" w:rsidP="00180BBD">
            <w:pPr>
              <w:spacing w:after="0" w:line="240" w:lineRule="auto"/>
              <w:rPr>
                <w:rFonts w:ascii="Calibri" w:eastAsia="Times New Roman" w:hAnsi="Calibri" w:cs="Times New Roman"/>
                <w:color w:val="000000"/>
                <w:sz w:val="18"/>
                <w:szCs w:val="18"/>
              </w:rPr>
            </w:pPr>
          </w:p>
        </w:tc>
        <w:tc>
          <w:tcPr>
            <w:tcW w:w="1620" w:type="dxa"/>
            <w:vMerge/>
          </w:tcPr>
          <w:p w:rsidR="007E6017" w:rsidRPr="00C50C57" w:rsidRDefault="007E6017" w:rsidP="00180BBD">
            <w:pPr>
              <w:spacing w:after="0" w:line="240" w:lineRule="auto"/>
              <w:rPr>
                <w:rFonts w:ascii="Calibri" w:eastAsia="Times New Roman" w:hAnsi="Calibri" w:cs="Times New Roman"/>
                <w:color w:val="000000"/>
                <w:sz w:val="18"/>
                <w:szCs w:val="18"/>
              </w:rPr>
            </w:pPr>
          </w:p>
        </w:tc>
      </w:tr>
      <w:tr w:rsidR="007E6017" w:rsidRPr="00C50C57" w:rsidTr="00C50C57">
        <w:trPr>
          <w:trHeight w:val="300"/>
        </w:trPr>
        <w:tc>
          <w:tcPr>
            <w:tcW w:w="1355" w:type="dxa"/>
            <w:vMerge/>
            <w:vAlign w:val="center"/>
            <w:hideMark/>
          </w:tcPr>
          <w:p w:rsidR="007E6017" w:rsidRPr="00C50C57" w:rsidRDefault="007E601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7E6017" w:rsidRPr="00103E6C" w:rsidRDefault="007E6017" w:rsidP="00180BBD">
            <w:pPr>
              <w:spacing w:after="0" w:line="240" w:lineRule="auto"/>
              <w:rPr>
                <w:rFonts w:ascii="Calibri" w:eastAsia="Times New Roman" w:hAnsi="Calibri" w:cs="Times New Roman"/>
                <w:sz w:val="18"/>
                <w:szCs w:val="18"/>
              </w:rPr>
            </w:pPr>
            <w:proofErr w:type="gramStart"/>
            <w:r w:rsidRPr="007E7206">
              <w:rPr>
                <w:rFonts w:ascii="Calibri" w:eastAsia="Times New Roman" w:hAnsi="Calibri" w:cs="Times New Roman"/>
                <w:sz w:val="18"/>
                <w:szCs w:val="18"/>
              </w:rPr>
              <w:t>b.  What</w:t>
            </w:r>
            <w:proofErr w:type="gramEnd"/>
            <w:r w:rsidRPr="007E7206">
              <w:rPr>
                <w:rFonts w:ascii="Calibri" w:eastAsia="Times New Roman" w:hAnsi="Calibri" w:cs="Times New Roman"/>
                <w:sz w:val="18"/>
                <w:szCs w:val="18"/>
              </w:rPr>
              <w:t xml:space="preserve"> is the yield of responses from media campaign?</w:t>
            </w:r>
          </w:p>
        </w:tc>
        <w:tc>
          <w:tcPr>
            <w:tcW w:w="1979" w:type="dxa"/>
            <w:vMerge/>
            <w:vAlign w:val="center"/>
            <w:hideMark/>
          </w:tcPr>
          <w:p w:rsidR="007E6017" w:rsidRPr="00C50C57" w:rsidRDefault="007E6017" w:rsidP="00180BBD">
            <w:pPr>
              <w:spacing w:after="0" w:line="240" w:lineRule="auto"/>
              <w:rPr>
                <w:rFonts w:ascii="Calibri" w:eastAsia="Times New Roman" w:hAnsi="Calibri" w:cs="Times New Roman"/>
                <w:color w:val="000000"/>
                <w:sz w:val="18"/>
                <w:szCs w:val="18"/>
              </w:rPr>
            </w:pPr>
          </w:p>
        </w:tc>
        <w:tc>
          <w:tcPr>
            <w:tcW w:w="1620" w:type="dxa"/>
            <w:vMerge/>
          </w:tcPr>
          <w:p w:rsidR="007E6017" w:rsidRPr="00C50C57" w:rsidRDefault="007E6017" w:rsidP="00180BBD">
            <w:pPr>
              <w:spacing w:after="0" w:line="240" w:lineRule="auto"/>
              <w:rPr>
                <w:rFonts w:ascii="Calibri" w:eastAsia="Times New Roman" w:hAnsi="Calibri" w:cs="Times New Roman"/>
                <w:color w:val="000000"/>
                <w:sz w:val="18"/>
                <w:szCs w:val="18"/>
              </w:rPr>
            </w:pPr>
          </w:p>
        </w:tc>
      </w:tr>
      <w:tr w:rsidR="00C50C57" w:rsidRPr="00C50C57" w:rsidTr="00C50C57">
        <w:trPr>
          <w:trHeight w:val="720"/>
        </w:trPr>
        <w:tc>
          <w:tcPr>
            <w:tcW w:w="1355"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12</w:t>
            </w:r>
          </w:p>
        </w:tc>
        <w:tc>
          <w:tcPr>
            <w:tcW w:w="3611" w:type="dxa"/>
            <w:shd w:val="clear" w:color="auto" w:fill="auto"/>
            <w:hideMark/>
          </w:tcPr>
          <w:p w:rsidR="00C50C57" w:rsidRPr="00103E6C" w:rsidRDefault="007E7206" w:rsidP="00180BBD">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What is the cost in time for community outreach efforts (both contractor and volunteer labor and incentives)? (Cost of contractors and volunteers used in community outreach efforts)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480"/>
        </w:trPr>
        <w:tc>
          <w:tcPr>
            <w:tcW w:w="1355"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13</w:t>
            </w: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What is the cost for instrument development and IMS infrastructure? </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0B75D9" w:rsidRPr="00C50C57" w:rsidTr="0042501C">
        <w:trPr>
          <w:trHeight w:val="300"/>
        </w:trPr>
        <w:tc>
          <w:tcPr>
            <w:tcW w:w="8565" w:type="dxa"/>
            <w:gridSpan w:val="4"/>
            <w:shd w:val="clear" w:color="auto" w:fill="auto"/>
            <w:noWrap/>
            <w:hideMark/>
          </w:tcPr>
          <w:p w:rsidR="0042501C" w:rsidRDefault="006C473E" w:rsidP="00180BBD">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r w:rsidR="000B75D9" w:rsidRPr="00C50C57">
              <w:rPr>
                <w:rFonts w:ascii="Calibri" w:eastAsia="Times New Roman" w:hAnsi="Calibri" w:cs="Times New Roman"/>
                <w:color w:val="000000"/>
                <w:sz w:val="18"/>
                <w:szCs w:val="18"/>
              </w:rPr>
              <w:t>Note:  All analysis will be done by PSU and by recruitment schema</w:t>
            </w:r>
            <w:r>
              <w:rPr>
                <w:rFonts w:ascii="Calibri" w:eastAsia="Times New Roman" w:hAnsi="Calibri" w:cs="Times New Roman"/>
                <w:color w:val="000000"/>
                <w:sz w:val="18"/>
                <w:szCs w:val="18"/>
              </w:rPr>
              <w:t xml:space="preserve">, using reports submitted by the study centers.  </w:t>
            </w:r>
          </w:p>
        </w:tc>
      </w:tr>
    </w:tbl>
    <w:p w:rsidR="001C50CA" w:rsidRDefault="001C50CA" w:rsidP="00180BBD">
      <w:pPr>
        <w:pStyle w:val="Default"/>
        <w:jc w:val="both"/>
        <w:rPr>
          <w:rFonts w:asciiTheme="minorHAnsi" w:hAnsiTheme="minorHAnsi"/>
        </w:rPr>
      </w:pPr>
    </w:p>
    <w:p w:rsidR="001F0BF4" w:rsidRPr="007A7DA1" w:rsidRDefault="001F0BF4" w:rsidP="00180BBD">
      <w:pPr>
        <w:pStyle w:val="Default"/>
        <w:jc w:val="both"/>
        <w:rPr>
          <w:rFonts w:asciiTheme="minorHAnsi" w:hAnsiTheme="minorHAnsi"/>
        </w:rPr>
      </w:pPr>
      <w:r w:rsidRPr="007A7DA1">
        <w:rPr>
          <w:rFonts w:asciiTheme="minorHAnsi" w:hAnsiTheme="minorHAnsi"/>
          <w:highlight w:val="yellow"/>
        </w:rPr>
        <w:t xml:space="preserve">Phase 2 of the Recruitment Substudy (anticipated </w:t>
      </w:r>
      <w:r w:rsidR="00C44C68" w:rsidRPr="007A7DA1">
        <w:rPr>
          <w:rFonts w:asciiTheme="minorHAnsi" w:hAnsiTheme="minorHAnsi"/>
          <w:highlight w:val="yellow"/>
        </w:rPr>
        <w:t>in</w:t>
      </w:r>
      <w:r w:rsidRPr="007A7DA1">
        <w:rPr>
          <w:rFonts w:asciiTheme="minorHAnsi" w:hAnsiTheme="minorHAnsi"/>
          <w:highlight w:val="yellow"/>
        </w:rPr>
        <w:t xml:space="preserve"> April 2011) will </w:t>
      </w:r>
      <w:r w:rsidR="00773D61" w:rsidRPr="007A7DA1">
        <w:rPr>
          <w:rFonts w:asciiTheme="minorHAnsi" w:hAnsiTheme="minorHAnsi"/>
          <w:highlight w:val="yellow"/>
        </w:rPr>
        <w:t xml:space="preserve">evaluate retention of participants from birth to age 24 months. Additionally, Phase 2 will </w:t>
      </w:r>
      <w:r w:rsidRPr="007A7DA1">
        <w:rPr>
          <w:rFonts w:asciiTheme="minorHAnsi" w:hAnsiTheme="minorHAnsi"/>
          <w:highlight w:val="yellow"/>
        </w:rPr>
        <w:t xml:space="preserve">evaluate item functioning of selected study visit measures which have been revised based on Initial Vanguard Study experience. </w:t>
      </w:r>
      <w:r w:rsidR="00773D61" w:rsidRPr="007A7DA1">
        <w:rPr>
          <w:rFonts w:asciiTheme="minorHAnsi" w:hAnsiTheme="minorHAnsi"/>
          <w:highlight w:val="yellow"/>
        </w:rPr>
        <w:t>See Table A.3.b.</w:t>
      </w:r>
      <w:r w:rsidRPr="007A7DA1">
        <w:rPr>
          <w:rFonts w:asciiTheme="minorHAnsi" w:hAnsiTheme="minorHAnsi"/>
        </w:rPr>
        <w:t xml:space="preserve"> </w:t>
      </w:r>
    </w:p>
    <w:p w:rsidR="001F0BF4" w:rsidRPr="007A7DA1" w:rsidRDefault="001F0BF4" w:rsidP="00180BBD">
      <w:pPr>
        <w:pStyle w:val="Default"/>
        <w:jc w:val="both"/>
        <w:rPr>
          <w:rFonts w:asciiTheme="minorHAnsi" w:hAnsiTheme="minorHAnsi"/>
        </w:rPr>
      </w:pPr>
    </w:p>
    <w:tbl>
      <w:tblPr>
        <w:tblW w:w="90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4"/>
        <w:gridCol w:w="16"/>
        <w:gridCol w:w="4160"/>
        <w:gridCol w:w="1979"/>
        <w:gridCol w:w="1527"/>
      </w:tblGrid>
      <w:tr w:rsidR="00AC49E0" w:rsidRPr="007A7DA1" w:rsidTr="00A14CFA">
        <w:trPr>
          <w:trHeight w:val="300"/>
          <w:tblHeader/>
        </w:trPr>
        <w:tc>
          <w:tcPr>
            <w:tcW w:w="9016" w:type="dxa"/>
            <w:gridSpan w:val="5"/>
            <w:shd w:val="clear" w:color="auto" w:fill="FFFFFF" w:themeFill="background1"/>
            <w:noWrap/>
            <w:hideMark/>
          </w:tcPr>
          <w:p w:rsidR="00AC49E0" w:rsidRPr="00AC49E0" w:rsidRDefault="00AC49E0" w:rsidP="00180BBD">
            <w:pPr>
              <w:pStyle w:val="Default"/>
              <w:jc w:val="both"/>
              <w:rPr>
                <w:rFonts w:ascii="Calibri" w:eastAsia="Times New Roman" w:hAnsi="Calibri"/>
                <w:b/>
                <w:bCs/>
                <w:sz w:val="22"/>
                <w:szCs w:val="22"/>
              </w:rPr>
            </w:pPr>
            <w:r w:rsidRPr="00AC49E0">
              <w:rPr>
                <w:rFonts w:asciiTheme="minorHAnsi" w:hAnsiTheme="minorHAnsi"/>
                <w:sz w:val="22"/>
                <w:szCs w:val="22"/>
                <w:highlight w:val="yellow"/>
              </w:rPr>
              <w:t>Table A.3.b:  Measures to be Computed for the Recruitment Substudy, Phase 2, with Timetable</w:t>
            </w:r>
          </w:p>
        </w:tc>
      </w:tr>
      <w:tr w:rsidR="00CE2834" w:rsidRPr="007A7DA1" w:rsidTr="00A14CFA">
        <w:trPr>
          <w:trHeight w:val="300"/>
          <w:tblHeader/>
        </w:trPr>
        <w:tc>
          <w:tcPr>
            <w:tcW w:w="1334" w:type="dxa"/>
            <w:shd w:val="clear" w:color="auto" w:fill="FFFFFF" w:themeFill="background1"/>
            <w:noWrap/>
            <w:hideMark/>
          </w:tcPr>
          <w:p w:rsidR="00CE2834" w:rsidRPr="007A7DA1" w:rsidRDefault="00CE2834" w:rsidP="00180BB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Measure</w:t>
            </w:r>
          </w:p>
        </w:tc>
        <w:tc>
          <w:tcPr>
            <w:tcW w:w="4176" w:type="dxa"/>
            <w:gridSpan w:val="2"/>
            <w:shd w:val="clear" w:color="auto" w:fill="FFFFFF" w:themeFill="background1"/>
          </w:tcPr>
          <w:p w:rsidR="00CE2834" w:rsidRPr="007A7DA1" w:rsidRDefault="00CE2834" w:rsidP="00180BB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Key Evaluation Question</w:t>
            </w:r>
          </w:p>
        </w:tc>
        <w:tc>
          <w:tcPr>
            <w:tcW w:w="1979" w:type="dxa"/>
            <w:shd w:val="clear" w:color="auto" w:fill="FFFFFF" w:themeFill="background1"/>
          </w:tcPr>
          <w:p w:rsidR="00CE2834" w:rsidRPr="007A7DA1" w:rsidRDefault="00CE2834" w:rsidP="00180BB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Data Source/ Questionnaire</w:t>
            </w:r>
          </w:p>
        </w:tc>
        <w:tc>
          <w:tcPr>
            <w:tcW w:w="1527" w:type="dxa"/>
            <w:shd w:val="clear" w:color="auto" w:fill="FFFFFF" w:themeFill="background1"/>
          </w:tcPr>
          <w:p w:rsidR="00CE2834" w:rsidRPr="007A7DA1" w:rsidRDefault="00CE2834" w:rsidP="00180BB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Frequency of Data Reporting</w:t>
            </w:r>
          </w:p>
        </w:tc>
      </w:tr>
      <w:tr w:rsidR="00FE6105" w:rsidRPr="007A7DA1" w:rsidTr="00A14CFA">
        <w:trPr>
          <w:trHeight w:val="300"/>
        </w:trPr>
        <w:tc>
          <w:tcPr>
            <w:tcW w:w="9016" w:type="dxa"/>
            <w:gridSpan w:val="5"/>
            <w:shd w:val="clear" w:color="auto" w:fill="D9D9D9" w:themeFill="background1" w:themeFillShade="D9"/>
            <w:noWrap/>
            <w:hideMark/>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
                <w:bCs/>
                <w:color w:val="000000"/>
                <w:sz w:val="20"/>
                <w:szCs w:val="20"/>
              </w:rPr>
              <w:t>RETENTION MEASURES</w:t>
            </w:r>
          </w:p>
        </w:tc>
      </w:tr>
      <w:tr w:rsidR="005A31E2" w:rsidRPr="007A7DA1" w:rsidTr="00A14CFA">
        <w:trPr>
          <w:trHeight w:val="300"/>
        </w:trPr>
        <w:tc>
          <w:tcPr>
            <w:tcW w:w="1334" w:type="dxa"/>
            <w:shd w:val="clear" w:color="auto" w:fill="auto"/>
            <w:noWrap/>
            <w:hideMark/>
          </w:tcPr>
          <w:p w:rsidR="005A31E2" w:rsidRPr="007A7DA1" w:rsidRDefault="005A31E2" w:rsidP="00180BBD">
            <w:pPr>
              <w:spacing w:after="0" w:line="240" w:lineRule="auto"/>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1</w:t>
            </w:r>
          </w:p>
        </w:tc>
        <w:tc>
          <w:tcPr>
            <w:tcW w:w="7682" w:type="dxa"/>
            <w:gridSpan w:val="4"/>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sz w:val="18"/>
                <w:szCs w:val="18"/>
              </w:rPr>
              <w:t>How effective is the data collection strategy per location and per schema?</w:t>
            </w:r>
          </w:p>
        </w:tc>
      </w:tr>
      <w:tr w:rsidR="00C45A39" w:rsidRPr="007A7DA1" w:rsidTr="00A14CFA">
        <w:trPr>
          <w:trHeight w:val="602"/>
        </w:trPr>
        <w:tc>
          <w:tcPr>
            <w:tcW w:w="1334" w:type="dxa"/>
            <w:shd w:val="clear" w:color="auto" w:fill="auto"/>
            <w:noWrap/>
            <w:hideMark/>
          </w:tcPr>
          <w:p w:rsidR="00FE6105" w:rsidRPr="007A7DA1" w:rsidRDefault="00FE6105"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FE6105" w:rsidRPr="007A7DA1" w:rsidRDefault="005B4D1F" w:rsidP="00180BBD">
            <w:pPr>
              <w:pStyle w:val="ListParagraph"/>
              <w:numPr>
                <w:ilvl w:val="1"/>
                <w:numId w:val="16"/>
              </w:numPr>
              <w:ind w:left="172" w:hanging="180"/>
              <w:rPr>
                <w:rFonts w:ascii="Calibri" w:eastAsia="Times New Roman" w:hAnsi="Calibri" w:cs="Times New Roman"/>
                <w:b/>
                <w:bCs/>
                <w:color w:val="000000"/>
                <w:sz w:val="18"/>
                <w:szCs w:val="18"/>
              </w:rPr>
            </w:pPr>
            <w:r w:rsidRPr="007A7DA1">
              <w:rPr>
                <w:sz w:val="18"/>
                <w:szCs w:val="18"/>
              </w:rPr>
              <w:t>Number of participants to be contacted for data collection per month</w:t>
            </w:r>
          </w:p>
        </w:tc>
        <w:tc>
          <w:tcPr>
            <w:tcW w:w="1979" w:type="dxa"/>
            <w:shd w:val="clear" w:color="auto" w:fill="auto"/>
            <w:noWrap/>
            <w:hideMark/>
          </w:tcPr>
          <w:p w:rsidR="00FE6105"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FE6105"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512"/>
        </w:trPr>
        <w:tc>
          <w:tcPr>
            <w:tcW w:w="1334" w:type="dxa"/>
            <w:shd w:val="clear" w:color="auto" w:fill="auto"/>
            <w:noWrap/>
            <w:hideMark/>
          </w:tcPr>
          <w:p w:rsidR="005B4D1F" w:rsidRPr="007A7DA1" w:rsidRDefault="005B4D1F"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5B4D1F" w:rsidRPr="007A7DA1" w:rsidRDefault="005B4D1F" w:rsidP="00180BBD">
            <w:pPr>
              <w:pStyle w:val="ListParagraph"/>
              <w:numPr>
                <w:ilvl w:val="1"/>
                <w:numId w:val="16"/>
              </w:numPr>
              <w:ind w:left="172" w:hanging="172"/>
              <w:rPr>
                <w:rFonts w:ascii="Calibri" w:eastAsia="Times New Roman" w:hAnsi="Calibri" w:cs="Times New Roman"/>
                <w:b/>
                <w:bCs/>
                <w:color w:val="000000"/>
                <w:sz w:val="18"/>
                <w:szCs w:val="18"/>
              </w:rPr>
            </w:pPr>
            <w:r w:rsidRPr="007A7DA1">
              <w:rPr>
                <w:sz w:val="18"/>
                <w:szCs w:val="18"/>
              </w:rPr>
              <w:t>Number participants contacted by study per month</w:t>
            </w:r>
          </w:p>
        </w:tc>
        <w:tc>
          <w:tcPr>
            <w:tcW w:w="1979" w:type="dxa"/>
            <w:shd w:val="clear" w:color="auto" w:fill="auto"/>
            <w:noWrap/>
            <w:hideMark/>
          </w:tcPr>
          <w:p w:rsidR="005B4D1F"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5B4D1F"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5B4D1F" w:rsidRPr="007A7DA1" w:rsidRDefault="005B4D1F"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5B4D1F" w:rsidRPr="007A7DA1" w:rsidRDefault="005B4D1F" w:rsidP="00180BBD">
            <w:pPr>
              <w:ind w:left="172" w:hanging="172"/>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c. </w:t>
            </w:r>
            <w:r w:rsidRPr="007A7DA1">
              <w:rPr>
                <w:sz w:val="18"/>
                <w:szCs w:val="18"/>
              </w:rPr>
              <w:t>Number participants with completed data collections per month</w:t>
            </w:r>
          </w:p>
        </w:tc>
        <w:tc>
          <w:tcPr>
            <w:tcW w:w="1979" w:type="dxa"/>
            <w:shd w:val="clear" w:color="auto" w:fill="auto"/>
            <w:noWrap/>
            <w:hideMark/>
          </w:tcPr>
          <w:p w:rsidR="005B4D1F"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5B4D1F"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34" w:type="dxa"/>
            <w:shd w:val="clear" w:color="auto" w:fill="auto"/>
            <w:noWrap/>
            <w:hideMark/>
          </w:tcPr>
          <w:p w:rsidR="005A31E2" w:rsidRPr="007A7DA1" w:rsidRDefault="005A31E2" w:rsidP="00180BBD">
            <w:pPr>
              <w:spacing w:after="0" w:line="240" w:lineRule="auto"/>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2</w:t>
            </w:r>
          </w:p>
        </w:tc>
        <w:tc>
          <w:tcPr>
            <w:tcW w:w="7682" w:type="dxa"/>
            <w:gridSpan w:val="4"/>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sz w:val="18"/>
                <w:szCs w:val="18"/>
              </w:rPr>
              <w:t>How effectively are participants retained per location and per schema?</w:t>
            </w:r>
            <w:r w:rsidRPr="007A7DA1">
              <w:rPr>
                <w:sz w:val="18"/>
                <w:szCs w:val="18"/>
              </w:rPr>
              <w:tab/>
            </w:r>
          </w:p>
        </w:tc>
      </w:tr>
      <w:tr w:rsidR="00D57AAD" w:rsidRPr="007A7DA1" w:rsidTr="00A14CFA">
        <w:trPr>
          <w:trHeight w:val="620"/>
        </w:trPr>
        <w:tc>
          <w:tcPr>
            <w:tcW w:w="1334" w:type="dxa"/>
            <w:shd w:val="clear" w:color="auto" w:fill="auto"/>
            <w:noWrap/>
            <w:hideMark/>
          </w:tcPr>
          <w:p w:rsidR="00AB3122" w:rsidRPr="007A7DA1" w:rsidRDefault="00AB3122"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AB3122" w:rsidRPr="007A7DA1" w:rsidRDefault="00CB34D9" w:rsidP="00180BBD">
            <w:pPr>
              <w:pStyle w:val="ListParagraph"/>
              <w:numPr>
                <w:ilvl w:val="0"/>
                <w:numId w:val="18"/>
              </w:numPr>
              <w:ind w:left="172" w:hanging="180"/>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 </w:t>
            </w:r>
            <w:r w:rsidRPr="007A7DA1">
              <w:rPr>
                <w:sz w:val="18"/>
                <w:szCs w:val="18"/>
              </w:rPr>
              <w:t>Per cent Pregnant women who agree to enroll their child(</w:t>
            </w:r>
            <w:proofErr w:type="spellStart"/>
            <w:r w:rsidRPr="007A7DA1">
              <w:rPr>
                <w:sz w:val="18"/>
                <w:szCs w:val="18"/>
              </w:rPr>
              <w:t>ren</w:t>
            </w:r>
            <w:proofErr w:type="spellEnd"/>
            <w:r w:rsidRPr="007A7DA1">
              <w:rPr>
                <w:sz w:val="18"/>
                <w:szCs w:val="18"/>
              </w:rPr>
              <w:t>)</w:t>
            </w:r>
          </w:p>
        </w:tc>
        <w:tc>
          <w:tcPr>
            <w:tcW w:w="1979" w:type="dxa"/>
            <w:shd w:val="clear" w:color="auto" w:fill="auto"/>
            <w:noWrap/>
            <w:hideMark/>
          </w:tcPr>
          <w:p w:rsidR="00AB3122"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Consent</w:t>
            </w:r>
          </w:p>
        </w:tc>
        <w:tc>
          <w:tcPr>
            <w:tcW w:w="1527" w:type="dxa"/>
          </w:tcPr>
          <w:p w:rsidR="00AB3122"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953"/>
        </w:trPr>
        <w:tc>
          <w:tcPr>
            <w:tcW w:w="1334" w:type="dxa"/>
            <w:shd w:val="clear" w:color="auto" w:fill="auto"/>
            <w:noWrap/>
            <w:hideMark/>
          </w:tcPr>
          <w:p w:rsidR="00AB3122" w:rsidRPr="007A7DA1" w:rsidRDefault="00AB3122"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AB3122" w:rsidRPr="007A7DA1" w:rsidRDefault="00CB34D9" w:rsidP="00180BBD">
            <w:pPr>
              <w:pStyle w:val="ListParagraph"/>
              <w:ind w:left="172" w:hanging="180"/>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b. </w:t>
            </w:r>
            <w:r w:rsidRPr="007A7DA1">
              <w:rPr>
                <w:sz w:val="18"/>
                <w:szCs w:val="18"/>
              </w:rPr>
              <w:t>Per cent enrolled children whose families help complete at least one post-birth data collection (for example 3, 6, 9, 12, 18, or 24 month visits)</w:t>
            </w:r>
          </w:p>
        </w:tc>
        <w:tc>
          <w:tcPr>
            <w:tcW w:w="1979" w:type="dxa"/>
            <w:shd w:val="clear" w:color="auto" w:fill="auto"/>
            <w:noWrap/>
            <w:hideMark/>
          </w:tcPr>
          <w:p w:rsidR="00AB3122"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AB3122"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CB34D9" w:rsidP="00180BBD">
            <w:pPr>
              <w:pStyle w:val="ListParagraph"/>
              <w:ind w:left="172" w:hanging="180"/>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c. </w:t>
            </w:r>
            <w:r w:rsidRPr="007A7DA1">
              <w:rPr>
                <w:sz w:val="18"/>
                <w:szCs w:val="18"/>
              </w:rPr>
              <w:t>Per cent enrolled children whose families help complete at least one post-birth and in-person data collection (for example 6, 12, 18, or 24 month visits)</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CB34D9" w:rsidP="00180BBD">
            <w:pPr>
              <w:pStyle w:val="ListParagraph"/>
              <w:ind w:left="172" w:hanging="180"/>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d. </w:t>
            </w:r>
            <w:r w:rsidRPr="007A7DA1">
              <w:rPr>
                <w:sz w:val="18"/>
                <w:szCs w:val="18"/>
              </w:rPr>
              <w:t>Per cent enrolled children whose families help complete at least on in-person visit in each of the first two years of life  (for example, the 6 or 12 month visit in year 1, and either the 18 or 24 month visit in year 2)</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CB34D9" w:rsidP="00180BBD">
            <w:pPr>
              <w:spacing w:after="0" w:line="240" w:lineRule="auto"/>
              <w:ind w:left="172" w:hanging="172"/>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e. </w:t>
            </w:r>
            <w:r w:rsidRPr="007A7DA1">
              <w:rPr>
                <w:sz w:val="18"/>
                <w:szCs w:val="18"/>
              </w:rPr>
              <w:t>Distribution of child ages at each study visit</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34" w:type="dxa"/>
            <w:shd w:val="clear" w:color="auto" w:fill="auto"/>
            <w:noWrap/>
            <w:hideMark/>
          </w:tcPr>
          <w:p w:rsidR="005A31E2" w:rsidRPr="007A7DA1" w:rsidRDefault="005A31E2" w:rsidP="00180BBD">
            <w:pPr>
              <w:spacing w:after="0" w:line="240" w:lineRule="auto"/>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3</w:t>
            </w:r>
          </w:p>
        </w:tc>
        <w:tc>
          <w:tcPr>
            <w:tcW w:w="7682" w:type="dxa"/>
            <w:gridSpan w:val="4"/>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sz w:val="18"/>
                <w:szCs w:val="18"/>
              </w:rPr>
              <w:t>Is the subset of participants retained representative of the target population? Are there particular demographic groups that are retained at lower rates? Are there particular modes of data collection that have better completion rates among poorly retained groups?</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0A6D99" w:rsidP="00180BBD">
            <w:pPr>
              <w:spacing w:after="0" w:line="240" w:lineRule="auto"/>
              <w:ind w:left="175" w:hanging="180"/>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a. Race</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0A6D99" w:rsidRPr="007A7DA1" w:rsidRDefault="000A6D99" w:rsidP="00180BBD">
            <w:pPr>
              <w:spacing w:after="0" w:line="240" w:lineRule="auto"/>
              <w:ind w:left="175" w:hanging="180"/>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b. Ethnicity</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0A6D99" w:rsidP="00180BBD">
            <w:pPr>
              <w:spacing w:after="0" w:line="240" w:lineRule="auto"/>
              <w:ind w:left="175" w:hanging="180"/>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c. Age (DOB)</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0A6D99" w:rsidP="00180BBD">
            <w:pPr>
              <w:spacing w:after="0" w:line="240" w:lineRule="auto"/>
              <w:ind w:left="175" w:hanging="180"/>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d. Marital Status</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EA5E7C" w:rsidRPr="007A7DA1" w:rsidTr="00A14CFA">
        <w:trPr>
          <w:trHeight w:val="300"/>
        </w:trPr>
        <w:tc>
          <w:tcPr>
            <w:tcW w:w="1334" w:type="dxa"/>
            <w:shd w:val="clear" w:color="auto" w:fill="auto"/>
            <w:noWrap/>
            <w:hideMark/>
          </w:tcPr>
          <w:p w:rsidR="000A6D99" w:rsidRPr="007A7DA1" w:rsidRDefault="000A6D9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0A6D99" w:rsidRPr="007A7DA1" w:rsidRDefault="001C4157" w:rsidP="00180BBD">
            <w:pPr>
              <w:spacing w:after="0" w:line="240" w:lineRule="auto"/>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 xml:space="preserve">e. </w:t>
            </w:r>
            <w:r w:rsidR="000A6D99" w:rsidRPr="007A7DA1">
              <w:rPr>
                <w:rFonts w:ascii="Calibri" w:eastAsia="Times New Roman" w:hAnsi="Calibri" w:cs="Times New Roman"/>
                <w:bCs/>
                <w:color w:val="000000"/>
                <w:sz w:val="18"/>
                <w:szCs w:val="18"/>
              </w:rPr>
              <w:t>Primary Language</w:t>
            </w:r>
          </w:p>
        </w:tc>
        <w:tc>
          <w:tcPr>
            <w:tcW w:w="1979" w:type="dxa"/>
            <w:shd w:val="clear" w:color="auto" w:fill="auto"/>
            <w:noWrap/>
            <w:hideMark/>
          </w:tcPr>
          <w:p w:rsidR="000A6D9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0A6D9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EA5E7C" w:rsidRPr="007A7DA1" w:rsidTr="00A14CFA">
        <w:trPr>
          <w:trHeight w:val="300"/>
        </w:trPr>
        <w:tc>
          <w:tcPr>
            <w:tcW w:w="1334" w:type="dxa"/>
            <w:shd w:val="clear" w:color="auto" w:fill="auto"/>
            <w:noWrap/>
            <w:hideMark/>
          </w:tcPr>
          <w:p w:rsidR="000A6D99" w:rsidRPr="007A7DA1" w:rsidRDefault="000A6D9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0A6D99" w:rsidRPr="007A7DA1" w:rsidRDefault="001C4157" w:rsidP="00180BBD">
            <w:pPr>
              <w:spacing w:after="0" w:line="240" w:lineRule="auto"/>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 xml:space="preserve">f. </w:t>
            </w:r>
            <w:r w:rsidR="000A6D99" w:rsidRPr="007A7DA1">
              <w:rPr>
                <w:rFonts w:ascii="Calibri" w:eastAsia="Times New Roman" w:hAnsi="Calibri" w:cs="Times New Roman"/>
                <w:bCs/>
                <w:color w:val="000000"/>
                <w:sz w:val="18"/>
                <w:szCs w:val="18"/>
              </w:rPr>
              <w:t>Employment</w:t>
            </w:r>
          </w:p>
        </w:tc>
        <w:tc>
          <w:tcPr>
            <w:tcW w:w="1979" w:type="dxa"/>
            <w:shd w:val="clear" w:color="auto" w:fill="auto"/>
            <w:noWrap/>
            <w:hideMark/>
          </w:tcPr>
          <w:p w:rsidR="000A6D9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0A6D9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EA5E7C" w:rsidRPr="007A7DA1" w:rsidTr="00A14CFA">
        <w:trPr>
          <w:trHeight w:val="377"/>
        </w:trPr>
        <w:tc>
          <w:tcPr>
            <w:tcW w:w="1334" w:type="dxa"/>
            <w:shd w:val="clear" w:color="auto" w:fill="auto"/>
            <w:noWrap/>
            <w:hideMark/>
          </w:tcPr>
          <w:p w:rsidR="00C45A39" w:rsidRPr="007A7DA1" w:rsidRDefault="00C45A3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45A39" w:rsidRPr="007A7DA1" w:rsidRDefault="001C4157" w:rsidP="00180BBD">
            <w:pPr>
              <w:rPr>
                <w:rFonts w:ascii="Calibri" w:eastAsia="Times New Roman" w:hAnsi="Calibri" w:cs="Times New Roman"/>
                <w:bCs/>
                <w:color w:val="000000"/>
                <w:sz w:val="18"/>
                <w:szCs w:val="18"/>
              </w:rPr>
            </w:pPr>
            <w:r w:rsidRPr="007A7DA1">
              <w:rPr>
                <w:sz w:val="18"/>
                <w:szCs w:val="18"/>
              </w:rPr>
              <w:t xml:space="preserve">g.  </w:t>
            </w:r>
            <w:r w:rsidR="00C45A39" w:rsidRPr="007A7DA1">
              <w:rPr>
                <w:sz w:val="18"/>
                <w:szCs w:val="18"/>
              </w:rPr>
              <w:t>Education</w:t>
            </w:r>
          </w:p>
        </w:tc>
        <w:tc>
          <w:tcPr>
            <w:tcW w:w="1979" w:type="dxa"/>
            <w:shd w:val="clear" w:color="auto" w:fill="auto"/>
            <w:noWrap/>
            <w:hideMark/>
          </w:tcPr>
          <w:p w:rsidR="00C45A3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C45A3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34" w:type="dxa"/>
            <w:shd w:val="clear" w:color="auto" w:fill="auto"/>
            <w:noWrap/>
            <w:hideMark/>
          </w:tcPr>
          <w:p w:rsidR="005A31E2" w:rsidRPr="007A7DA1" w:rsidRDefault="005A31E2" w:rsidP="00180BBD">
            <w:pPr>
              <w:spacing w:after="0" w:line="240" w:lineRule="auto"/>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4</w:t>
            </w:r>
          </w:p>
        </w:tc>
        <w:tc>
          <w:tcPr>
            <w:tcW w:w="7682" w:type="dxa"/>
            <w:gridSpan w:val="4"/>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sz w:val="18"/>
                <w:szCs w:val="18"/>
              </w:rPr>
              <w:t>Are the reasons for completion and non-completion of study visits comparable across the three recruitment strategies?</w:t>
            </w:r>
            <w:r w:rsidRPr="007A7DA1">
              <w:rPr>
                <w:sz w:val="18"/>
                <w:szCs w:val="18"/>
              </w:rPr>
              <w:tab/>
              <w:t xml:space="preserve"> </w:t>
            </w:r>
          </w:p>
        </w:tc>
      </w:tr>
      <w:tr w:rsidR="005759B8" w:rsidRPr="007A7DA1" w:rsidTr="00A14CFA">
        <w:trPr>
          <w:trHeight w:val="845"/>
        </w:trPr>
        <w:tc>
          <w:tcPr>
            <w:tcW w:w="1334" w:type="dxa"/>
            <w:shd w:val="clear" w:color="auto" w:fill="auto"/>
            <w:noWrap/>
            <w:hideMark/>
          </w:tcPr>
          <w:p w:rsidR="005759B8" w:rsidRPr="007A7DA1" w:rsidRDefault="005759B8"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D57AAD" w:rsidRPr="007A7DA1" w:rsidRDefault="00D57AAD" w:rsidP="00180BBD">
            <w:pPr>
              <w:pStyle w:val="ListParagraph"/>
              <w:ind w:left="175" w:hanging="180"/>
              <w:rPr>
                <w:sz w:val="18"/>
                <w:szCs w:val="18"/>
              </w:rPr>
            </w:pPr>
            <w:r w:rsidRPr="007A7DA1">
              <w:rPr>
                <w:rFonts w:ascii="Calibri" w:eastAsia="Times New Roman" w:hAnsi="Calibri" w:cs="Times New Roman"/>
                <w:b/>
                <w:bCs/>
                <w:color w:val="000000"/>
                <w:sz w:val="18"/>
                <w:szCs w:val="18"/>
              </w:rPr>
              <w:t xml:space="preserve">a. </w:t>
            </w:r>
            <w:r w:rsidRPr="007A7DA1">
              <w:rPr>
                <w:sz w:val="18"/>
                <w:szCs w:val="18"/>
              </w:rPr>
              <w:t>Evaluate reasons given for non-completion</w:t>
            </w:r>
          </w:p>
          <w:p w:rsidR="005759B8" w:rsidRPr="007A7DA1" w:rsidRDefault="005759B8" w:rsidP="00180BBD">
            <w:pPr>
              <w:spacing w:after="0" w:line="240" w:lineRule="auto"/>
              <w:ind w:left="175" w:hanging="180"/>
              <w:rPr>
                <w:rFonts w:ascii="Calibri" w:eastAsia="Times New Roman" w:hAnsi="Calibri" w:cs="Times New Roman"/>
                <w:b/>
                <w:bCs/>
                <w:color w:val="000000"/>
                <w:sz w:val="18"/>
                <w:szCs w:val="18"/>
              </w:rPr>
            </w:pPr>
          </w:p>
        </w:tc>
        <w:tc>
          <w:tcPr>
            <w:tcW w:w="1979" w:type="dxa"/>
            <w:shd w:val="clear" w:color="auto" w:fill="auto"/>
            <w:noWrap/>
            <w:hideMark/>
          </w:tcPr>
          <w:p w:rsidR="00D57AAD" w:rsidRPr="007A7DA1" w:rsidRDefault="005A31E2" w:rsidP="00180BBD">
            <w:pPr>
              <w:rPr>
                <w:sz w:val="18"/>
                <w:szCs w:val="18"/>
              </w:rPr>
            </w:pPr>
            <w:r w:rsidRPr="007A7DA1">
              <w:rPr>
                <w:sz w:val="18"/>
                <w:szCs w:val="18"/>
              </w:rPr>
              <w:t>F</w:t>
            </w:r>
            <w:r w:rsidR="00D57AAD" w:rsidRPr="007A7DA1">
              <w:rPr>
                <w:sz w:val="18"/>
                <w:szCs w:val="18"/>
              </w:rPr>
              <w:t>ormative research</w:t>
            </w:r>
          </w:p>
          <w:p w:rsidR="005759B8" w:rsidRPr="007A7DA1" w:rsidRDefault="005759B8" w:rsidP="00180BBD">
            <w:pPr>
              <w:spacing w:after="0" w:line="240" w:lineRule="auto"/>
              <w:ind w:left="175" w:hanging="180"/>
              <w:rPr>
                <w:rFonts w:ascii="Calibri" w:eastAsia="Times New Roman" w:hAnsi="Calibri" w:cs="Times New Roman"/>
                <w:color w:val="000000"/>
                <w:sz w:val="18"/>
                <w:szCs w:val="18"/>
              </w:rPr>
            </w:pPr>
          </w:p>
        </w:tc>
        <w:tc>
          <w:tcPr>
            <w:tcW w:w="1527" w:type="dxa"/>
          </w:tcPr>
          <w:p w:rsidR="005759B8"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Per work assignment deliverable schedule</w:t>
            </w:r>
          </w:p>
        </w:tc>
      </w:tr>
      <w:tr w:rsidR="005759B8" w:rsidRPr="007A7DA1" w:rsidTr="00A14CFA">
        <w:trPr>
          <w:trHeight w:val="300"/>
        </w:trPr>
        <w:tc>
          <w:tcPr>
            <w:tcW w:w="1334" w:type="dxa"/>
            <w:shd w:val="clear" w:color="auto" w:fill="auto"/>
            <w:noWrap/>
            <w:hideMark/>
          </w:tcPr>
          <w:p w:rsidR="005759B8" w:rsidRPr="007A7DA1" w:rsidRDefault="005759B8"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D57AAD" w:rsidRPr="007A7DA1" w:rsidRDefault="00D57AAD" w:rsidP="00180BBD">
            <w:pPr>
              <w:pStyle w:val="ListParagraph"/>
              <w:ind w:left="175" w:hanging="180"/>
              <w:rPr>
                <w:sz w:val="18"/>
                <w:szCs w:val="18"/>
              </w:rPr>
            </w:pPr>
            <w:r w:rsidRPr="007A7DA1">
              <w:rPr>
                <w:sz w:val="18"/>
                <w:szCs w:val="18"/>
              </w:rPr>
              <w:t>b. Evaluate reasons given for completion in the study</w:t>
            </w:r>
          </w:p>
          <w:p w:rsidR="005759B8" w:rsidRPr="007A7DA1" w:rsidRDefault="005759B8" w:rsidP="00180BBD">
            <w:pPr>
              <w:spacing w:after="0" w:line="240" w:lineRule="auto"/>
              <w:ind w:left="175" w:hanging="180"/>
              <w:rPr>
                <w:rFonts w:ascii="Calibri" w:eastAsia="Times New Roman" w:hAnsi="Calibri" w:cs="Times New Roman"/>
                <w:b/>
                <w:bCs/>
                <w:color w:val="000000"/>
                <w:sz w:val="18"/>
                <w:szCs w:val="18"/>
              </w:rPr>
            </w:pPr>
          </w:p>
        </w:tc>
        <w:tc>
          <w:tcPr>
            <w:tcW w:w="1979" w:type="dxa"/>
            <w:shd w:val="clear" w:color="auto" w:fill="auto"/>
            <w:noWrap/>
            <w:hideMark/>
          </w:tcPr>
          <w:p w:rsidR="005759B8" w:rsidRPr="007A7DA1" w:rsidRDefault="005A31E2" w:rsidP="00180BBD">
            <w:pPr>
              <w:spacing w:after="0" w:line="240" w:lineRule="auto"/>
              <w:ind w:left="175" w:hanging="180"/>
              <w:rPr>
                <w:rFonts w:ascii="Calibri" w:eastAsia="Times New Roman" w:hAnsi="Calibri" w:cs="Times New Roman"/>
                <w:color w:val="000000"/>
                <w:sz w:val="18"/>
                <w:szCs w:val="18"/>
              </w:rPr>
            </w:pPr>
            <w:r w:rsidRPr="007A7DA1">
              <w:rPr>
                <w:sz w:val="18"/>
                <w:szCs w:val="18"/>
              </w:rPr>
              <w:t>Formative research</w:t>
            </w:r>
          </w:p>
        </w:tc>
        <w:tc>
          <w:tcPr>
            <w:tcW w:w="1527" w:type="dxa"/>
          </w:tcPr>
          <w:p w:rsidR="005759B8"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Per work assignment deliverable schedule</w:t>
            </w:r>
          </w:p>
        </w:tc>
      </w:tr>
      <w:tr w:rsidR="00D57AAD" w:rsidRPr="007A7DA1" w:rsidTr="00A14CFA">
        <w:trPr>
          <w:trHeight w:val="300"/>
        </w:trPr>
        <w:tc>
          <w:tcPr>
            <w:tcW w:w="1334" w:type="dxa"/>
            <w:tcBorders>
              <w:bottom w:val="single" w:sz="4" w:space="0" w:color="auto"/>
            </w:tcBorders>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tcBorders>
              <w:bottom w:val="single" w:sz="4" w:space="0" w:color="auto"/>
            </w:tcBorders>
            <w:shd w:val="clear" w:color="auto" w:fill="auto"/>
          </w:tcPr>
          <w:p w:rsidR="00CB34D9" w:rsidRPr="007A7DA1" w:rsidRDefault="00D57AAD" w:rsidP="00180BBD">
            <w:pPr>
              <w:spacing w:after="0" w:line="240" w:lineRule="auto"/>
              <w:ind w:left="175" w:hanging="180"/>
              <w:rPr>
                <w:rFonts w:ascii="Calibri" w:eastAsia="Times New Roman" w:hAnsi="Calibri" w:cs="Times New Roman"/>
                <w:b/>
                <w:bCs/>
                <w:color w:val="000000"/>
                <w:sz w:val="18"/>
                <w:szCs w:val="18"/>
              </w:rPr>
            </w:pPr>
            <w:r w:rsidRPr="007A7DA1">
              <w:rPr>
                <w:sz w:val="18"/>
                <w:szCs w:val="18"/>
              </w:rPr>
              <w:t>c. Respondent reactions to study assessments</w:t>
            </w:r>
          </w:p>
        </w:tc>
        <w:tc>
          <w:tcPr>
            <w:tcW w:w="1979" w:type="dxa"/>
            <w:tcBorders>
              <w:bottom w:val="single" w:sz="4" w:space="0" w:color="auto"/>
            </w:tcBorders>
            <w:shd w:val="clear" w:color="auto" w:fill="auto"/>
            <w:noWrap/>
            <w:hideMark/>
          </w:tcPr>
          <w:p w:rsidR="00CB34D9" w:rsidRPr="007A7DA1" w:rsidRDefault="005A31E2" w:rsidP="00180BBD">
            <w:pPr>
              <w:rPr>
                <w:rFonts w:ascii="Calibri" w:eastAsia="Times New Roman" w:hAnsi="Calibri" w:cs="Times New Roman"/>
                <w:color w:val="000000"/>
                <w:sz w:val="18"/>
                <w:szCs w:val="18"/>
              </w:rPr>
            </w:pPr>
            <w:r w:rsidRPr="007A7DA1">
              <w:rPr>
                <w:sz w:val="18"/>
                <w:szCs w:val="18"/>
              </w:rPr>
              <w:t>Formative research</w:t>
            </w:r>
          </w:p>
        </w:tc>
        <w:tc>
          <w:tcPr>
            <w:tcW w:w="1527" w:type="dxa"/>
            <w:tcBorders>
              <w:bottom w:val="single" w:sz="4" w:space="0" w:color="auto"/>
            </w:tcBorders>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Per work assignment deliverable schedule</w:t>
            </w:r>
          </w:p>
        </w:tc>
      </w:tr>
      <w:tr w:rsidR="005A31E2" w:rsidRPr="007A7DA1" w:rsidTr="00A14CFA">
        <w:trPr>
          <w:trHeight w:val="300"/>
        </w:trPr>
        <w:tc>
          <w:tcPr>
            <w:tcW w:w="9016" w:type="dxa"/>
            <w:gridSpan w:val="5"/>
            <w:shd w:val="clear" w:color="auto" w:fill="D9D9D9" w:themeFill="background1" w:themeFillShade="D9"/>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
                <w:bCs/>
                <w:color w:val="000000"/>
                <w:sz w:val="20"/>
                <w:szCs w:val="20"/>
              </w:rPr>
              <w:t>ENVIRONMENTAL SAMPLES</w:t>
            </w:r>
          </w:p>
        </w:tc>
      </w:tr>
      <w:tr w:rsidR="006B1F47" w:rsidRPr="007A7DA1" w:rsidTr="00A14CFA">
        <w:trPr>
          <w:trHeight w:val="300"/>
        </w:trPr>
        <w:tc>
          <w:tcPr>
            <w:tcW w:w="9016" w:type="dxa"/>
            <w:gridSpan w:val="5"/>
            <w:shd w:val="clear" w:color="auto" w:fill="auto"/>
            <w:noWrap/>
            <w:hideMark/>
          </w:tcPr>
          <w:p w:rsidR="006B1F47" w:rsidRPr="007A7DA1" w:rsidRDefault="006B1F47"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Cs/>
                <w:color w:val="000000"/>
                <w:sz w:val="18"/>
                <w:szCs w:val="18"/>
              </w:rPr>
              <w:t>FEASIBILITY</w:t>
            </w:r>
          </w:p>
        </w:tc>
      </w:tr>
      <w:tr w:rsidR="006B1F47" w:rsidRPr="007A7DA1" w:rsidTr="00A14CFA">
        <w:trPr>
          <w:trHeight w:val="312"/>
        </w:trPr>
        <w:tc>
          <w:tcPr>
            <w:tcW w:w="1350" w:type="dxa"/>
            <w:gridSpan w:val="2"/>
            <w:shd w:val="clear" w:color="auto" w:fill="auto"/>
            <w:noWrap/>
            <w:hideMark/>
          </w:tcPr>
          <w:p w:rsidR="006B1F47" w:rsidRPr="007A7DA1" w:rsidRDefault="006B1F47"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1</w:t>
            </w:r>
          </w:p>
        </w:tc>
        <w:tc>
          <w:tcPr>
            <w:tcW w:w="7666" w:type="dxa"/>
            <w:gridSpan w:val="3"/>
            <w:shd w:val="clear" w:color="auto" w:fill="auto"/>
            <w:hideMark/>
          </w:tcPr>
          <w:p w:rsidR="006B1F47" w:rsidRPr="007A7DA1" w:rsidRDefault="006B1F47"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Does the vacuum bag method of household dust collection yield a stable sample for initial and future analysis?</w:t>
            </w:r>
          </w:p>
        </w:tc>
      </w:tr>
      <w:tr w:rsidR="00D57AAD" w:rsidRPr="007A7DA1" w:rsidTr="00A14CFA">
        <w:trPr>
          <w:trHeight w:val="540"/>
        </w:trPr>
        <w:tc>
          <w:tcPr>
            <w:tcW w:w="1350" w:type="dxa"/>
            <w:gridSpan w:val="2"/>
            <w:vMerge w:val="restart"/>
            <w:shd w:val="clear" w:color="auto" w:fill="auto"/>
            <w:noWrap/>
            <w:hideMark/>
          </w:tcPr>
          <w:p w:rsidR="00FE6105" w:rsidRPr="007A7DA1" w:rsidRDefault="00FE6105" w:rsidP="00180BBD">
            <w:pPr>
              <w:spacing w:after="0" w:line="240" w:lineRule="auto"/>
              <w:jc w:val="center"/>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w:t>
            </w:r>
          </w:p>
        </w:tc>
        <w:tc>
          <w:tcPr>
            <w:tcW w:w="4160" w:type="dxa"/>
            <w:shd w:val="clear" w:color="auto" w:fill="auto"/>
            <w:hideMark/>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xml:space="preserve">a. Stability of organic compounds, molds, allergens, </w:t>
            </w:r>
            <w:proofErr w:type="spellStart"/>
            <w:r w:rsidRPr="007A7DA1">
              <w:rPr>
                <w:rFonts w:ascii="Calibri" w:eastAsia="Times New Roman" w:hAnsi="Calibri" w:cs="Times New Roman"/>
                <w:color w:val="000000"/>
                <w:sz w:val="18"/>
                <w:szCs w:val="18"/>
              </w:rPr>
              <w:t>endotoxins</w:t>
            </w:r>
            <w:proofErr w:type="spellEnd"/>
            <w:r w:rsidRPr="007A7DA1">
              <w:rPr>
                <w:rFonts w:ascii="Calibri" w:eastAsia="Times New Roman" w:hAnsi="Calibri" w:cs="Times New Roman"/>
                <w:color w:val="000000"/>
                <w:sz w:val="18"/>
                <w:szCs w:val="18"/>
              </w:rPr>
              <w:t>, metals</w:t>
            </w:r>
          </w:p>
        </w:tc>
        <w:tc>
          <w:tcPr>
            <w:tcW w:w="1979" w:type="dxa"/>
            <w:shd w:val="clear" w:color="auto" w:fill="auto"/>
            <w:noWrap/>
            <w:hideMark/>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To be determined</w:t>
            </w:r>
          </w:p>
        </w:tc>
      </w:tr>
      <w:tr w:rsidR="00D57AAD" w:rsidRPr="007A7DA1" w:rsidTr="00A14CFA">
        <w:trPr>
          <w:trHeight w:val="300"/>
        </w:trPr>
        <w:tc>
          <w:tcPr>
            <w:tcW w:w="1350" w:type="dxa"/>
            <w:gridSpan w:val="2"/>
            <w:vMerge/>
            <w:vAlign w:val="center"/>
            <w:hideMark/>
          </w:tcPr>
          <w:p w:rsidR="00FE6105" w:rsidRPr="007A7DA1" w:rsidRDefault="00FE6105"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Quality of shipped sample from participant</w:t>
            </w:r>
          </w:p>
        </w:tc>
        <w:tc>
          <w:tcPr>
            <w:tcW w:w="1979" w:type="dxa"/>
            <w:shd w:val="clear" w:color="auto" w:fill="auto"/>
            <w:noWrap/>
            <w:hideMark/>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2</w:t>
            </w:r>
          </w:p>
        </w:tc>
        <w:tc>
          <w:tcPr>
            <w:tcW w:w="7666" w:type="dxa"/>
            <w:gridSpan w:val="3"/>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Can pesticides and pharmaceuticals be detected in tap water collected by the NCS?</w:t>
            </w:r>
          </w:p>
        </w:tc>
      </w:tr>
      <w:tr w:rsidR="00312610" w:rsidRPr="007A7DA1" w:rsidTr="00A14CFA">
        <w:trPr>
          <w:trHeight w:val="233"/>
        </w:trPr>
        <w:tc>
          <w:tcPr>
            <w:tcW w:w="1350" w:type="dxa"/>
            <w:gridSpan w:val="2"/>
            <w:vAlign w:val="center"/>
            <w:hideMark/>
          </w:tcPr>
          <w:p w:rsidR="00312610" w:rsidRPr="007A7DA1" w:rsidRDefault="00312610"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312610" w:rsidRPr="007A7DA1" w:rsidDel="002F5044"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Detection rates</w:t>
            </w:r>
          </w:p>
        </w:tc>
        <w:tc>
          <w:tcPr>
            <w:tcW w:w="1979" w:type="dxa"/>
            <w:shd w:val="clear" w:color="auto" w:fill="auto"/>
            <w:noWrap/>
            <w:hideMark/>
          </w:tcPr>
          <w:p w:rsidR="00312610" w:rsidRPr="007A7DA1" w:rsidRDefault="00312610" w:rsidP="00180BBD">
            <w:pPr>
              <w:spacing w:after="0" w:line="240" w:lineRule="auto"/>
              <w:rPr>
                <w:rFonts w:ascii="Calibri" w:eastAsia="Times New Roman" w:hAnsi="Calibri" w:cs="Times New Roman"/>
                <w:color w:val="000000"/>
                <w:sz w:val="18"/>
                <w:szCs w:val="18"/>
              </w:rPr>
            </w:pPr>
          </w:p>
        </w:tc>
        <w:tc>
          <w:tcPr>
            <w:tcW w:w="1527" w:type="dxa"/>
          </w:tcPr>
          <w:p w:rsidR="00312610"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To be determined</w:t>
            </w:r>
          </w:p>
        </w:tc>
      </w:tr>
      <w:tr w:rsidR="00312610" w:rsidRPr="007A7DA1" w:rsidTr="00A14CFA">
        <w:trPr>
          <w:trHeight w:val="233"/>
        </w:trPr>
        <w:tc>
          <w:tcPr>
            <w:tcW w:w="1350" w:type="dxa"/>
            <w:gridSpan w:val="2"/>
            <w:vAlign w:val="center"/>
            <w:hideMark/>
          </w:tcPr>
          <w:p w:rsidR="00312610" w:rsidRPr="007A7DA1" w:rsidRDefault="00312610"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312610" w:rsidRPr="007A7DA1" w:rsidDel="002F5044"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Stability of the sample</w:t>
            </w:r>
          </w:p>
        </w:tc>
        <w:tc>
          <w:tcPr>
            <w:tcW w:w="1979" w:type="dxa"/>
            <w:shd w:val="clear" w:color="auto" w:fill="auto"/>
            <w:noWrap/>
            <w:hideMark/>
          </w:tcPr>
          <w:p w:rsidR="00312610" w:rsidRPr="007A7DA1" w:rsidRDefault="00312610" w:rsidP="00180BBD">
            <w:pPr>
              <w:spacing w:after="0" w:line="240" w:lineRule="auto"/>
              <w:rPr>
                <w:rFonts w:ascii="Calibri" w:eastAsia="Times New Roman" w:hAnsi="Calibri" w:cs="Times New Roman"/>
                <w:color w:val="000000"/>
                <w:sz w:val="18"/>
                <w:szCs w:val="18"/>
              </w:rPr>
            </w:pPr>
          </w:p>
        </w:tc>
        <w:tc>
          <w:tcPr>
            <w:tcW w:w="1527" w:type="dxa"/>
          </w:tcPr>
          <w:p w:rsidR="00312610"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To be determined</w:t>
            </w:r>
          </w:p>
        </w:tc>
      </w:tr>
      <w:tr w:rsidR="006B1F47" w:rsidRPr="007A7DA1" w:rsidTr="00A14CFA">
        <w:trPr>
          <w:trHeight w:val="263"/>
        </w:trPr>
        <w:tc>
          <w:tcPr>
            <w:tcW w:w="9016" w:type="dxa"/>
            <w:gridSpan w:val="5"/>
            <w:shd w:val="clear" w:color="auto" w:fill="auto"/>
            <w:noWrap/>
            <w:vAlign w:val="bottom"/>
            <w:hideMark/>
          </w:tcPr>
          <w:p w:rsidR="006B1F47" w:rsidRPr="007A7DA1" w:rsidRDefault="006B1F47" w:rsidP="00180BBD">
            <w:pPr>
              <w:spacing w:after="0" w:line="240" w:lineRule="auto"/>
              <w:rPr>
                <w:rFonts w:ascii="Calibri" w:eastAsia="Times New Roman" w:hAnsi="Calibri" w:cs="Times New Roman"/>
                <w:b/>
                <w:bCs/>
                <w:color w:val="000000"/>
                <w:sz w:val="18"/>
                <w:szCs w:val="18"/>
              </w:rPr>
            </w:pPr>
            <w:r w:rsidRPr="007A7DA1">
              <w:rPr>
                <w:rFonts w:ascii="Calibri" w:eastAsia="Times New Roman" w:hAnsi="Calibri" w:cs="Times New Roman"/>
                <w:bCs/>
                <w:color w:val="000000"/>
                <w:sz w:val="18"/>
                <w:szCs w:val="18"/>
              </w:rPr>
              <w:t>ACCEPTABILITY</w:t>
            </w:r>
            <w:r w:rsidRPr="007A7DA1">
              <w:rPr>
                <w:rFonts w:ascii="Calibri" w:eastAsia="Times New Roman" w:hAnsi="Calibri" w:cs="Times New Roman"/>
                <w:b/>
                <w:bCs/>
                <w:color w:val="000000"/>
                <w:sz w:val="18"/>
                <w:szCs w:val="18"/>
              </w:rPr>
              <w:t> </w:t>
            </w:r>
          </w:p>
        </w:tc>
      </w:tr>
      <w:tr w:rsidR="005A31E2" w:rsidRPr="007A7DA1" w:rsidTr="00A14CFA">
        <w:trPr>
          <w:trHeight w:val="300"/>
        </w:trPr>
        <w:tc>
          <w:tcPr>
            <w:tcW w:w="1350" w:type="dxa"/>
            <w:gridSpan w:val="2"/>
            <w:vMerge w:val="restart"/>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1</w:t>
            </w:r>
          </w:p>
        </w:tc>
        <w:tc>
          <w:tcPr>
            <w:tcW w:w="7666" w:type="dxa"/>
            <w:gridSpan w:val="3"/>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Does the vacuum bag method of household dust collection reduce participant burden (in comparison to wipe, dust plate, and vacuum bedside methods)?</w:t>
            </w:r>
          </w:p>
        </w:tc>
      </w:tr>
      <w:tr w:rsidR="00D57AAD" w:rsidRPr="007A7DA1" w:rsidTr="00A14CFA">
        <w:trPr>
          <w:trHeight w:val="289"/>
        </w:trPr>
        <w:tc>
          <w:tcPr>
            <w:tcW w:w="1350" w:type="dxa"/>
            <w:gridSpan w:val="2"/>
            <w:vMerge/>
            <w:vAlign w:val="center"/>
            <w:hideMark/>
          </w:tcPr>
          <w:p w:rsidR="00FE6105" w:rsidRPr="007A7DA1" w:rsidRDefault="00FE6105"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Rate of unit non response</w:t>
            </w:r>
          </w:p>
        </w:tc>
        <w:tc>
          <w:tcPr>
            <w:tcW w:w="1979" w:type="dxa"/>
            <w:shd w:val="clear" w:color="auto" w:fill="auto"/>
            <w:noWrap/>
            <w:hideMark/>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233"/>
        </w:trPr>
        <w:tc>
          <w:tcPr>
            <w:tcW w:w="1350" w:type="dxa"/>
            <w:gridSpan w:val="2"/>
            <w:vMerge/>
            <w:vAlign w:val="center"/>
            <w:hideMark/>
          </w:tcPr>
          <w:p w:rsidR="00FE6105" w:rsidRPr="007A7DA1" w:rsidRDefault="00FE6105"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Time to return sample</w:t>
            </w:r>
          </w:p>
        </w:tc>
        <w:tc>
          <w:tcPr>
            <w:tcW w:w="1979" w:type="dxa"/>
            <w:shd w:val="clear" w:color="auto" w:fill="auto"/>
            <w:noWrap/>
            <w:hideMark/>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2</w:t>
            </w:r>
          </w:p>
        </w:tc>
        <w:tc>
          <w:tcPr>
            <w:tcW w:w="7666" w:type="dxa"/>
            <w:gridSpan w:val="3"/>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Is participant collection of household dust preferred over data collector collection?</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Unit non response</w:t>
            </w:r>
          </w:p>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979" w:type="dxa"/>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Time to return sample</w:t>
            </w:r>
          </w:p>
        </w:tc>
        <w:tc>
          <w:tcPr>
            <w:tcW w:w="1979" w:type="dxa"/>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 Quality of shipped sample from participant</w:t>
            </w:r>
          </w:p>
        </w:tc>
        <w:tc>
          <w:tcPr>
            <w:tcW w:w="1979" w:type="dxa"/>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3</w:t>
            </w:r>
          </w:p>
        </w:tc>
        <w:tc>
          <w:tcPr>
            <w:tcW w:w="7666" w:type="dxa"/>
            <w:gridSpan w:val="3"/>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participant-collected tap water be more acceptable to participants than technician- collected tap water?</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Unit non response</w:t>
            </w:r>
          </w:p>
        </w:tc>
        <w:tc>
          <w:tcPr>
            <w:tcW w:w="1979" w:type="dxa"/>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Time to return sample</w:t>
            </w:r>
          </w:p>
        </w:tc>
        <w:tc>
          <w:tcPr>
            <w:tcW w:w="1979" w:type="dxa"/>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 Quality of shipped sample from participant</w:t>
            </w:r>
          </w:p>
        </w:tc>
        <w:tc>
          <w:tcPr>
            <w:tcW w:w="1979" w:type="dxa"/>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6B1F47" w:rsidRPr="007A7DA1" w:rsidTr="00A14CFA">
        <w:trPr>
          <w:trHeight w:val="300"/>
        </w:trPr>
        <w:tc>
          <w:tcPr>
            <w:tcW w:w="9016" w:type="dxa"/>
            <w:gridSpan w:val="5"/>
            <w:shd w:val="clear" w:color="auto" w:fill="auto"/>
            <w:noWrap/>
            <w:hideMark/>
          </w:tcPr>
          <w:p w:rsidR="006B1F47" w:rsidRPr="007A7DA1" w:rsidRDefault="006B1F47"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Cs/>
                <w:color w:val="000000"/>
                <w:sz w:val="18"/>
                <w:szCs w:val="18"/>
              </w:rPr>
              <w:t>COST</w:t>
            </w:r>
            <w:r w:rsidRPr="007A7DA1">
              <w:rPr>
                <w:rFonts w:ascii="Calibri" w:eastAsia="Times New Roman" w:hAnsi="Calibri" w:cs="Times New Roman"/>
                <w:color w:val="000000"/>
                <w:sz w:val="18"/>
                <w:szCs w:val="18"/>
              </w:rPr>
              <w:t> </w:t>
            </w:r>
          </w:p>
        </w:tc>
      </w:tr>
      <w:tr w:rsidR="005A31E2" w:rsidRPr="007A7DA1" w:rsidTr="00A14CFA">
        <w:trPr>
          <w:trHeight w:val="300"/>
        </w:trPr>
        <w:tc>
          <w:tcPr>
            <w:tcW w:w="1350" w:type="dxa"/>
            <w:gridSpan w:val="2"/>
            <w:vMerge w:val="restart"/>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1</w:t>
            </w:r>
          </w:p>
        </w:tc>
        <w:tc>
          <w:tcPr>
            <w:tcW w:w="7666" w:type="dxa"/>
            <w:gridSpan w:val="3"/>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Is the vacuum bag method of household dust collection more cost effective (in comparison to wipe, dust plate, and bedside vacuum methods)?</w:t>
            </w:r>
          </w:p>
        </w:tc>
      </w:tr>
      <w:tr w:rsidR="005A31E2" w:rsidRPr="007A7DA1" w:rsidTr="00A14CFA">
        <w:trPr>
          <w:trHeight w:val="300"/>
        </w:trPr>
        <w:tc>
          <w:tcPr>
            <w:tcW w:w="1350" w:type="dxa"/>
            <w:gridSpan w:val="2"/>
            <w:vMerge/>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Cost of vacuum bag shipping</w:t>
            </w:r>
          </w:p>
        </w:tc>
        <w:tc>
          <w:tcPr>
            <w:tcW w:w="1979" w:type="dxa"/>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Phase 2 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Monthly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2</w:t>
            </w: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Cost of wipe, dust plate, and bedside vacuum method</w:t>
            </w:r>
          </w:p>
        </w:tc>
        <w:tc>
          <w:tcPr>
            <w:tcW w:w="1979" w:type="dxa"/>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Initial Vanguard Study Data</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Monthly</w:t>
            </w:r>
          </w:p>
        </w:tc>
      </w:tr>
      <w:tr w:rsidR="005A31E2" w:rsidRPr="007A7DA1" w:rsidTr="00A14CFA">
        <w:trPr>
          <w:trHeight w:val="300"/>
        </w:trPr>
        <w:tc>
          <w:tcPr>
            <w:tcW w:w="1350" w:type="dxa"/>
            <w:gridSpan w:val="2"/>
            <w:tcBorders>
              <w:bottom w:val="single" w:sz="4" w:space="0" w:color="auto"/>
            </w:tcBorders>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tcBorders>
              <w:bottom w:val="single" w:sz="4" w:space="0" w:color="auto"/>
            </w:tcBorders>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979" w:type="dxa"/>
            <w:tcBorders>
              <w:bottom w:val="single" w:sz="4" w:space="0" w:color="auto"/>
            </w:tcBorders>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527" w:type="dxa"/>
            <w:tcBorders>
              <w:bottom w:val="single" w:sz="4" w:space="0" w:color="auto"/>
            </w:tcBorders>
          </w:tcPr>
          <w:p w:rsidR="005A31E2" w:rsidRPr="007A7DA1" w:rsidRDefault="005A31E2" w:rsidP="00180BBD">
            <w:pPr>
              <w:spacing w:after="0" w:line="240" w:lineRule="auto"/>
              <w:rPr>
                <w:rFonts w:ascii="Calibri" w:eastAsia="Times New Roman" w:hAnsi="Calibri" w:cs="Times New Roman"/>
                <w:color w:val="000000"/>
                <w:sz w:val="18"/>
                <w:szCs w:val="18"/>
              </w:rPr>
            </w:pPr>
          </w:p>
        </w:tc>
      </w:tr>
      <w:tr w:rsidR="005A31E2" w:rsidRPr="007A7DA1" w:rsidTr="00A14CFA">
        <w:trPr>
          <w:trHeight w:val="300"/>
        </w:trPr>
        <w:tc>
          <w:tcPr>
            <w:tcW w:w="9016" w:type="dxa"/>
            <w:gridSpan w:val="5"/>
            <w:shd w:val="clear" w:color="auto" w:fill="D9D9D9" w:themeFill="background1" w:themeFillShade="D9"/>
            <w:vAlign w:val="center"/>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
                <w:bCs/>
                <w:color w:val="000000"/>
                <w:sz w:val="20"/>
                <w:szCs w:val="20"/>
              </w:rPr>
              <w:t>PREGNANCY HEALTH CARE LOG AND INFANT HEALTH CARE LOG</w:t>
            </w:r>
          </w:p>
        </w:tc>
      </w:tr>
      <w:tr w:rsidR="006B1F47" w:rsidRPr="007A7DA1" w:rsidTr="00A14CFA">
        <w:trPr>
          <w:trHeight w:val="300"/>
        </w:trPr>
        <w:tc>
          <w:tcPr>
            <w:tcW w:w="9016" w:type="dxa"/>
            <w:gridSpan w:val="5"/>
            <w:vAlign w:val="center"/>
            <w:hideMark/>
          </w:tcPr>
          <w:p w:rsidR="006B1F47" w:rsidRPr="007A7DA1" w:rsidDel="002F5044" w:rsidRDefault="006B1F47"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FEASIBILITY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1</w:t>
            </w:r>
          </w:p>
        </w:tc>
        <w:tc>
          <w:tcPr>
            <w:tcW w:w="7666" w:type="dxa"/>
            <w:gridSpan w:val="3"/>
            <w:vAlign w:val="center"/>
          </w:tcPr>
          <w:p w:rsidR="005A31E2" w:rsidRPr="007A7DA1" w:rsidDel="002F5044"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the health care logs enable location (and thus abstraction) of medical records?</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Location item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Matching of location with secondary health care data source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Extant data</w:t>
            </w:r>
          </w:p>
        </w:tc>
        <w:tc>
          <w:tcPr>
            <w:tcW w:w="1527" w:type="dxa"/>
          </w:tcPr>
          <w:p w:rsidR="005A31E2" w:rsidRPr="007A7DA1" w:rsidDel="002F5044" w:rsidRDefault="005A4A13"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TBD</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2</w:t>
            </w:r>
          </w:p>
        </w:tc>
        <w:tc>
          <w:tcPr>
            <w:tcW w:w="7666" w:type="dxa"/>
            <w:gridSpan w:val="3"/>
            <w:vAlign w:val="center"/>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the health care logs yield accurate medical information at an acceptable burden to participants?</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xml:space="preserve">a. </w:t>
            </w:r>
            <w:r w:rsidR="005A4A13">
              <w:rPr>
                <w:rFonts w:ascii="Calibri" w:eastAsia="Times New Roman" w:hAnsi="Calibri" w:cs="Times New Roman"/>
                <w:color w:val="000000"/>
                <w:sz w:val="18"/>
                <w:szCs w:val="18"/>
              </w:rPr>
              <w:t>Participant responses</w:t>
            </w:r>
            <w:r w:rsidR="006B1F47">
              <w:rPr>
                <w:rFonts w:ascii="Calibri" w:eastAsia="Times New Roman" w:hAnsi="Calibri" w:cs="Times New Roman"/>
                <w:color w:val="000000"/>
                <w:sz w:val="18"/>
                <w:szCs w:val="18"/>
              </w:rPr>
              <w:t xml:space="preserve"> to acceptability questions</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Rate of item non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9016" w:type="dxa"/>
            <w:gridSpan w:val="5"/>
            <w:shd w:val="clear" w:color="auto" w:fill="D9D9D9" w:themeFill="background1" w:themeFillShade="D9"/>
            <w:vAlign w:val="center"/>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
                <w:bCs/>
                <w:color w:val="000000"/>
                <w:sz w:val="20"/>
                <w:szCs w:val="20"/>
              </w:rPr>
              <w:t>BIOSPECIMENS</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FEASIBILITY</w:t>
            </w: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c>
          <w:tcPr>
            <w:tcW w:w="1527" w:type="dxa"/>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1</w:t>
            </w:r>
          </w:p>
        </w:tc>
        <w:tc>
          <w:tcPr>
            <w:tcW w:w="7666" w:type="dxa"/>
            <w:gridSpan w:val="3"/>
            <w:vAlign w:val="center"/>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xml:space="preserve">Will the revised cord blood bag featuring dry EDTA as the anticoagulant result in improved lipid </w:t>
            </w:r>
            <w:r w:rsidRPr="007A7DA1">
              <w:rPr>
                <w:rFonts w:ascii="Calibri" w:eastAsia="Times New Roman" w:hAnsi="Calibri" w:cs="Times New Roman"/>
                <w:color w:val="000000"/>
                <w:sz w:val="18"/>
                <w:szCs w:val="18"/>
              </w:rPr>
              <w:lastRenderedPageBreak/>
              <w:t>measurements and reduced dilution effect when compared to the initial cord blood bag featuring liquid anticoagulant?</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Lipid measurements</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xml:space="preserve">Birth Data Collection </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To be determined</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Dilution effect</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Birth Data Collection</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To be determined</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ACCEPTABILITY</w:t>
            </w: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c>
          <w:tcPr>
            <w:tcW w:w="1527" w:type="dxa"/>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2</w:t>
            </w:r>
          </w:p>
        </w:tc>
        <w:tc>
          <w:tcPr>
            <w:tcW w:w="7666" w:type="dxa"/>
            <w:gridSpan w:val="3"/>
            <w:vAlign w:val="center"/>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the introduction of maternal blood and urine collection decrease retention in the recruitment substudy?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Unit non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Item non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tcBorders>
              <w:bottom w:val="single" w:sz="4" w:space="0" w:color="auto"/>
            </w:tcBorders>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tcBorders>
              <w:bottom w:val="single" w:sz="4" w:space="0" w:color="auto"/>
            </w:tcBorders>
            <w:vAlign w:val="center"/>
          </w:tcPr>
          <w:p w:rsidR="005A31E2" w:rsidRPr="007A7DA1"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xml:space="preserve">c. </w:t>
            </w:r>
            <w:r w:rsidR="005A31E2" w:rsidRPr="007A7DA1">
              <w:rPr>
                <w:rFonts w:ascii="Calibri" w:eastAsia="Times New Roman" w:hAnsi="Calibri" w:cs="Times New Roman"/>
                <w:color w:val="000000"/>
                <w:sz w:val="18"/>
                <w:szCs w:val="18"/>
              </w:rPr>
              <w:t>Retention over time</w:t>
            </w:r>
          </w:p>
        </w:tc>
        <w:tc>
          <w:tcPr>
            <w:tcW w:w="1979" w:type="dxa"/>
            <w:tcBorders>
              <w:bottom w:val="single" w:sz="4" w:space="0" w:color="auto"/>
            </w:tcBorders>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Borders>
              <w:bottom w:val="single" w:sz="4" w:space="0" w:color="auto"/>
            </w:tcBorders>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9016" w:type="dxa"/>
            <w:gridSpan w:val="5"/>
            <w:shd w:val="clear" w:color="auto" w:fill="D9D9D9" w:themeFill="background1" w:themeFillShade="D9"/>
            <w:vAlign w:val="center"/>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
                <w:bCs/>
                <w:color w:val="000000"/>
                <w:sz w:val="20"/>
                <w:szCs w:val="20"/>
              </w:rPr>
              <w:t>FATHER INTERVIEWS</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ACCEPTABILITY</w:t>
            </w: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c>
          <w:tcPr>
            <w:tcW w:w="1527" w:type="dxa"/>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1</w:t>
            </w:r>
          </w:p>
        </w:tc>
        <w:tc>
          <w:tcPr>
            <w:tcW w:w="7666" w:type="dxa"/>
            <w:gridSpan w:val="3"/>
            <w:vAlign w:val="center"/>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the mode of administration improve father response rates?</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Mode of administration (web, phone, or SAQ)</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Unit non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 Item non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d. Time to return</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2</w:t>
            </w:r>
          </w:p>
        </w:tc>
        <w:tc>
          <w:tcPr>
            <w:tcW w:w="7666" w:type="dxa"/>
            <w:gridSpan w:val="3"/>
            <w:vAlign w:val="center"/>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offering father interviews improve pregnant women’s response rates? Retention rates?</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p>
        </w:tc>
        <w:tc>
          <w:tcPr>
            <w:tcW w:w="4160" w:type="dxa"/>
            <w:vAlign w:val="center"/>
          </w:tcPr>
          <w:p w:rsidR="007A7DA1" w:rsidRPr="007A7DA1"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Father consent rate</w:t>
            </w:r>
          </w:p>
        </w:tc>
        <w:tc>
          <w:tcPr>
            <w:tcW w:w="1979" w:type="dxa"/>
            <w:shd w:val="clear" w:color="auto" w:fill="auto"/>
            <w:noWrap/>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p>
        </w:tc>
        <w:tc>
          <w:tcPr>
            <w:tcW w:w="4160" w:type="dxa"/>
            <w:vAlign w:val="center"/>
          </w:tcPr>
          <w:p w:rsidR="007A7DA1" w:rsidRPr="007A7DA1"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Father response rates</w:t>
            </w:r>
          </w:p>
        </w:tc>
        <w:tc>
          <w:tcPr>
            <w:tcW w:w="1979" w:type="dxa"/>
            <w:shd w:val="clear" w:color="auto" w:fill="auto"/>
            <w:noWrap/>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p>
        </w:tc>
        <w:tc>
          <w:tcPr>
            <w:tcW w:w="4160" w:type="dxa"/>
            <w:vAlign w:val="center"/>
          </w:tcPr>
          <w:p w:rsidR="007A7DA1" w:rsidRPr="007A7DA1"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 Pregnant women’s response rate (named father)</w:t>
            </w:r>
          </w:p>
        </w:tc>
        <w:tc>
          <w:tcPr>
            <w:tcW w:w="1979" w:type="dxa"/>
            <w:shd w:val="clear" w:color="auto" w:fill="auto"/>
            <w:noWrap/>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Women’s Consent</w:t>
            </w:r>
          </w:p>
        </w:tc>
        <w:tc>
          <w:tcPr>
            <w:tcW w:w="1527" w:type="dxa"/>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p>
        </w:tc>
        <w:tc>
          <w:tcPr>
            <w:tcW w:w="4160" w:type="dxa"/>
            <w:vAlign w:val="center"/>
          </w:tcPr>
          <w:p w:rsidR="007A7DA1" w:rsidRPr="007A7DA1"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d. Pregnant women’s retention rate over time</w:t>
            </w:r>
          </w:p>
        </w:tc>
        <w:tc>
          <w:tcPr>
            <w:tcW w:w="1979" w:type="dxa"/>
            <w:shd w:val="clear" w:color="auto" w:fill="auto"/>
            <w:noWrap/>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and Postnatal Study Visits</w:t>
            </w:r>
          </w:p>
        </w:tc>
        <w:tc>
          <w:tcPr>
            <w:tcW w:w="1527" w:type="dxa"/>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9016" w:type="dxa"/>
            <w:gridSpan w:val="5"/>
            <w:shd w:val="clear" w:color="auto" w:fill="auto"/>
            <w:noWrap/>
            <w:hideMark/>
          </w:tcPr>
          <w:p w:rsidR="007A7DA1" w:rsidRPr="007A7DA1" w:rsidRDefault="007A7DA1" w:rsidP="00180BBD">
            <w:pPr>
              <w:spacing w:after="0" w:line="240" w:lineRule="auto"/>
              <w:jc w:val="center"/>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xml:space="preserve">*Note:  All analysis will be done by PSU and by recruitment schema, using reports submitted by the study centers.  </w:t>
            </w:r>
          </w:p>
        </w:tc>
      </w:tr>
    </w:tbl>
    <w:p w:rsidR="001F0BF4" w:rsidRPr="00FD71FF" w:rsidRDefault="001F0BF4" w:rsidP="00180BBD">
      <w:pPr>
        <w:pStyle w:val="Default"/>
        <w:jc w:val="both"/>
        <w:rPr>
          <w:rFonts w:asciiTheme="minorHAnsi" w:hAnsiTheme="minorHAnsi"/>
        </w:rPr>
      </w:pPr>
      <w:r w:rsidRPr="007A7DA1">
        <w:rPr>
          <w:rFonts w:asciiTheme="minorHAnsi" w:hAnsiTheme="minorHAnsi"/>
          <w:highlight w:val="yellow"/>
        </w:rPr>
        <w:t xml:space="preserve">When sufficient numbers of participants have been recruited so that the evaluation measures have reached a steady state </w:t>
      </w:r>
      <w:r w:rsidR="00E5114F">
        <w:rPr>
          <w:rFonts w:asciiTheme="minorHAnsi" w:hAnsiTheme="minorHAnsi"/>
          <w:highlight w:val="yellow"/>
        </w:rPr>
        <w:t>and enough participant</w:t>
      </w:r>
      <w:r w:rsidR="00A06AF3">
        <w:rPr>
          <w:rFonts w:asciiTheme="minorHAnsi" w:hAnsiTheme="minorHAnsi"/>
          <w:highlight w:val="yellow"/>
        </w:rPr>
        <w:t>s</w:t>
      </w:r>
      <w:r w:rsidR="00E5114F">
        <w:rPr>
          <w:rFonts w:asciiTheme="minorHAnsi" w:hAnsiTheme="minorHAnsi"/>
          <w:highlight w:val="yellow"/>
        </w:rPr>
        <w:t xml:space="preserve"> are enrolled to evaluate planned measures in Phase 2 </w:t>
      </w:r>
      <w:r w:rsidRPr="007A7DA1">
        <w:rPr>
          <w:rFonts w:asciiTheme="minorHAnsi" w:hAnsiTheme="minorHAnsi"/>
          <w:highlight w:val="yellow"/>
        </w:rPr>
        <w:t>within each strategy, recruitment will cease</w:t>
      </w:r>
      <w:r w:rsidR="007A7DA1" w:rsidRPr="007A7DA1">
        <w:rPr>
          <w:rFonts w:asciiTheme="minorHAnsi" w:hAnsiTheme="minorHAnsi"/>
          <w:highlight w:val="yellow"/>
        </w:rPr>
        <w:t xml:space="preserve">; </w:t>
      </w:r>
      <w:r w:rsidRPr="007A7DA1">
        <w:rPr>
          <w:rFonts w:asciiTheme="minorHAnsi" w:hAnsiTheme="minorHAnsi"/>
          <w:highlight w:val="yellow"/>
        </w:rPr>
        <w:t xml:space="preserve">Phase </w:t>
      </w:r>
      <w:r w:rsidR="007A7DA1" w:rsidRPr="007A7DA1">
        <w:rPr>
          <w:rFonts w:asciiTheme="minorHAnsi" w:hAnsiTheme="minorHAnsi"/>
          <w:highlight w:val="yellow"/>
        </w:rPr>
        <w:t>2</w:t>
      </w:r>
      <w:r w:rsidRPr="007A7DA1">
        <w:rPr>
          <w:rFonts w:asciiTheme="minorHAnsi" w:hAnsiTheme="minorHAnsi"/>
          <w:highlight w:val="yellow"/>
        </w:rPr>
        <w:t xml:space="preserve"> analysis of recruitment, retention, and study visit measures will </w:t>
      </w:r>
      <w:r w:rsidR="007A7DA1" w:rsidRPr="007A7DA1">
        <w:rPr>
          <w:rFonts w:asciiTheme="minorHAnsi" w:hAnsiTheme="minorHAnsi"/>
          <w:highlight w:val="yellow"/>
        </w:rPr>
        <w:t>continue</w:t>
      </w:r>
      <w:r w:rsidRPr="007A7DA1">
        <w:rPr>
          <w:rFonts w:asciiTheme="minorHAnsi" w:hAnsiTheme="minorHAnsi"/>
          <w:highlight w:val="yellow"/>
        </w:rPr>
        <w:t xml:space="preserve"> for the Recruitment Substudy (see tables A.3.a and A.3.b).</w:t>
      </w:r>
      <w:r w:rsidRPr="00FD71FF">
        <w:rPr>
          <w:rFonts w:asciiTheme="minorHAnsi" w:hAnsiTheme="minorHAnsi"/>
        </w:rPr>
        <w:t xml:space="preserve">  </w:t>
      </w:r>
    </w:p>
    <w:p w:rsidR="001F0BF4" w:rsidRPr="00FD71FF" w:rsidRDefault="001F0BF4" w:rsidP="00180BBD">
      <w:pPr>
        <w:pStyle w:val="Default"/>
        <w:jc w:val="both"/>
        <w:rPr>
          <w:rFonts w:asciiTheme="minorHAnsi" w:hAnsiTheme="minorHAnsi"/>
        </w:rPr>
      </w:pPr>
    </w:p>
    <w:p w:rsidR="00C82D6E" w:rsidRPr="00FD71FF" w:rsidRDefault="00C82D6E" w:rsidP="00180BBD">
      <w:pPr>
        <w:pStyle w:val="Default"/>
        <w:jc w:val="both"/>
        <w:rPr>
          <w:rFonts w:asciiTheme="minorHAnsi" w:hAnsiTheme="minorHAnsi"/>
          <w:b/>
        </w:rPr>
      </w:pPr>
      <w:r w:rsidRPr="00FD71FF">
        <w:rPr>
          <w:rFonts w:asciiTheme="minorHAnsi" w:hAnsiTheme="minorHAnsi"/>
          <w:b/>
        </w:rPr>
        <w:t>A.17</w:t>
      </w:r>
      <w:r w:rsidRPr="00FD71FF">
        <w:rPr>
          <w:rFonts w:asciiTheme="minorHAnsi" w:hAnsiTheme="minorHAnsi"/>
          <w:b/>
        </w:rPr>
        <w:tab/>
        <w:t>Display of Expiration Date of OMB Approval</w:t>
      </w:r>
    </w:p>
    <w:p w:rsidR="00C82D6E" w:rsidRPr="00FD71FF" w:rsidRDefault="00C82D6E" w:rsidP="00180BBD">
      <w:pPr>
        <w:pStyle w:val="Default"/>
        <w:jc w:val="both"/>
        <w:rPr>
          <w:rFonts w:asciiTheme="minorHAnsi" w:hAnsiTheme="minorHAnsi"/>
        </w:rPr>
      </w:pPr>
    </w:p>
    <w:p w:rsidR="00C82D6E" w:rsidRPr="00FD71FF" w:rsidRDefault="00C82D6E" w:rsidP="00180BBD">
      <w:pPr>
        <w:pStyle w:val="Default"/>
        <w:jc w:val="both"/>
        <w:rPr>
          <w:rFonts w:asciiTheme="minorHAnsi" w:hAnsiTheme="minorHAnsi"/>
        </w:rPr>
      </w:pPr>
      <w:r w:rsidRPr="00FD71FF">
        <w:rPr>
          <w:rFonts w:asciiTheme="minorHAnsi" w:hAnsiTheme="minorHAnsi"/>
        </w:rPr>
        <w:t xml:space="preserve">The NCS is not seeking an exemption from displaying the expiration date of OMB approval.  </w:t>
      </w:r>
    </w:p>
    <w:p w:rsidR="00C82D6E" w:rsidRPr="00FD71FF" w:rsidRDefault="00C82D6E" w:rsidP="00180BBD">
      <w:pPr>
        <w:pStyle w:val="Default"/>
        <w:jc w:val="both"/>
        <w:rPr>
          <w:rFonts w:asciiTheme="minorHAnsi" w:hAnsiTheme="minorHAnsi"/>
        </w:rPr>
      </w:pPr>
    </w:p>
    <w:p w:rsidR="00C82D6E" w:rsidRPr="00FD71FF" w:rsidRDefault="00C82D6E" w:rsidP="00180BBD">
      <w:pPr>
        <w:pStyle w:val="Default"/>
        <w:jc w:val="both"/>
        <w:rPr>
          <w:rFonts w:asciiTheme="minorHAnsi" w:hAnsiTheme="minorHAnsi"/>
          <w:b/>
        </w:rPr>
      </w:pPr>
      <w:r w:rsidRPr="00FD71FF">
        <w:rPr>
          <w:rFonts w:asciiTheme="minorHAnsi" w:hAnsiTheme="minorHAnsi"/>
          <w:b/>
        </w:rPr>
        <w:t>A.18</w:t>
      </w:r>
      <w:r w:rsidRPr="00FD71FF">
        <w:rPr>
          <w:rFonts w:asciiTheme="minorHAnsi" w:hAnsiTheme="minorHAnsi"/>
          <w:b/>
        </w:rPr>
        <w:tab/>
        <w:t>Exception for Item 19, “Certification for Paperwork Reduction Act Submissions”</w:t>
      </w:r>
    </w:p>
    <w:p w:rsidR="00C82D6E" w:rsidRPr="00FD71FF" w:rsidRDefault="00C82D6E" w:rsidP="00180BBD">
      <w:pPr>
        <w:pStyle w:val="Default"/>
        <w:jc w:val="both"/>
        <w:rPr>
          <w:rFonts w:asciiTheme="minorHAnsi" w:hAnsiTheme="minorHAnsi"/>
        </w:rPr>
      </w:pPr>
    </w:p>
    <w:p w:rsidR="00CF6DF5" w:rsidRPr="00FD71FF" w:rsidRDefault="00C82D6E" w:rsidP="00180BBD">
      <w:pPr>
        <w:pStyle w:val="Default"/>
        <w:jc w:val="both"/>
        <w:rPr>
          <w:rFonts w:asciiTheme="minorHAnsi" w:hAnsiTheme="minorHAnsi"/>
        </w:rPr>
      </w:pPr>
      <w:r w:rsidRPr="00FD71FF">
        <w:rPr>
          <w:rFonts w:asciiTheme="minorHAnsi" w:hAnsiTheme="minorHAnsi"/>
        </w:rPr>
        <w:t xml:space="preserve">The NCS is not requesting any exceptions.  </w:t>
      </w:r>
    </w:p>
    <w:sectPr w:rsidR="00CF6DF5" w:rsidRPr="00FD71FF" w:rsidSect="00720FB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A6E" w:rsidRDefault="00E22A6E" w:rsidP="008D693A">
      <w:pPr>
        <w:spacing w:after="0" w:line="240" w:lineRule="auto"/>
      </w:pPr>
      <w:r>
        <w:separator/>
      </w:r>
    </w:p>
  </w:endnote>
  <w:endnote w:type="continuationSeparator" w:id="0">
    <w:p w:rsidR="00E22A6E" w:rsidRDefault="00E22A6E" w:rsidP="008D6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544266"/>
      <w:docPartObj>
        <w:docPartGallery w:val="Page Numbers (Bottom of Page)"/>
        <w:docPartUnique/>
      </w:docPartObj>
    </w:sdtPr>
    <w:sdtContent>
      <w:p w:rsidR="00E22A6E" w:rsidRDefault="001142F9">
        <w:pPr>
          <w:pStyle w:val="Footer"/>
          <w:jc w:val="center"/>
        </w:pPr>
        <w:fldSimple w:instr=" PAGE   \* MERGEFORMAT ">
          <w:r w:rsidR="007917FA">
            <w:rPr>
              <w:noProof/>
            </w:rPr>
            <w:t>22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A6E" w:rsidRDefault="00E22A6E" w:rsidP="008D693A">
      <w:pPr>
        <w:spacing w:after="0" w:line="240" w:lineRule="auto"/>
      </w:pPr>
      <w:r>
        <w:separator/>
      </w:r>
    </w:p>
  </w:footnote>
  <w:footnote w:type="continuationSeparator" w:id="0">
    <w:p w:rsidR="00E22A6E" w:rsidRDefault="00E22A6E" w:rsidP="008D693A">
      <w:pPr>
        <w:spacing w:after="0" w:line="240" w:lineRule="auto"/>
      </w:pPr>
      <w:r>
        <w:continuationSeparator/>
      </w:r>
    </w:p>
  </w:footnote>
  <w:footnote w:id="1">
    <w:p w:rsidR="00E22A6E" w:rsidRDefault="00E22A6E">
      <w:pPr>
        <w:pStyle w:val="FootnoteText"/>
      </w:pPr>
      <w:r>
        <w:rPr>
          <w:rStyle w:val="FootnoteReference"/>
        </w:rPr>
        <w:footnoteRef/>
      </w:r>
      <w:r>
        <w:t xml:space="preserve"> As such, results from recruitment approaches may be seen as “best case scenarios” in some circumstances and will be evaluated accordingly.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B27"/>
    <w:multiLevelType w:val="hybridMultilevel"/>
    <w:tmpl w:val="5C56A4C2"/>
    <w:lvl w:ilvl="0" w:tplc="1696DD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D01B3F"/>
    <w:multiLevelType w:val="hybridMultilevel"/>
    <w:tmpl w:val="CB947416"/>
    <w:lvl w:ilvl="0" w:tplc="1696DD88">
      <w:start w:val="1"/>
      <w:numFmt w:val="low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
    <w:nsid w:val="0F32122B"/>
    <w:multiLevelType w:val="hybridMultilevel"/>
    <w:tmpl w:val="4EC073F2"/>
    <w:lvl w:ilvl="0" w:tplc="1696DD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7A71A64"/>
    <w:multiLevelType w:val="hybridMultilevel"/>
    <w:tmpl w:val="46581A6A"/>
    <w:lvl w:ilvl="0" w:tplc="1696DD8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8CD1EBF"/>
    <w:multiLevelType w:val="hybridMultilevel"/>
    <w:tmpl w:val="949239A8"/>
    <w:lvl w:ilvl="0" w:tplc="1696DD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056B40"/>
    <w:multiLevelType w:val="hybridMultilevel"/>
    <w:tmpl w:val="7BE80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606C01"/>
    <w:multiLevelType w:val="hybridMultilevel"/>
    <w:tmpl w:val="6DE6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B5E5C"/>
    <w:multiLevelType w:val="hybridMultilevel"/>
    <w:tmpl w:val="5386AD92"/>
    <w:lvl w:ilvl="0" w:tplc="1696DD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0A22682"/>
    <w:multiLevelType w:val="hybridMultilevel"/>
    <w:tmpl w:val="09B2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20F6C"/>
    <w:multiLevelType w:val="hybridMultilevel"/>
    <w:tmpl w:val="AEEA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741DE8"/>
    <w:multiLevelType w:val="hybridMultilevel"/>
    <w:tmpl w:val="0C38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B3820"/>
    <w:multiLevelType w:val="hybridMultilevel"/>
    <w:tmpl w:val="B5F8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C2E7B"/>
    <w:multiLevelType w:val="hybridMultilevel"/>
    <w:tmpl w:val="CAB88E9E"/>
    <w:lvl w:ilvl="0" w:tplc="0409000F">
      <w:start w:val="1"/>
      <w:numFmt w:val="decimal"/>
      <w:lvlText w:val="%1."/>
      <w:lvlJc w:val="left"/>
      <w:pPr>
        <w:ind w:left="720" w:hanging="360"/>
      </w:pPr>
    </w:lvl>
    <w:lvl w:ilvl="1" w:tplc="1696DD88">
      <w:start w:val="1"/>
      <w:numFmt w:val="lowerLetter"/>
      <w:lvlText w:val="%2."/>
      <w:lvlJc w:val="left"/>
      <w:pPr>
        <w:ind w:left="1575" w:hanging="49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1A1E46"/>
    <w:multiLevelType w:val="hybridMultilevel"/>
    <w:tmpl w:val="53485888"/>
    <w:lvl w:ilvl="0" w:tplc="1696DD88">
      <w:start w:val="1"/>
      <w:numFmt w:val="lowerLetter"/>
      <w:lvlText w:val="%1."/>
      <w:lvlJc w:val="left"/>
      <w:pPr>
        <w:ind w:left="157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4720F1"/>
    <w:multiLevelType w:val="hybridMultilevel"/>
    <w:tmpl w:val="0356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C3C59"/>
    <w:multiLevelType w:val="hybridMultilevel"/>
    <w:tmpl w:val="7C1CB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614EC"/>
    <w:multiLevelType w:val="multilevel"/>
    <w:tmpl w:val="8D7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E37D6C"/>
    <w:multiLevelType w:val="hybridMultilevel"/>
    <w:tmpl w:val="C2BA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823327"/>
    <w:multiLevelType w:val="hybridMultilevel"/>
    <w:tmpl w:val="DD6057BE"/>
    <w:lvl w:ilvl="0" w:tplc="F9748C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125C0"/>
    <w:multiLevelType w:val="hybridMultilevel"/>
    <w:tmpl w:val="BB00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8E580A"/>
    <w:multiLevelType w:val="hybridMultilevel"/>
    <w:tmpl w:val="7588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B947C8"/>
    <w:multiLevelType w:val="hybridMultilevel"/>
    <w:tmpl w:val="847CF3CA"/>
    <w:lvl w:ilvl="0" w:tplc="A10612CE">
      <w:start w:val="1"/>
      <w:numFmt w:val="lowerLetter"/>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CB4E26"/>
    <w:multiLevelType w:val="hybridMultilevel"/>
    <w:tmpl w:val="80CEF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860E52"/>
    <w:multiLevelType w:val="hybridMultilevel"/>
    <w:tmpl w:val="CAB88E9E"/>
    <w:lvl w:ilvl="0" w:tplc="0409000F">
      <w:start w:val="1"/>
      <w:numFmt w:val="decimal"/>
      <w:lvlText w:val="%1."/>
      <w:lvlJc w:val="left"/>
      <w:pPr>
        <w:ind w:left="720" w:hanging="360"/>
      </w:pPr>
    </w:lvl>
    <w:lvl w:ilvl="1" w:tplc="1696DD88">
      <w:start w:val="1"/>
      <w:numFmt w:val="lowerLetter"/>
      <w:lvlText w:val="%2."/>
      <w:lvlJc w:val="left"/>
      <w:pPr>
        <w:ind w:left="1575" w:hanging="49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16"/>
  </w:num>
  <w:num w:numId="4">
    <w:abstractNumId w:val="19"/>
  </w:num>
  <w:num w:numId="5">
    <w:abstractNumId w:val="5"/>
  </w:num>
  <w:num w:numId="6">
    <w:abstractNumId w:val="11"/>
  </w:num>
  <w:num w:numId="7">
    <w:abstractNumId w:val="9"/>
  </w:num>
  <w:num w:numId="8">
    <w:abstractNumId w:val="6"/>
  </w:num>
  <w:num w:numId="9">
    <w:abstractNumId w:val="17"/>
  </w:num>
  <w:num w:numId="10">
    <w:abstractNumId w:val="8"/>
  </w:num>
  <w:num w:numId="11">
    <w:abstractNumId w:val="10"/>
  </w:num>
  <w:num w:numId="12">
    <w:abstractNumId w:val="20"/>
  </w:num>
  <w:num w:numId="13">
    <w:abstractNumId w:val="15"/>
  </w:num>
  <w:num w:numId="14">
    <w:abstractNumId w:val="14"/>
  </w:num>
  <w:num w:numId="15">
    <w:abstractNumId w:val="18"/>
  </w:num>
  <w:num w:numId="16">
    <w:abstractNumId w:val="12"/>
  </w:num>
  <w:num w:numId="17">
    <w:abstractNumId w:val="13"/>
  </w:num>
  <w:num w:numId="18">
    <w:abstractNumId w:val="4"/>
  </w:num>
  <w:num w:numId="19">
    <w:abstractNumId w:val="0"/>
  </w:num>
  <w:num w:numId="20">
    <w:abstractNumId w:val="2"/>
  </w:num>
  <w:num w:numId="21">
    <w:abstractNumId w:val="3"/>
  </w:num>
  <w:num w:numId="22">
    <w:abstractNumId w:val="1"/>
  </w:num>
  <w:num w:numId="23">
    <w:abstractNumId w:val="2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B4FF0"/>
    <w:rsid w:val="00021169"/>
    <w:rsid w:val="000242CD"/>
    <w:rsid w:val="00024560"/>
    <w:rsid w:val="000345CB"/>
    <w:rsid w:val="000345E5"/>
    <w:rsid w:val="00067482"/>
    <w:rsid w:val="00082C35"/>
    <w:rsid w:val="0009098D"/>
    <w:rsid w:val="00092000"/>
    <w:rsid w:val="000A0DF6"/>
    <w:rsid w:val="000A6D99"/>
    <w:rsid w:val="000B08D8"/>
    <w:rsid w:val="000B75D9"/>
    <w:rsid w:val="000C0D0B"/>
    <w:rsid w:val="000D2756"/>
    <w:rsid w:val="000D3A37"/>
    <w:rsid w:val="00102776"/>
    <w:rsid w:val="00103E6C"/>
    <w:rsid w:val="0011130A"/>
    <w:rsid w:val="001142F9"/>
    <w:rsid w:val="001312F0"/>
    <w:rsid w:val="00154B71"/>
    <w:rsid w:val="001724EC"/>
    <w:rsid w:val="0017338D"/>
    <w:rsid w:val="00176567"/>
    <w:rsid w:val="00180BBD"/>
    <w:rsid w:val="001A6E62"/>
    <w:rsid w:val="001B7D67"/>
    <w:rsid w:val="001C4157"/>
    <w:rsid w:val="001C50CA"/>
    <w:rsid w:val="001D2229"/>
    <w:rsid w:val="001D2AD0"/>
    <w:rsid w:val="001D6CAD"/>
    <w:rsid w:val="001E28F4"/>
    <w:rsid w:val="001F0BF4"/>
    <w:rsid w:val="00204ADD"/>
    <w:rsid w:val="0020549C"/>
    <w:rsid w:val="00207231"/>
    <w:rsid w:val="00213009"/>
    <w:rsid w:val="00215395"/>
    <w:rsid w:val="00235D9F"/>
    <w:rsid w:val="00236312"/>
    <w:rsid w:val="00252229"/>
    <w:rsid w:val="002612C4"/>
    <w:rsid w:val="00275E02"/>
    <w:rsid w:val="00276CBA"/>
    <w:rsid w:val="00290E2D"/>
    <w:rsid w:val="002A748E"/>
    <w:rsid w:val="002C0044"/>
    <w:rsid w:val="002C10EA"/>
    <w:rsid w:val="002C60C7"/>
    <w:rsid w:val="002C7358"/>
    <w:rsid w:val="002D725B"/>
    <w:rsid w:val="002D77B7"/>
    <w:rsid w:val="002F5044"/>
    <w:rsid w:val="002F50C6"/>
    <w:rsid w:val="002F72F8"/>
    <w:rsid w:val="00312610"/>
    <w:rsid w:val="00313119"/>
    <w:rsid w:val="0033569A"/>
    <w:rsid w:val="003516C2"/>
    <w:rsid w:val="00361E4C"/>
    <w:rsid w:val="003661E7"/>
    <w:rsid w:val="00380FF3"/>
    <w:rsid w:val="003829B4"/>
    <w:rsid w:val="00382E48"/>
    <w:rsid w:val="003A50F7"/>
    <w:rsid w:val="003B7E5C"/>
    <w:rsid w:val="00403B00"/>
    <w:rsid w:val="0042501C"/>
    <w:rsid w:val="00441ACB"/>
    <w:rsid w:val="00445497"/>
    <w:rsid w:val="00451A1B"/>
    <w:rsid w:val="00456433"/>
    <w:rsid w:val="00456FEB"/>
    <w:rsid w:val="00463622"/>
    <w:rsid w:val="00465236"/>
    <w:rsid w:val="00474549"/>
    <w:rsid w:val="004967E1"/>
    <w:rsid w:val="004A4807"/>
    <w:rsid w:val="004B3060"/>
    <w:rsid w:val="004B35DF"/>
    <w:rsid w:val="004D4438"/>
    <w:rsid w:val="005213C0"/>
    <w:rsid w:val="005246F3"/>
    <w:rsid w:val="005271B0"/>
    <w:rsid w:val="00541E12"/>
    <w:rsid w:val="005759B8"/>
    <w:rsid w:val="00585004"/>
    <w:rsid w:val="005A31E2"/>
    <w:rsid w:val="005A4A13"/>
    <w:rsid w:val="005B041D"/>
    <w:rsid w:val="005B0DD0"/>
    <w:rsid w:val="005B4D1F"/>
    <w:rsid w:val="005B753B"/>
    <w:rsid w:val="005D3A96"/>
    <w:rsid w:val="005E3D02"/>
    <w:rsid w:val="005F1D06"/>
    <w:rsid w:val="00612BAC"/>
    <w:rsid w:val="00650A8E"/>
    <w:rsid w:val="00654A10"/>
    <w:rsid w:val="00671B52"/>
    <w:rsid w:val="0067712A"/>
    <w:rsid w:val="006B1F47"/>
    <w:rsid w:val="006C463C"/>
    <w:rsid w:val="006C473E"/>
    <w:rsid w:val="006C764A"/>
    <w:rsid w:val="006E28A1"/>
    <w:rsid w:val="006E3BF2"/>
    <w:rsid w:val="00710823"/>
    <w:rsid w:val="007129BA"/>
    <w:rsid w:val="00720FB0"/>
    <w:rsid w:val="007422E6"/>
    <w:rsid w:val="0076222C"/>
    <w:rsid w:val="00773D61"/>
    <w:rsid w:val="007917FA"/>
    <w:rsid w:val="00796FDB"/>
    <w:rsid w:val="007A6FB0"/>
    <w:rsid w:val="007A7DA1"/>
    <w:rsid w:val="007B1C7C"/>
    <w:rsid w:val="007B4FF0"/>
    <w:rsid w:val="007D1F0C"/>
    <w:rsid w:val="007E5224"/>
    <w:rsid w:val="007E6017"/>
    <w:rsid w:val="007E7206"/>
    <w:rsid w:val="00802B99"/>
    <w:rsid w:val="0082416F"/>
    <w:rsid w:val="00834A0E"/>
    <w:rsid w:val="008444B7"/>
    <w:rsid w:val="0084534A"/>
    <w:rsid w:val="00846AA9"/>
    <w:rsid w:val="00850F67"/>
    <w:rsid w:val="00881150"/>
    <w:rsid w:val="00890965"/>
    <w:rsid w:val="008D4DD9"/>
    <w:rsid w:val="008D693A"/>
    <w:rsid w:val="008E1C65"/>
    <w:rsid w:val="00915AE5"/>
    <w:rsid w:val="009507CF"/>
    <w:rsid w:val="00965589"/>
    <w:rsid w:val="0097001F"/>
    <w:rsid w:val="009901B1"/>
    <w:rsid w:val="009B7C8D"/>
    <w:rsid w:val="009E40D6"/>
    <w:rsid w:val="00A012C0"/>
    <w:rsid w:val="00A054E8"/>
    <w:rsid w:val="00A06AF3"/>
    <w:rsid w:val="00A11BD5"/>
    <w:rsid w:val="00A14CFA"/>
    <w:rsid w:val="00A16467"/>
    <w:rsid w:val="00A35F96"/>
    <w:rsid w:val="00A36058"/>
    <w:rsid w:val="00A63E8A"/>
    <w:rsid w:val="00A6753F"/>
    <w:rsid w:val="00A91B7A"/>
    <w:rsid w:val="00A97E0C"/>
    <w:rsid w:val="00AA21D3"/>
    <w:rsid w:val="00AB3122"/>
    <w:rsid w:val="00AC0DAB"/>
    <w:rsid w:val="00AC3C0E"/>
    <w:rsid w:val="00AC49E0"/>
    <w:rsid w:val="00AD02A1"/>
    <w:rsid w:val="00AD0ABD"/>
    <w:rsid w:val="00AE4CFB"/>
    <w:rsid w:val="00AF002A"/>
    <w:rsid w:val="00AF04F1"/>
    <w:rsid w:val="00AF461F"/>
    <w:rsid w:val="00AF4FBF"/>
    <w:rsid w:val="00AF6A60"/>
    <w:rsid w:val="00B23786"/>
    <w:rsid w:val="00B36125"/>
    <w:rsid w:val="00B368AC"/>
    <w:rsid w:val="00B44003"/>
    <w:rsid w:val="00B61B81"/>
    <w:rsid w:val="00B70506"/>
    <w:rsid w:val="00B8065F"/>
    <w:rsid w:val="00BA5E31"/>
    <w:rsid w:val="00BA6517"/>
    <w:rsid w:val="00BB3A8B"/>
    <w:rsid w:val="00BB6ED2"/>
    <w:rsid w:val="00BB7F69"/>
    <w:rsid w:val="00BD3121"/>
    <w:rsid w:val="00BD3C8B"/>
    <w:rsid w:val="00BD6AD0"/>
    <w:rsid w:val="00BE0B94"/>
    <w:rsid w:val="00BF3FEF"/>
    <w:rsid w:val="00C174BB"/>
    <w:rsid w:val="00C3466F"/>
    <w:rsid w:val="00C37D74"/>
    <w:rsid w:val="00C44C68"/>
    <w:rsid w:val="00C45A39"/>
    <w:rsid w:val="00C47A00"/>
    <w:rsid w:val="00C50C57"/>
    <w:rsid w:val="00C51354"/>
    <w:rsid w:val="00C53246"/>
    <w:rsid w:val="00C57B45"/>
    <w:rsid w:val="00C66112"/>
    <w:rsid w:val="00C807B2"/>
    <w:rsid w:val="00C822A1"/>
    <w:rsid w:val="00C825D8"/>
    <w:rsid w:val="00C82D6E"/>
    <w:rsid w:val="00C84EBA"/>
    <w:rsid w:val="00CB34D9"/>
    <w:rsid w:val="00CC6AA1"/>
    <w:rsid w:val="00CD105C"/>
    <w:rsid w:val="00CE2834"/>
    <w:rsid w:val="00CF30A9"/>
    <w:rsid w:val="00CF518D"/>
    <w:rsid w:val="00CF6DF5"/>
    <w:rsid w:val="00D017FB"/>
    <w:rsid w:val="00D044D5"/>
    <w:rsid w:val="00D15B9E"/>
    <w:rsid w:val="00D16DC0"/>
    <w:rsid w:val="00D2104B"/>
    <w:rsid w:val="00D2228B"/>
    <w:rsid w:val="00D42A33"/>
    <w:rsid w:val="00D45379"/>
    <w:rsid w:val="00D531C5"/>
    <w:rsid w:val="00D57AAD"/>
    <w:rsid w:val="00D97E5B"/>
    <w:rsid w:val="00DB7FC8"/>
    <w:rsid w:val="00DC197E"/>
    <w:rsid w:val="00DC2D83"/>
    <w:rsid w:val="00DD50C9"/>
    <w:rsid w:val="00DE1C68"/>
    <w:rsid w:val="00DF4FBF"/>
    <w:rsid w:val="00DF556A"/>
    <w:rsid w:val="00E166B1"/>
    <w:rsid w:val="00E22A6E"/>
    <w:rsid w:val="00E25EE4"/>
    <w:rsid w:val="00E425B8"/>
    <w:rsid w:val="00E46AD0"/>
    <w:rsid w:val="00E5114F"/>
    <w:rsid w:val="00E57E8C"/>
    <w:rsid w:val="00E7468F"/>
    <w:rsid w:val="00E80F25"/>
    <w:rsid w:val="00EA1958"/>
    <w:rsid w:val="00EA3402"/>
    <w:rsid w:val="00EA5E7C"/>
    <w:rsid w:val="00EC0871"/>
    <w:rsid w:val="00EE0184"/>
    <w:rsid w:val="00EE608E"/>
    <w:rsid w:val="00EF62A8"/>
    <w:rsid w:val="00F17F18"/>
    <w:rsid w:val="00F36DA4"/>
    <w:rsid w:val="00F41CAD"/>
    <w:rsid w:val="00F43AED"/>
    <w:rsid w:val="00F70BA8"/>
    <w:rsid w:val="00F72502"/>
    <w:rsid w:val="00F7286A"/>
    <w:rsid w:val="00F775C9"/>
    <w:rsid w:val="00F85B5E"/>
    <w:rsid w:val="00F90C0E"/>
    <w:rsid w:val="00F9384D"/>
    <w:rsid w:val="00FA60A0"/>
    <w:rsid w:val="00FA750A"/>
    <w:rsid w:val="00FB1E20"/>
    <w:rsid w:val="00FB6476"/>
    <w:rsid w:val="00FC7CDB"/>
    <w:rsid w:val="00FD71FF"/>
    <w:rsid w:val="00FE6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FF0"/>
    <w:pPr>
      <w:ind w:left="720"/>
      <w:contextualSpacing/>
    </w:pPr>
  </w:style>
  <w:style w:type="paragraph" w:customStyle="1" w:styleId="Default">
    <w:name w:val="Default"/>
    <w:rsid w:val="007B4FF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F518D"/>
    <w:rPr>
      <w:b/>
      <w:bCs/>
    </w:rPr>
  </w:style>
  <w:style w:type="character" w:styleId="Emphasis">
    <w:name w:val="Emphasis"/>
    <w:basedOn w:val="DefaultParagraphFont"/>
    <w:uiPriority w:val="20"/>
    <w:qFormat/>
    <w:rsid w:val="00CF518D"/>
    <w:rPr>
      <w:i/>
      <w:iCs/>
    </w:rPr>
  </w:style>
  <w:style w:type="table" w:styleId="LightList-Accent5">
    <w:name w:val="Light List Accent 5"/>
    <w:basedOn w:val="TableNormal"/>
    <w:uiPriority w:val="61"/>
    <w:rsid w:val="008D693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8D693A"/>
    <w:rPr>
      <w:color w:val="0000FF" w:themeColor="hyperlink"/>
      <w:u w:val="single"/>
    </w:rPr>
  </w:style>
  <w:style w:type="paragraph" w:styleId="Header">
    <w:name w:val="header"/>
    <w:basedOn w:val="Normal"/>
    <w:link w:val="HeaderChar"/>
    <w:uiPriority w:val="99"/>
    <w:semiHidden/>
    <w:unhideWhenUsed/>
    <w:rsid w:val="008D6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693A"/>
  </w:style>
  <w:style w:type="paragraph" w:styleId="Footer">
    <w:name w:val="footer"/>
    <w:basedOn w:val="Normal"/>
    <w:link w:val="FooterChar"/>
    <w:uiPriority w:val="99"/>
    <w:unhideWhenUsed/>
    <w:rsid w:val="008D6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93A"/>
  </w:style>
  <w:style w:type="paragraph" w:styleId="BalloonText">
    <w:name w:val="Balloon Text"/>
    <w:basedOn w:val="Normal"/>
    <w:link w:val="BalloonTextChar"/>
    <w:uiPriority w:val="99"/>
    <w:semiHidden/>
    <w:unhideWhenUsed/>
    <w:rsid w:val="003A5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0F7"/>
    <w:rPr>
      <w:rFonts w:ascii="Tahoma" w:hAnsi="Tahoma" w:cs="Tahoma"/>
      <w:sz w:val="16"/>
      <w:szCs w:val="16"/>
    </w:rPr>
  </w:style>
  <w:style w:type="character" w:styleId="CommentReference">
    <w:name w:val="annotation reference"/>
    <w:basedOn w:val="DefaultParagraphFont"/>
    <w:uiPriority w:val="99"/>
    <w:semiHidden/>
    <w:unhideWhenUsed/>
    <w:rsid w:val="007B1C7C"/>
    <w:rPr>
      <w:sz w:val="16"/>
      <w:szCs w:val="16"/>
    </w:rPr>
  </w:style>
  <w:style w:type="paragraph" w:styleId="CommentText">
    <w:name w:val="annotation text"/>
    <w:basedOn w:val="Normal"/>
    <w:link w:val="CommentTextChar"/>
    <w:uiPriority w:val="99"/>
    <w:semiHidden/>
    <w:unhideWhenUsed/>
    <w:rsid w:val="007B1C7C"/>
    <w:pPr>
      <w:spacing w:line="240" w:lineRule="auto"/>
    </w:pPr>
    <w:rPr>
      <w:sz w:val="20"/>
      <w:szCs w:val="20"/>
    </w:rPr>
  </w:style>
  <w:style w:type="character" w:customStyle="1" w:styleId="CommentTextChar">
    <w:name w:val="Comment Text Char"/>
    <w:basedOn w:val="DefaultParagraphFont"/>
    <w:link w:val="CommentText"/>
    <w:uiPriority w:val="99"/>
    <w:semiHidden/>
    <w:rsid w:val="007B1C7C"/>
    <w:rPr>
      <w:sz w:val="20"/>
      <w:szCs w:val="20"/>
    </w:rPr>
  </w:style>
  <w:style w:type="paragraph" w:styleId="CommentSubject">
    <w:name w:val="annotation subject"/>
    <w:basedOn w:val="CommentText"/>
    <w:next w:val="CommentText"/>
    <w:link w:val="CommentSubjectChar"/>
    <w:uiPriority w:val="99"/>
    <w:semiHidden/>
    <w:unhideWhenUsed/>
    <w:rsid w:val="007B1C7C"/>
    <w:rPr>
      <w:b/>
      <w:bCs/>
    </w:rPr>
  </w:style>
  <w:style w:type="character" w:customStyle="1" w:styleId="CommentSubjectChar">
    <w:name w:val="Comment Subject Char"/>
    <w:basedOn w:val="CommentTextChar"/>
    <w:link w:val="CommentSubject"/>
    <w:uiPriority w:val="99"/>
    <w:semiHidden/>
    <w:rsid w:val="007B1C7C"/>
    <w:rPr>
      <w:b/>
      <w:bCs/>
    </w:rPr>
  </w:style>
  <w:style w:type="paragraph" w:styleId="FootnoteText">
    <w:name w:val="footnote text"/>
    <w:basedOn w:val="Normal"/>
    <w:link w:val="FootnoteTextChar"/>
    <w:uiPriority w:val="99"/>
    <w:semiHidden/>
    <w:unhideWhenUsed/>
    <w:rsid w:val="00A054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4E8"/>
    <w:rPr>
      <w:sz w:val="20"/>
      <w:szCs w:val="20"/>
    </w:rPr>
  </w:style>
  <w:style w:type="character" w:styleId="FootnoteReference">
    <w:name w:val="footnote reference"/>
    <w:basedOn w:val="DefaultParagraphFont"/>
    <w:uiPriority w:val="99"/>
    <w:semiHidden/>
    <w:unhideWhenUsed/>
    <w:rsid w:val="00A054E8"/>
    <w:rPr>
      <w:vertAlign w:val="superscript"/>
    </w:rPr>
  </w:style>
</w:styles>
</file>

<file path=word/webSettings.xml><?xml version="1.0" encoding="utf-8"?>
<w:webSettings xmlns:r="http://schemas.openxmlformats.org/officeDocument/2006/relationships" xmlns:w="http://schemas.openxmlformats.org/wordprocessingml/2006/main">
  <w:divs>
    <w:div w:id="405303001">
      <w:bodyDiv w:val="1"/>
      <w:marLeft w:val="0"/>
      <w:marRight w:val="0"/>
      <w:marTop w:val="0"/>
      <w:marBottom w:val="0"/>
      <w:divBdr>
        <w:top w:val="none" w:sz="0" w:space="0" w:color="auto"/>
        <w:left w:val="none" w:sz="0" w:space="0" w:color="auto"/>
        <w:bottom w:val="none" w:sz="0" w:space="0" w:color="auto"/>
        <w:right w:val="none" w:sz="0" w:space="0" w:color="auto"/>
      </w:divBdr>
    </w:div>
    <w:div w:id="1006320701">
      <w:bodyDiv w:val="1"/>
      <w:marLeft w:val="0"/>
      <w:marRight w:val="0"/>
      <w:marTop w:val="0"/>
      <w:marBottom w:val="0"/>
      <w:divBdr>
        <w:top w:val="none" w:sz="0" w:space="0" w:color="auto"/>
        <w:left w:val="none" w:sz="0" w:space="0" w:color="auto"/>
        <w:bottom w:val="none" w:sz="0" w:space="0" w:color="auto"/>
        <w:right w:val="none" w:sz="0" w:space="0" w:color="auto"/>
      </w:divBdr>
      <w:divsChild>
        <w:div w:id="989288489">
          <w:marLeft w:val="0"/>
          <w:marRight w:val="0"/>
          <w:marTop w:val="0"/>
          <w:marBottom w:val="0"/>
          <w:divBdr>
            <w:top w:val="none" w:sz="0" w:space="0" w:color="auto"/>
            <w:left w:val="none" w:sz="0" w:space="0" w:color="auto"/>
            <w:bottom w:val="none" w:sz="0" w:space="0" w:color="auto"/>
            <w:right w:val="none" w:sz="0" w:space="0" w:color="auto"/>
          </w:divBdr>
          <w:divsChild>
            <w:div w:id="2115512928">
              <w:marLeft w:val="0"/>
              <w:marRight w:val="0"/>
              <w:marTop w:val="0"/>
              <w:marBottom w:val="0"/>
              <w:divBdr>
                <w:top w:val="none" w:sz="0" w:space="0" w:color="auto"/>
                <w:left w:val="single" w:sz="12" w:space="0" w:color="000000"/>
                <w:bottom w:val="single" w:sz="12" w:space="0" w:color="000000"/>
                <w:right w:val="single" w:sz="12" w:space="0" w:color="000000"/>
              </w:divBdr>
              <w:divsChild>
                <w:div w:id="328367439">
                  <w:marLeft w:val="0"/>
                  <w:marRight w:val="0"/>
                  <w:marTop w:val="0"/>
                  <w:marBottom w:val="0"/>
                  <w:divBdr>
                    <w:top w:val="none" w:sz="0" w:space="0" w:color="auto"/>
                    <w:left w:val="none" w:sz="0" w:space="0" w:color="auto"/>
                    <w:bottom w:val="none" w:sz="0" w:space="0" w:color="auto"/>
                    <w:right w:val="none" w:sz="0" w:space="0" w:color="auto"/>
                  </w:divBdr>
                  <w:divsChild>
                    <w:div w:id="2037192970">
                      <w:marLeft w:val="225"/>
                      <w:marRight w:val="0"/>
                      <w:marTop w:val="0"/>
                      <w:marBottom w:val="0"/>
                      <w:divBdr>
                        <w:top w:val="none" w:sz="0" w:space="0" w:color="auto"/>
                        <w:left w:val="none" w:sz="0" w:space="0" w:color="auto"/>
                        <w:bottom w:val="none" w:sz="0" w:space="0" w:color="auto"/>
                        <w:right w:val="none" w:sz="0" w:space="0" w:color="auto"/>
                      </w:divBdr>
                      <w:divsChild>
                        <w:div w:id="2093577461">
                          <w:marLeft w:val="60"/>
                          <w:marRight w:val="0"/>
                          <w:marTop w:val="150"/>
                          <w:marBottom w:val="0"/>
                          <w:divBdr>
                            <w:top w:val="none" w:sz="0" w:space="0" w:color="auto"/>
                            <w:left w:val="none" w:sz="0" w:space="0" w:color="auto"/>
                            <w:bottom w:val="none" w:sz="0" w:space="0" w:color="auto"/>
                            <w:right w:val="none" w:sz="0" w:space="0" w:color="auto"/>
                          </w:divBdr>
                          <w:divsChild>
                            <w:div w:id="291712570">
                              <w:marLeft w:val="0"/>
                              <w:marRight w:val="0"/>
                              <w:marTop w:val="450"/>
                              <w:marBottom w:val="0"/>
                              <w:divBdr>
                                <w:top w:val="none" w:sz="0" w:space="0" w:color="auto"/>
                                <w:left w:val="none" w:sz="0" w:space="0" w:color="auto"/>
                                <w:bottom w:val="none" w:sz="0" w:space="0" w:color="auto"/>
                                <w:right w:val="none" w:sz="0" w:space="0" w:color="auto"/>
                              </w:divBdr>
                              <w:divsChild>
                                <w:div w:id="6082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009360">
      <w:bodyDiv w:val="1"/>
      <w:marLeft w:val="0"/>
      <w:marRight w:val="0"/>
      <w:marTop w:val="0"/>
      <w:marBottom w:val="0"/>
      <w:divBdr>
        <w:top w:val="none" w:sz="0" w:space="0" w:color="auto"/>
        <w:left w:val="none" w:sz="0" w:space="0" w:color="auto"/>
        <w:bottom w:val="none" w:sz="0" w:space="0" w:color="auto"/>
        <w:right w:val="none" w:sz="0" w:space="0" w:color="auto"/>
      </w:divBdr>
      <w:divsChild>
        <w:div w:id="1332683833">
          <w:marLeft w:val="0"/>
          <w:marRight w:val="0"/>
          <w:marTop w:val="0"/>
          <w:marBottom w:val="0"/>
          <w:divBdr>
            <w:top w:val="none" w:sz="0" w:space="0" w:color="auto"/>
            <w:left w:val="none" w:sz="0" w:space="0" w:color="auto"/>
            <w:bottom w:val="none" w:sz="0" w:space="0" w:color="auto"/>
            <w:right w:val="none" w:sz="0" w:space="0" w:color="auto"/>
          </w:divBdr>
          <w:divsChild>
            <w:div w:id="936644434">
              <w:marLeft w:val="0"/>
              <w:marRight w:val="0"/>
              <w:marTop w:val="0"/>
              <w:marBottom w:val="0"/>
              <w:divBdr>
                <w:top w:val="none" w:sz="0" w:space="0" w:color="auto"/>
                <w:left w:val="single" w:sz="12" w:space="0" w:color="000000"/>
                <w:bottom w:val="single" w:sz="12" w:space="0" w:color="000000"/>
                <w:right w:val="single" w:sz="12" w:space="0" w:color="000000"/>
              </w:divBdr>
              <w:divsChild>
                <w:div w:id="313531429">
                  <w:marLeft w:val="0"/>
                  <w:marRight w:val="0"/>
                  <w:marTop w:val="0"/>
                  <w:marBottom w:val="0"/>
                  <w:divBdr>
                    <w:top w:val="none" w:sz="0" w:space="0" w:color="auto"/>
                    <w:left w:val="none" w:sz="0" w:space="0" w:color="auto"/>
                    <w:bottom w:val="none" w:sz="0" w:space="0" w:color="auto"/>
                    <w:right w:val="none" w:sz="0" w:space="0" w:color="auto"/>
                  </w:divBdr>
                  <w:divsChild>
                    <w:div w:id="702285465">
                      <w:marLeft w:val="225"/>
                      <w:marRight w:val="0"/>
                      <w:marTop w:val="0"/>
                      <w:marBottom w:val="0"/>
                      <w:divBdr>
                        <w:top w:val="none" w:sz="0" w:space="0" w:color="auto"/>
                        <w:left w:val="none" w:sz="0" w:space="0" w:color="auto"/>
                        <w:bottom w:val="none" w:sz="0" w:space="0" w:color="auto"/>
                        <w:right w:val="none" w:sz="0" w:space="0" w:color="auto"/>
                      </w:divBdr>
                      <w:divsChild>
                        <w:div w:id="1499034817">
                          <w:marLeft w:val="60"/>
                          <w:marRight w:val="0"/>
                          <w:marTop w:val="150"/>
                          <w:marBottom w:val="0"/>
                          <w:divBdr>
                            <w:top w:val="none" w:sz="0" w:space="0" w:color="auto"/>
                            <w:left w:val="none" w:sz="0" w:space="0" w:color="auto"/>
                            <w:bottom w:val="none" w:sz="0" w:space="0" w:color="auto"/>
                            <w:right w:val="none" w:sz="0" w:space="0" w:color="auto"/>
                          </w:divBdr>
                          <w:divsChild>
                            <w:div w:id="710572636">
                              <w:marLeft w:val="0"/>
                              <w:marRight w:val="0"/>
                              <w:marTop w:val="450"/>
                              <w:marBottom w:val="0"/>
                              <w:divBdr>
                                <w:top w:val="none" w:sz="0" w:space="0" w:color="auto"/>
                                <w:left w:val="none" w:sz="0" w:space="0" w:color="auto"/>
                                <w:bottom w:val="none" w:sz="0" w:space="0" w:color="auto"/>
                                <w:right w:val="none" w:sz="0" w:space="0" w:color="auto"/>
                              </w:divBdr>
                              <w:divsChild>
                                <w:div w:id="7673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247805">
      <w:bodyDiv w:val="1"/>
      <w:marLeft w:val="0"/>
      <w:marRight w:val="0"/>
      <w:marTop w:val="0"/>
      <w:marBottom w:val="0"/>
      <w:divBdr>
        <w:top w:val="none" w:sz="0" w:space="0" w:color="auto"/>
        <w:left w:val="none" w:sz="0" w:space="0" w:color="auto"/>
        <w:bottom w:val="none" w:sz="0" w:space="0" w:color="auto"/>
        <w:right w:val="none" w:sz="0" w:space="0" w:color="auto"/>
      </w:divBdr>
      <w:divsChild>
        <w:div w:id="1574780037">
          <w:marLeft w:val="0"/>
          <w:marRight w:val="0"/>
          <w:marTop w:val="0"/>
          <w:marBottom w:val="0"/>
          <w:divBdr>
            <w:top w:val="none" w:sz="0" w:space="0" w:color="auto"/>
            <w:left w:val="none" w:sz="0" w:space="0" w:color="auto"/>
            <w:bottom w:val="none" w:sz="0" w:space="0" w:color="auto"/>
            <w:right w:val="none" w:sz="0" w:space="0" w:color="auto"/>
          </w:divBdr>
          <w:divsChild>
            <w:div w:id="482696561">
              <w:marLeft w:val="0"/>
              <w:marRight w:val="0"/>
              <w:marTop w:val="0"/>
              <w:marBottom w:val="0"/>
              <w:divBdr>
                <w:top w:val="none" w:sz="0" w:space="0" w:color="auto"/>
                <w:left w:val="single" w:sz="12" w:space="0" w:color="000000"/>
                <w:bottom w:val="single" w:sz="12" w:space="0" w:color="000000"/>
                <w:right w:val="single" w:sz="12" w:space="0" w:color="000000"/>
              </w:divBdr>
              <w:divsChild>
                <w:div w:id="873075754">
                  <w:marLeft w:val="0"/>
                  <w:marRight w:val="0"/>
                  <w:marTop w:val="0"/>
                  <w:marBottom w:val="0"/>
                  <w:divBdr>
                    <w:top w:val="none" w:sz="0" w:space="0" w:color="auto"/>
                    <w:left w:val="none" w:sz="0" w:space="0" w:color="auto"/>
                    <w:bottom w:val="none" w:sz="0" w:space="0" w:color="auto"/>
                    <w:right w:val="none" w:sz="0" w:space="0" w:color="auto"/>
                  </w:divBdr>
                  <w:divsChild>
                    <w:div w:id="1375732531">
                      <w:marLeft w:val="225"/>
                      <w:marRight w:val="0"/>
                      <w:marTop w:val="0"/>
                      <w:marBottom w:val="0"/>
                      <w:divBdr>
                        <w:top w:val="none" w:sz="0" w:space="0" w:color="auto"/>
                        <w:left w:val="none" w:sz="0" w:space="0" w:color="auto"/>
                        <w:bottom w:val="none" w:sz="0" w:space="0" w:color="auto"/>
                        <w:right w:val="none" w:sz="0" w:space="0" w:color="auto"/>
                      </w:divBdr>
                      <w:divsChild>
                        <w:div w:id="1414859689">
                          <w:marLeft w:val="60"/>
                          <w:marRight w:val="0"/>
                          <w:marTop w:val="150"/>
                          <w:marBottom w:val="0"/>
                          <w:divBdr>
                            <w:top w:val="none" w:sz="0" w:space="0" w:color="auto"/>
                            <w:left w:val="none" w:sz="0" w:space="0" w:color="auto"/>
                            <w:bottom w:val="none" w:sz="0" w:space="0" w:color="auto"/>
                            <w:right w:val="none" w:sz="0" w:space="0" w:color="auto"/>
                          </w:divBdr>
                          <w:divsChild>
                            <w:div w:id="957683369">
                              <w:marLeft w:val="0"/>
                              <w:marRight w:val="0"/>
                              <w:marTop w:val="450"/>
                              <w:marBottom w:val="0"/>
                              <w:divBdr>
                                <w:top w:val="none" w:sz="0" w:space="0" w:color="auto"/>
                                <w:left w:val="none" w:sz="0" w:space="0" w:color="auto"/>
                                <w:bottom w:val="none" w:sz="0" w:space="0" w:color="auto"/>
                                <w:right w:val="none" w:sz="0" w:space="0" w:color="auto"/>
                              </w:divBdr>
                              <w:divsChild>
                                <w:div w:id="8250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229607">
      <w:bodyDiv w:val="1"/>
      <w:marLeft w:val="0"/>
      <w:marRight w:val="0"/>
      <w:marTop w:val="0"/>
      <w:marBottom w:val="0"/>
      <w:divBdr>
        <w:top w:val="none" w:sz="0" w:space="0" w:color="auto"/>
        <w:left w:val="none" w:sz="0" w:space="0" w:color="auto"/>
        <w:bottom w:val="none" w:sz="0" w:space="0" w:color="auto"/>
        <w:right w:val="none" w:sz="0" w:space="0" w:color="auto"/>
      </w:divBdr>
    </w:div>
    <w:div w:id="1891453267">
      <w:bodyDiv w:val="1"/>
      <w:marLeft w:val="0"/>
      <w:marRight w:val="0"/>
      <w:marTop w:val="0"/>
      <w:marBottom w:val="0"/>
      <w:divBdr>
        <w:top w:val="none" w:sz="0" w:space="0" w:color="auto"/>
        <w:left w:val="none" w:sz="0" w:space="0" w:color="auto"/>
        <w:bottom w:val="none" w:sz="0" w:space="0" w:color="auto"/>
        <w:right w:val="none" w:sz="0" w:space="0" w:color="auto"/>
      </w:divBdr>
      <w:divsChild>
        <w:div w:id="1712880121">
          <w:marLeft w:val="0"/>
          <w:marRight w:val="0"/>
          <w:marTop w:val="0"/>
          <w:marBottom w:val="0"/>
          <w:divBdr>
            <w:top w:val="none" w:sz="0" w:space="0" w:color="auto"/>
            <w:left w:val="none" w:sz="0" w:space="0" w:color="auto"/>
            <w:bottom w:val="none" w:sz="0" w:space="0" w:color="auto"/>
            <w:right w:val="none" w:sz="0" w:space="0" w:color="auto"/>
          </w:divBdr>
          <w:divsChild>
            <w:div w:id="1666588023">
              <w:marLeft w:val="0"/>
              <w:marRight w:val="0"/>
              <w:marTop w:val="0"/>
              <w:marBottom w:val="0"/>
              <w:divBdr>
                <w:top w:val="none" w:sz="0" w:space="0" w:color="auto"/>
                <w:left w:val="single" w:sz="12" w:space="0" w:color="000000"/>
                <w:bottom w:val="single" w:sz="12" w:space="0" w:color="000000"/>
                <w:right w:val="single" w:sz="12" w:space="0" w:color="000000"/>
              </w:divBdr>
              <w:divsChild>
                <w:div w:id="127280350">
                  <w:marLeft w:val="0"/>
                  <w:marRight w:val="0"/>
                  <w:marTop w:val="0"/>
                  <w:marBottom w:val="0"/>
                  <w:divBdr>
                    <w:top w:val="none" w:sz="0" w:space="0" w:color="auto"/>
                    <w:left w:val="none" w:sz="0" w:space="0" w:color="auto"/>
                    <w:bottom w:val="none" w:sz="0" w:space="0" w:color="auto"/>
                    <w:right w:val="none" w:sz="0" w:space="0" w:color="auto"/>
                  </w:divBdr>
                  <w:divsChild>
                    <w:div w:id="1244224175">
                      <w:marLeft w:val="225"/>
                      <w:marRight w:val="0"/>
                      <w:marTop w:val="0"/>
                      <w:marBottom w:val="0"/>
                      <w:divBdr>
                        <w:top w:val="none" w:sz="0" w:space="0" w:color="auto"/>
                        <w:left w:val="none" w:sz="0" w:space="0" w:color="auto"/>
                        <w:bottom w:val="none" w:sz="0" w:space="0" w:color="auto"/>
                        <w:right w:val="none" w:sz="0" w:space="0" w:color="auto"/>
                      </w:divBdr>
                      <w:divsChild>
                        <w:div w:id="1104694196">
                          <w:marLeft w:val="60"/>
                          <w:marRight w:val="0"/>
                          <w:marTop w:val="150"/>
                          <w:marBottom w:val="0"/>
                          <w:divBdr>
                            <w:top w:val="none" w:sz="0" w:space="0" w:color="auto"/>
                            <w:left w:val="none" w:sz="0" w:space="0" w:color="auto"/>
                            <w:bottom w:val="none" w:sz="0" w:space="0" w:color="auto"/>
                            <w:right w:val="none" w:sz="0" w:space="0" w:color="auto"/>
                          </w:divBdr>
                          <w:divsChild>
                            <w:div w:id="808669398">
                              <w:marLeft w:val="0"/>
                              <w:marRight w:val="0"/>
                              <w:marTop w:val="450"/>
                              <w:marBottom w:val="0"/>
                              <w:divBdr>
                                <w:top w:val="none" w:sz="0" w:space="0" w:color="auto"/>
                                <w:left w:val="none" w:sz="0" w:space="0" w:color="auto"/>
                                <w:bottom w:val="none" w:sz="0" w:space="0" w:color="auto"/>
                                <w:right w:val="none" w:sz="0" w:space="0" w:color="auto"/>
                              </w:divBdr>
                              <w:divsChild>
                                <w:div w:id="1438335125">
                                  <w:marLeft w:val="0"/>
                                  <w:marRight w:val="0"/>
                                  <w:marTop w:val="0"/>
                                  <w:marBottom w:val="0"/>
                                  <w:divBdr>
                                    <w:top w:val="none" w:sz="0" w:space="0" w:color="auto"/>
                                    <w:left w:val="none" w:sz="0" w:space="0" w:color="auto"/>
                                    <w:bottom w:val="none" w:sz="0" w:space="0" w:color="auto"/>
                                    <w:right w:val="none" w:sz="0" w:space="0" w:color="auto"/>
                                  </w:divBdr>
                                  <w:divsChild>
                                    <w:div w:id="337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tionalchildrensstudy.gov/about/organization/dacc/Pages/PolicyManualandDataUseAgre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B1F18-8996-4C93-9BC2-56D95952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10987</Words>
  <Characters>62627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73468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GlavinS</dc:creator>
  <cp:lastModifiedBy>hashemip</cp:lastModifiedBy>
  <cp:revision>6</cp:revision>
  <cp:lastPrinted>2011-02-08T14:50:00Z</cp:lastPrinted>
  <dcterms:created xsi:type="dcterms:W3CDTF">2011-02-10T18:14:00Z</dcterms:created>
  <dcterms:modified xsi:type="dcterms:W3CDTF">2011-02-23T14:21:00Z</dcterms:modified>
</cp:coreProperties>
</file>