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28C" w:rsidRDefault="004173D7">
      <w:pPr>
        <w:jc w:val="center"/>
        <w:rPr>
          <w:b/>
          <w:bCs/>
          <w:sz w:val="32"/>
          <w:szCs w:val="32"/>
        </w:rPr>
      </w:pPr>
      <w:r>
        <w:rPr>
          <w:b/>
          <w:bCs/>
          <w:sz w:val="32"/>
          <w:szCs w:val="32"/>
        </w:rPr>
        <w:t xml:space="preserve">ICR </w:t>
      </w:r>
      <w:r w:rsidR="00ED028C">
        <w:rPr>
          <w:b/>
          <w:bCs/>
          <w:sz w:val="32"/>
          <w:szCs w:val="32"/>
        </w:rPr>
        <w:t>Supporting Statement</w:t>
      </w:r>
      <w:r w:rsidR="00F43320">
        <w:rPr>
          <w:b/>
          <w:bCs/>
          <w:sz w:val="32"/>
          <w:szCs w:val="32"/>
        </w:rPr>
        <w:t xml:space="preserve"> </w:t>
      </w:r>
      <w:r w:rsidR="00743A2F">
        <w:rPr>
          <w:b/>
          <w:bCs/>
          <w:sz w:val="32"/>
          <w:szCs w:val="32"/>
        </w:rPr>
        <w:t xml:space="preserve">Part </w:t>
      </w:r>
      <w:r w:rsidR="00F43320">
        <w:rPr>
          <w:b/>
          <w:bCs/>
          <w:sz w:val="32"/>
          <w:szCs w:val="32"/>
        </w:rPr>
        <w:t>A</w:t>
      </w:r>
    </w:p>
    <w:p w:rsidR="00F0666F" w:rsidRDefault="00F0666F" w:rsidP="00F0666F">
      <w:pPr>
        <w:jc w:val="center"/>
        <w:rPr>
          <w:b/>
          <w:sz w:val="32"/>
          <w:szCs w:val="32"/>
        </w:rPr>
      </w:pPr>
    </w:p>
    <w:p w:rsidR="00F0666F" w:rsidRDefault="00F0666F" w:rsidP="00F0666F">
      <w:pPr>
        <w:jc w:val="center"/>
        <w:rPr>
          <w:b/>
          <w:sz w:val="32"/>
          <w:szCs w:val="32"/>
        </w:rPr>
      </w:pPr>
    </w:p>
    <w:p w:rsidR="00F0666F" w:rsidRPr="00F0666F" w:rsidRDefault="00F0666F" w:rsidP="00F0666F">
      <w:pPr>
        <w:rPr>
          <w:b/>
          <w:sz w:val="28"/>
          <w:szCs w:val="28"/>
        </w:rPr>
      </w:pPr>
      <w:r w:rsidRPr="00F0666F">
        <w:rPr>
          <w:b/>
          <w:sz w:val="28"/>
          <w:szCs w:val="28"/>
        </w:rPr>
        <w:t>Project Title: Division of Behavioral Surveillance (DBS) Gulf States Population Survey</w:t>
      </w:r>
    </w:p>
    <w:p w:rsidR="00F0666F" w:rsidRPr="00F0666F" w:rsidRDefault="00F0666F" w:rsidP="00F0666F">
      <w:pPr>
        <w:rPr>
          <w:b/>
          <w:sz w:val="28"/>
          <w:szCs w:val="28"/>
        </w:rPr>
      </w:pPr>
    </w:p>
    <w:p w:rsidR="00F0666F" w:rsidRPr="00F0666F" w:rsidRDefault="00FB01EE" w:rsidP="00F0666F">
      <w:pPr>
        <w:rPr>
          <w:b/>
          <w:sz w:val="28"/>
          <w:szCs w:val="28"/>
        </w:rPr>
      </w:pPr>
      <w:r>
        <w:rPr>
          <w:b/>
          <w:sz w:val="28"/>
          <w:szCs w:val="28"/>
        </w:rPr>
        <w:t>COTR/</w:t>
      </w:r>
      <w:r w:rsidR="00F0666F" w:rsidRPr="00F0666F">
        <w:rPr>
          <w:b/>
          <w:sz w:val="28"/>
          <w:szCs w:val="28"/>
        </w:rPr>
        <w:t>Project Officer: Deborah Gould, PhD</w:t>
      </w:r>
    </w:p>
    <w:p w:rsidR="00F0666F" w:rsidRPr="00F0666F" w:rsidRDefault="00F0666F" w:rsidP="00F0666F">
      <w:pPr>
        <w:rPr>
          <w:b/>
          <w:sz w:val="28"/>
          <w:szCs w:val="28"/>
        </w:rPr>
      </w:pPr>
      <w:r w:rsidRPr="00F0666F">
        <w:rPr>
          <w:b/>
          <w:sz w:val="28"/>
          <w:szCs w:val="28"/>
        </w:rPr>
        <w:t>Phone: 404-498-0562</w:t>
      </w:r>
    </w:p>
    <w:p w:rsidR="00F0666F" w:rsidRDefault="00F0666F" w:rsidP="00F0666F">
      <w:pPr>
        <w:rPr>
          <w:b/>
          <w:sz w:val="28"/>
          <w:szCs w:val="28"/>
        </w:rPr>
      </w:pPr>
      <w:r w:rsidRPr="00F0666F">
        <w:rPr>
          <w:b/>
          <w:sz w:val="28"/>
          <w:szCs w:val="28"/>
        </w:rPr>
        <w:t>Fax: 404-498-</w:t>
      </w:r>
      <w:r>
        <w:rPr>
          <w:b/>
          <w:sz w:val="28"/>
          <w:szCs w:val="28"/>
        </w:rPr>
        <w:t>0595</w:t>
      </w:r>
    </w:p>
    <w:p w:rsidR="00F0666F" w:rsidRPr="00F0666F" w:rsidRDefault="00F0666F" w:rsidP="00F0666F">
      <w:pPr>
        <w:rPr>
          <w:b/>
          <w:sz w:val="28"/>
          <w:szCs w:val="28"/>
        </w:rPr>
      </w:pPr>
      <w:r w:rsidRPr="00F0666F">
        <w:rPr>
          <w:b/>
          <w:sz w:val="28"/>
          <w:szCs w:val="28"/>
        </w:rPr>
        <w:t xml:space="preserve">E-Mail: </w:t>
      </w:r>
      <w:hyperlink r:id="rId8" w:history="1">
        <w:r w:rsidRPr="00F0666F">
          <w:rPr>
            <w:rStyle w:val="Hyperlink"/>
            <w:b/>
            <w:sz w:val="28"/>
            <w:szCs w:val="28"/>
          </w:rPr>
          <w:t>dgould@cdc.gov</w:t>
        </w:r>
      </w:hyperlink>
    </w:p>
    <w:p w:rsidR="00F0666F" w:rsidRPr="00F0666F" w:rsidRDefault="00F0666F" w:rsidP="00F0666F">
      <w:pPr>
        <w:rPr>
          <w:b/>
          <w:sz w:val="28"/>
          <w:szCs w:val="28"/>
        </w:rPr>
      </w:pPr>
    </w:p>
    <w:p w:rsidR="00744420" w:rsidRPr="00F0666F" w:rsidRDefault="00931674" w:rsidP="00F0666F">
      <w:pPr>
        <w:rPr>
          <w:b/>
          <w:sz w:val="28"/>
          <w:szCs w:val="28"/>
        </w:rPr>
      </w:pPr>
      <w:r w:rsidRPr="00F0666F">
        <w:rPr>
          <w:b/>
          <w:sz w:val="28"/>
          <w:szCs w:val="28"/>
        </w:rPr>
        <w:t>0</w:t>
      </w:r>
      <w:r w:rsidR="009E2A85" w:rsidRPr="00F0666F">
        <w:rPr>
          <w:b/>
          <w:sz w:val="28"/>
          <w:szCs w:val="28"/>
        </w:rPr>
        <w:t>3</w:t>
      </w:r>
      <w:r w:rsidR="00F43320" w:rsidRPr="00F0666F">
        <w:rPr>
          <w:b/>
          <w:sz w:val="28"/>
          <w:szCs w:val="28"/>
        </w:rPr>
        <w:t>/</w:t>
      </w:r>
      <w:r w:rsidR="009E2A85" w:rsidRPr="00F0666F">
        <w:rPr>
          <w:b/>
          <w:sz w:val="28"/>
          <w:szCs w:val="28"/>
        </w:rPr>
        <w:t>0</w:t>
      </w:r>
      <w:r w:rsidR="00F0666F" w:rsidRPr="00F0666F">
        <w:rPr>
          <w:b/>
          <w:sz w:val="28"/>
          <w:szCs w:val="28"/>
        </w:rPr>
        <w:t>2</w:t>
      </w:r>
      <w:r w:rsidR="00744420" w:rsidRPr="00F0666F">
        <w:rPr>
          <w:b/>
          <w:sz w:val="28"/>
          <w:szCs w:val="28"/>
        </w:rPr>
        <w:t>/201</w:t>
      </w:r>
      <w:r w:rsidRPr="00F0666F">
        <w:rPr>
          <w:b/>
          <w:sz w:val="28"/>
          <w:szCs w:val="28"/>
        </w:rPr>
        <w:t>1</w:t>
      </w:r>
    </w:p>
    <w:p w:rsidR="00ED028C" w:rsidRDefault="00ED028C">
      <w:pPr>
        <w:jc w:val="center"/>
        <w:rPr>
          <w:b/>
          <w:sz w:val="32"/>
          <w:szCs w:val="32"/>
        </w:rPr>
      </w:pPr>
    </w:p>
    <w:p w:rsidR="00ED028C" w:rsidRDefault="00ED028C">
      <w:pPr>
        <w:jc w:val="center"/>
        <w:rPr>
          <w:b/>
          <w:sz w:val="32"/>
          <w:szCs w:val="32"/>
        </w:rPr>
      </w:pPr>
    </w:p>
    <w:p w:rsidR="00F0666F" w:rsidRDefault="00F0666F" w:rsidP="00F0666F">
      <w:pPr>
        <w:pStyle w:val="Default"/>
      </w:pPr>
    </w:p>
    <w:p w:rsidR="00ED028C" w:rsidRDefault="00ED028C">
      <w:pPr>
        <w:jc w:val="center"/>
        <w:rPr>
          <w:b/>
          <w:sz w:val="32"/>
          <w:szCs w:val="32"/>
        </w:rPr>
      </w:pPr>
    </w:p>
    <w:p w:rsidR="00ED028C" w:rsidRDefault="00ED028C">
      <w:pPr>
        <w:jc w:val="center"/>
        <w:rPr>
          <w:b/>
          <w:sz w:val="32"/>
          <w:szCs w:val="32"/>
        </w:rPr>
      </w:pPr>
    </w:p>
    <w:p w:rsidR="00ED028C" w:rsidRDefault="00ED028C">
      <w:pPr>
        <w:jc w:val="center"/>
        <w:rPr>
          <w:b/>
          <w:sz w:val="32"/>
          <w:szCs w:val="32"/>
        </w:rPr>
      </w:pPr>
    </w:p>
    <w:p w:rsidR="00ED028C" w:rsidRDefault="00ED028C">
      <w:pPr>
        <w:jc w:val="center"/>
        <w:rPr>
          <w:b/>
          <w:sz w:val="32"/>
          <w:szCs w:val="32"/>
        </w:rPr>
      </w:pPr>
    </w:p>
    <w:p w:rsidR="009E2A85" w:rsidRDefault="009E2A85">
      <w:pPr>
        <w:rPr>
          <w:b/>
          <w:sz w:val="32"/>
          <w:szCs w:val="32"/>
        </w:rPr>
      </w:pPr>
    </w:p>
    <w:p w:rsidR="00ED028C" w:rsidRDefault="004173D7" w:rsidP="004173D7">
      <w:pPr>
        <w:tabs>
          <w:tab w:val="left" w:pos="5693"/>
        </w:tabs>
        <w:rPr>
          <w:b/>
          <w:sz w:val="32"/>
          <w:szCs w:val="32"/>
        </w:rPr>
      </w:pPr>
      <w:r>
        <w:rPr>
          <w:b/>
          <w:sz w:val="32"/>
          <w:szCs w:val="32"/>
        </w:rPr>
        <w:tab/>
      </w:r>
    </w:p>
    <w:p w:rsidR="00ED028C" w:rsidRDefault="00ED028C">
      <w:pPr>
        <w:rPr>
          <w:b/>
          <w:sz w:val="32"/>
          <w:szCs w:val="32"/>
        </w:rPr>
      </w:pPr>
    </w:p>
    <w:p w:rsidR="00ED028C" w:rsidRDefault="00ED028C">
      <w:pPr>
        <w:jc w:val="center"/>
        <w:rPr>
          <w:b/>
          <w:sz w:val="32"/>
          <w:szCs w:val="32"/>
        </w:rPr>
      </w:pPr>
    </w:p>
    <w:p w:rsidR="00ED028C" w:rsidRDefault="00ED028C">
      <w:pPr>
        <w:jc w:val="center"/>
        <w:rPr>
          <w:b/>
          <w:sz w:val="32"/>
          <w:szCs w:val="32"/>
        </w:rPr>
      </w:pPr>
    </w:p>
    <w:p w:rsidR="00ED028C" w:rsidRDefault="00ED028C">
      <w:pPr>
        <w:jc w:val="center"/>
        <w:rPr>
          <w:b/>
          <w:sz w:val="32"/>
          <w:szCs w:val="32"/>
        </w:rPr>
      </w:pPr>
    </w:p>
    <w:p w:rsidR="00ED028C" w:rsidRDefault="000D48BF">
      <w:pPr>
        <w:jc w:val="center"/>
        <w:rPr>
          <w:sz w:val="24"/>
        </w:rPr>
      </w:pPr>
      <w:r>
        <w:rPr>
          <w:iCs/>
          <w:sz w:val="24"/>
        </w:rPr>
        <w:br w:type="page"/>
      </w:r>
    </w:p>
    <w:p w:rsidR="0077042B" w:rsidRDefault="0077042B">
      <w:pPr>
        <w:pStyle w:val="TOCHeading"/>
      </w:pPr>
      <w:r>
        <w:lastRenderedPageBreak/>
        <w:t>Contents</w:t>
      </w:r>
    </w:p>
    <w:p w:rsidR="00E01920" w:rsidRPr="00E01920" w:rsidRDefault="00E01920" w:rsidP="00E01920"/>
    <w:p w:rsidR="00022593" w:rsidRDefault="00A93EE2">
      <w:pPr>
        <w:pStyle w:val="TOC2"/>
        <w:tabs>
          <w:tab w:val="left" w:pos="660"/>
          <w:tab w:val="right" w:leader="dot" w:pos="9782"/>
        </w:tabs>
        <w:rPr>
          <w:rFonts w:asciiTheme="minorHAnsi" w:eastAsiaTheme="minorEastAsia" w:hAnsiTheme="minorHAnsi" w:cstheme="minorBidi"/>
          <w:noProof/>
          <w:sz w:val="22"/>
          <w:szCs w:val="22"/>
        </w:rPr>
      </w:pPr>
      <w:r>
        <w:fldChar w:fldCharType="begin"/>
      </w:r>
      <w:r w:rsidR="0077042B">
        <w:instrText xml:space="preserve"> TOC \o "1-3" \h \z \u </w:instrText>
      </w:r>
      <w:r>
        <w:fldChar w:fldCharType="separate"/>
      </w:r>
      <w:hyperlink w:anchor="_Toc286743032" w:history="1">
        <w:r w:rsidR="00022593" w:rsidRPr="00A57673">
          <w:rPr>
            <w:rStyle w:val="Hyperlink"/>
            <w:noProof/>
          </w:rPr>
          <w:t>A.</w:t>
        </w:r>
        <w:r w:rsidR="00022593">
          <w:rPr>
            <w:rFonts w:asciiTheme="minorHAnsi" w:eastAsiaTheme="minorEastAsia" w:hAnsiTheme="minorHAnsi" w:cstheme="minorBidi"/>
            <w:noProof/>
            <w:sz w:val="22"/>
            <w:szCs w:val="22"/>
          </w:rPr>
          <w:tab/>
        </w:r>
        <w:r w:rsidR="00022593" w:rsidRPr="00A57673">
          <w:rPr>
            <w:rStyle w:val="Hyperlink"/>
            <w:noProof/>
          </w:rPr>
          <w:t>Justification</w:t>
        </w:r>
        <w:r w:rsidR="00022593">
          <w:rPr>
            <w:noProof/>
            <w:webHidden/>
          </w:rPr>
          <w:tab/>
        </w:r>
        <w:r>
          <w:rPr>
            <w:noProof/>
            <w:webHidden/>
          </w:rPr>
          <w:fldChar w:fldCharType="begin"/>
        </w:r>
        <w:r w:rsidR="00022593">
          <w:rPr>
            <w:noProof/>
            <w:webHidden/>
          </w:rPr>
          <w:instrText xml:space="preserve"> PAGEREF _Toc286743032 \h </w:instrText>
        </w:r>
        <w:r>
          <w:rPr>
            <w:noProof/>
            <w:webHidden/>
          </w:rPr>
        </w:r>
        <w:r>
          <w:rPr>
            <w:noProof/>
            <w:webHidden/>
          </w:rPr>
          <w:fldChar w:fldCharType="separate"/>
        </w:r>
        <w:r w:rsidR="00F97E59">
          <w:rPr>
            <w:noProof/>
            <w:webHidden/>
          </w:rPr>
          <w:t>3</w:t>
        </w:r>
        <w:r>
          <w:rPr>
            <w:noProof/>
            <w:webHidden/>
          </w:rPr>
          <w:fldChar w:fldCharType="end"/>
        </w:r>
      </w:hyperlink>
    </w:p>
    <w:p w:rsidR="00022593" w:rsidRDefault="00A93EE2">
      <w:pPr>
        <w:pStyle w:val="TOC3"/>
        <w:tabs>
          <w:tab w:val="left" w:pos="880"/>
          <w:tab w:val="right" w:leader="dot" w:pos="9782"/>
        </w:tabs>
        <w:rPr>
          <w:rFonts w:asciiTheme="minorHAnsi" w:eastAsiaTheme="minorEastAsia" w:hAnsiTheme="minorHAnsi" w:cstheme="minorBidi"/>
          <w:noProof/>
          <w:sz w:val="22"/>
          <w:szCs w:val="22"/>
        </w:rPr>
      </w:pPr>
      <w:hyperlink w:anchor="_Toc286743033" w:history="1">
        <w:r w:rsidR="00022593" w:rsidRPr="00A57673">
          <w:rPr>
            <w:rStyle w:val="Hyperlink"/>
            <w:noProof/>
          </w:rPr>
          <w:t>1.</w:t>
        </w:r>
        <w:r w:rsidR="00022593">
          <w:rPr>
            <w:rFonts w:asciiTheme="minorHAnsi" w:eastAsiaTheme="minorEastAsia" w:hAnsiTheme="minorHAnsi" w:cstheme="minorBidi"/>
            <w:noProof/>
            <w:sz w:val="22"/>
            <w:szCs w:val="22"/>
          </w:rPr>
          <w:tab/>
        </w:r>
        <w:r w:rsidR="00022593" w:rsidRPr="00A57673">
          <w:rPr>
            <w:rStyle w:val="Hyperlink"/>
            <w:noProof/>
          </w:rPr>
          <w:t>Circumstances Making the Collection of Information Necessary</w:t>
        </w:r>
        <w:r w:rsidR="00022593">
          <w:rPr>
            <w:noProof/>
            <w:webHidden/>
          </w:rPr>
          <w:tab/>
        </w:r>
        <w:r>
          <w:rPr>
            <w:noProof/>
            <w:webHidden/>
          </w:rPr>
          <w:fldChar w:fldCharType="begin"/>
        </w:r>
        <w:r w:rsidR="00022593">
          <w:rPr>
            <w:noProof/>
            <w:webHidden/>
          </w:rPr>
          <w:instrText xml:space="preserve"> PAGEREF _Toc286743033 \h </w:instrText>
        </w:r>
        <w:r>
          <w:rPr>
            <w:noProof/>
            <w:webHidden/>
          </w:rPr>
        </w:r>
        <w:r>
          <w:rPr>
            <w:noProof/>
            <w:webHidden/>
          </w:rPr>
          <w:fldChar w:fldCharType="separate"/>
        </w:r>
        <w:r w:rsidR="00F97E59">
          <w:rPr>
            <w:noProof/>
            <w:webHidden/>
          </w:rPr>
          <w:t>3</w:t>
        </w:r>
        <w:r>
          <w:rPr>
            <w:noProof/>
            <w:webHidden/>
          </w:rPr>
          <w:fldChar w:fldCharType="end"/>
        </w:r>
      </w:hyperlink>
    </w:p>
    <w:p w:rsidR="00022593" w:rsidRDefault="00A93EE2">
      <w:pPr>
        <w:pStyle w:val="TOC3"/>
        <w:tabs>
          <w:tab w:val="left" w:pos="880"/>
          <w:tab w:val="right" w:leader="dot" w:pos="9782"/>
        </w:tabs>
        <w:rPr>
          <w:rFonts w:asciiTheme="minorHAnsi" w:eastAsiaTheme="minorEastAsia" w:hAnsiTheme="minorHAnsi" w:cstheme="minorBidi"/>
          <w:noProof/>
          <w:sz w:val="22"/>
          <w:szCs w:val="22"/>
        </w:rPr>
      </w:pPr>
      <w:hyperlink w:anchor="_Toc286743034" w:history="1">
        <w:r w:rsidR="00022593" w:rsidRPr="00A57673">
          <w:rPr>
            <w:rStyle w:val="Hyperlink"/>
            <w:noProof/>
          </w:rPr>
          <w:t>2.</w:t>
        </w:r>
        <w:r w:rsidR="00022593">
          <w:rPr>
            <w:rFonts w:asciiTheme="minorHAnsi" w:eastAsiaTheme="minorEastAsia" w:hAnsiTheme="minorHAnsi" w:cstheme="minorBidi"/>
            <w:noProof/>
            <w:sz w:val="22"/>
            <w:szCs w:val="22"/>
          </w:rPr>
          <w:tab/>
        </w:r>
        <w:r w:rsidR="00022593" w:rsidRPr="00A57673">
          <w:rPr>
            <w:rStyle w:val="Hyperlink"/>
            <w:noProof/>
          </w:rPr>
          <w:t>Purpose and Use of Information Collection</w:t>
        </w:r>
        <w:r w:rsidR="00022593">
          <w:rPr>
            <w:noProof/>
            <w:webHidden/>
          </w:rPr>
          <w:tab/>
        </w:r>
        <w:r>
          <w:rPr>
            <w:noProof/>
            <w:webHidden/>
          </w:rPr>
          <w:fldChar w:fldCharType="begin"/>
        </w:r>
        <w:r w:rsidR="00022593">
          <w:rPr>
            <w:noProof/>
            <w:webHidden/>
          </w:rPr>
          <w:instrText xml:space="preserve"> PAGEREF _Toc286743034 \h </w:instrText>
        </w:r>
        <w:r>
          <w:rPr>
            <w:noProof/>
            <w:webHidden/>
          </w:rPr>
        </w:r>
        <w:r>
          <w:rPr>
            <w:noProof/>
            <w:webHidden/>
          </w:rPr>
          <w:fldChar w:fldCharType="separate"/>
        </w:r>
        <w:r w:rsidR="00F97E59">
          <w:rPr>
            <w:noProof/>
            <w:webHidden/>
          </w:rPr>
          <w:t>4</w:t>
        </w:r>
        <w:r>
          <w:rPr>
            <w:noProof/>
            <w:webHidden/>
          </w:rPr>
          <w:fldChar w:fldCharType="end"/>
        </w:r>
      </w:hyperlink>
    </w:p>
    <w:p w:rsidR="00022593" w:rsidRDefault="00A93EE2">
      <w:pPr>
        <w:pStyle w:val="TOC3"/>
        <w:tabs>
          <w:tab w:val="left" w:pos="880"/>
          <w:tab w:val="right" w:leader="dot" w:pos="9782"/>
        </w:tabs>
        <w:rPr>
          <w:rFonts w:asciiTheme="minorHAnsi" w:eastAsiaTheme="minorEastAsia" w:hAnsiTheme="minorHAnsi" w:cstheme="minorBidi"/>
          <w:noProof/>
          <w:sz w:val="22"/>
          <w:szCs w:val="22"/>
        </w:rPr>
      </w:pPr>
      <w:hyperlink w:anchor="_Toc286743035" w:history="1">
        <w:r w:rsidR="00022593" w:rsidRPr="00A57673">
          <w:rPr>
            <w:rStyle w:val="Hyperlink"/>
            <w:noProof/>
          </w:rPr>
          <w:t>3.</w:t>
        </w:r>
        <w:r w:rsidR="00022593">
          <w:rPr>
            <w:rFonts w:asciiTheme="minorHAnsi" w:eastAsiaTheme="minorEastAsia" w:hAnsiTheme="minorHAnsi" w:cstheme="minorBidi"/>
            <w:noProof/>
            <w:sz w:val="22"/>
            <w:szCs w:val="22"/>
          </w:rPr>
          <w:tab/>
        </w:r>
        <w:r w:rsidR="00022593" w:rsidRPr="00A57673">
          <w:rPr>
            <w:rStyle w:val="Hyperlink"/>
            <w:noProof/>
          </w:rPr>
          <w:t>Use of Improved Information Technology and Burden Reduction</w:t>
        </w:r>
        <w:r w:rsidR="00022593">
          <w:rPr>
            <w:noProof/>
            <w:webHidden/>
          </w:rPr>
          <w:tab/>
        </w:r>
        <w:r>
          <w:rPr>
            <w:noProof/>
            <w:webHidden/>
          </w:rPr>
          <w:fldChar w:fldCharType="begin"/>
        </w:r>
        <w:r w:rsidR="00022593">
          <w:rPr>
            <w:noProof/>
            <w:webHidden/>
          </w:rPr>
          <w:instrText xml:space="preserve"> PAGEREF _Toc286743035 \h </w:instrText>
        </w:r>
        <w:r>
          <w:rPr>
            <w:noProof/>
            <w:webHidden/>
          </w:rPr>
        </w:r>
        <w:r>
          <w:rPr>
            <w:noProof/>
            <w:webHidden/>
          </w:rPr>
          <w:fldChar w:fldCharType="separate"/>
        </w:r>
        <w:r w:rsidR="00F97E59">
          <w:rPr>
            <w:noProof/>
            <w:webHidden/>
          </w:rPr>
          <w:t>4</w:t>
        </w:r>
        <w:r>
          <w:rPr>
            <w:noProof/>
            <w:webHidden/>
          </w:rPr>
          <w:fldChar w:fldCharType="end"/>
        </w:r>
      </w:hyperlink>
    </w:p>
    <w:p w:rsidR="00022593" w:rsidRDefault="00A93EE2">
      <w:pPr>
        <w:pStyle w:val="TOC3"/>
        <w:tabs>
          <w:tab w:val="left" w:pos="880"/>
          <w:tab w:val="right" w:leader="dot" w:pos="9782"/>
        </w:tabs>
        <w:rPr>
          <w:rFonts w:asciiTheme="minorHAnsi" w:eastAsiaTheme="minorEastAsia" w:hAnsiTheme="minorHAnsi" w:cstheme="minorBidi"/>
          <w:noProof/>
          <w:sz w:val="22"/>
          <w:szCs w:val="22"/>
        </w:rPr>
      </w:pPr>
      <w:hyperlink w:anchor="_Toc286743036" w:history="1">
        <w:r w:rsidR="00022593" w:rsidRPr="00A57673">
          <w:rPr>
            <w:rStyle w:val="Hyperlink"/>
            <w:noProof/>
          </w:rPr>
          <w:t>4.</w:t>
        </w:r>
        <w:r w:rsidR="00022593">
          <w:rPr>
            <w:rFonts w:asciiTheme="minorHAnsi" w:eastAsiaTheme="minorEastAsia" w:hAnsiTheme="minorHAnsi" w:cstheme="minorBidi"/>
            <w:noProof/>
            <w:sz w:val="22"/>
            <w:szCs w:val="22"/>
          </w:rPr>
          <w:tab/>
        </w:r>
        <w:r w:rsidR="00022593" w:rsidRPr="00A57673">
          <w:rPr>
            <w:rStyle w:val="Hyperlink"/>
            <w:noProof/>
          </w:rPr>
          <w:t>Efforts to Identify Duplication and Use of Similar Information</w:t>
        </w:r>
        <w:r w:rsidR="00022593">
          <w:rPr>
            <w:noProof/>
            <w:webHidden/>
          </w:rPr>
          <w:tab/>
        </w:r>
        <w:r>
          <w:rPr>
            <w:noProof/>
            <w:webHidden/>
          </w:rPr>
          <w:fldChar w:fldCharType="begin"/>
        </w:r>
        <w:r w:rsidR="00022593">
          <w:rPr>
            <w:noProof/>
            <w:webHidden/>
          </w:rPr>
          <w:instrText xml:space="preserve"> PAGEREF _Toc286743036 \h </w:instrText>
        </w:r>
        <w:r>
          <w:rPr>
            <w:noProof/>
            <w:webHidden/>
          </w:rPr>
        </w:r>
        <w:r>
          <w:rPr>
            <w:noProof/>
            <w:webHidden/>
          </w:rPr>
          <w:fldChar w:fldCharType="separate"/>
        </w:r>
        <w:r w:rsidR="00F97E59">
          <w:rPr>
            <w:noProof/>
            <w:webHidden/>
          </w:rPr>
          <w:t>4</w:t>
        </w:r>
        <w:r>
          <w:rPr>
            <w:noProof/>
            <w:webHidden/>
          </w:rPr>
          <w:fldChar w:fldCharType="end"/>
        </w:r>
      </w:hyperlink>
    </w:p>
    <w:p w:rsidR="00022593" w:rsidRDefault="00A93EE2">
      <w:pPr>
        <w:pStyle w:val="TOC3"/>
        <w:tabs>
          <w:tab w:val="left" w:pos="880"/>
          <w:tab w:val="right" w:leader="dot" w:pos="9782"/>
        </w:tabs>
        <w:rPr>
          <w:rFonts w:asciiTheme="minorHAnsi" w:eastAsiaTheme="minorEastAsia" w:hAnsiTheme="minorHAnsi" w:cstheme="minorBidi"/>
          <w:noProof/>
          <w:sz w:val="22"/>
          <w:szCs w:val="22"/>
        </w:rPr>
      </w:pPr>
      <w:hyperlink w:anchor="_Toc286743037" w:history="1">
        <w:r w:rsidR="00022593" w:rsidRPr="00A57673">
          <w:rPr>
            <w:rStyle w:val="Hyperlink"/>
            <w:noProof/>
          </w:rPr>
          <w:t>5.</w:t>
        </w:r>
        <w:r w:rsidR="00022593">
          <w:rPr>
            <w:rFonts w:asciiTheme="minorHAnsi" w:eastAsiaTheme="minorEastAsia" w:hAnsiTheme="minorHAnsi" w:cstheme="minorBidi"/>
            <w:noProof/>
            <w:sz w:val="22"/>
            <w:szCs w:val="22"/>
          </w:rPr>
          <w:tab/>
        </w:r>
        <w:r w:rsidR="00022593" w:rsidRPr="00A57673">
          <w:rPr>
            <w:rStyle w:val="Hyperlink"/>
            <w:noProof/>
          </w:rPr>
          <w:t>Impact on Small Businesses or Other Small Entities</w:t>
        </w:r>
        <w:r w:rsidR="00022593">
          <w:rPr>
            <w:noProof/>
            <w:webHidden/>
          </w:rPr>
          <w:tab/>
        </w:r>
        <w:r>
          <w:rPr>
            <w:noProof/>
            <w:webHidden/>
          </w:rPr>
          <w:fldChar w:fldCharType="begin"/>
        </w:r>
        <w:r w:rsidR="00022593">
          <w:rPr>
            <w:noProof/>
            <w:webHidden/>
          </w:rPr>
          <w:instrText xml:space="preserve"> PAGEREF _Toc286743037 \h </w:instrText>
        </w:r>
        <w:r>
          <w:rPr>
            <w:noProof/>
            <w:webHidden/>
          </w:rPr>
        </w:r>
        <w:r>
          <w:rPr>
            <w:noProof/>
            <w:webHidden/>
          </w:rPr>
          <w:fldChar w:fldCharType="separate"/>
        </w:r>
        <w:r w:rsidR="00F97E59">
          <w:rPr>
            <w:noProof/>
            <w:webHidden/>
          </w:rPr>
          <w:t>5</w:t>
        </w:r>
        <w:r>
          <w:rPr>
            <w:noProof/>
            <w:webHidden/>
          </w:rPr>
          <w:fldChar w:fldCharType="end"/>
        </w:r>
      </w:hyperlink>
    </w:p>
    <w:p w:rsidR="00022593" w:rsidRDefault="00A93EE2">
      <w:pPr>
        <w:pStyle w:val="TOC3"/>
        <w:tabs>
          <w:tab w:val="left" w:pos="880"/>
          <w:tab w:val="right" w:leader="dot" w:pos="9782"/>
        </w:tabs>
        <w:rPr>
          <w:rFonts w:asciiTheme="minorHAnsi" w:eastAsiaTheme="minorEastAsia" w:hAnsiTheme="minorHAnsi" w:cstheme="minorBidi"/>
          <w:noProof/>
          <w:sz w:val="22"/>
          <w:szCs w:val="22"/>
        </w:rPr>
      </w:pPr>
      <w:hyperlink w:anchor="_Toc286743038" w:history="1">
        <w:r w:rsidR="00022593" w:rsidRPr="00A57673">
          <w:rPr>
            <w:rStyle w:val="Hyperlink"/>
            <w:noProof/>
          </w:rPr>
          <w:t>6.</w:t>
        </w:r>
        <w:r w:rsidR="00022593">
          <w:rPr>
            <w:rFonts w:asciiTheme="minorHAnsi" w:eastAsiaTheme="minorEastAsia" w:hAnsiTheme="minorHAnsi" w:cstheme="minorBidi"/>
            <w:noProof/>
            <w:sz w:val="22"/>
            <w:szCs w:val="22"/>
          </w:rPr>
          <w:tab/>
        </w:r>
        <w:r w:rsidR="00022593" w:rsidRPr="00A57673">
          <w:rPr>
            <w:rStyle w:val="Hyperlink"/>
            <w:noProof/>
          </w:rPr>
          <w:t>Consequences of Collecting the Information Less Frequently</w:t>
        </w:r>
        <w:r w:rsidR="00022593">
          <w:rPr>
            <w:noProof/>
            <w:webHidden/>
          </w:rPr>
          <w:tab/>
        </w:r>
        <w:r>
          <w:rPr>
            <w:noProof/>
            <w:webHidden/>
          </w:rPr>
          <w:fldChar w:fldCharType="begin"/>
        </w:r>
        <w:r w:rsidR="00022593">
          <w:rPr>
            <w:noProof/>
            <w:webHidden/>
          </w:rPr>
          <w:instrText xml:space="preserve"> PAGEREF _Toc286743038 \h </w:instrText>
        </w:r>
        <w:r>
          <w:rPr>
            <w:noProof/>
            <w:webHidden/>
          </w:rPr>
        </w:r>
        <w:r>
          <w:rPr>
            <w:noProof/>
            <w:webHidden/>
          </w:rPr>
          <w:fldChar w:fldCharType="separate"/>
        </w:r>
        <w:r w:rsidR="00F97E59">
          <w:rPr>
            <w:noProof/>
            <w:webHidden/>
          </w:rPr>
          <w:t>5</w:t>
        </w:r>
        <w:r>
          <w:rPr>
            <w:noProof/>
            <w:webHidden/>
          </w:rPr>
          <w:fldChar w:fldCharType="end"/>
        </w:r>
      </w:hyperlink>
    </w:p>
    <w:p w:rsidR="00022593" w:rsidRDefault="00A93EE2">
      <w:pPr>
        <w:pStyle w:val="TOC3"/>
        <w:tabs>
          <w:tab w:val="left" w:pos="880"/>
          <w:tab w:val="right" w:leader="dot" w:pos="9782"/>
        </w:tabs>
        <w:rPr>
          <w:rFonts w:asciiTheme="minorHAnsi" w:eastAsiaTheme="minorEastAsia" w:hAnsiTheme="minorHAnsi" w:cstheme="minorBidi"/>
          <w:noProof/>
          <w:sz w:val="22"/>
          <w:szCs w:val="22"/>
        </w:rPr>
      </w:pPr>
      <w:hyperlink w:anchor="_Toc286743039" w:history="1">
        <w:r w:rsidR="00022593" w:rsidRPr="00A57673">
          <w:rPr>
            <w:rStyle w:val="Hyperlink"/>
            <w:noProof/>
          </w:rPr>
          <w:t>7.</w:t>
        </w:r>
        <w:r w:rsidR="00022593">
          <w:rPr>
            <w:rFonts w:asciiTheme="minorHAnsi" w:eastAsiaTheme="minorEastAsia" w:hAnsiTheme="minorHAnsi" w:cstheme="minorBidi"/>
            <w:noProof/>
            <w:sz w:val="22"/>
            <w:szCs w:val="22"/>
          </w:rPr>
          <w:tab/>
        </w:r>
        <w:r w:rsidR="00022593" w:rsidRPr="00A57673">
          <w:rPr>
            <w:rStyle w:val="Hyperlink"/>
            <w:noProof/>
          </w:rPr>
          <w:t>Special Circumstances Relating to the Guidelines of 5 CFR 1320.5</w:t>
        </w:r>
        <w:r w:rsidR="00022593">
          <w:rPr>
            <w:noProof/>
            <w:webHidden/>
          </w:rPr>
          <w:tab/>
        </w:r>
        <w:r>
          <w:rPr>
            <w:noProof/>
            <w:webHidden/>
          </w:rPr>
          <w:fldChar w:fldCharType="begin"/>
        </w:r>
        <w:r w:rsidR="00022593">
          <w:rPr>
            <w:noProof/>
            <w:webHidden/>
          </w:rPr>
          <w:instrText xml:space="preserve"> PAGEREF _Toc286743039 \h </w:instrText>
        </w:r>
        <w:r>
          <w:rPr>
            <w:noProof/>
            <w:webHidden/>
          </w:rPr>
        </w:r>
        <w:r>
          <w:rPr>
            <w:noProof/>
            <w:webHidden/>
          </w:rPr>
          <w:fldChar w:fldCharType="separate"/>
        </w:r>
        <w:r w:rsidR="00F97E59">
          <w:rPr>
            <w:noProof/>
            <w:webHidden/>
          </w:rPr>
          <w:t>5</w:t>
        </w:r>
        <w:r>
          <w:rPr>
            <w:noProof/>
            <w:webHidden/>
          </w:rPr>
          <w:fldChar w:fldCharType="end"/>
        </w:r>
      </w:hyperlink>
    </w:p>
    <w:p w:rsidR="00022593" w:rsidRDefault="00A93EE2">
      <w:pPr>
        <w:pStyle w:val="TOC3"/>
        <w:tabs>
          <w:tab w:val="left" w:pos="880"/>
          <w:tab w:val="right" w:leader="dot" w:pos="9782"/>
        </w:tabs>
        <w:rPr>
          <w:rFonts w:asciiTheme="minorHAnsi" w:eastAsiaTheme="minorEastAsia" w:hAnsiTheme="minorHAnsi" w:cstheme="minorBidi"/>
          <w:noProof/>
          <w:sz w:val="22"/>
          <w:szCs w:val="22"/>
        </w:rPr>
      </w:pPr>
      <w:hyperlink w:anchor="_Toc286743040" w:history="1">
        <w:r w:rsidR="00022593" w:rsidRPr="00A57673">
          <w:rPr>
            <w:rStyle w:val="Hyperlink"/>
            <w:noProof/>
          </w:rPr>
          <w:t>8.</w:t>
        </w:r>
        <w:r w:rsidR="00022593">
          <w:rPr>
            <w:rFonts w:asciiTheme="minorHAnsi" w:eastAsiaTheme="minorEastAsia" w:hAnsiTheme="minorHAnsi" w:cstheme="minorBidi"/>
            <w:noProof/>
            <w:sz w:val="22"/>
            <w:szCs w:val="22"/>
          </w:rPr>
          <w:tab/>
        </w:r>
        <w:r w:rsidR="00022593" w:rsidRPr="00A57673">
          <w:rPr>
            <w:rStyle w:val="Hyperlink"/>
            <w:noProof/>
          </w:rPr>
          <w:t>Comments in Response to the Federal Register Notice and Efforts to Consult Outside the Agency</w:t>
        </w:r>
        <w:r w:rsidR="00022593">
          <w:rPr>
            <w:noProof/>
            <w:webHidden/>
          </w:rPr>
          <w:tab/>
        </w:r>
        <w:r>
          <w:rPr>
            <w:noProof/>
            <w:webHidden/>
          </w:rPr>
          <w:fldChar w:fldCharType="begin"/>
        </w:r>
        <w:r w:rsidR="00022593">
          <w:rPr>
            <w:noProof/>
            <w:webHidden/>
          </w:rPr>
          <w:instrText xml:space="preserve"> PAGEREF _Toc286743040 \h </w:instrText>
        </w:r>
        <w:r>
          <w:rPr>
            <w:noProof/>
            <w:webHidden/>
          </w:rPr>
        </w:r>
        <w:r>
          <w:rPr>
            <w:noProof/>
            <w:webHidden/>
          </w:rPr>
          <w:fldChar w:fldCharType="separate"/>
        </w:r>
        <w:r w:rsidR="00F97E59">
          <w:rPr>
            <w:noProof/>
            <w:webHidden/>
          </w:rPr>
          <w:t>5</w:t>
        </w:r>
        <w:r>
          <w:rPr>
            <w:noProof/>
            <w:webHidden/>
          </w:rPr>
          <w:fldChar w:fldCharType="end"/>
        </w:r>
      </w:hyperlink>
    </w:p>
    <w:p w:rsidR="00022593" w:rsidRDefault="00A93EE2">
      <w:pPr>
        <w:pStyle w:val="TOC3"/>
        <w:tabs>
          <w:tab w:val="left" w:pos="880"/>
          <w:tab w:val="right" w:leader="dot" w:pos="9782"/>
        </w:tabs>
        <w:rPr>
          <w:rFonts w:asciiTheme="minorHAnsi" w:eastAsiaTheme="minorEastAsia" w:hAnsiTheme="minorHAnsi" w:cstheme="minorBidi"/>
          <w:noProof/>
          <w:sz w:val="22"/>
          <w:szCs w:val="22"/>
        </w:rPr>
      </w:pPr>
      <w:hyperlink w:anchor="_Toc286743041" w:history="1">
        <w:r w:rsidR="00022593" w:rsidRPr="00A57673">
          <w:rPr>
            <w:rStyle w:val="Hyperlink"/>
            <w:noProof/>
          </w:rPr>
          <w:t>9.</w:t>
        </w:r>
        <w:r w:rsidR="00022593">
          <w:rPr>
            <w:rFonts w:asciiTheme="minorHAnsi" w:eastAsiaTheme="minorEastAsia" w:hAnsiTheme="minorHAnsi" w:cstheme="minorBidi"/>
            <w:noProof/>
            <w:sz w:val="22"/>
            <w:szCs w:val="22"/>
          </w:rPr>
          <w:tab/>
        </w:r>
        <w:r w:rsidR="00022593" w:rsidRPr="00A57673">
          <w:rPr>
            <w:rStyle w:val="Hyperlink"/>
            <w:noProof/>
          </w:rPr>
          <w:t>Explanation of any Payment/Gift to Respondents</w:t>
        </w:r>
        <w:r w:rsidR="00022593">
          <w:rPr>
            <w:noProof/>
            <w:webHidden/>
          </w:rPr>
          <w:tab/>
        </w:r>
        <w:r>
          <w:rPr>
            <w:noProof/>
            <w:webHidden/>
          </w:rPr>
          <w:fldChar w:fldCharType="begin"/>
        </w:r>
        <w:r w:rsidR="00022593">
          <w:rPr>
            <w:noProof/>
            <w:webHidden/>
          </w:rPr>
          <w:instrText xml:space="preserve"> PAGEREF _Toc286743041 \h </w:instrText>
        </w:r>
        <w:r>
          <w:rPr>
            <w:noProof/>
            <w:webHidden/>
          </w:rPr>
        </w:r>
        <w:r>
          <w:rPr>
            <w:noProof/>
            <w:webHidden/>
          </w:rPr>
          <w:fldChar w:fldCharType="separate"/>
        </w:r>
        <w:r w:rsidR="00F97E59">
          <w:rPr>
            <w:noProof/>
            <w:webHidden/>
          </w:rPr>
          <w:t>6</w:t>
        </w:r>
        <w:r>
          <w:rPr>
            <w:noProof/>
            <w:webHidden/>
          </w:rPr>
          <w:fldChar w:fldCharType="end"/>
        </w:r>
      </w:hyperlink>
    </w:p>
    <w:p w:rsidR="00022593" w:rsidRDefault="00A93EE2">
      <w:pPr>
        <w:pStyle w:val="TOC3"/>
        <w:tabs>
          <w:tab w:val="left" w:pos="880"/>
          <w:tab w:val="right" w:leader="dot" w:pos="9782"/>
        </w:tabs>
        <w:rPr>
          <w:rFonts w:asciiTheme="minorHAnsi" w:eastAsiaTheme="minorEastAsia" w:hAnsiTheme="minorHAnsi" w:cstheme="minorBidi"/>
          <w:noProof/>
          <w:sz w:val="22"/>
          <w:szCs w:val="22"/>
        </w:rPr>
      </w:pPr>
      <w:hyperlink w:anchor="_Toc286743042" w:history="1">
        <w:r w:rsidR="00022593" w:rsidRPr="00A57673">
          <w:rPr>
            <w:rStyle w:val="Hyperlink"/>
            <w:noProof/>
          </w:rPr>
          <w:t>10.</w:t>
        </w:r>
        <w:r w:rsidR="00022593">
          <w:rPr>
            <w:rFonts w:asciiTheme="minorHAnsi" w:eastAsiaTheme="minorEastAsia" w:hAnsiTheme="minorHAnsi" w:cstheme="minorBidi"/>
            <w:noProof/>
            <w:sz w:val="22"/>
            <w:szCs w:val="22"/>
          </w:rPr>
          <w:tab/>
        </w:r>
        <w:r w:rsidR="00022593" w:rsidRPr="00A57673">
          <w:rPr>
            <w:rStyle w:val="Hyperlink"/>
            <w:noProof/>
          </w:rPr>
          <w:t>Assurance of Confidentiality Provided to Respondents</w:t>
        </w:r>
        <w:r w:rsidR="00022593">
          <w:rPr>
            <w:noProof/>
            <w:webHidden/>
          </w:rPr>
          <w:tab/>
        </w:r>
        <w:r>
          <w:rPr>
            <w:noProof/>
            <w:webHidden/>
          </w:rPr>
          <w:fldChar w:fldCharType="begin"/>
        </w:r>
        <w:r w:rsidR="00022593">
          <w:rPr>
            <w:noProof/>
            <w:webHidden/>
          </w:rPr>
          <w:instrText xml:space="preserve"> PAGEREF _Toc286743042 \h </w:instrText>
        </w:r>
        <w:r>
          <w:rPr>
            <w:noProof/>
            <w:webHidden/>
          </w:rPr>
        </w:r>
        <w:r>
          <w:rPr>
            <w:noProof/>
            <w:webHidden/>
          </w:rPr>
          <w:fldChar w:fldCharType="separate"/>
        </w:r>
        <w:r w:rsidR="00F97E59">
          <w:rPr>
            <w:noProof/>
            <w:webHidden/>
          </w:rPr>
          <w:t>6</w:t>
        </w:r>
        <w:r>
          <w:rPr>
            <w:noProof/>
            <w:webHidden/>
          </w:rPr>
          <w:fldChar w:fldCharType="end"/>
        </w:r>
      </w:hyperlink>
    </w:p>
    <w:p w:rsidR="00022593" w:rsidRDefault="00A93EE2">
      <w:pPr>
        <w:pStyle w:val="TOC3"/>
        <w:tabs>
          <w:tab w:val="left" w:pos="880"/>
          <w:tab w:val="right" w:leader="dot" w:pos="9782"/>
        </w:tabs>
        <w:rPr>
          <w:rFonts w:asciiTheme="minorHAnsi" w:eastAsiaTheme="minorEastAsia" w:hAnsiTheme="minorHAnsi" w:cstheme="minorBidi"/>
          <w:noProof/>
          <w:sz w:val="22"/>
          <w:szCs w:val="22"/>
        </w:rPr>
      </w:pPr>
      <w:hyperlink w:anchor="_Toc286743043" w:history="1">
        <w:r w:rsidR="00022593" w:rsidRPr="00A57673">
          <w:rPr>
            <w:rStyle w:val="Hyperlink"/>
            <w:noProof/>
          </w:rPr>
          <w:t>11.</w:t>
        </w:r>
        <w:r w:rsidR="00022593">
          <w:rPr>
            <w:rFonts w:asciiTheme="minorHAnsi" w:eastAsiaTheme="minorEastAsia" w:hAnsiTheme="minorHAnsi" w:cstheme="minorBidi"/>
            <w:noProof/>
            <w:sz w:val="22"/>
            <w:szCs w:val="22"/>
          </w:rPr>
          <w:tab/>
        </w:r>
        <w:r w:rsidR="00022593" w:rsidRPr="00A57673">
          <w:rPr>
            <w:rStyle w:val="Hyperlink"/>
            <w:noProof/>
          </w:rPr>
          <w:t>Justification for Sensitive Questions</w:t>
        </w:r>
        <w:r w:rsidR="00022593">
          <w:rPr>
            <w:noProof/>
            <w:webHidden/>
          </w:rPr>
          <w:tab/>
        </w:r>
        <w:r>
          <w:rPr>
            <w:noProof/>
            <w:webHidden/>
          </w:rPr>
          <w:fldChar w:fldCharType="begin"/>
        </w:r>
        <w:r w:rsidR="00022593">
          <w:rPr>
            <w:noProof/>
            <w:webHidden/>
          </w:rPr>
          <w:instrText xml:space="preserve"> PAGEREF _Toc286743043 \h </w:instrText>
        </w:r>
        <w:r>
          <w:rPr>
            <w:noProof/>
            <w:webHidden/>
          </w:rPr>
        </w:r>
        <w:r>
          <w:rPr>
            <w:noProof/>
            <w:webHidden/>
          </w:rPr>
          <w:fldChar w:fldCharType="separate"/>
        </w:r>
        <w:r w:rsidR="00F97E59">
          <w:rPr>
            <w:noProof/>
            <w:webHidden/>
          </w:rPr>
          <w:t>6</w:t>
        </w:r>
        <w:r>
          <w:rPr>
            <w:noProof/>
            <w:webHidden/>
          </w:rPr>
          <w:fldChar w:fldCharType="end"/>
        </w:r>
      </w:hyperlink>
    </w:p>
    <w:p w:rsidR="00022593" w:rsidRDefault="00A93EE2">
      <w:pPr>
        <w:pStyle w:val="TOC3"/>
        <w:tabs>
          <w:tab w:val="left" w:pos="880"/>
          <w:tab w:val="right" w:leader="dot" w:pos="9782"/>
        </w:tabs>
        <w:rPr>
          <w:rFonts w:asciiTheme="minorHAnsi" w:eastAsiaTheme="minorEastAsia" w:hAnsiTheme="minorHAnsi" w:cstheme="minorBidi"/>
          <w:noProof/>
          <w:sz w:val="22"/>
          <w:szCs w:val="22"/>
        </w:rPr>
      </w:pPr>
      <w:hyperlink w:anchor="_Toc286743044" w:history="1">
        <w:r w:rsidR="00022593" w:rsidRPr="00A57673">
          <w:rPr>
            <w:rStyle w:val="Hyperlink"/>
            <w:noProof/>
          </w:rPr>
          <w:t>12.</w:t>
        </w:r>
        <w:r w:rsidR="00022593">
          <w:rPr>
            <w:rFonts w:asciiTheme="minorHAnsi" w:eastAsiaTheme="minorEastAsia" w:hAnsiTheme="minorHAnsi" w:cstheme="minorBidi"/>
            <w:noProof/>
            <w:sz w:val="22"/>
            <w:szCs w:val="22"/>
          </w:rPr>
          <w:tab/>
        </w:r>
        <w:r w:rsidR="00022593" w:rsidRPr="00A57673">
          <w:rPr>
            <w:rStyle w:val="Hyperlink"/>
            <w:noProof/>
          </w:rPr>
          <w:t>Estimates of Annualized Burden Hours and Costs</w:t>
        </w:r>
        <w:r w:rsidR="00022593">
          <w:rPr>
            <w:noProof/>
            <w:webHidden/>
          </w:rPr>
          <w:tab/>
        </w:r>
        <w:r>
          <w:rPr>
            <w:noProof/>
            <w:webHidden/>
          </w:rPr>
          <w:fldChar w:fldCharType="begin"/>
        </w:r>
        <w:r w:rsidR="00022593">
          <w:rPr>
            <w:noProof/>
            <w:webHidden/>
          </w:rPr>
          <w:instrText xml:space="preserve"> PAGEREF _Toc286743044 \h </w:instrText>
        </w:r>
        <w:r>
          <w:rPr>
            <w:noProof/>
            <w:webHidden/>
          </w:rPr>
        </w:r>
        <w:r>
          <w:rPr>
            <w:noProof/>
            <w:webHidden/>
          </w:rPr>
          <w:fldChar w:fldCharType="separate"/>
        </w:r>
        <w:r w:rsidR="00F97E59">
          <w:rPr>
            <w:noProof/>
            <w:webHidden/>
          </w:rPr>
          <w:t>6</w:t>
        </w:r>
        <w:r>
          <w:rPr>
            <w:noProof/>
            <w:webHidden/>
          </w:rPr>
          <w:fldChar w:fldCharType="end"/>
        </w:r>
      </w:hyperlink>
    </w:p>
    <w:p w:rsidR="00022593" w:rsidRDefault="00A93EE2">
      <w:pPr>
        <w:pStyle w:val="TOC3"/>
        <w:tabs>
          <w:tab w:val="left" w:pos="880"/>
          <w:tab w:val="right" w:leader="dot" w:pos="9782"/>
        </w:tabs>
        <w:rPr>
          <w:rFonts w:asciiTheme="minorHAnsi" w:eastAsiaTheme="minorEastAsia" w:hAnsiTheme="minorHAnsi" w:cstheme="minorBidi"/>
          <w:noProof/>
          <w:sz w:val="22"/>
          <w:szCs w:val="22"/>
        </w:rPr>
      </w:pPr>
      <w:hyperlink w:anchor="_Toc286743045" w:history="1">
        <w:r w:rsidR="00022593" w:rsidRPr="00A57673">
          <w:rPr>
            <w:rStyle w:val="Hyperlink"/>
            <w:noProof/>
          </w:rPr>
          <w:t>13.</w:t>
        </w:r>
        <w:r w:rsidR="00022593">
          <w:rPr>
            <w:rFonts w:asciiTheme="minorHAnsi" w:eastAsiaTheme="minorEastAsia" w:hAnsiTheme="minorHAnsi" w:cstheme="minorBidi"/>
            <w:noProof/>
            <w:sz w:val="22"/>
            <w:szCs w:val="22"/>
          </w:rPr>
          <w:tab/>
        </w:r>
        <w:r w:rsidR="00022593" w:rsidRPr="00A57673">
          <w:rPr>
            <w:rStyle w:val="Hyperlink"/>
            <w:noProof/>
          </w:rPr>
          <w:t>Estimates of Other Total Annual Cost Burden to Respondents or Record Keepers</w:t>
        </w:r>
        <w:r w:rsidR="00022593">
          <w:rPr>
            <w:noProof/>
            <w:webHidden/>
          </w:rPr>
          <w:tab/>
        </w:r>
        <w:r>
          <w:rPr>
            <w:noProof/>
            <w:webHidden/>
          </w:rPr>
          <w:fldChar w:fldCharType="begin"/>
        </w:r>
        <w:r w:rsidR="00022593">
          <w:rPr>
            <w:noProof/>
            <w:webHidden/>
          </w:rPr>
          <w:instrText xml:space="preserve"> PAGEREF _Toc286743045 \h </w:instrText>
        </w:r>
        <w:r>
          <w:rPr>
            <w:noProof/>
            <w:webHidden/>
          </w:rPr>
        </w:r>
        <w:r>
          <w:rPr>
            <w:noProof/>
            <w:webHidden/>
          </w:rPr>
          <w:fldChar w:fldCharType="separate"/>
        </w:r>
        <w:r w:rsidR="00F97E59">
          <w:rPr>
            <w:noProof/>
            <w:webHidden/>
          </w:rPr>
          <w:t>7</w:t>
        </w:r>
        <w:r>
          <w:rPr>
            <w:noProof/>
            <w:webHidden/>
          </w:rPr>
          <w:fldChar w:fldCharType="end"/>
        </w:r>
      </w:hyperlink>
    </w:p>
    <w:p w:rsidR="00022593" w:rsidRDefault="00A93EE2">
      <w:pPr>
        <w:pStyle w:val="TOC3"/>
        <w:tabs>
          <w:tab w:val="left" w:pos="880"/>
          <w:tab w:val="right" w:leader="dot" w:pos="9782"/>
        </w:tabs>
        <w:rPr>
          <w:rFonts w:asciiTheme="minorHAnsi" w:eastAsiaTheme="minorEastAsia" w:hAnsiTheme="minorHAnsi" w:cstheme="minorBidi"/>
          <w:noProof/>
          <w:sz w:val="22"/>
          <w:szCs w:val="22"/>
        </w:rPr>
      </w:pPr>
      <w:hyperlink w:anchor="_Toc286743046" w:history="1">
        <w:r w:rsidR="00022593" w:rsidRPr="00A57673">
          <w:rPr>
            <w:rStyle w:val="Hyperlink"/>
            <w:noProof/>
          </w:rPr>
          <w:t>14.</w:t>
        </w:r>
        <w:r w:rsidR="00022593">
          <w:rPr>
            <w:rFonts w:asciiTheme="minorHAnsi" w:eastAsiaTheme="minorEastAsia" w:hAnsiTheme="minorHAnsi" w:cstheme="minorBidi"/>
            <w:noProof/>
            <w:sz w:val="22"/>
            <w:szCs w:val="22"/>
          </w:rPr>
          <w:tab/>
        </w:r>
        <w:r w:rsidR="00022593" w:rsidRPr="00A57673">
          <w:rPr>
            <w:rStyle w:val="Hyperlink"/>
            <w:noProof/>
          </w:rPr>
          <w:t>Annualized Cost to Federal Government</w:t>
        </w:r>
        <w:r w:rsidR="00022593">
          <w:rPr>
            <w:noProof/>
            <w:webHidden/>
          </w:rPr>
          <w:tab/>
        </w:r>
        <w:r>
          <w:rPr>
            <w:noProof/>
            <w:webHidden/>
          </w:rPr>
          <w:fldChar w:fldCharType="begin"/>
        </w:r>
        <w:r w:rsidR="00022593">
          <w:rPr>
            <w:noProof/>
            <w:webHidden/>
          </w:rPr>
          <w:instrText xml:space="preserve"> PAGEREF _Toc286743046 \h </w:instrText>
        </w:r>
        <w:r>
          <w:rPr>
            <w:noProof/>
            <w:webHidden/>
          </w:rPr>
        </w:r>
        <w:r>
          <w:rPr>
            <w:noProof/>
            <w:webHidden/>
          </w:rPr>
          <w:fldChar w:fldCharType="separate"/>
        </w:r>
        <w:r w:rsidR="00F97E59">
          <w:rPr>
            <w:noProof/>
            <w:webHidden/>
          </w:rPr>
          <w:t>7</w:t>
        </w:r>
        <w:r>
          <w:rPr>
            <w:noProof/>
            <w:webHidden/>
          </w:rPr>
          <w:fldChar w:fldCharType="end"/>
        </w:r>
      </w:hyperlink>
    </w:p>
    <w:p w:rsidR="00022593" w:rsidRDefault="00A93EE2">
      <w:pPr>
        <w:pStyle w:val="TOC3"/>
        <w:tabs>
          <w:tab w:val="left" w:pos="880"/>
          <w:tab w:val="right" w:leader="dot" w:pos="9782"/>
        </w:tabs>
        <w:rPr>
          <w:rFonts w:asciiTheme="minorHAnsi" w:eastAsiaTheme="minorEastAsia" w:hAnsiTheme="minorHAnsi" w:cstheme="minorBidi"/>
          <w:noProof/>
          <w:sz w:val="22"/>
          <w:szCs w:val="22"/>
        </w:rPr>
      </w:pPr>
      <w:hyperlink w:anchor="_Toc286743047" w:history="1">
        <w:r w:rsidR="00022593" w:rsidRPr="00A57673">
          <w:rPr>
            <w:rStyle w:val="Hyperlink"/>
            <w:noProof/>
          </w:rPr>
          <w:t>15.</w:t>
        </w:r>
        <w:r w:rsidR="00022593">
          <w:rPr>
            <w:rFonts w:asciiTheme="minorHAnsi" w:eastAsiaTheme="minorEastAsia" w:hAnsiTheme="minorHAnsi" w:cstheme="minorBidi"/>
            <w:noProof/>
            <w:sz w:val="22"/>
            <w:szCs w:val="22"/>
          </w:rPr>
          <w:tab/>
        </w:r>
        <w:r w:rsidR="00022593" w:rsidRPr="00A57673">
          <w:rPr>
            <w:rStyle w:val="Hyperlink"/>
            <w:noProof/>
          </w:rPr>
          <w:t>Explanation for Program Changes or Adjustments</w:t>
        </w:r>
        <w:r w:rsidR="00022593">
          <w:rPr>
            <w:noProof/>
            <w:webHidden/>
          </w:rPr>
          <w:tab/>
        </w:r>
        <w:r>
          <w:rPr>
            <w:noProof/>
            <w:webHidden/>
          </w:rPr>
          <w:fldChar w:fldCharType="begin"/>
        </w:r>
        <w:r w:rsidR="00022593">
          <w:rPr>
            <w:noProof/>
            <w:webHidden/>
          </w:rPr>
          <w:instrText xml:space="preserve"> PAGEREF _Toc286743047 \h </w:instrText>
        </w:r>
        <w:r>
          <w:rPr>
            <w:noProof/>
            <w:webHidden/>
          </w:rPr>
        </w:r>
        <w:r>
          <w:rPr>
            <w:noProof/>
            <w:webHidden/>
          </w:rPr>
          <w:fldChar w:fldCharType="separate"/>
        </w:r>
        <w:r w:rsidR="00F97E59">
          <w:rPr>
            <w:noProof/>
            <w:webHidden/>
          </w:rPr>
          <w:t>7</w:t>
        </w:r>
        <w:r>
          <w:rPr>
            <w:noProof/>
            <w:webHidden/>
          </w:rPr>
          <w:fldChar w:fldCharType="end"/>
        </w:r>
      </w:hyperlink>
    </w:p>
    <w:p w:rsidR="00022593" w:rsidRDefault="00A93EE2">
      <w:pPr>
        <w:pStyle w:val="TOC3"/>
        <w:tabs>
          <w:tab w:val="left" w:pos="880"/>
          <w:tab w:val="right" w:leader="dot" w:pos="9782"/>
        </w:tabs>
        <w:rPr>
          <w:rFonts w:asciiTheme="minorHAnsi" w:eastAsiaTheme="minorEastAsia" w:hAnsiTheme="minorHAnsi" w:cstheme="minorBidi"/>
          <w:noProof/>
          <w:sz w:val="22"/>
          <w:szCs w:val="22"/>
        </w:rPr>
      </w:pPr>
      <w:hyperlink w:anchor="_Toc286743048" w:history="1">
        <w:r w:rsidR="00022593" w:rsidRPr="00A57673">
          <w:rPr>
            <w:rStyle w:val="Hyperlink"/>
            <w:noProof/>
          </w:rPr>
          <w:t>16.</w:t>
        </w:r>
        <w:r w:rsidR="00022593">
          <w:rPr>
            <w:rFonts w:asciiTheme="minorHAnsi" w:eastAsiaTheme="minorEastAsia" w:hAnsiTheme="minorHAnsi" w:cstheme="minorBidi"/>
            <w:noProof/>
            <w:sz w:val="22"/>
            <w:szCs w:val="22"/>
          </w:rPr>
          <w:tab/>
        </w:r>
        <w:r w:rsidR="00022593" w:rsidRPr="00A57673">
          <w:rPr>
            <w:rStyle w:val="Hyperlink"/>
            <w:noProof/>
          </w:rPr>
          <w:t>Plans for Tabulation and Publication and Project Time Schedule</w:t>
        </w:r>
        <w:r w:rsidR="00022593">
          <w:rPr>
            <w:noProof/>
            <w:webHidden/>
          </w:rPr>
          <w:tab/>
        </w:r>
        <w:r>
          <w:rPr>
            <w:noProof/>
            <w:webHidden/>
          </w:rPr>
          <w:fldChar w:fldCharType="begin"/>
        </w:r>
        <w:r w:rsidR="00022593">
          <w:rPr>
            <w:noProof/>
            <w:webHidden/>
          </w:rPr>
          <w:instrText xml:space="preserve"> PAGEREF _Toc286743048 \h </w:instrText>
        </w:r>
        <w:r>
          <w:rPr>
            <w:noProof/>
            <w:webHidden/>
          </w:rPr>
        </w:r>
        <w:r>
          <w:rPr>
            <w:noProof/>
            <w:webHidden/>
          </w:rPr>
          <w:fldChar w:fldCharType="separate"/>
        </w:r>
        <w:r w:rsidR="00F97E59">
          <w:rPr>
            <w:noProof/>
            <w:webHidden/>
          </w:rPr>
          <w:t>7</w:t>
        </w:r>
        <w:r>
          <w:rPr>
            <w:noProof/>
            <w:webHidden/>
          </w:rPr>
          <w:fldChar w:fldCharType="end"/>
        </w:r>
      </w:hyperlink>
    </w:p>
    <w:p w:rsidR="00022593" w:rsidRDefault="00A93EE2">
      <w:pPr>
        <w:pStyle w:val="TOC3"/>
        <w:tabs>
          <w:tab w:val="left" w:pos="880"/>
          <w:tab w:val="right" w:leader="dot" w:pos="9782"/>
        </w:tabs>
        <w:rPr>
          <w:rFonts w:asciiTheme="minorHAnsi" w:eastAsiaTheme="minorEastAsia" w:hAnsiTheme="minorHAnsi" w:cstheme="minorBidi"/>
          <w:noProof/>
          <w:sz w:val="22"/>
          <w:szCs w:val="22"/>
        </w:rPr>
      </w:pPr>
      <w:hyperlink w:anchor="_Toc286743049" w:history="1">
        <w:r w:rsidR="00022593" w:rsidRPr="00A57673">
          <w:rPr>
            <w:rStyle w:val="Hyperlink"/>
            <w:noProof/>
          </w:rPr>
          <w:t>17.</w:t>
        </w:r>
        <w:r w:rsidR="00022593">
          <w:rPr>
            <w:rFonts w:asciiTheme="minorHAnsi" w:eastAsiaTheme="minorEastAsia" w:hAnsiTheme="minorHAnsi" w:cstheme="minorBidi"/>
            <w:noProof/>
            <w:sz w:val="22"/>
            <w:szCs w:val="22"/>
          </w:rPr>
          <w:tab/>
        </w:r>
        <w:r w:rsidR="00022593" w:rsidRPr="00A57673">
          <w:rPr>
            <w:rStyle w:val="Hyperlink"/>
            <w:noProof/>
          </w:rPr>
          <w:t>Reason(s) Display of OMB Expiration Date is Inappropriate</w:t>
        </w:r>
        <w:r w:rsidR="00022593">
          <w:rPr>
            <w:noProof/>
            <w:webHidden/>
          </w:rPr>
          <w:tab/>
        </w:r>
        <w:r>
          <w:rPr>
            <w:noProof/>
            <w:webHidden/>
          </w:rPr>
          <w:fldChar w:fldCharType="begin"/>
        </w:r>
        <w:r w:rsidR="00022593">
          <w:rPr>
            <w:noProof/>
            <w:webHidden/>
          </w:rPr>
          <w:instrText xml:space="preserve"> PAGEREF _Toc286743049 \h </w:instrText>
        </w:r>
        <w:r>
          <w:rPr>
            <w:noProof/>
            <w:webHidden/>
          </w:rPr>
        </w:r>
        <w:r>
          <w:rPr>
            <w:noProof/>
            <w:webHidden/>
          </w:rPr>
          <w:fldChar w:fldCharType="separate"/>
        </w:r>
        <w:r w:rsidR="00F97E59">
          <w:rPr>
            <w:noProof/>
            <w:webHidden/>
          </w:rPr>
          <w:t>8</w:t>
        </w:r>
        <w:r>
          <w:rPr>
            <w:noProof/>
            <w:webHidden/>
          </w:rPr>
          <w:fldChar w:fldCharType="end"/>
        </w:r>
      </w:hyperlink>
    </w:p>
    <w:p w:rsidR="00022593" w:rsidRDefault="00A93EE2">
      <w:pPr>
        <w:pStyle w:val="TOC3"/>
        <w:tabs>
          <w:tab w:val="left" w:pos="880"/>
          <w:tab w:val="right" w:leader="dot" w:pos="9782"/>
        </w:tabs>
        <w:rPr>
          <w:rFonts w:asciiTheme="minorHAnsi" w:eastAsiaTheme="minorEastAsia" w:hAnsiTheme="minorHAnsi" w:cstheme="minorBidi"/>
          <w:noProof/>
          <w:sz w:val="22"/>
          <w:szCs w:val="22"/>
        </w:rPr>
      </w:pPr>
      <w:hyperlink w:anchor="_Toc286743050" w:history="1">
        <w:r w:rsidR="00022593" w:rsidRPr="00A57673">
          <w:rPr>
            <w:rStyle w:val="Hyperlink"/>
            <w:noProof/>
          </w:rPr>
          <w:t>18.</w:t>
        </w:r>
        <w:r w:rsidR="00022593">
          <w:rPr>
            <w:rFonts w:asciiTheme="minorHAnsi" w:eastAsiaTheme="minorEastAsia" w:hAnsiTheme="minorHAnsi" w:cstheme="minorBidi"/>
            <w:noProof/>
            <w:sz w:val="22"/>
            <w:szCs w:val="22"/>
          </w:rPr>
          <w:tab/>
        </w:r>
        <w:r w:rsidR="00022593" w:rsidRPr="00A57673">
          <w:rPr>
            <w:rStyle w:val="Hyperlink"/>
            <w:noProof/>
          </w:rPr>
          <w:t>Exceptions to Certification for Paperwork Reduction Act Submissions</w:t>
        </w:r>
        <w:r w:rsidR="00022593">
          <w:rPr>
            <w:noProof/>
            <w:webHidden/>
          </w:rPr>
          <w:tab/>
        </w:r>
        <w:r>
          <w:rPr>
            <w:noProof/>
            <w:webHidden/>
          </w:rPr>
          <w:fldChar w:fldCharType="begin"/>
        </w:r>
        <w:r w:rsidR="00022593">
          <w:rPr>
            <w:noProof/>
            <w:webHidden/>
          </w:rPr>
          <w:instrText xml:space="preserve"> PAGEREF _Toc286743050 \h </w:instrText>
        </w:r>
        <w:r>
          <w:rPr>
            <w:noProof/>
            <w:webHidden/>
          </w:rPr>
        </w:r>
        <w:r>
          <w:rPr>
            <w:noProof/>
            <w:webHidden/>
          </w:rPr>
          <w:fldChar w:fldCharType="separate"/>
        </w:r>
        <w:r w:rsidR="00F97E59">
          <w:rPr>
            <w:noProof/>
            <w:webHidden/>
          </w:rPr>
          <w:t>8</w:t>
        </w:r>
        <w:r>
          <w:rPr>
            <w:noProof/>
            <w:webHidden/>
          </w:rPr>
          <w:fldChar w:fldCharType="end"/>
        </w:r>
      </w:hyperlink>
    </w:p>
    <w:p w:rsidR="0077042B" w:rsidRDefault="00A93EE2">
      <w:r>
        <w:fldChar w:fldCharType="end"/>
      </w:r>
    </w:p>
    <w:p w:rsidR="00ED028C" w:rsidRDefault="00ED028C">
      <w:pPr>
        <w:tabs>
          <w:tab w:val="left" w:pos="720"/>
          <w:tab w:val="left" w:pos="1440"/>
          <w:tab w:val="left" w:pos="2160"/>
        </w:tabs>
        <w:ind w:left="2160" w:hanging="2160"/>
        <w:rPr>
          <w:sz w:val="24"/>
        </w:rPr>
      </w:pPr>
      <w:r>
        <w:rPr>
          <w:sz w:val="24"/>
        </w:rPr>
        <w:tab/>
      </w:r>
    </w:p>
    <w:p w:rsidR="00ED028C" w:rsidRDefault="00ED028C">
      <w:pPr>
        <w:tabs>
          <w:tab w:val="left" w:pos="720"/>
          <w:tab w:val="left" w:pos="1440"/>
          <w:tab w:val="left" w:pos="2160"/>
        </w:tabs>
        <w:ind w:left="2160" w:hanging="2160"/>
        <w:rPr>
          <w:sz w:val="24"/>
        </w:rPr>
      </w:pPr>
    </w:p>
    <w:p w:rsidR="00ED028C" w:rsidRDefault="00ED028C">
      <w:pPr>
        <w:tabs>
          <w:tab w:val="left" w:pos="720"/>
          <w:tab w:val="left" w:pos="1440"/>
          <w:tab w:val="left" w:pos="2160"/>
        </w:tabs>
        <w:ind w:left="2160" w:hanging="2160"/>
        <w:rPr>
          <w:sz w:val="24"/>
        </w:rPr>
      </w:pPr>
    </w:p>
    <w:p w:rsidR="00ED028C" w:rsidRDefault="00ED028C">
      <w:pPr>
        <w:tabs>
          <w:tab w:val="left" w:pos="720"/>
          <w:tab w:val="left" w:pos="1440"/>
          <w:tab w:val="left" w:pos="2160"/>
        </w:tabs>
        <w:ind w:left="2160" w:hanging="2160"/>
        <w:rPr>
          <w:sz w:val="24"/>
        </w:rPr>
      </w:pPr>
    </w:p>
    <w:p w:rsidR="00ED028C" w:rsidRDefault="00ED028C">
      <w:pPr>
        <w:tabs>
          <w:tab w:val="left" w:pos="720"/>
          <w:tab w:val="left" w:pos="1440"/>
          <w:tab w:val="left" w:pos="2160"/>
        </w:tabs>
        <w:ind w:left="2160" w:hanging="2160"/>
        <w:rPr>
          <w:sz w:val="24"/>
        </w:rPr>
      </w:pPr>
    </w:p>
    <w:p w:rsidR="00ED028C" w:rsidRDefault="00ED028C">
      <w:pPr>
        <w:tabs>
          <w:tab w:val="left" w:pos="720"/>
          <w:tab w:val="left" w:pos="1440"/>
          <w:tab w:val="left" w:pos="2160"/>
        </w:tabs>
        <w:ind w:left="2160" w:hanging="2160"/>
        <w:rPr>
          <w:sz w:val="24"/>
        </w:rPr>
      </w:pPr>
    </w:p>
    <w:p w:rsidR="00783A0C" w:rsidRDefault="00783A0C">
      <w:pPr>
        <w:tabs>
          <w:tab w:val="left" w:pos="720"/>
          <w:tab w:val="left" w:pos="1440"/>
          <w:tab w:val="left" w:pos="2160"/>
        </w:tabs>
        <w:ind w:left="2160" w:hanging="2160"/>
        <w:rPr>
          <w:sz w:val="24"/>
        </w:rPr>
      </w:pPr>
    </w:p>
    <w:p w:rsidR="00022593" w:rsidRDefault="00022593">
      <w:pPr>
        <w:widowControl/>
        <w:autoSpaceDE/>
        <w:autoSpaceDN/>
        <w:adjustRightInd/>
        <w:rPr>
          <w:sz w:val="24"/>
        </w:rPr>
      </w:pPr>
      <w:r>
        <w:rPr>
          <w:sz w:val="24"/>
        </w:rPr>
        <w:br w:type="page"/>
      </w:r>
    </w:p>
    <w:p w:rsidR="006530E2" w:rsidRPr="00DF7AF8" w:rsidRDefault="006530E2" w:rsidP="006530E2">
      <w:pPr>
        <w:pStyle w:val="Heading2"/>
        <w:numPr>
          <w:ilvl w:val="0"/>
          <w:numId w:val="21"/>
        </w:numPr>
        <w:ind w:left="0" w:firstLine="0"/>
      </w:pPr>
      <w:bookmarkStart w:id="0" w:name="_Toc286743032"/>
      <w:r w:rsidRPr="00DF7AF8">
        <w:lastRenderedPageBreak/>
        <w:t>Justification</w:t>
      </w:r>
      <w:bookmarkEnd w:id="0"/>
    </w:p>
    <w:p w:rsidR="00ED028C" w:rsidRDefault="00ED028C" w:rsidP="006530E2">
      <w:pPr>
        <w:pStyle w:val="Heading3"/>
        <w:numPr>
          <w:ilvl w:val="0"/>
          <w:numId w:val="22"/>
        </w:numPr>
        <w:ind w:left="0" w:firstLine="0"/>
      </w:pPr>
      <w:bookmarkStart w:id="1" w:name="_Toc286743033"/>
      <w:r>
        <w:t>Circumstances Making the Collection of Information Necessary</w:t>
      </w:r>
      <w:bookmarkEnd w:id="1"/>
    </w:p>
    <w:p w:rsidR="00891C01" w:rsidRPr="00172761" w:rsidRDefault="00891C01" w:rsidP="00891C01">
      <w:pPr>
        <w:rPr>
          <w:rFonts w:cs="Arial"/>
          <w:sz w:val="24"/>
        </w:rPr>
      </w:pPr>
    </w:p>
    <w:p w:rsidR="00D10755" w:rsidRPr="00D10755" w:rsidRDefault="00D10755" w:rsidP="00D10755">
      <w:pPr>
        <w:rPr>
          <w:sz w:val="24"/>
        </w:rPr>
      </w:pPr>
      <w:r w:rsidRPr="00D10755">
        <w:rPr>
          <w:sz w:val="24"/>
        </w:rPr>
        <w:t xml:space="preserve">On April 20, 2010, the British Petroleum (BP) Deepwater Horizon oil rig exploded in the Gulf of Mexico spilling </w:t>
      </w:r>
      <w:r w:rsidRPr="00D10755">
        <w:rPr>
          <w:color w:val="000000"/>
          <w:sz w:val="24"/>
        </w:rPr>
        <w:t xml:space="preserve">more than 4.9 million barrels of oil </w:t>
      </w:r>
      <w:r w:rsidRPr="00D10755">
        <w:rPr>
          <w:sz w:val="24"/>
        </w:rPr>
        <w:t xml:space="preserve">into the Gulf. The lives and livelihoods of persons residing in the Gulf coastal communities were impacted by this event due to loss of work, changes in patterns of leisure activities, and the effect on the physical environment in which they live.  An ongoing public health issue of concern following the spill is </w:t>
      </w:r>
      <w:r w:rsidRPr="00D10755">
        <w:rPr>
          <w:color w:val="000000"/>
          <w:sz w:val="24"/>
        </w:rPr>
        <w:t xml:space="preserve">the effect on mental and behavioral health of </w:t>
      </w:r>
      <w:r w:rsidRPr="00D10755">
        <w:rPr>
          <w:sz w:val="24"/>
        </w:rPr>
        <w:t xml:space="preserve">populations living in and around the Gulf region and the mental health services required to meet that need.  </w:t>
      </w:r>
    </w:p>
    <w:p w:rsidR="00D10755" w:rsidRPr="00D10755" w:rsidRDefault="00D10755" w:rsidP="00D10755">
      <w:pPr>
        <w:rPr>
          <w:sz w:val="24"/>
        </w:rPr>
      </w:pPr>
    </w:p>
    <w:p w:rsidR="00931674" w:rsidRPr="00931674" w:rsidRDefault="00D10755" w:rsidP="00931674">
      <w:pPr>
        <w:rPr>
          <w:sz w:val="24"/>
        </w:rPr>
      </w:pPr>
      <w:r w:rsidRPr="00931674">
        <w:rPr>
          <w:sz w:val="24"/>
        </w:rPr>
        <w:t>On October 7, 2010 the Office of Management and Budget (OMB) granted emergency clearance (OMB control # 0920-0868</w:t>
      </w:r>
      <w:r w:rsidR="00931674" w:rsidRPr="00931674">
        <w:rPr>
          <w:sz w:val="24"/>
        </w:rPr>
        <w:t>, expiration date April 30, 2011</w:t>
      </w:r>
      <w:r w:rsidRPr="00931674">
        <w:rPr>
          <w:sz w:val="24"/>
        </w:rPr>
        <w:t xml:space="preserve">) to CDC’s Public Health Surveillance Program Office (PHSPO), Division of Behavioral Surveillance (DBS) to conduct a survey to monitor the mental and behavioral health status of this affected population. </w:t>
      </w:r>
      <w:r w:rsidR="0062368E">
        <w:rPr>
          <w:sz w:val="24"/>
        </w:rPr>
        <w:t xml:space="preserve">The legal authority for this data collection is covered under 42 USC Sec 241 </w:t>
      </w:r>
      <w:r w:rsidR="00C17B5A">
        <w:rPr>
          <w:sz w:val="24"/>
        </w:rPr>
        <w:t xml:space="preserve">(see </w:t>
      </w:r>
      <w:r w:rsidR="0062368E">
        <w:rPr>
          <w:sz w:val="24"/>
        </w:rPr>
        <w:t>Attachment 1</w:t>
      </w:r>
      <w:r w:rsidR="00C17B5A">
        <w:rPr>
          <w:sz w:val="24"/>
        </w:rPr>
        <w:t>)</w:t>
      </w:r>
      <w:r w:rsidR="0062368E">
        <w:rPr>
          <w:sz w:val="24"/>
        </w:rPr>
        <w:t xml:space="preserve">. </w:t>
      </w:r>
    </w:p>
    <w:p w:rsidR="00D10755" w:rsidRPr="00D10755" w:rsidRDefault="00D10755" w:rsidP="00D10755">
      <w:pPr>
        <w:rPr>
          <w:sz w:val="24"/>
        </w:rPr>
      </w:pPr>
    </w:p>
    <w:p w:rsidR="001D7979" w:rsidRPr="00931674" w:rsidRDefault="00D10755" w:rsidP="001D7979">
      <w:pPr>
        <w:rPr>
          <w:sz w:val="24"/>
        </w:rPr>
      </w:pPr>
      <w:r w:rsidRPr="00D10755">
        <w:rPr>
          <w:sz w:val="24"/>
        </w:rPr>
        <w:t xml:space="preserve">Using the existing capacity and infrastructure of the Behavioral Risk Factor Surveillance System (BRFSs), DBS implemented a standalone survey designed to monitor the mental and behavioral health variables in the adult population in </w:t>
      </w:r>
      <w:r w:rsidRPr="00D10755">
        <w:rPr>
          <w:color w:val="000000"/>
          <w:sz w:val="24"/>
        </w:rPr>
        <w:t>selected coastal counties affected by the oil spill.</w:t>
      </w:r>
      <w:r w:rsidRPr="00D10755">
        <w:rPr>
          <w:sz w:val="24"/>
        </w:rPr>
        <w:t xml:space="preserve"> The </w:t>
      </w:r>
      <w:r w:rsidR="001D7979">
        <w:rPr>
          <w:sz w:val="24"/>
        </w:rPr>
        <w:t xml:space="preserve">Gulf States Population (GSPS) </w:t>
      </w:r>
      <w:r w:rsidRPr="00D10755">
        <w:rPr>
          <w:sz w:val="24"/>
        </w:rPr>
        <w:t xml:space="preserve">survey includes </w:t>
      </w:r>
      <w:r w:rsidR="00B26A5B">
        <w:rPr>
          <w:sz w:val="24"/>
        </w:rPr>
        <w:t xml:space="preserve">health related </w:t>
      </w:r>
      <w:r w:rsidRPr="00D10755">
        <w:rPr>
          <w:sz w:val="24"/>
        </w:rPr>
        <w:t>questions taken from the ongoing BRFSS as well as additional questions taken from standardized</w:t>
      </w:r>
      <w:r w:rsidR="003469EA">
        <w:rPr>
          <w:sz w:val="24"/>
        </w:rPr>
        <w:t xml:space="preserve"> scales or from other surveys</w:t>
      </w:r>
      <w:r w:rsidRPr="00D10755">
        <w:rPr>
          <w:sz w:val="24"/>
        </w:rPr>
        <w:t xml:space="preserve"> designed to measure anxiety, depression, and potential stress-associated physical health effects. </w:t>
      </w:r>
    </w:p>
    <w:p w:rsidR="00D10755" w:rsidRPr="00D10755" w:rsidRDefault="00D10755" w:rsidP="00D10755">
      <w:pPr>
        <w:rPr>
          <w:sz w:val="24"/>
        </w:rPr>
      </w:pPr>
    </w:p>
    <w:p w:rsidR="00D10755" w:rsidRPr="00D10755" w:rsidRDefault="00D10755" w:rsidP="00D10755">
      <w:pPr>
        <w:rPr>
          <w:color w:val="000000"/>
          <w:sz w:val="24"/>
        </w:rPr>
      </w:pPr>
      <w:r w:rsidRPr="00D10755">
        <w:rPr>
          <w:sz w:val="24"/>
        </w:rPr>
        <w:t xml:space="preserve">The survey questionnaire was developed by DBS in partnership with the Substance Abuse and Mental Health Services Administration (SAMHSA) and state public health and mental health departments from </w:t>
      </w:r>
      <w:r w:rsidRPr="00D10755">
        <w:rPr>
          <w:color w:val="000000"/>
          <w:sz w:val="24"/>
        </w:rPr>
        <w:t>Louisiana, Mississippi, Alabama, and Florida</w:t>
      </w:r>
      <w:r w:rsidR="00931674">
        <w:rPr>
          <w:color w:val="000000"/>
          <w:sz w:val="24"/>
        </w:rPr>
        <w:t>, where the survey is being conducted</w:t>
      </w:r>
      <w:r w:rsidRPr="00D10755">
        <w:rPr>
          <w:color w:val="000000"/>
          <w:sz w:val="24"/>
        </w:rPr>
        <w:t xml:space="preserve">. </w:t>
      </w:r>
    </w:p>
    <w:p w:rsidR="00E61970" w:rsidRDefault="00E61970" w:rsidP="00E61970">
      <w:pPr>
        <w:rPr>
          <w:sz w:val="24"/>
        </w:rPr>
      </w:pPr>
    </w:p>
    <w:p w:rsidR="00065FA7" w:rsidRDefault="00E61970" w:rsidP="00692C0E">
      <w:pPr>
        <w:rPr>
          <w:sz w:val="24"/>
        </w:rPr>
      </w:pPr>
      <w:r w:rsidRPr="00931674">
        <w:rPr>
          <w:sz w:val="24"/>
        </w:rPr>
        <w:t>Data collection for</w:t>
      </w:r>
      <w:r>
        <w:rPr>
          <w:sz w:val="24"/>
        </w:rPr>
        <w:t xml:space="preserve"> the GSPS </w:t>
      </w:r>
      <w:r w:rsidRPr="00931674">
        <w:rPr>
          <w:sz w:val="24"/>
        </w:rPr>
        <w:t>began on December 14, 2010 and will continue monthly for</w:t>
      </w:r>
      <w:r w:rsidR="00DA4467">
        <w:rPr>
          <w:sz w:val="24"/>
        </w:rPr>
        <w:t xml:space="preserve"> a one-year period.  No data were</w:t>
      </w:r>
      <w:r w:rsidRPr="00931674">
        <w:rPr>
          <w:sz w:val="24"/>
        </w:rPr>
        <w:t xml:space="preserve"> collected from October 2010 to December 13, 2010, because the sampling and data collecting contracts had not been awarded. </w:t>
      </w:r>
      <w:r w:rsidR="00692C0E">
        <w:rPr>
          <w:sz w:val="24"/>
        </w:rPr>
        <w:t>Because</w:t>
      </w:r>
      <w:r w:rsidR="00931674" w:rsidRPr="00931674">
        <w:rPr>
          <w:sz w:val="24"/>
        </w:rPr>
        <w:t xml:space="preserve"> the OMB emergency clearance for the DBS G</w:t>
      </w:r>
      <w:r>
        <w:rPr>
          <w:sz w:val="24"/>
        </w:rPr>
        <w:t>SPS</w:t>
      </w:r>
      <w:r w:rsidR="00931674" w:rsidRPr="00931674">
        <w:rPr>
          <w:sz w:val="24"/>
        </w:rPr>
        <w:t xml:space="preserve"> expires April</w:t>
      </w:r>
      <w:r w:rsidR="00A9455F">
        <w:rPr>
          <w:sz w:val="24"/>
        </w:rPr>
        <w:t xml:space="preserve"> 30, 2011, DBS is submitting a new</w:t>
      </w:r>
      <w:r w:rsidR="00931674" w:rsidRPr="00931674">
        <w:rPr>
          <w:sz w:val="24"/>
        </w:rPr>
        <w:t xml:space="preserve"> information collection request (ICR) </w:t>
      </w:r>
      <w:r w:rsidR="00C17B5A">
        <w:rPr>
          <w:sz w:val="24"/>
        </w:rPr>
        <w:t>to continue data collection for one year.</w:t>
      </w:r>
    </w:p>
    <w:p w:rsidR="00C17B5A" w:rsidRDefault="00C17B5A" w:rsidP="00692C0E">
      <w:pPr>
        <w:rPr>
          <w:sz w:val="24"/>
        </w:rPr>
      </w:pPr>
    </w:p>
    <w:p w:rsidR="000D2393" w:rsidRPr="00E52DF4" w:rsidRDefault="00715953" w:rsidP="00692C0E">
      <w:pPr>
        <w:rPr>
          <w:sz w:val="24"/>
        </w:rPr>
      </w:pPr>
      <w:r>
        <w:rPr>
          <w:sz w:val="24"/>
        </w:rPr>
        <w:t>The 60-day Federal Register Notice for the new ICR was posted on the Federal Register December 21, 2010</w:t>
      </w:r>
      <w:r w:rsidR="00EC3BAA">
        <w:rPr>
          <w:sz w:val="24"/>
        </w:rPr>
        <w:t>, Volume 75</w:t>
      </w:r>
      <w:r w:rsidR="00607217">
        <w:rPr>
          <w:sz w:val="24"/>
        </w:rPr>
        <w:t>, Num 244,</w:t>
      </w:r>
      <w:r w:rsidR="00EC3BAA">
        <w:rPr>
          <w:sz w:val="24"/>
        </w:rPr>
        <w:t xml:space="preserve"> pages 80056-80057</w:t>
      </w:r>
      <w:r w:rsidR="00C17B5A">
        <w:rPr>
          <w:sz w:val="24"/>
        </w:rPr>
        <w:t xml:space="preserve"> (see Attachment 2). </w:t>
      </w:r>
      <w:r w:rsidR="00EC3BAA">
        <w:rPr>
          <w:sz w:val="24"/>
        </w:rPr>
        <w:t xml:space="preserve">One non-substantive </w:t>
      </w:r>
      <w:r w:rsidR="00C17B5A" w:rsidRPr="00AD2B7B">
        <w:rPr>
          <w:sz w:val="24"/>
        </w:rPr>
        <w:t>comment</w:t>
      </w:r>
      <w:r w:rsidR="00EC3BAA">
        <w:rPr>
          <w:sz w:val="24"/>
        </w:rPr>
        <w:t xml:space="preserve"> was </w:t>
      </w:r>
      <w:r w:rsidR="00EC3BAA" w:rsidRPr="00AD2B7B">
        <w:rPr>
          <w:sz w:val="24"/>
        </w:rPr>
        <w:t xml:space="preserve">received </w:t>
      </w:r>
      <w:r w:rsidR="00EC3BAA">
        <w:rPr>
          <w:sz w:val="24"/>
        </w:rPr>
        <w:t xml:space="preserve">on December 22, 2010 </w:t>
      </w:r>
      <w:r w:rsidR="00EC3BAA" w:rsidRPr="00AD2B7B">
        <w:rPr>
          <w:sz w:val="24"/>
        </w:rPr>
        <w:t>in response to the</w:t>
      </w:r>
      <w:r w:rsidR="00EC3BAA">
        <w:rPr>
          <w:sz w:val="24"/>
        </w:rPr>
        <w:t xml:space="preserve"> 60-day Federal Register Notice and was addressed by CDC. </w:t>
      </w:r>
      <w:r w:rsidR="00692C0E">
        <w:rPr>
          <w:sz w:val="24"/>
        </w:rPr>
        <w:t xml:space="preserve">This new </w:t>
      </w:r>
      <w:r w:rsidR="00065FA7">
        <w:rPr>
          <w:sz w:val="24"/>
        </w:rPr>
        <w:t>ICR</w:t>
      </w:r>
      <w:r w:rsidR="00692C0E">
        <w:rPr>
          <w:sz w:val="24"/>
        </w:rPr>
        <w:t xml:space="preserve"> </w:t>
      </w:r>
      <w:r w:rsidR="000D2393" w:rsidRPr="00E52DF4">
        <w:rPr>
          <w:sz w:val="24"/>
        </w:rPr>
        <w:t>include</w:t>
      </w:r>
      <w:r w:rsidR="00E52DF4">
        <w:rPr>
          <w:sz w:val="24"/>
        </w:rPr>
        <w:t>s</w:t>
      </w:r>
      <w:r w:rsidR="000D2393" w:rsidRPr="00E52DF4">
        <w:rPr>
          <w:sz w:val="24"/>
        </w:rPr>
        <w:t xml:space="preserve"> modifications to the </w:t>
      </w:r>
      <w:r w:rsidR="00065FA7">
        <w:rPr>
          <w:sz w:val="24"/>
        </w:rPr>
        <w:t xml:space="preserve">original </w:t>
      </w:r>
      <w:r w:rsidR="000D2393" w:rsidRPr="00E52DF4">
        <w:rPr>
          <w:sz w:val="24"/>
        </w:rPr>
        <w:t>G</w:t>
      </w:r>
      <w:r w:rsidR="00692C0E" w:rsidRPr="00E52DF4">
        <w:rPr>
          <w:sz w:val="24"/>
        </w:rPr>
        <w:t>SPS questionnaire and protocol</w:t>
      </w:r>
      <w:r w:rsidR="00065FA7">
        <w:rPr>
          <w:sz w:val="24"/>
        </w:rPr>
        <w:t xml:space="preserve"> that were approved under the emergency clearance. </w:t>
      </w:r>
      <w:r w:rsidR="006C676C">
        <w:rPr>
          <w:sz w:val="24"/>
        </w:rPr>
        <w:t>Modifications include</w:t>
      </w:r>
      <w:r w:rsidR="00065FA7">
        <w:rPr>
          <w:sz w:val="24"/>
        </w:rPr>
        <w:t xml:space="preserve">: </w:t>
      </w:r>
    </w:p>
    <w:p w:rsidR="000D2393" w:rsidRPr="000D2393" w:rsidRDefault="00692C0E" w:rsidP="00EC3BAA">
      <w:pPr>
        <w:pStyle w:val="Style"/>
        <w:numPr>
          <w:ilvl w:val="0"/>
          <w:numId w:val="26"/>
        </w:numPr>
      </w:pPr>
      <w:r>
        <w:t>Translation of the questionnaire into Spanish for Spanish speaking respondents</w:t>
      </w:r>
      <w:r w:rsidR="000D2393" w:rsidRPr="000D2393">
        <w:t>.</w:t>
      </w:r>
    </w:p>
    <w:p w:rsidR="00692C0E" w:rsidRDefault="00065FA7" w:rsidP="000D2393">
      <w:pPr>
        <w:pStyle w:val="ListParagraph"/>
        <w:numPr>
          <w:ilvl w:val="0"/>
          <w:numId w:val="26"/>
        </w:numPr>
        <w:spacing w:after="0" w:line="240" w:lineRule="auto"/>
        <w:contextualSpacing w:val="0"/>
        <w:rPr>
          <w:rFonts w:ascii="Times New Roman" w:hAnsi="Times New Roman"/>
          <w:color w:val="000000"/>
          <w:sz w:val="24"/>
          <w:szCs w:val="24"/>
        </w:rPr>
      </w:pPr>
      <w:r>
        <w:rPr>
          <w:rFonts w:ascii="Times New Roman" w:hAnsi="Times New Roman"/>
          <w:sz w:val="24"/>
          <w:szCs w:val="24"/>
        </w:rPr>
        <w:t>Slight m</w:t>
      </w:r>
      <w:r w:rsidR="000D2393" w:rsidRPr="00692C0E">
        <w:rPr>
          <w:rFonts w:ascii="Times New Roman" w:hAnsi="Times New Roman"/>
          <w:sz w:val="24"/>
          <w:szCs w:val="24"/>
        </w:rPr>
        <w:t>odification</w:t>
      </w:r>
      <w:r>
        <w:rPr>
          <w:rFonts w:ascii="Times New Roman" w:hAnsi="Times New Roman"/>
          <w:sz w:val="24"/>
          <w:szCs w:val="24"/>
        </w:rPr>
        <w:t>s</w:t>
      </w:r>
      <w:r w:rsidR="000D2393" w:rsidRPr="00692C0E">
        <w:rPr>
          <w:rFonts w:ascii="Times New Roman" w:hAnsi="Times New Roman"/>
          <w:sz w:val="24"/>
          <w:szCs w:val="24"/>
        </w:rPr>
        <w:t xml:space="preserve"> of </w:t>
      </w:r>
      <w:r>
        <w:rPr>
          <w:rFonts w:ascii="Times New Roman" w:hAnsi="Times New Roman"/>
          <w:sz w:val="24"/>
          <w:szCs w:val="24"/>
        </w:rPr>
        <w:t xml:space="preserve">the wording of some </w:t>
      </w:r>
      <w:r w:rsidR="000D2393" w:rsidRPr="00692C0E">
        <w:rPr>
          <w:rFonts w:ascii="Times New Roman" w:hAnsi="Times New Roman"/>
          <w:sz w:val="24"/>
          <w:szCs w:val="24"/>
        </w:rPr>
        <w:t>question</w:t>
      </w:r>
      <w:r>
        <w:rPr>
          <w:rFonts w:ascii="Times New Roman" w:hAnsi="Times New Roman"/>
          <w:sz w:val="24"/>
          <w:szCs w:val="24"/>
        </w:rPr>
        <w:t>s to improve comprehension</w:t>
      </w:r>
      <w:r w:rsidR="000D2393" w:rsidRPr="00692C0E">
        <w:rPr>
          <w:rFonts w:ascii="Times New Roman" w:hAnsi="Times New Roman"/>
          <w:color w:val="000000"/>
          <w:sz w:val="24"/>
          <w:szCs w:val="24"/>
        </w:rPr>
        <w:t xml:space="preserve">. </w:t>
      </w:r>
    </w:p>
    <w:p w:rsidR="000D2393" w:rsidRPr="00692C0E" w:rsidRDefault="000D2393" w:rsidP="000D2393">
      <w:pPr>
        <w:pStyle w:val="ListParagraph"/>
        <w:numPr>
          <w:ilvl w:val="0"/>
          <w:numId w:val="26"/>
        </w:numPr>
        <w:spacing w:after="0" w:line="240" w:lineRule="auto"/>
        <w:contextualSpacing w:val="0"/>
        <w:rPr>
          <w:rFonts w:ascii="Times New Roman" w:hAnsi="Times New Roman"/>
          <w:color w:val="000000"/>
          <w:sz w:val="24"/>
          <w:szCs w:val="24"/>
        </w:rPr>
      </w:pPr>
      <w:r w:rsidRPr="00692C0E">
        <w:rPr>
          <w:rFonts w:ascii="Times New Roman" w:hAnsi="Times New Roman"/>
          <w:color w:val="000000"/>
          <w:sz w:val="24"/>
          <w:szCs w:val="24"/>
        </w:rPr>
        <w:t xml:space="preserve">Extension of the sample area to the entirety of the four states, which will allow comparison of results from the Gulf Coast counties to </w:t>
      </w:r>
      <w:proofErr w:type="gramStart"/>
      <w:r w:rsidRPr="00692C0E">
        <w:rPr>
          <w:rFonts w:ascii="Times New Roman" w:hAnsi="Times New Roman"/>
          <w:color w:val="000000"/>
          <w:sz w:val="24"/>
          <w:szCs w:val="24"/>
        </w:rPr>
        <w:t>non-Gulf Coast counties</w:t>
      </w:r>
      <w:proofErr w:type="gramEnd"/>
      <w:r w:rsidRPr="00692C0E">
        <w:rPr>
          <w:rFonts w:ascii="Times New Roman" w:hAnsi="Times New Roman"/>
          <w:color w:val="000000"/>
          <w:sz w:val="24"/>
          <w:szCs w:val="24"/>
        </w:rPr>
        <w:t xml:space="preserve">. </w:t>
      </w:r>
    </w:p>
    <w:p w:rsidR="005A2E09" w:rsidRPr="00064A0C" w:rsidRDefault="000D2393" w:rsidP="005A2E09">
      <w:pPr>
        <w:pStyle w:val="ListParagraph"/>
        <w:numPr>
          <w:ilvl w:val="0"/>
          <w:numId w:val="27"/>
        </w:numPr>
        <w:spacing w:after="0" w:line="240" w:lineRule="auto"/>
        <w:contextualSpacing w:val="0"/>
        <w:rPr>
          <w:rFonts w:ascii="Courier New" w:hAnsi="Courier New" w:cs="Courier New"/>
        </w:rPr>
      </w:pPr>
      <w:r w:rsidRPr="000D2393">
        <w:rPr>
          <w:rFonts w:ascii="Times New Roman" w:hAnsi="Times New Roman"/>
          <w:color w:val="000000"/>
          <w:sz w:val="24"/>
          <w:szCs w:val="24"/>
        </w:rPr>
        <w:t>Addition of cell phones to the sampling frame. Extension of the sample area to the entirety of the four states will allow DBS to sample cell phon</w:t>
      </w:r>
      <w:r w:rsidR="00065FA7">
        <w:rPr>
          <w:rFonts w:ascii="Times New Roman" w:hAnsi="Times New Roman"/>
          <w:color w:val="000000"/>
          <w:sz w:val="24"/>
          <w:szCs w:val="24"/>
        </w:rPr>
        <w:t>e responses in addition to land</w:t>
      </w:r>
      <w:r w:rsidRPr="000D2393">
        <w:rPr>
          <w:rFonts w:ascii="Times New Roman" w:hAnsi="Times New Roman"/>
          <w:color w:val="000000"/>
          <w:sz w:val="24"/>
          <w:szCs w:val="24"/>
        </w:rPr>
        <w:t xml:space="preserve">line </w:t>
      </w:r>
      <w:r w:rsidRPr="000D2393">
        <w:rPr>
          <w:rFonts w:ascii="Times New Roman" w:hAnsi="Times New Roman"/>
          <w:color w:val="000000"/>
          <w:sz w:val="24"/>
          <w:szCs w:val="24"/>
        </w:rPr>
        <w:lastRenderedPageBreak/>
        <w:t xml:space="preserve">telephones. </w:t>
      </w:r>
      <w:r w:rsidR="005A2E09" w:rsidRPr="005A2E09">
        <w:rPr>
          <w:rFonts w:ascii="Times New Roman" w:hAnsi="Times New Roman"/>
          <w:color w:val="000000"/>
          <w:sz w:val="24"/>
          <w:szCs w:val="24"/>
        </w:rPr>
        <w:t>This will improve the survey representativeness because those who have a cellular phone, but no land-line telephone, have a demographic profile that differs from those who do have land-line telephones.</w:t>
      </w:r>
      <w:r w:rsidR="005A2E09">
        <w:rPr>
          <w:rFonts w:ascii="Courier New" w:hAnsi="Courier New" w:cs="Courier New"/>
          <w:color w:val="000000"/>
          <w:sz w:val="24"/>
          <w:szCs w:val="24"/>
        </w:rPr>
        <w:t xml:space="preserve"> </w:t>
      </w:r>
      <w:r w:rsidR="005A2E09" w:rsidRPr="00064A0C">
        <w:rPr>
          <w:rFonts w:ascii="Courier New" w:hAnsi="Courier New" w:cs="Courier New"/>
          <w:color w:val="000000"/>
          <w:sz w:val="24"/>
          <w:szCs w:val="24"/>
        </w:rPr>
        <w:t xml:space="preserve"> </w:t>
      </w:r>
    </w:p>
    <w:p w:rsidR="000D2393" w:rsidRDefault="000D2393" w:rsidP="008B3914">
      <w:pPr>
        <w:rPr>
          <w:sz w:val="24"/>
        </w:rPr>
      </w:pPr>
    </w:p>
    <w:p w:rsidR="000D2393" w:rsidRDefault="000D2393" w:rsidP="008B3914">
      <w:pPr>
        <w:rPr>
          <w:sz w:val="24"/>
        </w:rPr>
      </w:pPr>
      <w:r>
        <w:rPr>
          <w:sz w:val="24"/>
        </w:rPr>
        <w:t xml:space="preserve">These </w:t>
      </w:r>
      <w:r w:rsidR="00065FA7">
        <w:rPr>
          <w:sz w:val="24"/>
        </w:rPr>
        <w:t xml:space="preserve">modifications </w:t>
      </w:r>
      <w:r>
        <w:rPr>
          <w:sz w:val="24"/>
        </w:rPr>
        <w:t xml:space="preserve">are </w:t>
      </w:r>
      <w:r w:rsidR="00065FA7">
        <w:rPr>
          <w:sz w:val="24"/>
        </w:rPr>
        <w:t xml:space="preserve">reflected </w:t>
      </w:r>
      <w:r w:rsidR="00012958">
        <w:rPr>
          <w:sz w:val="24"/>
        </w:rPr>
        <w:t xml:space="preserve">in </w:t>
      </w:r>
      <w:r w:rsidR="00A33C9E">
        <w:rPr>
          <w:sz w:val="24"/>
        </w:rPr>
        <w:t xml:space="preserve">justification statements A and B. </w:t>
      </w:r>
      <w:r>
        <w:rPr>
          <w:sz w:val="24"/>
        </w:rPr>
        <w:t xml:space="preserve"> </w:t>
      </w:r>
    </w:p>
    <w:p w:rsidR="00ED028C" w:rsidRDefault="00ED028C" w:rsidP="006530E2">
      <w:pPr>
        <w:pStyle w:val="Heading3"/>
        <w:numPr>
          <w:ilvl w:val="0"/>
          <w:numId w:val="22"/>
        </w:numPr>
        <w:ind w:left="0" w:firstLine="0"/>
      </w:pPr>
      <w:bookmarkStart w:id="2" w:name="_Toc286743034"/>
      <w:r>
        <w:t>Purpose and Use of Information Collection</w:t>
      </w:r>
      <w:bookmarkEnd w:id="2"/>
    </w:p>
    <w:p w:rsidR="00ED028C" w:rsidRDefault="00ED028C" w:rsidP="006530E2">
      <w:pPr>
        <w:pStyle w:val="Style"/>
        <w:spacing w:before="268" w:line="259" w:lineRule="exact"/>
        <w:ind w:right="1"/>
      </w:pPr>
      <w:r>
        <w:t xml:space="preserve">The primary objectives are to: </w:t>
      </w:r>
    </w:p>
    <w:p w:rsidR="000E5FE0" w:rsidRPr="00E85B64" w:rsidRDefault="000E5FE0" w:rsidP="006530E2">
      <w:pPr>
        <w:numPr>
          <w:ilvl w:val="0"/>
          <w:numId w:val="12"/>
        </w:numPr>
        <w:ind w:left="0" w:firstLine="0"/>
        <w:rPr>
          <w:sz w:val="24"/>
        </w:rPr>
      </w:pPr>
      <w:r w:rsidRPr="00E85B64">
        <w:rPr>
          <w:sz w:val="24"/>
        </w:rPr>
        <w:t xml:space="preserve">Compare </w:t>
      </w:r>
      <w:r w:rsidR="00180073">
        <w:rPr>
          <w:sz w:val="24"/>
        </w:rPr>
        <w:t xml:space="preserve">mental and </w:t>
      </w:r>
      <w:r w:rsidR="00261C53">
        <w:rPr>
          <w:sz w:val="24"/>
        </w:rPr>
        <w:t xml:space="preserve">behavioral </w:t>
      </w:r>
      <w:r w:rsidRPr="00E85B64">
        <w:rPr>
          <w:sz w:val="24"/>
        </w:rPr>
        <w:t xml:space="preserve">health risk and health status information taken from </w:t>
      </w:r>
      <w:r w:rsidR="00195834" w:rsidRPr="00E85B64">
        <w:rPr>
          <w:sz w:val="24"/>
        </w:rPr>
        <w:t xml:space="preserve">persons residing within </w:t>
      </w:r>
      <w:r w:rsidRPr="00E85B64">
        <w:rPr>
          <w:sz w:val="24"/>
        </w:rPr>
        <w:t xml:space="preserve">coastal counties </w:t>
      </w:r>
      <w:r w:rsidR="00C10AF4">
        <w:rPr>
          <w:sz w:val="24"/>
        </w:rPr>
        <w:t>and comparison groups within the same states</w:t>
      </w:r>
      <w:r w:rsidR="00336723">
        <w:rPr>
          <w:sz w:val="24"/>
        </w:rPr>
        <w:t>.</w:t>
      </w:r>
      <w:r w:rsidR="00E85B64">
        <w:rPr>
          <w:sz w:val="24"/>
        </w:rPr>
        <w:t xml:space="preserve"> </w:t>
      </w:r>
      <w:r w:rsidR="00134EBD">
        <w:rPr>
          <w:sz w:val="24"/>
        </w:rPr>
        <w:t xml:space="preserve">This will be accomplished using monthly cross sectional samples.  Samples will be stratified by the populations of selected counties. </w:t>
      </w:r>
      <w:r w:rsidR="00800AF3">
        <w:rPr>
          <w:sz w:val="24"/>
        </w:rPr>
        <w:t>Select c</w:t>
      </w:r>
      <w:r w:rsidR="00E85B64">
        <w:rPr>
          <w:sz w:val="24"/>
        </w:rPr>
        <w:t>oastal counties which are within 32 miles (approximately within 45 minutes or less of driving time) of an area where fishing was closed due to the Deepwater Horizon Event</w:t>
      </w:r>
      <w:r w:rsidR="00E85B64" w:rsidRPr="00E85B64">
        <w:rPr>
          <w:sz w:val="24"/>
        </w:rPr>
        <w:t xml:space="preserve"> </w:t>
      </w:r>
      <w:r w:rsidR="00134EBD">
        <w:rPr>
          <w:sz w:val="24"/>
        </w:rPr>
        <w:t>will be</w:t>
      </w:r>
      <w:r w:rsidR="00E85B64">
        <w:rPr>
          <w:sz w:val="24"/>
        </w:rPr>
        <w:t xml:space="preserve"> selected for inclusion</w:t>
      </w:r>
      <w:r w:rsidR="00C10AF4">
        <w:rPr>
          <w:sz w:val="24"/>
        </w:rPr>
        <w:t xml:space="preserve"> in the target area</w:t>
      </w:r>
      <w:r w:rsidR="00E85B64">
        <w:rPr>
          <w:sz w:val="24"/>
        </w:rPr>
        <w:t>.</w:t>
      </w:r>
      <w:r w:rsidR="00C10AF4">
        <w:rPr>
          <w:sz w:val="24"/>
        </w:rPr>
        <w:t xml:space="preserve"> Counties in the balance of the state (those not within 32 miles of closed fishing areas) will be included in the comparison group. </w:t>
      </w:r>
      <w:r w:rsidR="00E85B64">
        <w:rPr>
          <w:sz w:val="24"/>
        </w:rPr>
        <w:t xml:space="preserve"> </w:t>
      </w:r>
      <w:r w:rsidRPr="00E85B64">
        <w:rPr>
          <w:sz w:val="24"/>
        </w:rPr>
        <w:t xml:space="preserve"> </w:t>
      </w:r>
    </w:p>
    <w:p w:rsidR="00E85B64" w:rsidRPr="00AD2B7B" w:rsidRDefault="005149E3" w:rsidP="008B3914">
      <w:pPr>
        <w:numPr>
          <w:ilvl w:val="0"/>
          <w:numId w:val="12"/>
        </w:numPr>
        <w:ind w:left="0" w:firstLine="0"/>
        <w:rPr>
          <w:sz w:val="24"/>
        </w:rPr>
      </w:pPr>
      <w:r w:rsidRPr="00AD2B7B">
        <w:rPr>
          <w:sz w:val="24"/>
        </w:rPr>
        <w:t xml:space="preserve">Following the completion of all data collection, </w:t>
      </w:r>
      <w:r w:rsidR="00CA091D" w:rsidRPr="00AD2B7B">
        <w:rPr>
          <w:sz w:val="24"/>
        </w:rPr>
        <w:t xml:space="preserve">comparisons will be accomplished by aggregating responses from counties within each state and making comparisons with aggregated counties from other parts of Florida, Mississippi, Louisiana and Alabama. </w:t>
      </w:r>
    </w:p>
    <w:p w:rsidR="008B3914" w:rsidRDefault="00CA091D" w:rsidP="008B3914">
      <w:pPr>
        <w:numPr>
          <w:ilvl w:val="0"/>
          <w:numId w:val="12"/>
        </w:numPr>
        <w:ind w:left="0" w:firstLine="0"/>
        <w:rPr>
          <w:sz w:val="24"/>
        </w:rPr>
      </w:pPr>
      <w:r>
        <w:rPr>
          <w:sz w:val="24"/>
        </w:rPr>
        <w:t xml:space="preserve">Draw comparisons from data taken from questions included in other DBS/BRFSS surveys by matching responses from identical questions from the GSPS. Comparisons across surveys will be accomplished by examining difference in prevalence of mental and behavioral health risks and health status.  It will be possible to make comparisons to BRFSS surveys which have been completed in previous years by the same states and/or among other areas within these states where sufficient sample sizes are available using the routine administration of the BRFSS questionnaire.  </w:t>
      </w:r>
    </w:p>
    <w:p w:rsidR="00134EBD" w:rsidRPr="008B3914" w:rsidRDefault="00134EBD" w:rsidP="008B3914">
      <w:pPr>
        <w:numPr>
          <w:ilvl w:val="0"/>
          <w:numId w:val="12"/>
        </w:numPr>
        <w:ind w:left="0" w:firstLine="0"/>
        <w:rPr>
          <w:sz w:val="24"/>
        </w:rPr>
      </w:pPr>
      <w:r w:rsidRPr="008B3914">
        <w:rPr>
          <w:sz w:val="24"/>
        </w:rPr>
        <w:t xml:space="preserve">Provide a dataset which is </w:t>
      </w:r>
      <w:r w:rsidR="005149E3" w:rsidRPr="008B3914">
        <w:rPr>
          <w:sz w:val="24"/>
        </w:rPr>
        <w:t>amenable</w:t>
      </w:r>
      <w:r w:rsidRPr="008B3914">
        <w:rPr>
          <w:sz w:val="24"/>
        </w:rPr>
        <w:t xml:space="preserve"> to </w:t>
      </w:r>
      <w:r w:rsidR="00261C53" w:rsidRPr="008B3914">
        <w:rPr>
          <w:sz w:val="24"/>
        </w:rPr>
        <w:t>analysis by</w:t>
      </w:r>
      <w:r w:rsidRPr="008B3914">
        <w:rPr>
          <w:sz w:val="24"/>
        </w:rPr>
        <w:t xml:space="preserve"> </w:t>
      </w:r>
      <w:r w:rsidR="00FB155D" w:rsidRPr="008B3914">
        <w:rPr>
          <w:sz w:val="24"/>
        </w:rPr>
        <w:t>investigators</w:t>
      </w:r>
      <w:r w:rsidR="005149E3" w:rsidRPr="008B3914">
        <w:rPr>
          <w:sz w:val="24"/>
        </w:rPr>
        <w:t xml:space="preserve"> at </w:t>
      </w:r>
      <w:r w:rsidRPr="008B3914">
        <w:rPr>
          <w:sz w:val="24"/>
        </w:rPr>
        <w:t>CDC</w:t>
      </w:r>
      <w:r w:rsidR="005149E3" w:rsidRPr="008B3914">
        <w:rPr>
          <w:sz w:val="24"/>
        </w:rPr>
        <w:t>, SAMHSA</w:t>
      </w:r>
      <w:r w:rsidR="000821AF" w:rsidRPr="008B3914">
        <w:rPr>
          <w:sz w:val="24"/>
        </w:rPr>
        <w:t>,</w:t>
      </w:r>
      <w:r w:rsidR="000F0495" w:rsidRPr="008B3914">
        <w:rPr>
          <w:sz w:val="24"/>
        </w:rPr>
        <w:t xml:space="preserve"> </w:t>
      </w:r>
      <w:r w:rsidR="005149E3" w:rsidRPr="008B3914">
        <w:rPr>
          <w:sz w:val="24"/>
        </w:rPr>
        <w:t xml:space="preserve">and participating states </w:t>
      </w:r>
      <w:r w:rsidR="000F0495" w:rsidRPr="008B3914">
        <w:rPr>
          <w:sz w:val="24"/>
        </w:rPr>
        <w:t xml:space="preserve">to determine </w:t>
      </w:r>
      <w:r w:rsidR="003F3C2E" w:rsidRPr="008B3914">
        <w:rPr>
          <w:sz w:val="24"/>
        </w:rPr>
        <w:t xml:space="preserve">mental and </w:t>
      </w:r>
      <w:r w:rsidR="00261C53" w:rsidRPr="008B3914">
        <w:rPr>
          <w:sz w:val="24"/>
        </w:rPr>
        <w:t>behavioral health status in the population</w:t>
      </w:r>
      <w:r w:rsidR="005149E3" w:rsidRPr="008B3914">
        <w:rPr>
          <w:sz w:val="24"/>
        </w:rPr>
        <w:t>s</w:t>
      </w:r>
      <w:r w:rsidR="00261C53" w:rsidRPr="008B3914">
        <w:rPr>
          <w:sz w:val="24"/>
        </w:rPr>
        <w:t xml:space="preserve"> across the affected area</w:t>
      </w:r>
      <w:r w:rsidR="005149E3" w:rsidRPr="008B3914">
        <w:rPr>
          <w:sz w:val="24"/>
        </w:rPr>
        <w:t>s</w:t>
      </w:r>
      <w:r w:rsidRPr="008B3914">
        <w:rPr>
          <w:sz w:val="24"/>
        </w:rPr>
        <w:t xml:space="preserve">.  Data will be </w:t>
      </w:r>
      <w:r w:rsidR="005149E3" w:rsidRPr="008B3914">
        <w:rPr>
          <w:sz w:val="24"/>
        </w:rPr>
        <w:t>susceptible</w:t>
      </w:r>
      <w:r w:rsidRPr="008B3914">
        <w:rPr>
          <w:sz w:val="24"/>
        </w:rPr>
        <w:t xml:space="preserve"> to trend analyses, tests of differences among population demographic subgroups</w:t>
      </w:r>
      <w:r w:rsidR="000821AF" w:rsidRPr="008B3914">
        <w:rPr>
          <w:sz w:val="24"/>
        </w:rPr>
        <w:t>,</w:t>
      </w:r>
      <w:r w:rsidRPr="008B3914">
        <w:rPr>
          <w:sz w:val="24"/>
        </w:rPr>
        <w:t xml:space="preserve"> and control group comparisons (using routine administrations of the BRFSS, not included in this study).  Trend analyses may be conducted using monthly changes in prevalence, and cross sectional data may also be used to examine difference in prevalence among those who live in close proximity to the event and those who do not.</w:t>
      </w:r>
      <w:r w:rsidR="004C012C" w:rsidRPr="008B3914">
        <w:rPr>
          <w:sz w:val="24"/>
        </w:rPr>
        <w:t xml:space="preserve"> These data </w:t>
      </w:r>
      <w:r w:rsidR="008B3914">
        <w:rPr>
          <w:sz w:val="24"/>
        </w:rPr>
        <w:t>will be used to determine</w:t>
      </w:r>
      <w:r w:rsidR="008B3914" w:rsidRPr="008B3914">
        <w:rPr>
          <w:sz w:val="24"/>
        </w:rPr>
        <w:t xml:space="preserve"> the need for mental and behavioral health services in the region and to inform the provision of those services.</w:t>
      </w:r>
    </w:p>
    <w:p w:rsidR="00ED028C" w:rsidRPr="00AD77C7" w:rsidRDefault="00ED028C" w:rsidP="006530E2">
      <w:pPr>
        <w:rPr>
          <w:color w:val="FF0000"/>
          <w:sz w:val="24"/>
        </w:rPr>
      </w:pPr>
    </w:p>
    <w:p w:rsidR="00ED028C" w:rsidRDefault="00ED028C" w:rsidP="006530E2">
      <w:pPr>
        <w:pStyle w:val="Heading3"/>
        <w:numPr>
          <w:ilvl w:val="0"/>
          <w:numId w:val="22"/>
        </w:numPr>
        <w:ind w:left="0" w:firstLine="0"/>
      </w:pPr>
      <w:bookmarkStart w:id="3" w:name="_Toc286743035"/>
      <w:r>
        <w:t>Use of Improved Information Technology and Burden Reduction</w:t>
      </w:r>
      <w:bookmarkEnd w:id="3"/>
      <w:r>
        <w:t xml:space="preserve"> </w:t>
      </w:r>
    </w:p>
    <w:p w:rsidR="00E56539" w:rsidRDefault="00E56539" w:rsidP="006530E2">
      <w:pPr>
        <w:rPr>
          <w:sz w:val="24"/>
        </w:rPr>
      </w:pPr>
    </w:p>
    <w:p w:rsidR="00ED028C" w:rsidRDefault="00512B16" w:rsidP="006530E2">
      <w:pPr>
        <w:rPr>
          <w:sz w:val="24"/>
        </w:rPr>
      </w:pPr>
      <w:r>
        <w:rPr>
          <w:sz w:val="24"/>
        </w:rPr>
        <w:t xml:space="preserve">The </w:t>
      </w:r>
      <w:r w:rsidR="005B3A95">
        <w:rPr>
          <w:sz w:val="24"/>
        </w:rPr>
        <w:t>G</w:t>
      </w:r>
      <w:r w:rsidR="00E61970">
        <w:rPr>
          <w:sz w:val="24"/>
        </w:rPr>
        <w:t>SPS</w:t>
      </w:r>
      <w:r w:rsidR="00F40FE8">
        <w:rPr>
          <w:sz w:val="24"/>
        </w:rPr>
        <w:t xml:space="preserve"> data</w:t>
      </w:r>
      <w:r w:rsidR="008D4D01" w:rsidRPr="0077042B">
        <w:rPr>
          <w:sz w:val="24"/>
        </w:rPr>
        <w:t xml:space="preserve"> will</w:t>
      </w:r>
      <w:r w:rsidR="008D4D01">
        <w:rPr>
          <w:sz w:val="24"/>
        </w:rPr>
        <w:t xml:space="preserve"> be co</w:t>
      </w:r>
      <w:r w:rsidR="001C2603">
        <w:rPr>
          <w:sz w:val="24"/>
        </w:rPr>
        <w:t xml:space="preserve">llected using </w:t>
      </w:r>
      <w:r w:rsidR="00FB155D">
        <w:rPr>
          <w:sz w:val="24"/>
        </w:rPr>
        <w:t>random digit dialing (</w:t>
      </w:r>
      <w:r w:rsidR="00134EBD">
        <w:rPr>
          <w:sz w:val="24"/>
        </w:rPr>
        <w:t>RDD</w:t>
      </w:r>
      <w:r w:rsidR="00FB155D">
        <w:rPr>
          <w:sz w:val="24"/>
        </w:rPr>
        <w:t>)</w:t>
      </w:r>
      <w:r w:rsidR="00134EBD">
        <w:rPr>
          <w:sz w:val="24"/>
        </w:rPr>
        <w:t xml:space="preserve"> </w:t>
      </w:r>
      <w:r w:rsidR="001C2603">
        <w:rPr>
          <w:sz w:val="24"/>
        </w:rPr>
        <w:t>telephone samples</w:t>
      </w:r>
      <w:r w:rsidR="008D4D01">
        <w:rPr>
          <w:sz w:val="24"/>
        </w:rPr>
        <w:t>. Interviewers will use Computer Assisted Telephone Interview (CATI) software</w:t>
      </w:r>
      <w:r w:rsidR="00BF3C3F">
        <w:rPr>
          <w:sz w:val="24"/>
        </w:rPr>
        <w:t xml:space="preserve"> to enter data directly into a database, thereby eliminating some errors which may have been caused by manual data entry procedures.  </w:t>
      </w:r>
    </w:p>
    <w:p w:rsidR="00ED028C" w:rsidRDefault="00ED028C" w:rsidP="006530E2">
      <w:pPr>
        <w:rPr>
          <w:sz w:val="24"/>
        </w:rPr>
      </w:pPr>
    </w:p>
    <w:p w:rsidR="00ED028C" w:rsidRDefault="00ED028C" w:rsidP="006530E2">
      <w:pPr>
        <w:pStyle w:val="Heading3"/>
        <w:numPr>
          <w:ilvl w:val="0"/>
          <w:numId w:val="22"/>
        </w:numPr>
        <w:ind w:left="0" w:firstLine="0"/>
      </w:pPr>
      <w:bookmarkStart w:id="4" w:name="_Toc286743036"/>
      <w:r>
        <w:t>Efforts to Identify Duplication and Use of Similar Information</w:t>
      </w:r>
      <w:bookmarkEnd w:id="4"/>
    </w:p>
    <w:p w:rsidR="00E56539" w:rsidRDefault="00E56539" w:rsidP="006530E2">
      <w:pPr>
        <w:rPr>
          <w:sz w:val="24"/>
        </w:rPr>
      </w:pPr>
    </w:p>
    <w:p w:rsidR="00ED028C" w:rsidRDefault="00BF3C3F" w:rsidP="006530E2">
      <w:pPr>
        <w:rPr>
          <w:sz w:val="24"/>
        </w:rPr>
      </w:pPr>
      <w:r>
        <w:rPr>
          <w:sz w:val="24"/>
        </w:rPr>
        <w:t xml:space="preserve">Significant efforts to identify impacts on health related to the oil spill have been conducted by the </w:t>
      </w:r>
      <w:r>
        <w:rPr>
          <w:sz w:val="24"/>
        </w:rPr>
        <w:lastRenderedPageBreak/>
        <w:t>Emergency Operations Center (EOC) of the CDC.  Extant data do not include sufficient sample size to determine whether there are measureable changes</w:t>
      </w:r>
      <w:r w:rsidR="00231F67">
        <w:rPr>
          <w:sz w:val="24"/>
        </w:rPr>
        <w:t>/trends</w:t>
      </w:r>
      <w:r>
        <w:rPr>
          <w:sz w:val="24"/>
        </w:rPr>
        <w:t xml:space="preserve"> in health risk behaviors and/or self-assessment of health status among residents of the states and/or coastal areas</w:t>
      </w:r>
      <w:r w:rsidR="00ED028C">
        <w:rPr>
          <w:sz w:val="24"/>
        </w:rPr>
        <w:t xml:space="preserve">.   </w:t>
      </w:r>
    </w:p>
    <w:p w:rsidR="00ED028C" w:rsidRDefault="00ED028C" w:rsidP="006530E2">
      <w:pPr>
        <w:rPr>
          <w:sz w:val="24"/>
        </w:rPr>
      </w:pPr>
    </w:p>
    <w:p w:rsidR="00ED028C" w:rsidRDefault="00ED028C" w:rsidP="006530E2">
      <w:pPr>
        <w:pStyle w:val="Heading3"/>
        <w:numPr>
          <w:ilvl w:val="0"/>
          <w:numId w:val="22"/>
        </w:numPr>
        <w:ind w:left="0" w:firstLine="0"/>
        <w:rPr>
          <w:color w:val="000000"/>
        </w:rPr>
      </w:pPr>
      <w:bookmarkStart w:id="5" w:name="_Toc286743037"/>
      <w:r>
        <w:t>Impact on Small Businesses or Other Small Entities</w:t>
      </w:r>
      <w:bookmarkEnd w:id="5"/>
    </w:p>
    <w:p w:rsidR="00E56539" w:rsidRDefault="00E56539" w:rsidP="006530E2">
      <w:pPr>
        <w:rPr>
          <w:sz w:val="24"/>
        </w:rPr>
      </w:pPr>
    </w:p>
    <w:p w:rsidR="00ED028C" w:rsidRDefault="00ED028C" w:rsidP="006530E2">
      <w:pPr>
        <w:rPr>
          <w:sz w:val="24"/>
        </w:rPr>
      </w:pPr>
      <w:r>
        <w:rPr>
          <w:sz w:val="24"/>
        </w:rPr>
        <w:t>There will be no impact on small business.</w:t>
      </w:r>
    </w:p>
    <w:p w:rsidR="00ED028C" w:rsidRDefault="00ED028C" w:rsidP="006530E2">
      <w:pPr>
        <w:pStyle w:val="Heading3"/>
        <w:numPr>
          <w:ilvl w:val="0"/>
          <w:numId w:val="22"/>
        </w:numPr>
        <w:ind w:left="0" w:firstLine="0"/>
      </w:pPr>
      <w:bookmarkStart w:id="6" w:name="_Toc286743038"/>
      <w:r>
        <w:t xml:space="preserve">Consequences of </w:t>
      </w:r>
      <w:r w:rsidR="009E2A85">
        <w:t xml:space="preserve">Collecting the Information </w:t>
      </w:r>
      <w:r>
        <w:t>Less Frequent</w:t>
      </w:r>
      <w:r w:rsidR="009E2A85">
        <w:t>ly</w:t>
      </w:r>
      <w:bookmarkEnd w:id="6"/>
    </w:p>
    <w:p w:rsidR="00E56539" w:rsidRDefault="00E56539" w:rsidP="006530E2">
      <w:pPr>
        <w:rPr>
          <w:sz w:val="24"/>
        </w:rPr>
      </w:pPr>
    </w:p>
    <w:p w:rsidR="00C91371" w:rsidRDefault="005A337E" w:rsidP="00C91371">
      <w:pPr>
        <w:rPr>
          <w:sz w:val="24"/>
        </w:rPr>
      </w:pPr>
      <w:r>
        <w:rPr>
          <w:sz w:val="24"/>
        </w:rPr>
        <w:t>This new ICR application is for a</w:t>
      </w:r>
      <w:r w:rsidR="00C17B5A">
        <w:rPr>
          <w:sz w:val="24"/>
        </w:rPr>
        <w:t xml:space="preserve"> one year </w:t>
      </w:r>
      <w:r>
        <w:rPr>
          <w:sz w:val="24"/>
        </w:rPr>
        <w:t xml:space="preserve">data collection </w:t>
      </w:r>
      <w:r w:rsidR="00BF3C3F" w:rsidRPr="003A185A">
        <w:rPr>
          <w:sz w:val="24"/>
        </w:rPr>
        <w:t>period</w:t>
      </w:r>
      <w:r w:rsidR="004453E0">
        <w:rPr>
          <w:sz w:val="24"/>
        </w:rPr>
        <w:t xml:space="preserve">. </w:t>
      </w:r>
      <w:r w:rsidR="005B5826">
        <w:rPr>
          <w:sz w:val="24"/>
        </w:rPr>
        <w:t xml:space="preserve"> </w:t>
      </w:r>
      <w:r w:rsidR="00D176B4">
        <w:rPr>
          <w:sz w:val="24"/>
        </w:rPr>
        <w:t>Data will be collected monthly to allow assessment of changes over time.</w:t>
      </w:r>
      <w:r w:rsidR="00703ED8">
        <w:rPr>
          <w:sz w:val="24"/>
        </w:rPr>
        <w:t xml:space="preserve"> There are no legal obstacles to reduce the burden. </w:t>
      </w:r>
    </w:p>
    <w:p w:rsidR="005359AF" w:rsidRDefault="005359AF" w:rsidP="00C91371">
      <w:pPr>
        <w:rPr>
          <w:sz w:val="24"/>
        </w:rPr>
      </w:pPr>
    </w:p>
    <w:p w:rsidR="00ED028C" w:rsidRDefault="00ED028C" w:rsidP="006530E2">
      <w:pPr>
        <w:pStyle w:val="Heading3"/>
        <w:numPr>
          <w:ilvl w:val="0"/>
          <w:numId w:val="22"/>
        </w:numPr>
        <w:ind w:left="0" w:firstLine="0"/>
      </w:pPr>
      <w:bookmarkStart w:id="7" w:name="_Toc286743039"/>
      <w:r>
        <w:t>Special Circumstances Relating to the Guidelines of 5 CFR 1320.5</w:t>
      </w:r>
      <w:bookmarkEnd w:id="7"/>
    </w:p>
    <w:p w:rsidR="00E56539" w:rsidRDefault="00E56539" w:rsidP="006530E2">
      <w:pPr>
        <w:rPr>
          <w:sz w:val="24"/>
        </w:rPr>
      </w:pPr>
    </w:p>
    <w:p w:rsidR="00ED028C" w:rsidRDefault="00ED028C" w:rsidP="006530E2">
      <w:pPr>
        <w:rPr>
          <w:sz w:val="24"/>
        </w:rPr>
      </w:pPr>
      <w:r>
        <w:rPr>
          <w:sz w:val="24"/>
        </w:rPr>
        <w:t xml:space="preserve">There are no special circumstances. </w:t>
      </w:r>
    </w:p>
    <w:p w:rsidR="00FD0168" w:rsidRDefault="00ED028C" w:rsidP="00FD0168">
      <w:pPr>
        <w:pStyle w:val="Heading3"/>
        <w:numPr>
          <w:ilvl w:val="0"/>
          <w:numId w:val="22"/>
        </w:numPr>
        <w:ind w:left="0" w:firstLine="0"/>
      </w:pPr>
      <w:bookmarkStart w:id="8" w:name="_Toc286743040"/>
      <w:r w:rsidRPr="009E2A85">
        <w:rPr>
          <w:sz w:val="24"/>
          <w:szCs w:val="24"/>
        </w:rPr>
        <w:t>Comments in Response to the Federal Register Notice</w:t>
      </w:r>
      <w:r w:rsidR="009E2A85" w:rsidRPr="009E2A85">
        <w:rPr>
          <w:sz w:val="24"/>
          <w:szCs w:val="24"/>
        </w:rPr>
        <w:t xml:space="preserve"> and Efforts to Consult Outside the Agency</w:t>
      </w:r>
      <w:bookmarkEnd w:id="8"/>
      <w:r w:rsidR="009E2A85" w:rsidRPr="009E2A85">
        <w:rPr>
          <w:sz w:val="24"/>
          <w:szCs w:val="24"/>
        </w:rPr>
        <w:t xml:space="preserve"> </w:t>
      </w:r>
    </w:p>
    <w:p w:rsidR="00FD0168" w:rsidRDefault="00EC3BAA" w:rsidP="00FD0168">
      <w:pPr>
        <w:rPr>
          <w:sz w:val="24"/>
        </w:rPr>
      </w:pPr>
      <w:r>
        <w:rPr>
          <w:sz w:val="24"/>
        </w:rPr>
        <w:t>The 60-day Federal Register Notice for the new ICR was posted on the Federal Register December 21, 2010, Volume 75</w:t>
      </w:r>
      <w:r w:rsidR="00607217">
        <w:rPr>
          <w:sz w:val="24"/>
        </w:rPr>
        <w:t>, Num 244</w:t>
      </w:r>
      <w:r>
        <w:rPr>
          <w:sz w:val="24"/>
        </w:rPr>
        <w:t xml:space="preserve"> pages 80056-80057 (see Attachment 2). One non-substantive </w:t>
      </w:r>
      <w:r w:rsidRPr="00AD2B7B">
        <w:rPr>
          <w:sz w:val="24"/>
        </w:rPr>
        <w:t>comment</w:t>
      </w:r>
      <w:r>
        <w:rPr>
          <w:sz w:val="24"/>
        </w:rPr>
        <w:t xml:space="preserve"> was </w:t>
      </w:r>
      <w:r w:rsidRPr="00AD2B7B">
        <w:rPr>
          <w:sz w:val="24"/>
        </w:rPr>
        <w:t xml:space="preserve">received </w:t>
      </w:r>
      <w:r>
        <w:rPr>
          <w:sz w:val="24"/>
        </w:rPr>
        <w:t xml:space="preserve">on December 22, 2010 </w:t>
      </w:r>
      <w:r w:rsidRPr="00AD2B7B">
        <w:rPr>
          <w:sz w:val="24"/>
        </w:rPr>
        <w:t>in response to the</w:t>
      </w:r>
      <w:r>
        <w:rPr>
          <w:sz w:val="24"/>
        </w:rPr>
        <w:t xml:space="preserve"> 60-day Federal Register Notice and was addressed by CDC. </w:t>
      </w:r>
    </w:p>
    <w:p w:rsidR="00EC3BAA" w:rsidRDefault="00EC3BAA" w:rsidP="00FD0168">
      <w:pPr>
        <w:rPr>
          <w:sz w:val="24"/>
        </w:rPr>
      </w:pPr>
    </w:p>
    <w:p w:rsidR="0071064E" w:rsidRPr="00D10755" w:rsidRDefault="0071064E" w:rsidP="0071064E">
      <w:pPr>
        <w:rPr>
          <w:color w:val="000000"/>
          <w:sz w:val="24"/>
        </w:rPr>
      </w:pPr>
      <w:r w:rsidRPr="00D10755">
        <w:rPr>
          <w:sz w:val="24"/>
        </w:rPr>
        <w:t xml:space="preserve">The </w:t>
      </w:r>
      <w:r>
        <w:rPr>
          <w:sz w:val="24"/>
        </w:rPr>
        <w:t xml:space="preserve">GSPS </w:t>
      </w:r>
      <w:r w:rsidRPr="00D10755">
        <w:rPr>
          <w:sz w:val="24"/>
        </w:rPr>
        <w:t xml:space="preserve">questionnaire was developed </w:t>
      </w:r>
      <w:r w:rsidR="00665250">
        <w:rPr>
          <w:sz w:val="24"/>
        </w:rPr>
        <w:t xml:space="preserve">in September 2010 </w:t>
      </w:r>
      <w:r w:rsidRPr="00D10755">
        <w:rPr>
          <w:sz w:val="24"/>
        </w:rPr>
        <w:t xml:space="preserve">by DBS in partnership with the Substance Abuse and Mental Health Services Administration (SAMHSA) and state public health and mental health departments from </w:t>
      </w:r>
      <w:r w:rsidRPr="00D10755">
        <w:rPr>
          <w:color w:val="000000"/>
          <w:sz w:val="24"/>
        </w:rPr>
        <w:t>Louisiana, Mississippi, Alabama, and Florida</w:t>
      </w:r>
      <w:r>
        <w:rPr>
          <w:color w:val="000000"/>
          <w:sz w:val="24"/>
        </w:rPr>
        <w:t>, where the survey is being conducted</w:t>
      </w:r>
      <w:r w:rsidRPr="00D10755">
        <w:rPr>
          <w:color w:val="000000"/>
          <w:sz w:val="24"/>
        </w:rPr>
        <w:t xml:space="preserve">. </w:t>
      </w:r>
      <w:r w:rsidR="00E96E1E">
        <w:rPr>
          <w:color w:val="000000"/>
          <w:sz w:val="24"/>
        </w:rPr>
        <w:t>Individuals involved in the development of the GSPS include:</w:t>
      </w:r>
    </w:p>
    <w:p w:rsidR="00EC3BAA" w:rsidRDefault="00EC3BAA" w:rsidP="00FD0168">
      <w:pPr>
        <w:rPr>
          <w:sz w:val="24"/>
        </w:rPr>
      </w:pPr>
    </w:p>
    <w:tbl>
      <w:tblPr>
        <w:tblStyle w:val="TableGrid"/>
        <w:tblW w:w="0" w:type="auto"/>
        <w:tblLook w:val="04A0"/>
      </w:tblPr>
      <w:tblGrid>
        <w:gridCol w:w="2144"/>
        <w:gridCol w:w="4383"/>
        <w:gridCol w:w="3481"/>
      </w:tblGrid>
      <w:tr w:rsidR="00ED44FD" w:rsidTr="00ED44FD">
        <w:tc>
          <w:tcPr>
            <w:tcW w:w="2178" w:type="dxa"/>
          </w:tcPr>
          <w:p w:rsidR="00ED44FD" w:rsidRDefault="00ED44FD" w:rsidP="00ED44FD">
            <w:pPr>
              <w:rPr>
                <w:rFonts w:ascii="Tahoma" w:hAnsi="Tahoma" w:cs="Tahoma"/>
                <w:b/>
                <w:szCs w:val="20"/>
                <w:u w:val="single"/>
              </w:rPr>
            </w:pPr>
            <w:r>
              <w:rPr>
                <w:rFonts w:ascii="Tahoma" w:hAnsi="Tahoma" w:cs="Tahoma"/>
                <w:b/>
                <w:szCs w:val="20"/>
                <w:u w:val="single"/>
              </w:rPr>
              <w:t>SAMHSA</w:t>
            </w:r>
          </w:p>
        </w:tc>
        <w:tc>
          <w:tcPr>
            <w:tcW w:w="4494" w:type="dxa"/>
          </w:tcPr>
          <w:p w:rsidR="00ED44FD" w:rsidRDefault="00B45A23" w:rsidP="00B45A23">
            <w:pPr>
              <w:rPr>
                <w:rFonts w:ascii="Tahoma" w:hAnsi="Tahoma" w:cs="Tahoma"/>
                <w:b/>
                <w:szCs w:val="20"/>
                <w:u w:val="single"/>
              </w:rPr>
            </w:pPr>
            <w:r>
              <w:rPr>
                <w:rFonts w:ascii="Tahoma" w:hAnsi="Tahoma" w:cs="Tahoma"/>
                <w:szCs w:val="20"/>
              </w:rPr>
              <w:t>Peter Delany  ( Director CBHSQ)</w:t>
            </w:r>
          </w:p>
        </w:tc>
        <w:tc>
          <w:tcPr>
            <w:tcW w:w="3336" w:type="dxa"/>
          </w:tcPr>
          <w:p w:rsidR="00ED44FD" w:rsidRPr="00733454" w:rsidRDefault="00A93EE2" w:rsidP="00ED44FD">
            <w:pPr>
              <w:rPr>
                <w:rFonts w:ascii="Tahoma" w:hAnsi="Tahoma" w:cs="Tahoma"/>
                <w:szCs w:val="20"/>
              </w:rPr>
            </w:pPr>
            <w:hyperlink r:id="rId9" w:history="1">
              <w:r w:rsidR="00733454" w:rsidRPr="00733454">
                <w:rPr>
                  <w:rStyle w:val="Hyperlink"/>
                  <w:rFonts w:ascii="Tahoma" w:hAnsi="Tahoma" w:cs="Tahoma"/>
                  <w:szCs w:val="20"/>
                  <w:u w:val="none"/>
                </w:rPr>
                <w:t>Peter.delany@samhsa</w:t>
              </w:r>
            </w:hyperlink>
            <w:r w:rsidR="00B45A23" w:rsidRPr="00733454">
              <w:rPr>
                <w:rFonts w:ascii="Tahoma" w:hAnsi="Tahoma" w:cs="Tahoma"/>
                <w:szCs w:val="20"/>
              </w:rPr>
              <w:t>.hhs.gov</w:t>
            </w:r>
          </w:p>
        </w:tc>
      </w:tr>
      <w:tr w:rsidR="00ED44FD" w:rsidTr="00ED44FD">
        <w:tc>
          <w:tcPr>
            <w:tcW w:w="2178" w:type="dxa"/>
          </w:tcPr>
          <w:p w:rsidR="00ED44FD" w:rsidRDefault="00ED44FD" w:rsidP="00ED44FD">
            <w:pPr>
              <w:rPr>
                <w:rFonts w:ascii="Tahoma" w:hAnsi="Tahoma" w:cs="Tahoma"/>
                <w:b/>
                <w:szCs w:val="20"/>
                <w:u w:val="single"/>
              </w:rPr>
            </w:pPr>
            <w:r>
              <w:rPr>
                <w:rFonts w:ascii="Tahoma" w:hAnsi="Tahoma" w:cs="Tahoma"/>
                <w:b/>
                <w:szCs w:val="20"/>
                <w:u w:val="single"/>
              </w:rPr>
              <w:t>SAMHSA</w:t>
            </w:r>
          </w:p>
        </w:tc>
        <w:tc>
          <w:tcPr>
            <w:tcW w:w="4494" w:type="dxa"/>
          </w:tcPr>
          <w:p w:rsidR="00ED44FD" w:rsidRPr="00B45A23" w:rsidRDefault="00B45A23" w:rsidP="00D72B72">
            <w:pPr>
              <w:rPr>
                <w:rFonts w:ascii="Tahoma" w:hAnsi="Tahoma" w:cs="Tahoma"/>
                <w:szCs w:val="20"/>
              </w:rPr>
            </w:pPr>
            <w:proofErr w:type="spellStart"/>
            <w:r w:rsidRPr="00B45A23">
              <w:rPr>
                <w:rFonts w:ascii="Tahoma" w:hAnsi="Tahoma" w:cs="Tahoma"/>
                <w:szCs w:val="20"/>
              </w:rPr>
              <w:t>Marna</w:t>
            </w:r>
            <w:proofErr w:type="spellEnd"/>
            <w:r w:rsidRPr="00B45A23">
              <w:rPr>
                <w:rFonts w:ascii="Tahoma" w:hAnsi="Tahoma" w:cs="Tahoma"/>
                <w:szCs w:val="20"/>
              </w:rPr>
              <w:t xml:space="preserve"> Hoard (</w:t>
            </w:r>
            <w:r w:rsidR="00D72B72">
              <w:rPr>
                <w:rFonts w:ascii="Tahoma" w:hAnsi="Tahoma" w:cs="Tahoma"/>
                <w:szCs w:val="20"/>
              </w:rPr>
              <w:t>public health advisor</w:t>
            </w:r>
            <w:r w:rsidRPr="00B45A23">
              <w:rPr>
                <w:rFonts w:ascii="Tahoma" w:hAnsi="Tahoma" w:cs="Tahoma"/>
                <w:szCs w:val="20"/>
              </w:rPr>
              <w:t>)</w:t>
            </w:r>
          </w:p>
        </w:tc>
        <w:tc>
          <w:tcPr>
            <w:tcW w:w="3336" w:type="dxa"/>
          </w:tcPr>
          <w:p w:rsidR="00ED44FD" w:rsidRPr="00733454" w:rsidRDefault="00A93EE2" w:rsidP="00ED44FD">
            <w:pPr>
              <w:rPr>
                <w:rFonts w:ascii="Tahoma" w:hAnsi="Tahoma" w:cs="Tahoma"/>
                <w:szCs w:val="20"/>
              </w:rPr>
            </w:pPr>
            <w:hyperlink r:id="rId10" w:history="1">
              <w:r w:rsidR="00733454" w:rsidRPr="00733454">
                <w:rPr>
                  <w:rStyle w:val="Hyperlink"/>
                  <w:rFonts w:ascii="Tahoma" w:hAnsi="Tahoma" w:cs="Tahoma"/>
                  <w:szCs w:val="20"/>
                  <w:u w:val="none"/>
                </w:rPr>
                <w:t>Marna.hoard@samhsa</w:t>
              </w:r>
            </w:hyperlink>
            <w:r w:rsidR="00B45A23" w:rsidRPr="00733454">
              <w:rPr>
                <w:rFonts w:ascii="Tahoma" w:hAnsi="Tahoma" w:cs="Tahoma"/>
                <w:szCs w:val="20"/>
              </w:rPr>
              <w:t>.hhs.gov</w:t>
            </w:r>
          </w:p>
        </w:tc>
      </w:tr>
      <w:tr w:rsidR="00ED44FD" w:rsidTr="00ED44FD">
        <w:tc>
          <w:tcPr>
            <w:tcW w:w="2178" w:type="dxa"/>
          </w:tcPr>
          <w:p w:rsidR="00ED44FD" w:rsidRDefault="00ED44FD" w:rsidP="00ED44FD">
            <w:pPr>
              <w:rPr>
                <w:rFonts w:ascii="Tahoma" w:hAnsi="Tahoma" w:cs="Tahoma"/>
                <w:b/>
                <w:szCs w:val="20"/>
                <w:u w:val="single"/>
              </w:rPr>
            </w:pPr>
            <w:r>
              <w:rPr>
                <w:rFonts w:ascii="Tahoma" w:hAnsi="Tahoma" w:cs="Tahoma"/>
                <w:b/>
                <w:szCs w:val="20"/>
                <w:u w:val="single"/>
              </w:rPr>
              <w:t>SAMHSA</w:t>
            </w:r>
          </w:p>
        </w:tc>
        <w:tc>
          <w:tcPr>
            <w:tcW w:w="4494" w:type="dxa"/>
          </w:tcPr>
          <w:p w:rsidR="00ED44FD" w:rsidRPr="00ED44FD" w:rsidRDefault="00B45A23" w:rsidP="00D72B72">
            <w:pPr>
              <w:rPr>
                <w:rFonts w:ascii="Tahoma" w:hAnsi="Tahoma" w:cs="Tahoma"/>
                <w:szCs w:val="20"/>
              </w:rPr>
            </w:pPr>
            <w:r>
              <w:rPr>
                <w:rFonts w:ascii="Tahoma" w:hAnsi="Tahoma" w:cs="Tahoma"/>
                <w:szCs w:val="20"/>
              </w:rPr>
              <w:t>Terri Sp</w:t>
            </w:r>
            <w:r w:rsidR="00D72B72">
              <w:rPr>
                <w:rFonts w:ascii="Tahoma" w:hAnsi="Tahoma" w:cs="Tahoma"/>
                <w:szCs w:val="20"/>
              </w:rPr>
              <w:t>ear (PH Analyst</w:t>
            </w:r>
            <w:r>
              <w:rPr>
                <w:rFonts w:ascii="Tahoma" w:hAnsi="Tahoma" w:cs="Tahoma"/>
                <w:szCs w:val="20"/>
              </w:rPr>
              <w:t xml:space="preserve">) </w:t>
            </w:r>
          </w:p>
        </w:tc>
        <w:tc>
          <w:tcPr>
            <w:tcW w:w="3336" w:type="dxa"/>
          </w:tcPr>
          <w:p w:rsidR="00ED44FD" w:rsidRPr="00733454" w:rsidRDefault="00A93EE2" w:rsidP="00ED44FD">
            <w:pPr>
              <w:rPr>
                <w:rFonts w:ascii="Tahoma" w:hAnsi="Tahoma" w:cs="Tahoma"/>
                <w:szCs w:val="20"/>
              </w:rPr>
            </w:pPr>
            <w:hyperlink r:id="rId11" w:history="1">
              <w:r w:rsidR="00733454" w:rsidRPr="00733454">
                <w:rPr>
                  <w:rStyle w:val="Hyperlink"/>
                  <w:rFonts w:ascii="Tahoma" w:hAnsi="Tahoma" w:cs="Tahoma"/>
                  <w:szCs w:val="20"/>
                  <w:u w:val="none"/>
                </w:rPr>
                <w:t>Terri.spear@samhsa</w:t>
              </w:r>
            </w:hyperlink>
            <w:r w:rsidR="00B45A23" w:rsidRPr="00733454">
              <w:rPr>
                <w:rFonts w:ascii="Tahoma" w:hAnsi="Tahoma" w:cs="Tahoma"/>
                <w:szCs w:val="20"/>
              </w:rPr>
              <w:t>.hhs.gov</w:t>
            </w:r>
          </w:p>
        </w:tc>
      </w:tr>
      <w:tr w:rsidR="00ED44FD" w:rsidTr="00ED44FD">
        <w:tc>
          <w:tcPr>
            <w:tcW w:w="2178" w:type="dxa"/>
          </w:tcPr>
          <w:p w:rsidR="00ED44FD" w:rsidRDefault="00ED44FD" w:rsidP="00ED44FD">
            <w:pPr>
              <w:rPr>
                <w:rFonts w:ascii="Tahoma" w:hAnsi="Tahoma" w:cs="Tahoma"/>
                <w:b/>
                <w:szCs w:val="20"/>
                <w:u w:val="single"/>
              </w:rPr>
            </w:pPr>
            <w:r w:rsidRPr="00D359B7">
              <w:rPr>
                <w:rFonts w:ascii="Tahoma" w:hAnsi="Tahoma" w:cs="Tahoma"/>
                <w:b/>
                <w:szCs w:val="20"/>
                <w:u w:val="single"/>
              </w:rPr>
              <w:t>Alabama</w:t>
            </w:r>
          </w:p>
        </w:tc>
        <w:tc>
          <w:tcPr>
            <w:tcW w:w="4494" w:type="dxa"/>
          </w:tcPr>
          <w:p w:rsidR="00ED44FD" w:rsidRPr="003C0FB4" w:rsidRDefault="00ED44FD" w:rsidP="00ED44FD">
            <w:pPr>
              <w:rPr>
                <w:rFonts w:ascii="Tahoma" w:hAnsi="Tahoma" w:cs="Tahoma"/>
                <w:szCs w:val="20"/>
              </w:rPr>
            </w:pPr>
            <w:proofErr w:type="spellStart"/>
            <w:r w:rsidRPr="003C0FB4">
              <w:rPr>
                <w:rFonts w:ascii="Tahoma" w:hAnsi="Tahoma" w:cs="Tahoma"/>
                <w:szCs w:val="20"/>
              </w:rPr>
              <w:t>Acquanetta</w:t>
            </w:r>
            <w:proofErr w:type="spellEnd"/>
            <w:r w:rsidRPr="003C0FB4">
              <w:rPr>
                <w:rFonts w:ascii="Tahoma" w:hAnsi="Tahoma" w:cs="Tahoma"/>
                <w:szCs w:val="20"/>
              </w:rPr>
              <w:t xml:space="preserve"> Knight (M</w:t>
            </w:r>
            <w:r w:rsidR="00D72B72">
              <w:rPr>
                <w:rFonts w:ascii="Tahoma" w:hAnsi="Tahoma" w:cs="Tahoma"/>
                <w:szCs w:val="20"/>
              </w:rPr>
              <w:t xml:space="preserve">ental </w:t>
            </w:r>
            <w:r w:rsidRPr="003C0FB4">
              <w:rPr>
                <w:rFonts w:ascii="Tahoma" w:hAnsi="Tahoma" w:cs="Tahoma"/>
                <w:szCs w:val="20"/>
              </w:rPr>
              <w:t>H</w:t>
            </w:r>
            <w:r w:rsidR="00D72B72">
              <w:rPr>
                <w:rFonts w:ascii="Tahoma" w:hAnsi="Tahoma" w:cs="Tahoma"/>
                <w:szCs w:val="20"/>
              </w:rPr>
              <w:t>ealth</w:t>
            </w:r>
            <w:r w:rsidRPr="003C0FB4">
              <w:rPr>
                <w:rFonts w:ascii="Tahoma" w:hAnsi="Tahoma" w:cs="Tahoma"/>
                <w:szCs w:val="20"/>
              </w:rPr>
              <w:t xml:space="preserve">) </w:t>
            </w:r>
          </w:p>
          <w:p w:rsidR="00ED44FD" w:rsidRDefault="00ED44FD" w:rsidP="00ED44FD">
            <w:pPr>
              <w:rPr>
                <w:rFonts w:ascii="Tahoma" w:hAnsi="Tahoma" w:cs="Tahoma"/>
                <w:b/>
                <w:szCs w:val="20"/>
                <w:u w:val="single"/>
              </w:rPr>
            </w:pPr>
          </w:p>
        </w:tc>
        <w:tc>
          <w:tcPr>
            <w:tcW w:w="3336" w:type="dxa"/>
          </w:tcPr>
          <w:p w:rsidR="00ED44FD" w:rsidRPr="00733454" w:rsidRDefault="00A93EE2" w:rsidP="00ED44FD">
            <w:pPr>
              <w:rPr>
                <w:rFonts w:ascii="Tahoma" w:hAnsi="Tahoma" w:cs="Tahoma"/>
                <w:szCs w:val="20"/>
              </w:rPr>
            </w:pPr>
            <w:hyperlink r:id="rId12" w:history="1">
              <w:r w:rsidR="00733454" w:rsidRPr="00733454">
                <w:rPr>
                  <w:rStyle w:val="Hyperlink"/>
                  <w:rFonts w:ascii="Tahoma" w:hAnsi="Tahoma" w:cs="Tahoma"/>
                  <w:szCs w:val="20"/>
                  <w:u w:val="none"/>
                </w:rPr>
                <w:t>Acquanetta.Knight@mh</w:t>
              </w:r>
            </w:hyperlink>
            <w:r w:rsidR="00D72B72" w:rsidRPr="00733454">
              <w:rPr>
                <w:rFonts w:ascii="Tahoma" w:hAnsi="Tahoma" w:cs="Tahoma"/>
                <w:szCs w:val="20"/>
              </w:rPr>
              <w:t>.alabama.gov</w:t>
            </w:r>
          </w:p>
        </w:tc>
      </w:tr>
      <w:tr w:rsidR="00ED44FD" w:rsidTr="00ED44FD">
        <w:tc>
          <w:tcPr>
            <w:tcW w:w="2178" w:type="dxa"/>
          </w:tcPr>
          <w:p w:rsidR="00ED44FD" w:rsidRDefault="00ED44FD" w:rsidP="00ED44FD">
            <w:pPr>
              <w:rPr>
                <w:rFonts w:ascii="Tahoma" w:hAnsi="Tahoma" w:cs="Tahoma"/>
                <w:b/>
                <w:szCs w:val="20"/>
                <w:u w:val="single"/>
              </w:rPr>
            </w:pPr>
            <w:r w:rsidRPr="00D359B7">
              <w:rPr>
                <w:rFonts w:ascii="Tahoma" w:hAnsi="Tahoma" w:cs="Tahoma"/>
                <w:b/>
                <w:szCs w:val="20"/>
                <w:u w:val="single"/>
              </w:rPr>
              <w:t>Alabama</w:t>
            </w:r>
          </w:p>
        </w:tc>
        <w:tc>
          <w:tcPr>
            <w:tcW w:w="4494" w:type="dxa"/>
          </w:tcPr>
          <w:p w:rsidR="00ED44FD" w:rsidRPr="00ED44FD" w:rsidRDefault="00ED44FD" w:rsidP="00D72B72">
            <w:pPr>
              <w:rPr>
                <w:rFonts w:ascii="Tahoma" w:hAnsi="Tahoma" w:cs="Tahoma"/>
                <w:szCs w:val="20"/>
              </w:rPr>
            </w:pPr>
            <w:r w:rsidRPr="003C0FB4">
              <w:rPr>
                <w:rFonts w:ascii="Tahoma" w:hAnsi="Tahoma" w:cs="Tahoma"/>
                <w:szCs w:val="20"/>
              </w:rPr>
              <w:t xml:space="preserve">Jesse </w:t>
            </w:r>
            <w:proofErr w:type="spellStart"/>
            <w:r w:rsidRPr="003C0FB4">
              <w:rPr>
                <w:rFonts w:ascii="Tahoma" w:hAnsi="Tahoma" w:cs="Tahoma"/>
                <w:szCs w:val="20"/>
              </w:rPr>
              <w:t>Pevear</w:t>
            </w:r>
            <w:proofErr w:type="spellEnd"/>
            <w:r w:rsidRPr="003C0FB4">
              <w:rPr>
                <w:rFonts w:ascii="Tahoma" w:hAnsi="Tahoma" w:cs="Tahoma"/>
                <w:szCs w:val="20"/>
              </w:rPr>
              <w:t xml:space="preserve"> (BRFSS coordinator)</w:t>
            </w:r>
          </w:p>
        </w:tc>
        <w:tc>
          <w:tcPr>
            <w:tcW w:w="3336" w:type="dxa"/>
          </w:tcPr>
          <w:p w:rsidR="00ED44FD" w:rsidRPr="00733454" w:rsidRDefault="00A93EE2" w:rsidP="00ED44FD">
            <w:pPr>
              <w:rPr>
                <w:rFonts w:ascii="Tahoma" w:hAnsi="Tahoma" w:cs="Tahoma"/>
                <w:b/>
                <w:szCs w:val="20"/>
              </w:rPr>
            </w:pPr>
            <w:hyperlink r:id="rId13" w:history="1">
              <w:r w:rsidR="00733454" w:rsidRPr="00733454">
                <w:rPr>
                  <w:rStyle w:val="Hyperlink"/>
                  <w:rFonts w:ascii="Tahoma" w:hAnsi="Tahoma" w:cs="Tahoma"/>
                  <w:szCs w:val="20"/>
                  <w:u w:val="none"/>
                </w:rPr>
                <w:t>Jesse.Pevear@adph</w:t>
              </w:r>
            </w:hyperlink>
            <w:r w:rsidR="00D72B72" w:rsidRPr="00733454">
              <w:rPr>
                <w:rFonts w:ascii="Tahoma" w:hAnsi="Tahoma" w:cs="Tahoma"/>
                <w:szCs w:val="20"/>
              </w:rPr>
              <w:t>.state.al.us</w:t>
            </w:r>
          </w:p>
        </w:tc>
      </w:tr>
      <w:tr w:rsidR="00733454" w:rsidTr="00ED44FD">
        <w:tc>
          <w:tcPr>
            <w:tcW w:w="2178" w:type="dxa"/>
          </w:tcPr>
          <w:p w:rsidR="00733454" w:rsidRPr="00D359B7" w:rsidRDefault="00733454" w:rsidP="00ED44FD">
            <w:pPr>
              <w:rPr>
                <w:rFonts w:ascii="Tahoma" w:hAnsi="Tahoma" w:cs="Tahoma"/>
                <w:b/>
                <w:szCs w:val="20"/>
                <w:u w:val="single"/>
              </w:rPr>
            </w:pPr>
            <w:r>
              <w:rPr>
                <w:rFonts w:ascii="Tahoma" w:hAnsi="Tahoma" w:cs="Tahoma"/>
                <w:b/>
                <w:szCs w:val="20"/>
                <w:u w:val="single"/>
              </w:rPr>
              <w:t>Alabama</w:t>
            </w:r>
          </w:p>
        </w:tc>
        <w:tc>
          <w:tcPr>
            <w:tcW w:w="4494" w:type="dxa"/>
          </w:tcPr>
          <w:p w:rsidR="00733454" w:rsidRPr="003C0FB4" w:rsidRDefault="00733454" w:rsidP="00D72B72">
            <w:pPr>
              <w:rPr>
                <w:rFonts w:ascii="Tahoma" w:hAnsi="Tahoma" w:cs="Tahoma"/>
                <w:szCs w:val="20"/>
              </w:rPr>
            </w:pPr>
            <w:r>
              <w:rPr>
                <w:rFonts w:ascii="Tahoma" w:hAnsi="Tahoma" w:cs="Tahoma"/>
                <w:szCs w:val="20"/>
              </w:rPr>
              <w:t xml:space="preserve">Kathy </w:t>
            </w:r>
            <w:proofErr w:type="spellStart"/>
            <w:r>
              <w:rPr>
                <w:rFonts w:ascii="Tahoma" w:hAnsi="Tahoma" w:cs="Tahoma"/>
                <w:szCs w:val="20"/>
              </w:rPr>
              <w:t>Seifried</w:t>
            </w:r>
            <w:proofErr w:type="spellEnd"/>
            <w:r>
              <w:rPr>
                <w:rFonts w:ascii="Tahoma" w:hAnsi="Tahoma" w:cs="Tahoma"/>
                <w:szCs w:val="20"/>
              </w:rPr>
              <w:t xml:space="preserve"> (Mental Health)</w:t>
            </w:r>
          </w:p>
        </w:tc>
        <w:tc>
          <w:tcPr>
            <w:tcW w:w="3336" w:type="dxa"/>
          </w:tcPr>
          <w:p w:rsidR="00733454" w:rsidRDefault="00733454" w:rsidP="00ED44FD">
            <w:pPr>
              <w:rPr>
                <w:rFonts w:ascii="Tahoma" w:hAnsi="Tahoma" w:cs="Tahoma"/>
                <w:szCs w:val="20"/>
              </w:rPr>
            </w:pPr>
            <w:r>
              <w:rPr>
                <w:rFonts w:ascii="Tahoma" w:hAnsi="Tahoma" w:cs="Tahoma"/>
                <w:szCs w:val="20"/>
              </w:rPr>
              <w:t>Kathy.seifried@mh.alabama.gov</w:t>
            </w:r>
          </w:p>
        </w:tc>
      </w:tr>
      <w:tr w:rsidR="00ED44FD" w:rsidTr="00ED44FD">
        <w:tc>
          <w:tcPr>
            <w:tcW w:w="2178" w:type="dxa"/>
          </w:tcPr>
          <w:p w:rsidR="00ED44FD" w:rsidRDefault="00ED44FD" w:rsidP="00ED44FD">
            <w:pPr>
              <w:rPr>
                <w:rFonts w:ascii="Tahoma" w:hAnsi="Tahoma" w:cs="Tahoma"/>
                <w:b/>
                <w:szCs w:val="20"/>
                <w:u w:val="single"/>
              </w:rPr>
            </w:pPr>
            <w:r w:rsidRPr="00D359B7">
              <w:rPr>
                <w:rFonts w:ascii="Tahoma" w:hAnsi="Tahoma" w:cs="Tahoma"/>
                <w:b/>
                <w:szCs w:val="20"/>
                <w:u w:val="single"/>
              </w:rPr>
              <w:t>Florida</w:t>
            </w:r>
          </w:p>
        </w:tc>
        <w:tc>
          <w:tcPr>
            <w:tcW w:w="4494" w:type="dxa"/>
          </w:tcPr>
          <w:p w:rsidR="00ED44FD" w:rsidRPr="00ED44FD" w:rsidRDefault="00ED44FD" w:rsidP="00ED44FD">
            <w:pPr>
              <w:rPr>
                <w:rFonts w:ascii="Tahoma" w:hAnsi="Tahoma" w:cs="Tahoma"/>
                <w:szCs w:val="20"/>
              </w:rPr>
            </w:pPr>
            <w:r w:rsidRPr="003C0FB4">
              <w:rPr>
                <w:rFonts w:ascii="Tahoma" w:hAnsi="Tahoma" w:cs="Tahoma"/>
                <w:szCs w:val="20"/>
              </w:rPr>
              <w:t xml:space="preserve">Sharon Watkins </w:t>
            </w:r>
            <w:r>
              <w:rPr>
                <w:rFonts w:ascii="Tahoma" w:hAnsi="Tahoma" w:cs="Tahoma"/>
                <w:szCs w:val="20"/>
              </w:rPr>
              <w:t>(Epi</w:t>
            </w:r>
            <w:r w:rsidR="00D72B72">
              <w:rPr>
                <w:rFonts w:ascii="Tahoma" w:hAnsi="Tahoma" w:cs="Tahoma"/>
                <w:szCs w:val="20"/>
              </w:rPr>
              <w:t>demiologist</w:t>
            </w:r>
            <w:r>
              <w:rPr>
                <w:rFonts w:ascii="Tahoma" w:hAnsi="Tahoma" w:cs="Tahoma"/>
                <w:szCs w:val="20"/>
              </w:rPr>
              <w:t>)</w:t>
            </w:r>
          </w:p>
        </w:tc>
        <w:tc>
          <w:tcPr>
            <w:tcW w:w="3336" w:type="dxa"/>
          </w:tcPr>
          <w:p w:rsidR="00ED44FD" w:rsidRPr="00D72B72" w:rsidRDefault="00D72B72" w:rsidP="00ED44FD">
            <w:pPr>
              <w:rPr>
                <w:rFonts w:ascii="Tahoma" w:hAnsi="Tahoma" w:cs="Tahoma"/>
                <w:szCs w:val="20"/>
              </w:rPr>
            </w:pPr>
            <w:r w:rsidRPr="00D72B72">
              <w:rPr>
                <w:rFonts w:ascii="Tahoma" w:hAnsi="Tahoma" w:cs="Tahoma"/>
                <w:szCs w:val="20"/>
              </w:rPr>
              <w:t>Sharon_watkins@doh.state.fl.us</w:t>
            </w:r>
          </w:p>
        </w:tc>
      </w:tr>
      <w:tr w:rsidR="00ED44FD" w:rsidTr="00ED44FD">
        <w:tc>
          <w:tcPr>
            <w:tcW w:w="2178" w:type="dxa"/>
          </w:tcPr>
          <w:p w:rsidR="00ED44FD" w:rsidRDefault="00ED44FD" w:rsidP="00ED44FD">
            <w:pPr>
              <w:rPr>
                <w:rFonts w:ascii="Tahoma" w:hAnsi="Tahoma" w:cs="Tahoma"/>
                <w:b/>
                <w:szCs w:val="20"/>
                <w:u w:val="single"/>
              </w:rPr>
            </w:pPr>
            <w:r w:rsidRPr="00D359B7">
              <w:rPr>
                <w:rFonts w:ascii="Tahoma" w:hAnsi="Tahoma" w:cs="Tahoma"/>
                <w:b/>
                <w:szCs w:val="20"/>
                <w:u w:val="single"/>
              </w:rPr>
              <w:t>Florida</w:t>
            </w:r>
          </w:p>
        </w:tc>
        <w:tc>
          <w:tcPr>
            <w:tcW w:w="4494" w:type="dxa"/>
          </w:tcPr>
          <w:p w:rsidR="00ED44FD" w:rsidRPr="00690AF8" w:rsidRDefault="00ED44FD" w:rsidP="00ED44FD">
            <w:pPr>
              <w:rPr>
                <w:rFonts w:ascii="Tahoma" w:hAnsi="Tahoma" w:cs="Tahoma"/>
                <w:szCs w:val="20"/>
              </w:rPr>
            </w:pPr>
            <w:r w:rsidRPr="003C0FB4">
              <w:rPr>
                <w:rFonts w:ascii="Tahoma" w:hAnsi="Tahoma" w:cs="Tahoma"/>
                <w:szCs w:val="20"/>
              </w:rPr>
              <w:t>Jamie Forest</w:t>
            </w:r>
            <w:r>
              <w:rPr>
                <w:rFonts w:ascii="Tahoma" w:hAnsi="Tahoma" w:cs="Tahoma"/>
                <w:szCs w:val="20"/>
              </w:rPr>
              <w:t xml:space="preserve"> (BRFSS Coordinator)</w:t>
            </w:r>
          </w:p>
        </w:tc>
        <w:tc>
          <w:tcPr>
            <w:tcW w:w="3336" w:type="dxa"/>
          </w:tcPr>
          <w:p w:rsidR="00ED44FD" w:rsidRPr="00D72B72" w:rsidRDefault="00690AF8" w:rsidP="00ED44FD">
            <w:pPr>
              <w:rPr>
                <w:rFonts w:ascii="Tahoma" w:hAnsi="Tahoma" w:cs="Tahoma"/>
                <w:szCs w:val="20"/>
              </w:rPr>
            </w:pPr>
            <w:r>
              <w:rPr>
                <w:rFonts w:ascii="Tahoma" w:hAnsi="Tahoma" w:cs="Tahoma"/>
                <w:szCs w:val="20"/>
              </w:rPr>
              <w:t>Jamie.</w:t>
            </w:r>
            <w:r w:rsidRPr="003C0FB4">
              <w:rPr>
                <w:rFonts w:ascii="Tahoma" w:hAnsi="Tahoma" w:cs="Tahoma"/>
                <w:szCs w:val="20"/>
              </w:rPr>
              <w:t>Forest</w:t>
            </w:r>
            <w:r>
              <w:rPr>
                <w:rFonts w:ascii="Tahoma" w:hAnsi="Tahoma" w:cs="Tahoma"/>
                <w:szCs w:val="20"/>
              </w:rPr>
              <w:t>@doh.state.fl.us</w:t>
            </w:r>
          </w:p>
        </w:tc>
      </w:tr>
      <w:tr w:rsidR="00ED44FD" w:rsidTr="00ED44FD">
        <w:tc>
          <w:tcPr>
            <w:tcW w:w="2178" w:type="dxa"/>
          </w:tcPr>
          <w:p w:rsidR="00ED44FD" w:rsidRDefault="00ED44FD" w:rsidP="00ED44FD">
            <w:pPr>
              <w:rPr>
                <w:rFonts w:ascii="Tahoma" w:hAnsi="Tahoma" w:cs="Tahoma"/>
                <w:b/>
                <w:szCs w:val="20"/>
                <w:u w:val="single"/>
              </w:rPr>
            </w:pPr>
            <w:r w:rsidRPr="00D359B7">
              <w:rPr>
                <w:rFonts w:ascii="Tahoma" w:hAnsi="Tahoma" w:cs="Tahoma"/>
                <w:b/>
                <w:szCs w:val="20"/>
                <w:u w:val="single"/>
              </w:rPr>
              <w:t>Florida</w:t>
            </w:r>
          </w:p>
        </w:tc>
        <w:tc>
          <w:tcPr>
            <w:tcW w:w="4494" w:type="dxa"/>
          </w:tcPr>
          <w:p w:rsidR="00ED44FD" w:rsidRPr="00ED44FD" w:rsidRDefault="00ED44FD" w:rsidP="00690AF8">
            <w:pPr>
              <w:rPr>
                <w:rFonts w:ascii="Tahoma" w:hAnsi="Tahoma" w:cs="Tahoma"/>
                <w:szCs w:val="20"/>
              </w:rPr>
            </w:pPr>
            <w:r w:rsidRPr="003C0FB4">
              <w:rPr>
                <w:rFonts w:ascii="Tahoma" w:hAnsi="Tahoma" w:cs="Tahoma"/>
                <w:szCs w:val="20"/>
              </w:rPr>
              <w:t xml:space="preserve">Melissa Murray </w:t>
            </w:r>
            <w:r w:rsidR="00690AF8">
              <w:rPr>
                <w:rFonts w:ascii="Tahoma" w:hAnsi="Tahoma" w:cs="Tahoma"/>
                <w:szCs w:val="20"/>
              </w:rPr>
              <w:t>(Epidemiologist)</w:t>
            </w:r>
          </w:p>
        </w:tc>
        <w:tc>
          <w:tcPr>
            <w:tcW w:w="3336" w:type="dxa"/>
          </w:tcPr>
          <w:p w:rsidR="00ED44FD" w:rsidRPr="00D72B72" w:rsidRDefault="00690AF8" w:rsidP="00ED44FD">
            <w:pPr>
              <w:rPr>
                <w:rFonts w:ascii="Tahoma" w:hAnsi="Tahoma" w:cs="Tahoma"/>
                <w:szCs w:val="20"/>
              </w:rPr>
            </w:pPr>
            <w:r>
              <w:rPr>
                <w:rFonts w:ascii="Tahoma" w:hAnsi="Tahoma" w:cs="Tahoma"/>
                <w:szCs w:val="20"/>
              </w:rPr>
              <w:t>Melissa.murray@doh.state.fl.us</w:t>
            </w:r>
          </w:p>
        </w:tc>
      </w:tr>
      <w:tr w:rsidR="00ED44FD" w:rsidTr="00ED44FD">
        <w:tc>
          <w:tcPr>
            <w:tcW w:w="2178" w:type="dxa"/>
          </w:tcPr>
          <w:p w:rsidR="00ED44FD" w:rsidRDefault="00ED44FD" w:rsidP="00ED44FD">
            <w:pPr>
              <w:rPr>
                <w:rFonts w:ascii="Tahoma" w:hAnsi="Tahoma" w:cs="Tahoma"/>
                <w:b/>
                <w:szCs w:val="20"/>
                <w:u w:val="single"/>
              </w:rPr>
            </w:pPr>
            <w:r w:rsidRPr="00D359B7">
              <w:rPr>
                <w:rFonts w:ascii="Tahoma" w:hAnsi="Tahoma" w:cs="Tahoma"/>
                <w:b/>
                <w:szCs w:val="20"/>
                <w:u w:val="single"/>
              </w:rPr>
              <w:t>Mississippi</w:t>
            </w:r>
          </w:p>
        </w:tc>
        <w:tc>
          <w:tcPr>
            <w:tcW w:w="4494" w:type="dxa"/>
          </w:tcPr>
          <w:p w:rsidR="00ED44FD" w:rsidRPr="00690AF8" w:rsidRDefault="00ED44FD" w:rsidP="00ED44FD">
            <w:pPr>
              <w:rPr>
                <w:rFonts w:ascii="Tahoma" w:hAnsi="Tahoma" w:cs="Tahoma"/>
                <w:szCs w:val="20"/>
              </w:rPr>
            </w:pPr>
            <w:r>
              <w:rPr>
                <w:rFonts w:ascii="Tahoma" w:hAnsi="Tahoma" w:cs="Tahoma"/>
                <w:szCs w:val="20"/>
              </w:rPr>
              <w:t xml:space="preserve">Alisha Brinson </w:t>
            </w:r>
            <w:r w:rsidR="00690AF8">
              <w:rPr>
                <w:rFonts w:ascii="Tahoma" w:hAnsi="Tahoma" w:cs="Tahoma"/>
                <w:szCs w:val="20"/>
              </w:rPr>
              <w:t>(Epidemiologist)</w:t>
            </w:r>
          </w:p>
        </w:tc>
        <w:tc>
          <w:tcPr>
            <w:tcW w:w="3336" w:type="dxa"/>
          </w:tcPr>
          <w:p w:rsidR="00ED44FD" w:rsidRPr="00D72B72" w:rsidRDefault="00690AF8" w:rsidP="00ED44FD">
            <w:pPr>
              <w:rPr>
                <w:rFonts w:ascii="Tahoma" w:hAnsi="Tahoma" w:cs="Tahoma"/>
                <w:szCs w:val="20"/>
              </w:rPr>
            </w:pPr>
            <w:r>
              <w:rPr>
                <w:rFonts w:ascii="Tahoma" w:hAnsi="Tahoma" w:cs="Tahoma"/>
                <w:szCs w:val="20"/>
              </w:rPr>
              <w:t>Alisha.brinson@msdh.state.ms.us</w:t>
            </w:r>
          </w:p>
        </w:tc>
      </w:tr>
      <w:tr w:rsidR="00ED44FD" w:rsidTr="00ED44FD">
        <w:tc>
          <w:tcPr>
            <w:tcW w:w="2178" w:type="dxa"/>
          </w:tcPr>
          <w:p w:rsidR="00ED44FD" w:rsidRDefault="00ED44FD" w:rsidP="00ED44FD">
            <w:pPr>
              <w:rPr>
                <w:rFonts w:ascii="Tahoma" w:hAnsi="Tahoma" w:cs="Tahoma"/>
                <w:b/>
                <w:szCs w:val="20"/>
                <w:u w:val="single"/>
              </w:rPr>
            </w:pPr>
            <w:r w:rsidRPr="00D359B7">
              <w:rPr>
                <w:rFonts w:ascii="Tahoma" w:hAnsi="Tahoma" w:cs="Tahoma"/>
                <w:b/>
                <w:szCs w:val="20"/>
                <w:u w:val="single"/>
              </w:rPr>
              <w:t>Mississippi</w:t>
            </w:r>
          </w:p>
        </w:tc>
        <w:tc>
          <w:tcPr>
            <w:tcW w:w="4494" w:type="dxa"/>
          </w:tcPr>
          <w:p w:rsidR="00ED44FD" w:rsidRPr="00690AF8" w:rsidRDefault="00ED44FD" w:rsidP="00ED44FD">
            <w:pPr>
              <w:rPr>
                <w:rFonts w:ascii="Tahoma" w:hAnsi="Tahoma" w:cs="Tahoma"/>
                <w:szCs w:val="20"/>
              </w:rPr>
            </w:pPr>
            <w:r>
              <w:rPr>
                <w:rFonts w:ascii="Tahoma" w:hAnsi="Tahoma" w:cs="Tahoma"/>
                <w:szCs w:val="20"/>
              </w:rPr>
              <w:t>Mardi Allen (M</w:t>
            </w:r>
            <w:r w:rsidR="00690AF8">
              <w:rPr>
                <w:rFonts w:ascii="Tahoma" w:hAnsi="Tahoma" w:cs="Tahoma"/>
                <w:szCs w:val="20"/>
              </w:rPr>
              <w:t xml:space="preserve">ental </w:t>
            </w:r>
            <w:r>
              <w:rPr>
                <w:rFonts w:ascii="Tahoma" w:hAnsi="Tahoma" w:cs="Tahoma"/>
                <w:szCs w:val="20"/>
              </w:rPr>
              <w:t>H</w:t>
            </w:r>
            <w:r w:rsidR="00690AF8">
              <w:rPr>
                <w:rFonts w:ascii="Tahoma" w:hAnsi="Tahoma" w:cs="Tahoma"/>
                <w:szCs w:val="20"/>
              </w:rPr>
              <w:t>ealth</w:t>
            </w:r>
            <w:r>
              <w:rPr>
                <w:rFonts w:ascii="Tahoma" w:hAnsi="Tahoma" w:cs="Tahoma"/>
                <w:szCs w:val="20"/>
              </w:rPr>
              <w:t>)</w:t>
            </w:r>
          </w:p>
        </w:tc>
        <w:tc>
          <w:tcPr>
            <w:tcW w:w="3336" w:type="dxa"/>
          </w:tcPr>
          <w:p w:rsidR="00ED44FD" w:rsidRPr="00D72B72" w:rsidRDefault="00690AF8" w:rsidP="00ED44FD">
            <w:pPr>
              <w:rPr>
                <w:rFonts w:ascii="Tahoma" w:hAnsi="Tahoma" w:cs="Tahoma"/>
                <w:szCs w:val="20"/>
              </w:rPr>
            </w:pPr>
            <w:r>
              <w:rPr>
                <w:rFonts w:ascii="Tahoma" w:hAnsi="Tahoma" w:cs="Tahoma"/>
                <w:szCs w:val="20"/>
              </w:rPr>
              <w:t>Mardi.allen@dmh.state.ms.us</w:t>
            </w:r>
          </w:p>
        </w:tc>
      </w:tr>
      <w:tr w:rsidR="00ED44FD" w:rsidTr="00ED44FD">
        <w:tc>
          <w:tcPr>
            <w:tcW w:w="2178" w:type="dxa"/>
          </w:tcPr>
          <w:p w:rsidR="00ED44FD" w:rsidRDefault="00ED44FD" w:rsidP="00ED44FD">
            <w:pPr>
              <w:rPr>
                <w:rFonts w:ascii="Tahoma" w:hAnsi="Tahoma" w:cs="Tahoma"/>
                <w:b/>
                <w:szCs w:val="20"/>
                <w:u w:val="single"/>
              </w:rPr>
            </w:pPr>
            <w:r w:rsidRPr="00D359B7">
              <w:rPr>
                <w:rFonts w:ascii="Tahoma" w:hAnsi="Tahoma" w:cs="Tahoma"/>
                <w:b/>
                <w:szCs w:val="20"/>
                <w:u w:val="single"/>
              </w:rPr>
              <w:t>Mississippi</w:t>
            </w:r>
          </w:p>
        </w:tc>
        <w:tc>
          <w:tcPr>
            <w:tcW w:w="4494" w:type="dxa"/>
          </w:tcPr>
          <w:p w:rsidR="00ED44FD" w:rsidRDefault="00ED44FD" w:rsidP="00ED44FD">
            <w:pPr>
              <w:rPr>
                <w:rFonts w:ascii="Tahoma" w:hAnsi="Tahoma" w:cs="Tahoma"/>
                <w:szCs w:val="20"/>
              </w:rPr>
            </w:pPr>
            <w:r>
              <w:rPr>
                <w:rFonts w:ascii="Tahoma" w:hAnsi="Tahoma" w:cs="Tahoma"/>
                <w:szCs w:val="20"/>
              </w:rPr>
              <w:t xml:space="preserve">Ron </w:t>
            </w:r>
            <w:proofErr w:type="spellStart"/>
            <w:r>
              <w:rPr>
                <w:rFonts w:ascii="Tahoma" w:hAnsi="Tahoma" w:cs="Tahoma"/>
                <w:szCs w:val="20"/>
              </w:rPr>
              <w:t>Mcanally</w:t>
            </w:r>
            <w:proofErr w:type="spellEnd"/>
            <w:r>
              <w:rPr>
                <w:rFonts w:ascii="Tahoma" w:hAnsi="Tahoma" w:cs="Tahoma"/>
                <w:szCs w:val="20"/>
              </w:rPr>
              <w:t xml:space="preserve"> (BRFSS coordinator)</w:t>
            </w:r>
          </w:p>
          <w:p w:rsidR="00ED44FD" w:rsidRDefault="00ED44FD" w:rsidP="00ED44FD">
            <w:pPr>
              <w:rPr>
                <w:rFonts w:ascii="Tahoma" w:hAnsi="Tahoma" w:cs="Tahoma"/>
                <w:b/>
                <w:szCs w:val="20"/>
                <w:u w:val="single"/>
              </w:rPr>
            </w:pPr>
          </w:p>
        </w:tc>
        <w:tc>
          <w:tcPr>
            <w:tcW w:w="3336" w:type="dxa"/>
          </w:tcPr>
          <w:p w:rsidR="00ED44FD" w:rsidRPr="00D72B72" w:rsidRDefault="00401F05" w:rsidP="00ED44FD">
            <w:pPr>
              <w:rPr>
                <w:rFonts w:ascii="Tahoma" w:hAnsi="Tahoma" w:cs="Tahoma"/>
                <w:szCs w:val="20"/>
              </w:rPr>
            </w:pPr>
            <w:r>
              <w:rPr>
                <w:rFonts w:ascii="Tahoma" w:hAnsi="Tahoma" w:cs="Tahoma"/>
                <w:szCs w:val="20"/>
              </w:rPr>
              <w:t>Ron.mcanally@msdh.state.ms.us</w:t>
            </w:r>
          </w:p>
        </w:tc>
      </w:tr>
      <w:tr w:rsidR="00ED44FD" w:rsidTr="00ED44FD">
        <w:tc>
          <w:tcPr>
            <w:tcW w:w="2178" w:type="dxa"/>
          </w:tcPr>
          <w:p w:rsidR="00ED44FD" w:rsidRDefault="00ED44FD" w:rsidP="00ED44FD">
            <w:pPr>
              <w:rPr>
                <w:rFonts w:ascii="Tahoma" w:hAnsi="Tahoma" w:cs="Tahoma"/>
                <w:b/>
                <w:szCs w:val="20"/>
                <w:u w:val="single"/>
              </w:rPr>
            </w:pPr>
            <w:r w:rsidRPr="00D359B7">
              <w:rPr>
                <w:rFonts w:ascii="Tahoma" w:hAnsi="Tahoma" w:cs="Tahoma"/>
                <w:b/>
                <w:szCs w:val="20"/>
                <w:u w:val="single"/>
              </w:rPr>
              <w:t>Louisiana</w:t>
            </w:r>
          </w:p>
        </w:tc>
        <w:tc>
          <w:tcPr>
            <w:tcW w:w="4494" w:type="dxa"/>
          </w:tcPr>
          <w:p w:rsidR="00ED44FD" w:rsidRDefault="00ED44FD" w:rsidP="00ED44FD">
            <w:pPr>
              <w:rPr>
                <w:rFonts w:ascii="Tahoma" w:hAnsi="Tahoma" w:cs="Tahoma"/>
                <w:szCs w:val="20"/>
              </w:rPr>
            </w:pPr>
            <w:r w:rsidRPr="00D7000C">
              <w:rPr>
                <w:rFonts w:ascii="Tahoma" w:hAnsi="Tahoma" w:cs="Tahoma"/>
                <w:szCs w:val="20"/>
              </w:rPr>
              <w:t>Todd Griffin</w:t>
            </w:r>
            <w:r>
              <w:rPr>
                <w:rFonts w:ascii="Tahoma" w:hAnsi="Tahoma" w:cs="Tahoma"/>
                <w:szCs w:val="20"/>
              </w:rPr>
              <w:t xml:space="preserve"> (BRFSS coordinator)</w:t>
            </w:r>
          </w:p>
          <w:p w:rsidR="00ED44FD" w:rsidRDefault="00ED44FD" w:rsidP="00ED44FD">
            <w:pPr>
              <w:rPr>
                <w:rFonts w:ascii="Tahoma" w:hAnsi="Tahoma" w:cs="Tahoma"/>
                <w:b/>
                <w:szCs w:val="20"/>
                <w:u w:val="single"/>
              </w:rPr>
            </w:pPr>
          </w:p>
        </w:tc>
        <w:tc>
          <w:tcPr>
            <w:tcW w:w="3336" w:type="dxa"/>
          </w:tcPr>
          <w:p w:rsidR="00ED44FD" w:rsidRPr="00D72B72" w:rsidRDefault="00401F05" w:rsidP="00ED44FD">
            <w:pPr>
              <w:rPr>
                <w:rFonts w:ascii="Tahoma" w:hAnsi="Tahoma" w:cs="Tahoma"/>
                <w:szCs w:val="20"/>
              </w:rPr>
            </w:pPr>
            <w:r>
              <w:rPr>
                <w:rFonts w:ascii="Tahoma" w:hAnsi="Tahoma" w:cs="Tahoma"/>
                <w:szCs w:val="20"/>
              </w:rPr>
              <w:t>tgriffin@dhh.la.gov</w:t>
            </w:r>
          </w:p>
        </w:tc>
      </w:tr>
      <w:tr w:rsidR="00ED44FD" w:rsidTr="00ED44FD">
        <w:tc>
          <w:tcPr>
            <w:tcW w:w="2178" w:type="dxa"/>
          </w:tcPr>
          <w:p w:rsidR="00ED44FD" w:rsidRPr="00D359B7" w:rsidRDefault="00ED44FD" w:rsidP="00ED44FD">
            <w:pPr>
              <w:rPr>
                <w:rFonts w:ascii="Tahoma" w:hAnsi="Tahoma" w:cs="Tahoma"/>
                <w:b/>
                <w:szCs w:val="20"/>
                <w:u w:val="single"/>
              </w:rPr>
            </w:pPr>
            <w:r w:rsidRPr="00D359B7">
              <w:rPr>
                <w:rFonts w:ascii="Tahoma" w:hAnsi="Tahoma" w:cs="Tahoma"/>
                <w:b/>
                <w:szCs w:val="20"/>
                <w:u w:val="single"/>
              </w:rPr>
              <w:t>Louisiana</w:t>
            </w:r>
          </w:p>
          <w:p w:rsidR="00ED44FD" w:rsidRDefault="00ED44FD" w:rsidP="00ED44FD">
            <w:pPr>
              <w:rPr>
                <w:rFonts w:ascii="Tahoma" w:hAnsi="Tahoma" w:cs="Tahoma"/>
                <w:b/>
                <w:szCs w:val="20"/>
                <w:u w:val="single"/>
              </w:rPr>
            </w:pPr>
          </w:p>
        </w:tc>
        <w:tc>
          <w:tcPr>
            <w:tcW w:w="4494" w:type="dxa"/>
          </w:tcPr>
          <w:p w:rsidR="00ED44FD" w:rsidRPr="00ED44FD" w:rsidRDefault="00ED44FD" w:rsidP="00ED44FD">
            <w:pPr>
              <w:rPr>
                <w:rFonts w:ascii="Tahoma" w:hAnsi="Tahoma" w:cs="Tahoma"/>
                <w:szCs w:val="20"/>
              </w:rPr>
            </w:pPr>
            <w:r>
              <w:rPr>
                <w:rFonts w:ascii="Tahoma" w:hAnsi="Tahoma" w:cs="Tahoma"/>
                <w:szCs w:val="20"/>
              </w:rPr>
              <w:lastRenderedPageBreak/>
              <w:t xml:space="preserve">Anthony </w:t>
            </w:r>
            <w:proofErr w:type="spellStart"/>
            <w:r>
              <w:rPr>
                <w:rFonts w:ascii="Tahoma" w:hAnsi="Tahoma" w:cs="Tahoma"/>
                <w:szCs w:val="20"/>
              </w:rPr>
              <w:t>Speier</w:t>
            </w:r>
            <w:proofErr w:type="spellEnd"/>
            <w:r>
              <w:rPr>
                <w:rFonts w:ascii="Tahoma" w:hAnsi="Tahoma" w:cs="Tahoma"/>
                <w:szCs w:val="20"/>
              </w:rPr>
              <w:t xml:space="preserve"> (M</w:t>
            </w:r>
            <w:r w:rsidR="00401F05">
              <w:rPr>
                <w:rFonts w:ascii="Tahoma" w:hAnsi="Tahoma" w:cs="Tahoma"/>
                <w:szCs w:val="20"/>
              </w:rPr>
              <w:t xml:space="preserve">ental </w:t>
            </w:r>
            <w:r>
              <w:rPr>
                <w:rFonts w:ascii="Tahoma" w:hAnsi="Tahoma" w:cs="Tahoma"/>
                <w:szCs w:val="20"/>
              </w:rPr>
              <w:t>H</w:t>
            </w:r>
            <w:r w:rsidR="00401F05">
              <w:rPr>
                <w:rFonts w:ascii="Tahoma" w:hAnsi="Tahoma" w:cs="Tahoma"/>
                <w:szCs w:val="20"/>
              </w:rPr>
              <w:t>ealth</w:t>
            </w:r>
            <w:r>
              <w:rPr>
                <w:rFonts w:ascii="Tahoma" w:hAnsi="Tahoma" w:cs="Tahoma"/>
                <w:szCs w:val="20"/>
              </w:rPr>
              <w:t>)</w:t>
            </w:r>
          </w:p>
        </w:tc>
        <w:tc>
          <w:tcPr>
            <w:tcW w:w="3336" w:type="dxa"/>
          </w:tcPr>
          <w:p w:rsidR="00ED44FD" w:rsidRPr="00D72B72" w:rsidRDefault="00401F05" w:rsidP="00ED44FD">
            <w:pPr>
              <w:rPr>
                <w:rFonts w:ascii="Tahoma" w:hAnsi="Tahoma" w:cs="Tahoma"/>
                <w:szCs w:val="20"/>
              </w:rPr>
            </w:pPr>
            <w:r>
              <w:rPr>
                <w:rFonts w:ascii="Tahoma" w:hAnsi="Tahoma" w:cs="Tahoma"/>
                <w:szCs w:val="20"/>
              </w:rPr>
              <w:t>Anthony.speier@la.gov</w:t>
            </w:r>
          </w:p>
        </w:tc>
      </w:tr>
      <w:tr w:rsidR="00ED44FD" w:rsidTr="00ED44FD">
        <w:tc>
          <w:tcPr>
            <w:tcW w:w="2178" w:type="dxa"/>
          </w:tcPr>
          <w:p w:rsidR="00ED44FD" w:rsidRPr="00D359B7" w:rsidRDefault="00ED44FD" w:rsidP="00ED44FD">
            <w:pPr>
              <w:rPr>
                <w:rFonts w:ascii="Tahoma" w:hAnsi="Tahoma" w:cs="Tahoma"/>
                <w:b/>
                <w:szCs w:val="20"/>
                <w:u w:val="single"/>
              </w:rPr>
            </w:pPr>
            <w:r w:rsidRPr="00D359B7">
              <w:rPr>
                <w:rFonts w:ascii="Tahoma" w:hAnsi="Tahoma" w:cs="Tahoma"/>
                <w:b/>
                <w:szCs w:val="20"/>
                <w:u w:val="single"/>
              </w:rPr>
              <w:lastRenderedPageBreak/>
              <w:t>Louisiana</w:t>
            </w:r>
          </w:p>
          <w:p w:rsidR="00ED44FD" w:rsidRDefault="00ED44FD" w:rsidP="00ED44FD">
            <w:pPr>
              <w:rPr>
                <w:rFonts w:ascii="Tahoma" w:hAnsi="Tahoma" w:cs="Tahoma"/>
                <w:b/>
                <w:szCs w:val="20"/>
                <w:u w:val="single"/>
              </w:rPr>
            </w:pPr>
          </w:p>
        </w:tc>
        <w:tc>
          <w:tcPr>
            <w:tcW w:w="4494" w:type="dxa"/>
          </w:tcPr>
          <w:p w:rsidR="00ED44FD" w:rsidRDefault="00ED44FD" w:rsidP="00ED44FD">
            <w:pPr>
              <w:rPr>
                <w:rFonts w:ascii="Tahoma" w:hAnsi="Tahoma" w:cs="Tahoma"/>
                <w:szCs w:val="20"/>
              </w:rPr>
            </w:pPr>
            <w:r>
              <w:rPr>
                <w:rFonts w:ascii="Tahoma" w:hAnsi="Tahoma" w:cs="Tahoma"/>
                <w:szCs w:val="20"/>
              </w:rPr>
              <w:t xml:space="preserve">Joy </w:t>
            </w:r>
            <w:proofErr w:type="spellStart"/>
            <w:r>
              <w:rPr>
                <w:rFonts w:ascii="Tahoma" w:hAnsi="Tahoma" w:cs="Tahoma"/>
                <w:szCs w:val="20"/>
              </w:rPr>
              <w:t>Osofsky</w:t>
            </w:r>
            <w:proofErr w:type="spellEnd"/>
            <w:r>
              <w:rPr>
                <w:rFonts w:ascii="Tahoma" w:hAnsi="Tahoma" w:cs="Tahoma"/>
                <w:szCs w:val="20"/>
              </w:rPr>
              <w:t xml:space="preserve"> (M</w:t>
            </w:r>
            <w:r w:rsidR="00401F05">
              <w:rPr>
                <w:rFonts w:ascii="Tahoma" w:hAnsi="Tahoma" w:cs="Tahoma"/>
                <w:szCs w:val="20"/>
              </w:rPr>
              <w:t xml:space="preserve">ental </w:t>
            </w:r>
            <w:r>
              <w:rPr>
                <w:rFonts w:ascii="Tahoma" w:hAnsi="Tahoma" w:cs="Tahoma"/>
                <w:szCs w:val="20"/>
              </w:rPr>
              <w:t>H</w:t>
            </w:r>
            <w:r w:rsidR="00401F05">
              <w:rPr>
                <w:rFonts w:ascii="Tahoma" w:hAnsi="Tahoma" w:cs="Tahoma"/>
                <w:szCs w:val="20"/>
              </w:rPr>
              <w:t>ealth</w:t>
            </w:r>
            <w:r>
              <w:rPr>
                <w:rFonts w:ascii="Tahoma" w:hAnsi="Tahoma" w:cs="Tahoma"/>
                <w:szCs w:val="20"/>
              </w:rPr>
              <w:t xml:space="preserve"> LSU)</w:t>
            </w:r>
          </w:p>
          <w:p w:rsidR="00ED44FD" w:rsidRDefault="00ED44FD" w:rsidP="00ED44FD">
            <w:pPr>
              <w:rPr>
                <w:rFonts w:ascii="Tahoma" w:hAnsi="Tahoma" w:cs="Tahoma"/>
                <w:b/>
                <w:szCs w:val="20"/>
                <w:u w:val="single"/>
              </w:rPr>
            </w:pPr>
          </w:p>
        </w:tc>
        <w:tc>
          <w:tcPr>
            <w:tcW w:w="3336" w:type="dxa"/>
          </w:tcPr>
          <w:p w:rsidR="00ED44FD" w:rsidRPr="00D72B72" w:rsidRDefault="00401F05" w:rsidP="00ED44FD">
            <w:pPr>
              <w:rPr>
                <w:rFonts w:ascii="Tahoma" w:hAnsi="Tahoma" w:cs="Tahoma"/>
                <w:szCs w:val="20"/>
              </w:rPr>
            </w:pPr>
            <w:r>
              <w:rPr>
                <w:rFonts w:ascii="Tahoma" w:hAnsi="Tahoma" w:cs="Tahoma"/>
                <w:szCs w:val="20"/>
              </w:rPr>
              <w:t>josofsky@lsuhsc.edu</w:t>
            </w:r>
          </w:p>
        </w:tc>
      </w:tr>
    </w:tbl>
    <w:p w:rsidR="00ED44FD" w:rsidRDefault="00ED44FD" w:rsidP="00ED44FD">
      <w:pPr>
        <w:rPr>
          <w:rFonts w:ascii="Tahoma" w:hAnsi="Tahoma" w:cs="Tahoma"/>
          <w:b/>
          <w:szCs w:val="20"/>
          <w:u w:val="single"/>
        </w:rPr>
      </w:pPr>
    </w:p>
    <w:p w:rsidR="00ED44FD" w:rsidRDefault="00ED44FD" w:rsidP="00ED44FD">
      <w:pPr>
        <w:rPr>
          <w:rFonts w:ascii="Tahoma" w:hAnsi="Tahoma" w:cs="Tahoma"/>
          <w:b/>
          <w:szCs w:val="20"/>
          <w:u w:val="single"/>
        </w:rPr>
      </w:pPr>
    </w:p>
    <w:p w:rsidR="00ED028C" w:rsidRDefault="00ED028C" w:rsidP="006530E2">
      <w:pPr>
        <w:pStyle w:val="Heading3"/>
        <w:numPr>
          <w:ilvl w:val="0"/>
          <w:numId w:val="22"/>
        </w:numPr>
        <w:ind w:left="0" w:firstLine="0"/>
      </w:pPr>
      <w:bookmarkStart w:id="9" w:name="_Toc286743041"/>
      <w:r>
        <w:t>Explanation of any Payment/Gift to Respondents</w:t>
      </w:r>
      <w:bookmarkEnd w:id="9"/>
    </w:p>
    <w:p w:rsidR="00E56539" w:rsidRDefault="00E56539" w:rsidP="006530E2">
      <w:pPr>
        <w:rPr>
          <w:sz w:val="24"/>
        </w:rPr>
      </w:pPr>
    </w:p>
    <w:p w:rsidR="00ED028C" w:rsidRDefault="00ED028C" w:rsidP="006530E2">
      <w:pPr>
        <w:rPr>
          <w:sz w:val="24"/>
        </w:rPr>
      </w:pPr>
      <w:r>
        <w:rPr>
          <w:sz w:val="24"/>
        </w:rPr>
        <w:t>Not applicable.</w:t>
      </w:r>
    </w:p>
    <w:p w:rsidR="00ED028C" w:rsidRDefault="00ED028C" w:rsidP="006530E2">
      <w:pPr>
        <w:pStyle w:val="Heading3"/>
        <w:numPr>
          <w:ilvl w:val="0"/>
          <w:numId w:val="22"/>
        </w:numPr>
        <w:ind w:left="0" w:firstLine="0"/>
      </w:pPr>
      <w:bookmarkStart w:id="10" w:name="_Toc286743042"/>
      <w:r>
        <w:t>Assurance of Confidentiality Provided to Respondents</w:t>
      </w:r>
      <w:bookmarkEnd w:id="10"/>
    </w:p>
    <w:p w:rsidR="00E56539" w:rsidRPr="00E56539" w:rsidRDefault="00E56539" w:rsidP="006530E2"/>
    <w:p w:rsidR="007A3553" w:rsidRPr="007A3553" w:rsidRDefault="007A3553" w:rsidP="007A3553">
      <w:pPr>
        <w:rPr>
          <w:sz w:val="24"/>
        </w:rPr>
      </w:pPr>
      <w:r>
        <w:rPr>
          <w:sz w:val="24"/>
        </w:rPr>
        <w:t xml:space="preserve">The Privacy Act does not apply. </w:t>
      </w:r>
      <w:r w:rsidRPr="007A3553">
        <w:rPr>
          <w:sz w:val="24"/>
        </w:rPr>
        <w:t xml:space="preserve">The Gulf States Population Survey data will be collected using random digit dialing (RDD) landline and cellular telephone samples. Data collection will include self-assessments of mental and behavioral health risk behaviors and health status. </w:t>
      </w:r>
    </w:p>
    <w:p w:rsidR="007A3553" w:rsidRPr="007A3553" w:rsidRDefault="007A3553" w:rsidP="007A3553">
      <w:pPr>
        <w:rPr>
          <w:sz w:val="24"/>
        </w:rPr>
      </w:pPr>
    </w:p>
    <w:p w:rsidR="007A3553" w:rsidRPr="007A3553" w:rsidRDefault="007A3553" w:rsidP="007A3553">
      <w:pPr>
        <w:rPr>
          <w:sz w:val="24"/>
        </w:rPr>
      </w:pPr>
      <w:r w:rsidRPr="007A3553">
        <w:rPr>
          <w:sz w:val="24"/>
        </w:rPr>
        <w:t xml:space="preserve">No information in identifiable form (IIF) will be collected from respondents during the telephone interviews. Telephone numbers are not linked to respondents. Files containing RDD telephone samples are kept separately from files which include responses to questionnaire items. </w:t>
      </w:r>
    </w:p>
    <w:p w:rsidR="007A3553" w:rsidRPr="007A3553" w:rsidRDefault="007A3553" w:rsidP="007A3553">
      <w:pPr>
        <w:rPr>
          <w:sz w:val="24"/>
        </w:rPr>
      </w:pPr>
    </w:p>
    <w:p w:rsidR="007A3553" w:rsidRPr="007A3553" w:rsidRDefault="007A3553" w:rsidP="007A3553">
      <w:pPr>
        <w:rPr>
          <w:sz w:val="24"/>
        </w:rPr>
      </w:pPr>
      <w:r w:rsidRPr="007A3553">
        <w:rPr>
          <w:sz w:val="24"/>
        </w:rPr>
        <w:t xml:space="preserve">All mental and behavioral health risk and health assessment data collected will be in aggregate form and will be maintained in secure servers and password protected files by CDC. </w:t>
      </w:r>
    </w:p>
    <w:p w:rsidR="007A3553" w:rsidRPr="007A3553" w:rsidRDefault="007A3553" w:rsidP="007A3553">
      <w:pPr>
        <w:rPr>
          <w:sz w:val="24"/>
        </w:rPr>
      </w:pPr>
    </w:p>
    <w:p w:rsidR="007A3553" w:rsidRPr="007A3553" w:rsidRDefault="007A3553" w:rsidP="007A3553">
      <w:pPr>
        <w:rPr>
          <w:sz w:val="24"/>
        </w:rPr>
      </w:pPr>
      <w:r w:rsidRPr="007A3553">
        <w:rPr>
          <w:sz w:val="24"/>
        </w:rPr>
        <w:t xml:space="preserve">No information in identifiable form (IIF) will be collected, filled or retrieved by the name of the individual. </w:t>
      </w:r>
    </w:p>
    <w:p w:rsidR="007A3553" w:rsidRPr="007A3553" w:rsidRDefault="007A3553" w:rsidP="007A3553">
      <w:pPr>
        <w:rPr>
          <w:sz w:val="24"/>
        </w:rPr>
      </w:pPr>
    </w:p>
    <w:p w:rsidR="007A3553" w:rsidRPr="007A3553" w:rsidRDefault="007A3553" w:rsidP="007A3553">
      <w:pPr>
        <w:rPr>
          <w:sz w:val="24"/>
        </w:rPr>
      </w:pPr>
      <w:r w:rsidRPr="007A3553">
        <w:rPr>
          <w:sz w:val="24"/>
        </w:rPr>
        <w:t xml:space="preserve">Respondents will be notified of the voluntary nature of their response in the introductory script which precedes the survey questions.  </w:t>
      </w:r>
    </w:p>
    <w:p w:rsidR="007A3553" w:rsidRDefault="007A3553" w:rsidP="007A3553"/>
    <w:p w:rsidR="00ED028C" w:rsidRDefault="00ED028C" w:rsidP="006530E2">
      <w:pPr>
        <w:rPr>
          <w:sz w:val="24"/>
        </w:rPr>
      </w:pPr>
      <w:r>
        <w:rPr>
          <w:sz w:val="24"/>
        </w:rPr>
        <w:t xml:space="preserve"> </w:t>
      </w:r>
    </w:p>
    <w:p w:rsidR="00ED028C" w:rsidRDefault="00ED028C" w:rsidP="006530E2">
      <w:pPr>
        <w:pStyle w:val="Heading3"/>
        <w:numPr>
          <w:ilvl w:val="0"/>
          <w:numId w:val="22"/>
        </w:numPr>
        <w:ind w:left="0" w:firstLine="0"/>
      </w:pPr>
      <w:bookmarkStart w:id="11" w:name="_Toc286743043"/>
      <w:r>
        <w:t>Justification for Sensitive Questions</w:t>
      </w:r>
      <w:bookmarkEnd w:id="11"/>
    </w:p>
    <w:p w:rsidR="00E56539" w:rsidRPr="00E56539" w:rsidRDefault="00E56539" w:rsidP="006530E2"/>
    <w:p w:rsidR="00E0481A" w:rsidRPr="00E0481A" w:rsidRDefault="00FB155D" w:rsidP="006530E2">
      <w:pPr>
        <w:rPr>
          <w:bCs/>
          <w:sz w:val="24"/>
        </w:rPr>
      </w:pPr>
      <w:r>
        <w:rPr>
          <w:sz w:val="24"/>
        </w:rPr>
        <w:t xml:space="preserve">Participating states have </w:t>
      </w:r>
      <w:r w:rsidR="00F95C70">
        <w:rPr>
          <w:sz w:val="24"/>
        </w:rPr>
        <w:t xml:space="preserve">used standardized questions on state </w:t>
      </w:r>
      <w:r>
        <w:rPr>
          <w:sz w:val="24"/>
        </w:rPr>
        <w:t xml:space="preserve">behavioral risk </w:t>
      </w:r>
      <w:r w:rsidR="00F95C70">
        <w:rPr>
          <w:sz w:val="24"/>
        </w:rPr>
        <w:t>surveys</w:t>
      </w:r>
      <w:r w:rsidR="00F40FE8">
        <w:rPr>
          <w:sz w:val="24"/>
        </w:rPr>
        <w:t xml:space="preserve"> for many years. </w:t>
      </w:r>
      <w:r w:rsidR="00BF3C3F">
        <w:rPr>
          <w:sz w:val="24"/>
        </w:rPr>
        <w:t xml:space="preserve">Sensitive questions regarding </w:t>
      </w:r>
      <w:r w:rsidR="003F3C2E">
        <w:rPr>
          <w:sz w:val="24"/>
        </w:rPr>
        <w:t xml:space="preserve">mental and behavioral </w:t>
      </w:r>
      <w:r w:rsidR="00BF3C3F" w:rsidRPr="00E0481A">
        <w:rPr>
          <w:sz w:val="24"/>
        </w:rPr>
        <w:t xml:space="preserve">health and health risk behaviors are necessary to identify </w:t>
      </w:r>
      <w:r w:rsidR="007375B4">
        <w:rPr>
          <w:sz w:val="24"/>
        </w:rPr>
        <w:t xml:space="preserve">changes in behaviors and/or self-assessments of health status when aggregated to community or state levels. </w:t>
      </w:r>
      <w:r w:rsidR="00E0481A" w:rsidRPr="00E0481A">
        <w:rPr>
          <w:bCs/>
          <w:sz w:val="24"/>
        </w:rPr>
        <w:t xml:space="preserve">In order to </w:t>
      </w:r>
      <w:r w:rsidR="00E0481A">
        <w:rPr>
          <w:bCs/>
          <w:sz w:val="24"/>
        </w:rPr>
        <w:t>assess changes in health risk behaviors</w:t>
      </w:r>
      <w:r w:rsidR="00E0481A" w:rsidRPr="00E0481A">
        <w:rPr>
          <w:bCs/>
          <w:sz w:val="24"/>
        </w:rPr>
        <w:t xml:space="preserve">, it </w:t>
      </w:r>
      <w:r w:rsidR="00D855D0">
        <w:rPr>
          <w:bCs/>
          <w:sz w:val="24"/>
        </w:rPr>
        <w:t>is</w:t>
      </w:r>
      <w:r w:rsidR="00E0481A" w:rsidRPr="00E0481A">
        <w:rPr>
          <w:bCs/>
          <w:sz w:val="24"/>
        </w:rPr>
        <w:t xml:space="preserve"> necessary to ask questions of </w:t>
      </w:r>
      <w:r w:rsidR="00E0481A">
        <w:rPr>
          <w:bCs/>
          <w:sz w:val="24"/>
        </w:rPr>
        <w:t xml:space="preserve">a </w:t>
      </w:r>
      <w:r w:rsidR="00E0481A" w:rsidRPr="00E0481A">
        <w:rPr>
          <w:bCs/>
          <w:sz w:val="24"/>
        </w:rPr>
        <w:t xml:space="preserve">sensitive nature.  This sensitive information would be pertinent to </w:t>
      </w:r>
      <w:r w:rsidR="00E0481A">
        <w:rPr>
          <w:bCs/>
          <w:sz w:val="24"/>
        </w:rPr>
        <w:t>determine community needs</w:t>
      </w:r>
      <w:r>
        <w:rPr>
          <w:bCs/>
          <w:sz w:val="24"/>
        </w:rPr>
        <w:t xml:space="preserve"> for mental health services</w:t>
      </w:r>
      <w:r w:rsidR="00E0481A" w:rsidRPr="00E0481A">
        <w:rPr>
          <w:bCs/>
          <w:sz w:val="24"/>
        </w:rPr>
        <w:t>.</w:t>
      </w:r>
    </w:p>
    <w:p w:rsidR="00BF3C3F" w:rsidRDefault="00BF3C3F" w:rsidP="006530E2">
      <w:pPr>
        <w:rPr>
          <w:sz w:val="24"/>
        </w:rPr>
      </w:pPr>
    </w:p>
    <w:p w:rsidR="005D63A9" w:rsidRPr="00AD2B7B" w:rsidRDefault="00ED028C" w:rsidP="006530E2">
      <w:pPr>
        <w:pStyle w:val="Heading3"/>
        <w:numPr>
          <w:ilvl w:val="0"/>
          <w:numId w:val="22"/>
        </w:numPr>
        <w:ind w:left="0" w:firstLine="0"/>
      </w:pPr>
      <w:bookmarkStart w:id="12" w:name="_Toc286743044"/>
      <w:r w:rsidRPr="00AD2B7B">
        <w:t xml:space="preserve">Estimates of </w:t>
      </w:r>
      <w:r w:rsidR="001B23C9" w:rsidRPr="00AD2B7B">
        <w:t xml:space="preserve">Annualized Burden Hours </w:t>
      </w:r>
      <w:r w:rsidR="00E16850">
        <w:t>and Costs</w:t>
      </w:r>
      <w:bookmarkEnd w:id="12"/>
      <w:r w:rsidRPr="00AD2B7B">
        <w:t xml:space="preserve">  </w:t>
      </w:r>
    </w:p>
    <w:p w:rsidR="00E56539" w:rsidRDefault="00E56539" w:rsidP="006530E2">
      <w:pPr>
        <w:rPr>
          <w:sz w:val="24"/>
        </w:rPr>
      </w:pPr>
    </w:p>
    <w:p w:rsidR="0086531A" w:rsidRDefault="008A7959" w:rsidP="006530E2">
      <w:pPr>
        <w:rPr>
          <w:sz w:val="24"/>
        </w:rPr>
      </w:pPr>
      <w:r>
        <w:rPr>
          <w:sz w:val="24"/>
        </w:rPr>
        <w:t>Approximately 2,500 interviews will be completed each month</w:t>
      </w:r>
      <w:r w:rsidR="00494ADF">
        <w:rPr>
          <w:sz w:val="24"/>
        </w:rPr>
        <w:t xml:space="preserve"> in the targeted coastal counties</w:t>
      </w:r>
      <w:r>
        <w:rPr>
          <w:sz w:val="24"/>
        </w:rPr>
        <w:t>.</w:t>
      </w:r>
      <w:r w:rsidR="00494ADF">
        <w:rPr>
          <w:sz w:val="24"/>
        </w:rPr>
        <w:t xml:space="preserve"> Approximately 1,250 comparison interviews will be completed each month</w:t>
      </w:r>
      <w:r w:rsidR="00142646">
        <w:rPr>
          <w:sz w:val="24"/>
        </w:rPr>
        <w:t xml:space="preserve"> in the comparison group counties</w:t>
      </w:r>
      <w:r w:rsidR="00494ADF">
        <w:rPr>
          <w:sz w:val="24"/>
        </w:rPr>
        <w:t xml:space="preserve">.  </w:t>
      </w:r>
      <w:r>
        <w:rPr>
          <w:sz w:val="24"/>
        </w:rPr>
        <w:t xml:space="preserve"> Interviews are anticipated to last approximately 2</w:t>
      </w:r>
      <w:r w:rsidR="005710C0">
        <w:rPr>
          <w:sz w:val="24"/>
        </w:rPr>
        <w:t>5</w:t>
      </w:r>
      <w:r>
        <w:rPr>
          <w:sz w:val="24"/>
        </w:rPr>
        <w:t>-</w:t>
      </w:r>
      <w:r w:rsidR="00181B30">
        <w:rPr>
          <w:sz w:val="24"/>
        </w:rPr>
        <w:t>30</w:t>
      </w:r>
      <w:r>
        <w:rPr>
          <w:sz w:val="24"/>
        </w:rPr>
        <w:t xml:space="preserve"> minutes.  Since the only screening question will be whether the interviewer has reached a household (rather than a business), </w:t>
      </w:r>
      <w:r w:rsidR="00B85468">
        <w:rPr>
          <w:sz w:val="24"/>
        </w:rPr>
        <w:t xml:space="preserve">no adult respondents will be determined to be ineligible based on demographic characteristics. A liberal </w:t>
      </w:r>
      <w:r w:rsidR="00B85468">
        <w:rPr>
          <w:sz w:val="24"/>
        </w:rPr>
        <w:lastRenderedPageBreak/>
        <w:t>calculation of respondent burden, using a thirty minute interval for completion of the survey would result in an average of $</w:t>
      </w:r>
      <w:r w:rsidR="00E125D2">
        <w:rPr>
          <w:sz w:val="24"/>
        </w:rPr>
        <w:t>9.88</w:t>
      </w:r>
      <w:r w:rsidR="00B85468">
        <w:rPr>
          <w:sz w:val="24"/>
        </w:rPr>
        <w:t xml:space="preserve"> per respondent, or approximately </w:t>
      </w:r>
      <w:r w:rsidR="004E077E">
        <w:rPr>
          <w:sz w:val="24"/>
        </w:rPr>
        <w:t>$</w:t>
      </w:r>
      <w:r w:rsidR="002A521D">
        <w:rPr>
          <w:sz w:val="24"/>
        </w:rPr>
        <w:t>37,050</w:t>
      </w:r>
      <w:r w:rsidR="004E077E">
        <w:rPr>
          <w:sz w:val="24"/>
        </w:rPr>
        <w:t xml:space="preserve"> per month.  Calculations of respondent burden are made using average hourly wage for the region in which surveys will be conducted</w:t>
      </w:r>
      <w:r w:rsidR="00B02408" w:rsidRPr="00B02408">
        <w:t xml:space="preserve"> </w:t>
      </w:r>
      <w:r w:rsidR="00B02408">
        <w:t>(</w:t>
      </w:r>
      <w:r w:rsidR="00B02408" w:rsidRPr="00B02408">
        <w:rPr>
          <w:sz w:val="24"/>
        </w:rPr>
        <w:t>http://www.bls.gov/sae/gulf_coast.htm</w:t>
      </w:r>
      <w:r w:rsidR="00B02408">
        <w:rPr>
          <w:sz w:val="24"/>
        </w:rPr>
        <w:t>).</w:t>
      </w:r>
      <w:r w:rsidR="004E077E">
        <w:rPr>
          <w:sz w:val="24"/>
        </w:rPr>
        <w:t xml:space="preserve"> </w:t>
      </w:r>
      <w:r w:rsidR="006D433C">
        <w:rPr>
          <w:sz w:val="24"/>
        </w:rPr>
        <w:t xml:space="preserve">The table below illustrates respondent burden for each of the states where regions have been selected for inclusion in the </w:t>
      </w:r>
      <w:r w:rsidR="00D855D0">
        <w:rPr>
          <w:sz w:val="24"/>
        </w:rPr>
        <w:t>s</w:t>
      </w:r>
      <w:r w:rsidR="005B3A95">
        <w:rPr>
          <w:sz w:val="24"/>
        </w:rPr>
        <w:t>urvey</w:t>
      </w:r>
      <w:r w:rsidR="006D433C">
        <w:rPr>
          <w:sz w:val="24"/>
        </w:rPr>
        <w:t>.</w:t>
      </w:r>
      <w:r w:rsidR="00AD564E">
        <w:rPr>
          <w:sz w:val="24"/>
        </w:rPr>
        <w:t xml:space="preserve"> Total number of respondents equal </w:t>
      </w:r>
      <w:r w:rsidR="00AD2B7B">
        <w:rPr>
          <w:sz w:val="24"/>
        </w:rPr>
        <w:t>4</w:t>
      </w:r>
      <w:r w:rsidR="00AD564E">
        <w:rPr>
          <w:sz w:val="24"/>
        </w:rPr>
        <w:t xml:space="preserve">0,000 responding .5 hours.   </w:t>
      </w:r>
    </w:p>
    <w:p w:rsidR="0086531A" w:rsidRDefault="0086531A" w:rsidP="006530E2">
      <w:pPr>
        <w:rPr>
          <w:sz w:val="24"/>
        </w:rPr>
      </w:pPr>
    </w:p>
    <w:p w:rsidR="00AD564E" w:rsidRDefault="00646876" w:rsidP="006530E2">
      <w:pPr>
        <w:rPr>
          <w:sz w:val="24"/>
        </w:rPr>
      </w:pPr>
      <w:r>
        <w:rPr>
          <w:sz w:val="24"/>
        </w:rPr>
        <w:t>Estimated Annualized Burden Hours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8"/>
        <w:gridCol w:w="810"/>
        <w:gridCol w:w="1350"/>
        <w:gridCol w:w="1350"/>
        <w:gridCol w:w="1440"/>
        <w:gridCol w:w="1350"/>
        <w:gridCol w:w="1800"/>
      </w:tblGrid>
      <w:tr w:rsidR="00E125D2" w:rsidRPr="00AD2B7B" w:rsidTr="00E125D2">
        <w:tc>
          <w:tcPr>
            <w:tcW w:w="1278" w:type="dxa"/>
          </w:tcPr>
          <w:p w:rsidR="00E125D2" w:rsidRPr="00AD2B7B" w:rsidRDefault="00E125D2" w:rsidP="006530E2">
            <w:pPr>
              <w:rPr>
                <w:szCs w:val="20"/>
              </w:rPr>
            </w:pPr>
            <w:r w:rsidRPr="00AD2B7B">
              <w:rPr>
                <w:szCs w:val="20"/>
              </w:rPr>
              <w:t>Respondents</w:t>
            </w:r>
          </w:p>
        </w:tc>
        <w:tc>
          <w:tcPr>
            <w:tcW w:w="810" w:type="dxa"/>
          </w:tcPr>
          <w:p w:rsidR="00E125D2" w:rsidRPr="00AD2B7B" w:rsidRDefault="00E125D2" w:rsidP="006530E2">
            <w:pPr>
              <w:rPr>
                <w:szCs w:val="20"/>
              </w:rPr>
            </w:pPr>
            <w:r w:rsidRPr="00AD2B7B">
              <w:rPr>
                <w:szCs w:val="20"/>
              </w:rPr>
              <w:t>Form</w:t>
            </w:r>
          </w:p>
        </w:tc>
        <w:tc>
          <w:tcPr>
            <w:tcW w:w="1350" w:type="dxa"/>
          </w:tcPr>
          <w:p w:rsidR="00E125D2" w:rsidRPr="00AD2B7B" w:rsidRDefault="00E125D2" w:rsidP="006530E2">
            <w:pPr>
              <w:rPr>
                <w:szCs w:val="20"/>
              </w:rPr>
            </w:pPr>
            <w:r w:rsidRPr="00AD2B7B">
              <w:rPr>
                <w:szCs w:val="20"/>
              </w:rPr>
              <w:t>Group</w:t>
            </w:r>
          </w:p>
        </w:tc>
        <w:tc>
          <w:tcPr>
            <w:tcW w:w="1350" w:type="dxa"/>
          </w:tcPr>
          <w:p w:rsidR="00E125D2" w:rsidRPr="00AD2B7B" w:rsidRDefault="00E125D2" w:rsidP="006530E2">
            <w:pPr>
              <w:rPr>
                <w:szCs w:val="20"/>
              </w:rPr>
            </w:pPr>
            <w:r w:rsidRPr="00AD2B7B">
              <w:rPr>
                <w:szCs w:val="20"/>
              </w:rPr>
              <w:t>Number of Respondents</w:t>
            </w:r>
          </w:p>
        </w:tc>
        <w:tc>
          <w:tcPr>
            <w:tcW w:w="1440" w:type="dxa"/>
          </w:tcPr>
          <w:p w:rsidR="00E125D2" w:rsidRPr="00AD2B7B" w:rsidRDefault="00E125D2" w:rsidP="00AD564E">
            <w:pPr>
              <w:rPr>
                <w:szCs w:val="20"/>
              </w:rPr>
            </w:pPr>
            <w:r w:rsidRPr="00AD2B7B">
              <w:rPr>
                <w:szCs w:val="20"/>
              </w:rPr>
              <w:t>No. Responses per Respondent</w:t>
            </w:r>
          </w:p>
        </w:tc>
        <w:tc>
          <w:tcPr>
            <w:tcW w:w="1350" w:type="dxa"/>
          </w:tcPr>
          <w:p w:rsidR="00E125D2" w:rsidRPr="00AD2B7B" w:rsidRDefault="00E125D2" w:rsidP="006530E2">
            <w:pPr>
              <w:rPr>
                <w:szCs w:val="20"/>
              </w:rPr>
            </w:pPr>
            <w:r w:rsidRPr="00AD2B7B">
              <w:rPr>
                <w:szCs w:val="20"/>
              </w:rPr>
              <w:t>Avg. Burden per Response (in hours)</w:t>
            </w:r>
          </w:p>
        </w:tc>
        <w:tc>
          <w:tcPr>
            <w:tcW w:w="1800" w:type="dxa"/>
          </w:tcPr>
          <w:p w:rsidR="00E125D2" w:rsidRPr="00AD2B7B" w:rsidRDefault="00E125D2" w:rsidP="006530E2">
            <w:pPr>
              <w:rPr>
                <w:szCs w:val="20"/>
              </w:rPr>
            </w:pPr>
            <w:r w:rsidRPr="00AD2B7B">
              <w:rPr>
                <w:szCs w:val="20"/>
              </w:rPr>
              <w:t>Total Burden Hours</w:t>
            </w:r>
          </w:p>
        </w:tc>
      </w:tr>
      <w:tr w:rsidR="00E125D2" w:rsidRPr="00AD2B7B" w:rsidTr="00E125D2">
        <w:tc>
          <w:tcPr>
            <w:tcW w:w="1278" w:type="dxa"/>
            <w:vMerge w:val="restart"/>
          </w:tcPr>
          <w:p w:rsidR="00E125D2" w:rsidRPr="00AD2B7B" w:rsidRDefault="00E125D2" w:rsidP="006530E2">
            <w:pPr>
              <w:rPr>
                <w:szCs w:val="20"/>
              </w:rPr>
            </w:pPr>
            <w:r w:rsidRPr="00AD2B7B">
              <w:rPr>
                <w:szCs w:val="20"/>
              </w:rPr>
              <w:t>Individuals</w:t>
            </w:r>
          </w:p>
        </w:tc>
        <w:tc>
          <w:tcPr>
            <w:tcW w:w="810" w:type="dxa"/>
            <w:vMerge w:val="restart"/>
          </w:tcPr>
          <w:p w:rsidR="00E125D2" w:rsidRPr="00AD2B7B" w:rsidRDefault="00E125D2" w:rsidP="00AD2B7B">
            <w:pPr>
              <w:rPr>
                <w:szCs w:val="20"/>
              </w:rPr>
            </w:pPr>
            <w:r>
              <w:rPr>
                <w:szCs w:val="20"/>
              </w:rPr>
              <w:t>GSPS</w:t>
            </w:r>
          </w:p>
        </w:tc>
        <w:tc>
          <w:tcPr>
            <w:tcW w:w="1350" w:type="dxa"/>
          </w:tcPr>
          <w:p w:rsidR="00E125D2" w:rsidRPr="00AD2B7B" w:rsidRDefault="00E125D2" w:rsidP="006530E2">
            <w:pPr>
              <w:rPr>
                <w:szCs w:val="20"/>
              </w:rPr>
            </w:pPr>
            <w:r w:rsidRPr="00AD2B7B">
              <w:rPr>
                <w:szCs w:val="20"/>
              </w:rPr>
              <w:t>Coastal Counties</w:t>
            </w:r>
          </w:p>
        </w:tc>
        <w:tc>
          <w:tcPr>
            <w:tcW w:w="1350" w:type="dxa"/>
          </w:tcPr>
          <w:p w:rsidR="00E125D2" w:rsidRPr="00AD2B7B" w:rsidRDefault="00E125D2" w:rsidP="006530E2">
            <w:pPr>
              <w:rPr>
                <w:szCs w:val="20"/>
              </w:rPr>
            </w:pPr>
            <w:r w:rsidRPr="00AD2B7B">
              <w:rPr>
                <w:szCs w:val="20"/>
              </w:rPr>
              <w:t>30,000</w:t>
            </w:r>
          </w:p>
          <w:p w:rsidR="00E125D2" w:rsidRPr="00AD2B7B" w:rsidRDefault="00E125D2" w:rsidP="006530E2">
            <w:pPr>
              <w:rPr>
                <w:szCs w:val="20"/>
              </w:rPr>
            </w:pPr>
          </w:p>
        </w:tc>
        <w:tc>
          <w:tcPr>
            <w:tcW w:w="1440" w:type="dxa"/>
          </w:tcPr>
          <w:p w:rsidR="00E125D2" w:rsidRPr="00AD2B7B" w:rsidRDefault="00E125D2" w:rsidP="006530E2">
            <w:pPr>
              <w:rPr>
                <w:szCs w:val="20"/>
              </w:rPr>
            </w:pPr>
            <w:r w:rsidRPr="00AD2B7B">
              <w:rPr>
                <w:szCs w:val="20"/>
              </w:rPr>
              <w:t>1</w:t>
            </w:r>
          </w:p>
        </w:tc>
        <w:tc>
          <w:tcPr>
            <w:tcW w:w="1350" w:type="dxa"/>
          </w:tcPr>
          <w:p w:rsidR="00E125D2" w:rsidRPr="00AD2B7B" w:rsidRDefault="003F614A" w:rsidP="006530E2">
            <w:pPr>
              <w:rPr>
                <w:szCs w:val="20"/>
              </w:rPr>
            </w:pPr>
            <w:r>
              <w:rPr>
                <w:szCs w:val="20"/>
              </w:rPr>
              <w:t>30/60</w:t>
            </w:r>
          </w:p>
        </w:tc>
        <w:tc>
          <w:tcPr>
            <w:tcW w:w="1800" w:type="dxa"/>
          </w:tcPr>
          <w:p w:rsidR="00E125D2" w:rsidRPr="00AD2B7B" w:rsidRDefault="00E125D2" w:rsidP="006530E2">
            <w:pPr>
              <w:rPr>
                <w:szCs w:val="20"/>
              </w:rPr>
            </w:pPr>
            <w:r w:rsidRPr="00AD2B7B">
              <w:rPr>
                <w:szCs w:val="20"/>
              </w:rPr>
              <w:t>15,000</w:t>
            </w:r>
          </w:p>
        </w:tc>
      </w:tr>
      <w:tr w:rsidR="00E125D2" w:rsidRPr="00AD2B7B" w:rsidTr="00E125D2">
        <w:tc>
          <w:tcPr>
            <w:tcW w:w="1278" w:type="dxa"/>
            <w:vMerge/>
          </w:tcPr>
          <w:p w:rsidR="00E125D2" w:rsidRPr="00AD2B7B" w:rsidRDefault="00E125D2" w:rsidP="006530E2">
            <w:pPr>
              <w:rPr>
                <w:szCs w:val="20"/>
              </w:rPr>
            </w:pPr>
          </w:p>
        </w:tc>
        <w:tc>
          <w:tcPr>
            <w:tcW w:w="810" w:type="dxa"/>
            <w:vMerge/>
          </w:tcPr>
          <w:p w:rsidR="00E125D2" w:rsidRPr="00AD2B7B" w:rsidRDefault="00E125D2" w:rsidP="006530E2">
            <w:pPr>
              <w:rPr>
                <w:szCs w:val="20"/>
              </w:rPr>
            </w:pPr>
          </w:p>
        </w:tc>
        <w:tc>
          <w:tcPr>
            <w:tcW w:w="1350" w:type="dxa"/>
          </w:tcPr>
          <w:p w:rsidR="00E125D2" w:rsidRPr="00AD2B7B" w:rsidRDefault="00E125D2" w:rsidP="006530E2">
            <w:pPr>
              <w:rPr>
                <w:szCs w:val="20"/>
              </w:rPr>
            </w:pPr>
            <w:r w:rsidRPr="00AD2B7B">
              <w:rPr>
                <w:szCs w:val="20"/>
              </w:rPr>
              <w:t>Comparison Group Counties</w:t>
            </w:r>
          </w:p>
        </w:tc>
        <w:tc>
          <w:tcPr>
            <w:tcW w:w="1350" w:type="dxa"/>
          </w:tcPr>
          <w:p w:rsidR="00E125D2" w:rsidRPr="00AD2B7B" w:rsidRDefault="00E125D2" w:rsidP="006530E2">
            <w:pPr>
              <w:rPr>
                <w:szCs w:val="20"/>
              </w:rPr>
            </w:pPr>
            <w:r w:rsidRPr="00AD2B7B">
              <w:rPr>
                <w:szCs w:val="20"/>
              </w:rPr>
              <w:t>10,000</w:t>
            </w:r>
          </w:p>
        </w:tc>
        <w:tc>
          <w:tcPr>
            <w:tcW w:w="1440" w:type="dxa"/>
          </w:tcPr>
          <w:p w:rsidR="00E125D2" w:rsidRPr="00AD2B7B" w:rsidRDefault="00E125D2" w:rsidP="006530E2">
            <w:pPr>
              <w:rPr>
                <w:szCs w:val="20"/>
              </w:rPr>
            </w:pPr>
            <w:r w:rsidRPr="00AD2B7B">
              <w:rPr>
                <w:szCs w:val="20"/>
              </w:rPr>
              <w:t>1</w:t>
            </w:r>
          </w:p>
        </w:tc>
        <w:tc>
          <w:tcPr>
            <w:tcW w:w="1350" w:type="dxa"/>
          </w:tcPr>
          <w:p w:rsidR="00E125D2" w:rsidRPr="00AD2B7B" w:rsidRDefault="003F614A" w:rsidP="005710C0">
            <w:pPr>
              <w:rPr>
                <w:szCs w:val="20"/>
              </w:rPr>
            </w:pPr>
            <w:r>
              <w:rPr>
                <w:szCs w:val="20"/>
              </w:rPr>
              <w:t>30/60</w:t>
            </w:r>
          </w:p>
        </w:tc>
        <w:tc>
          <w:tcPr>
            <w:tcW w:w="1800" w:type="dxa"/>
          </w:tcPr>
          <w:p w:rsidR="00E125D2" w:rsidRPr="00AD2B7B" w:rsidRDefault="00E125D2" w:rsidP="006530E2">
            <w:pPr>
              <w:rPr>
                <w:szCs w:val="20"/>
              </w:rPr>
            </w:pPr>
            <w:r w:rsidRPr="00AD2B7B">
              <w:rPr>
                <w:szCs w:val="20"/>
              </w:rPr>
              <w:t>5,000</w:t>
            </w:r>
          </w:p>
        </w:tc>
      </w:tr>
    </w:tbl>
    <w:p w:rsidR="00AD564E" w:rsidRDefault="00AD564E" w:rsidP="006530E2">
      <w:pPr>
        <w:rPr>
          <w:szCs w:val="20"/>
        </w:rPr>
      </w:pPr>
    </w:p>
    <w:p w:rsidR="00B02408" w:rsidRPr="00B02408" w:rsidRDefault="00B02408" w:rsidP="006530E2">
      <w:pPr>
        <w:rPr>
          <w:sz w:val="24"/>
        </w:rPr>
      </w:pPr>
      <w:r w:rsidRPr="00B02408">
        <w:rPr>
          <w:sz w:val="24"/>
        </w:rPr>
        <w:t>Estimated Annualized Burden Costs</w:t>
      </w:r>
    </w:p>
    <w:tbl>
      <w:tblPr>
        <w:tblStyle w:val="TableGrid"/>
        <w:tblW w:w="0" w:type="auto"/>
        <w:tblLook w:val="04A0"/>
      </w:tblPr>
      <w:tblGrid>
        <w:gridCol w:w="2502"/>
        <w:gridCol w:w="2502"/>
        <w:gridCol w:w="2124"/>
        <w:gridCol w:w="2250"/>
      </w:tblGrid>
      <w:tr w:rsidR="000429CE" w:rsidTr="00B02408">
        <w:tc>
          <w:tcPr>
            <w:tcW w:w="2502" w:type="dxa"/>
          </w:tcPr>
          <w:p w:rsidR="000429CE" w:rsidRDefault="000429CE" w:rsidP="006530E2">
            <w:pPr>
              <w:rPr>
                <w:szCs w:val="20"/>
              </w:rPr>
            </w:pPr>
            <w:r>
              <w:rPr>
                <w:szCs w:val="20"/>
              </w:rPr>
              <w:t>Type of Respondent</w:t>
            </w:r>
          </w:p>
        </w:tc>
        <w:tc>
          <w:tcPr>
            <w:tcW w:w="2502" w:type="dxa"/>
          </w:tcPr>
          <w:p w:rsidR="000429CE" w:rsidRDefault="000429CE" w:rsidP="006530E2">
            <w:pPr>
              <w:rPr>
                <w:szCs w:val="20"/>
              </w:rPr>
            </w:pPr>
            <w:r>
              <w:rPr>
                <w:szCs w:val="20"/>
              </w:rPr>
              <w:t>Total Burden Hours</w:t>
            </w:r>
          </w:p>
        </w:tc>
        <w:tc>
          <w:tcPr>
            <w:tcW w:w="2124" w:type="dxa"/>
          </w:tcPr>
          <w:p w:rsidR="000429CE" w:rsidRDefault="000429CE" w:rsidP="006530E2">
            <w:pPr>
              <w:rPr>
                <w:szCs w:val="20"/>
              </w:rPr>
            </w:pPr>
            <w:r>
              <w:rPr>
                <w:szCs w:val="20"/>
              </w:rPr>
              <w:t>Hourly Wage Rate</w:t>
            </w:r>
          </w:p>
        </w:tc>
        <w:tc>
          <w:tcPr>
            <w:tcW w:w="2250" w:type="dxa"/>
          </w:tcPr>
          <w:p w:rsidR="000429CE" w:rsidRDefault="000429CE" w:rsidP="006530E2">
            <w:pPr>
              <w:rPr>
                <w:szCs w:val="20"/>
              </w:rPr>
            </w:pPr>
            <w:r>
              <w:rPr>
                <w:szCs w:val="20"/>
              </w:rPr>
              <w:t>Total Respondent Costs</w:t>
            </w:r>
          </w:p>
        </w:tc>
      </w:tr>
      <w:tr w:rsidR="000429CE" w:rsidTr="00B02408">
        <w:tc>
          <w:tcPr>
            <w:tcW w:w="2502" w:type="dxa"/>
          </w:tcPr>
          <w:p w:rsidR="000429CE" w:rsidRDefault="000429CE" w:rsidP="006530E2">
            <w:pPr>
              <w:rPr>
                <w:szCs w:val="20"/>
              </w:rPr>
            </w:pPr>
            <w:r>
              <w:rPr>
                <w:szCs w:val="20"/>
              </w:rPr>
              <w:t>Individuals</w:t>
            </w:r>
          </w:p>
        </w:tc>
        <w:tc>
          <w:tcPr>
            <w:tcW w:w="2502" w:type="dxa"/>
          </w:tcPr>
          <w:p w:rsidR="000429CE" w:rsidRDefault="003F614A" w:rsidP="003F614A">
            <w:pPr>
              <w:rPr>
                <w:szCs w:val="20"/>
              </w:rPr>
            </w:pPr>
            <w:r>
              <w:rPr>
                <w:szCs w:val="20"/>
              </w:rPr>
              <w:t>20,</w:t>
            </w:r>
            <w:r w:rsidR="000429CE">
              <w:rPr>
                <w:szCs w:val="20"/>
              </w:rPr>
              <w:t>000</w:t>
            </w:r>
          </w:p>
        </w:tc>
        <w:tc>
          <w:tcPr>
            <w:tcW w:w="2124" w:type="dxa"/>
          </w:tcPr>
          <w:p w:rsidR="000429CE" w:rsidRDefault="000429CE" w:rsidP="00E125D2">
            <w:pPr>
              <w:rPr>
                <w:szCs w:val="20"/>
              </w:rPr>
            </w:pPr>
            <w:r>
              <w:rPr>
                <w:szCs w:val="20"/>
              </w:rPr>
              <w:t>$</w:t>
            </w:r>
            <w:r w:rsidR="003F4143">
              <w:rPr>
                <w:szCs w:val="20"/>
              </w:rPr>
              <w:t>1</w:t>
            </w:r>
            <w:r w:rsidR="00E125D2">
              <w:rPr>
                <w:szCs w:val="20"/>
              </w:rPr>
              <w:t>9.76</w:t>
            </w:r>
          </w:p>
        </w:tc>
        <w:tc>
          <w:tcPr>
            <w:tcW w:w="2250" w:type="dxa"/>
          </w:tcPr>
          <w:p w:rsidR="000429CE" w:rsidRDefault="00E125D2" w:rsidP="00B02408">
            <w:pPr>
              <w:rPr>
                <w:szCs w:val="20"/>
              </w:rPr>
            </w:pPr>
            <w:r>
              <w:rPr>
                <w:szCs w:val="20"/>
              </w:rPr>
              <w:t>$39</w:t>
            </w:r>
            <w:r w:rsidR="00B02408">
              <w:rPr>
                <w:szCs w:val="20"/>
              </w:rPr>
              <w:t>5</w:t>
            </w:r>
            <w:r>
              <w:rPr>
                <w:szCs w:val="20"/>
              </w:rPr>
              <w:t>,200</w:t>
            </w:r>
          </w:p>
        </w:tc>
      </w:tr>
      <w:tr w:rsidR="00B02408" w:rsidTr="00B02408">
        <w:tc>
          <w:tcPr>
            <w:tcW w:w="9378" w:type="dxa"/>
            <w:gridSpan w:val="4"/>
          </w:tcPr>
          <w:p w:rsidR="00B02408" w:rsidRDefault="00B02408" w:rsidP="006530E2">
            <w:pPr>
              <w:rPr>
                <w:szCs w:val="20"/>
              </w:rPr>
            </w:pPr>
            <w:r>
              <w:rPr>
                <w:szCs w:val="20"/>
              </w:rPr>
              <w:t>Hourly wages were averaged from private wages provided for the Gulf States included in the survey (</w:t>
            </w:r>
            <w:r w:rsidRPr="00B02408">
              <w:rPr>
                <w:szCs w:val="20"/>
              </w:rPr>
              <w:t>http://www.bls.gov/sae/gulf_coast.htm</w:t>
            </w:r>
            <w:r>
              <w:rPr>
                <w:szCs w:val="20"/>
              </w:rPr>
              <w:t>).</w:t>
            </w:r>
          </w:p>
        </w:tc>
      </w:tr>
    </w:tbl>
    <w:p w:rsidR="00AD564E" w:rsidRPr="00AD2B7B" w:rsidRDefault="00AD564E" w:rsidP="006530E2">
      <w:pPr>
        <w:rPr>
          <w:szCs w:val="20"/>
        </w:rPr>
      </w:pPr>
    </w:p>
    <w:p w:rsidR="00AD564E" w:rsidRPr="00AD2B7B" w:rsidRDefault="00AD564E" w:rsidP="006530E2">
      <w:pPr>
        <w:rPr>
          <w:szCs w:val="20"/>
        </w:rPr>
      </w:pPr>
    </w:p>
    <w:p w:rsidR="006D433C" w:rsidRDefault="006D433C" w:rsidP="006530E2">
      <w:pPr>
        <w:rPr>
          <w:sz w:val="24"/>
        </w:rPr>
      </w:pPr>
    </w:p>
    <w:p w:rsidR="00ED028C" w:rsidRDefault="00E16850" w:rsidP="006530E2">
      <w:pPr>
        <w:pStyle w:val="Heading3"/>
        <w:numPr>
          <w:ilvl w:val="0"/>
          <w:numId w:val="22"/>
        </w:numPr>
        <w:ind w:left="0" w:firstLine="0"/>
      </w:pPr>
      <w:bookmarkStart w:id="13" w:name="_Toc286743045"/>
      <w:r>
        <w:t>Estimates of Other Total Annual Cost Burden to Respondents or Record Keepers</w:t>
      </w:r>
      <w:bookmarkEnd w:id="13"/>
    </w:p>
    <w:p w:rsidR="00E56539" w:rsidRDefault="00E56539" w:rsidP="006530E2">
      <w:pPr>
        <w:rPr>
          <w:sz w:val="24"/>
        </w:rPr>
      </w:pPr>
    </w:p>
    <w:p w:rsidR="00ED028C" w:rsidRDefault="007375B4" w:rsidP="006530E2">
      <w:pPr>
        <w:rPr>
          <w:sz w:val="24"/>
        </w:rPr>
      </w:pPr>
      <w:r>
        <w:rPr>
          <w:sz w:val="24"/>
        </w:rPr>
        <w:t xml:space="preserve">There are no </w:t>
      </w:r>
      <w:r w:rsidR="001B23C9">
        <w:rPr>
          <w:sz w:val="24"/>
        </w:rPr>
        <w:t xml:space="preserve">maintenance or capital </w:t>
      </w:r>
      <w:r>
        <w:rPr>
          <w:sz w:val="24"/>
        </w:rPr>
        <w:t xml:space="preserve">costs to respondents. </w:t>
      </w:r>
    </w:p>
    <w:p w:rsidR="00ED028C" w:rsidRDefault="00ED028C" w:rsidP="006530E2">
      <w:pPr>
        <w:rPr>
          <w:b/>
          <w:sz w:val="24"/>
        </w:rPr>
      </w:pPr>
    </w:p>
    <w:p w:rsidR="00ED028C" w:rsidRDefault="00ED028C" w:rsidP="00DF7AF8">
      <w:pPr>
        <w:pStyle w:val="Heading3"/>
        <w:numPr>
          <w:ilvl w:val="0"/>
          <w:numId w:val="22"/>
        </w:numPr>
        <w:ind w:left="0" w:firstLine="0"/>
      </w:pPr>
      <w:bookmarkStart w:id="14" w:name="_Toc286743046"/>
      <w:r>
        <w:t>Annualized Cost to Federal Government</w:t>
      </w:r>
      <w:bookmarkEnd w:id="14"/>
    </w:p>
    <w:p w:rsidR="001C2603" w:rsidRDefault="001C2603" w:rsidP="006530E2"/>
    <w:p w:rsidR="001C2603" w:rsidRPr="001C2603" w:rsidRDefault="001C2603" w:rsidP="006530E2">
      <w:pPr>
        <w:rPr>
          <w:sz w:val="24"/>
        </w:rPr>
      </w:pPr>
      <w:r w:rsidRPr="001C2603">
        <w:rPr>
          <w:sz w:val="24"/>
        </w:rPr>
        <w:t xml:space="preserve">Costs are presented below as per complete estimates which include weighting and sampling as well as interviewer costs and administration which will be borne by subcontractor(s).  </w:t>
      </w:r>
    </w:p>
    <w:p w:rsidR="001C2603" w:rsidRPr="001C2603" w:rsidRDefault="001C2603" w:rsidP="006530E2">
      <w:pPr>
        <w:rPr>
          <w:sz w:val="24"/>
        </w:rPr>
      </w:pPr>
    </w:p>
    <w:p w:rsidR="001C2603" w:rsidRPr="001C2603" w:rsidRDefault="001C2603" w:rsidP="006530E2"/>
    <w:p w:rsidR="001B23C9" w:rsidRPr="001B23C9" w:rsidRDefault="001B23C9" w:rsidP="006530E2">
      <w:pPr>
        <w:rPr>
          <w:noProof/>
          <w:sz w:val="24"/>
        </w:rPr>
      </w:pPr>
      <w:r w:rsidRPr="001B23C9">
        <w:rPr>
          <w:noProof/>
          <w:sz w:val="24"/>
        </w:rPr>
        <w:t>Annualized 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6"/>
        <w:gridCol w:w="2426"/>
      </w:tblGrid>
      <w:tr w:rsidR="001B23C9" w:rsidRPr="001B23C9" w:rsidTr="001B23C9">
        <w:tc>
          <w:tcPr>
            <w:tcW w:w="7006" w:type="dxa"/>
          </w:tcPr>
          <w:p w:rsidR="001B23C9" w:rsidRPr="00AD2B7B" w:rsidRDefault="00494ADF" w:rsidP="00C10AF4">
            <w:pPr>
              <w:rPr>
                <w:sz w:val="24"/>
              </w:rPr>
            </w:pPr>
            <w:r w:rsidRPr="00AD2B7B">
              <w:rPr>
                <w:sz w:val="24"/>
              </w:rPr>
              <w:t>40</w:t>
            </w:r>
            <w:r w:rsidR="00195834" w:rsidRPr="00AD2B7B">
              <w:rPr>
                <w:sz w:val="24"/>
              </w:rPr>
              <w:t>,000 surveys @ $</w:t>
            </w:r>
            <w:r w:rsidR="00C10AF4" w:rsidRPr="00AD2B7B">
              <w:rPr>
                <w:sz w:val="24"/>
              </w:rPr>
              <w:t>75</w:t>
            </w:r>
            <w:r w:rsidR="001C2603" w:rsidRPr="00AD2B7B">
              <w:rPr>
                <w:sz w:val="24"/>
              </w:rPr>
              <w:t xml:space="preserve"> per complete</w:t>
            </w:r>
          </w:p>
        </w:tc>
        <w:tc>
          <w:tcPr>
            <w:tcW w:w="2426" w:type="dxa"/>
          </w:tcPr>
          <w:p w:rsidR="001B23C9" w:rsidRPr="00AD2B7B" w:rsidRDefault="00195834" w:rsidP="006530E2">
            <w:pPr>
              <w:jc w:val="right"/>
              <w:rPr>
                <w:sz w:val="24"/>
              </w:rPr>
            </w:pPr>
            <w:r w:rsidRPr="00AD2B7B">
              <w:rPr>
                <w:sz w:val="24"/>
              </w:rPr>
              <w:t>$3,000,000</w:t>
            </w:r>
          </w:p>
        </w:tc>
      </w:tr>
    </w:tbl>
    <w:p w:rsidR="001B23C9" w:rsidRPr="001B23C9" w:rsidRDefault="001B23C9" w:rsidP="006530E2">
      <w:pPr>
        <w:rPr>
          <w:sz w:val="24"/>
        </w:rPr>
      </w:pPr>
    </w:p>
    <w:p w:rsidR="00ED028C" w:rsidRDefault="00ED028C" w:rsidP="00DF7AF8">
      <w:pPr>
        <w:pStyle w:val="Heading3"/>
        <w:numPr>
          <w:ilvl w:val="0"/>
          <w:numId w:val="22"/>
        </w:numPr>
        <w:ind w:left="0" w:firstLine="0"/>
      </w:pPr>
      <w:bookmarkStart w:id="15" w:name="_Toc286743047"/>
      <w:r>
        <w:t>Explanation for Program Changes or Adjustments</w:t>
      </w:r>
      <w:bookmarkEnd w:id="15"/>
    </w:p>
    <w:p w:rsidR="00E56539" w:rsidRDefault="00E56539" w:rsidP="006530E2">
      <w:pPr>
        <w:rPr>
          <w:sz w:val="24"/>
        </w:rPr>
      </w:pPr>
    </w:p>
    <w:p w:rsidR="00A129A1" w:rsidRDefault="00A129A1" w:rsidP="006530E2">
      <w:pPr>
        <w:rPr>
          <w:sz w:val="24"/>
        </w:rPr>
      </w:pPr>
      <w:r>
        <w:rPr>
          <w:sz w:val="24"/>
        </w:rPr>
        <w:t>This is</w:t>
      </w:r>
      <w:r w:rsidR="00D855D0">
        <w:rPr>
          <w:sz w:val="24"/>
        </w:rPr>
        <w:t xml:space="preserve"> a</w:t>
      </w:r>
      <w:r>
        <w:rPr>
          <w:sz w:val="24"/>
        </w:rPr>
        <w:t xml:space="preserve"> request for a new data collection.</w:t>
      </w:r>
    </w:p>
    <w:p w:rsidR="00ED028C" w:rsidRDefault="00ED028C" w:rsidP="006530E2">
      <w:pPr>
        <w:rPr>
          <w:sz w:val="24"/>
        </w:rPr>
      </w:pPr>
    </w:p>
    <w:p w:rsidR="00ED028C" w:rsidRDefault="00ED028C" w:rsidP="00DF7AF8">
      <w:pPr>
        <w:pStyle w:val="Heading3"/>
        <w:numPr>
          <w:ilvl w:val="0"/>
          <w:numId w:val="22"/>
        </w:numPr>
        <w:ind w:left="0" w:firstLine="0"/>
      </w:pPr>
      <w:bookmarkStart w:id="16" w:name="_Toc286743048"/>
      <w:r>
        <w:t>Plans for Tabulation and Publication and Project Time Schedule</w:t>
      </w:r>
      <w:bookmarkEnd w:id="16"/>
    </w:p>
    <w:p w:rsidR="00E56539" w:rsidRDefault="00E56539" w:rsidP="006530E2">
      <w:pPr>
        <w:rPr>
          <w:sz w:val="24"/>
        </w:rPr>
      </w:pPr>
    </w:p>
    <w:p w:rsidR="009313BE" w:rsidRDefault="00ED028C" w:rsidP="006530E2">
      <w:pPr>
        <w:rPr>
          <w:sz w:val="24"/>
        </w:rPr>
      </w:pPr>
      <w:r>
        <w:rPr>
          <w:sz w:val="24"/>
        </w:rPr>
        <w:lastRenderedPageBreak/>
        <w:t xml:space="preserve">Data collection </w:t>
      </w:r>
      <w:r w:rsidR="00172761">
        <w:rPr>
          <w:sz w:val="24"/>
        </w:rPr>
        <w:t xml:space="preserve">for the </w:t>
      </w:r>
      <w:r w:rsidR="00783A0C">
        <w:rPr>
          <w:sz w:val="24"/>
        </w:rPr>
        <w:t>GSPS</w:t>
      </w:r>
      <w:r w:rsidR="00402A44">
        <w:rPr>
          <w:sz w:val="24"/>
        </w:rPr>
        <w:t xml:space="preserve"> began December 14, 2010 under OMB emergency clearance (OMB control # 0920-0868</w:t>
      </w:r>
      <w:r w:rsidR="00A9455F">
        <w:rPr>
          <w:sz w:val="24"/>
        </w:rPr>
        <w:t>, expiration date April 30, 2011</w:t>
      </w:r>
      <w:r w:rsidR="00402A44">
        <w:rPr>
          <w:sz w:val="24"/>
        </w:rPr>
        <w:t xml:space="preserve">). </w:t>
      </w:r>
      <w:r w:rsidR="00783A0C">
        <w:rPr>
          <w:sz w:val="24"/>
        </w:rPr>
        <w:t xml:space="preserve">Ongoing data collection will </w:t>
      </w:r>
      <w:r w:rsidR="00402A44">
        <w:rPr>
          <w:sz w:val="24"/>
        </w:rPr>
        <w:t>continue</w:t>
      </w:r>
      <w:r w:rsidR="00783A0C">
        <w:rPr>
          <w:sz w:val="24"/>
        </w:rPr>
        <w:t xml:space="preserve"> with OMB approval of the new ICR</w:t>
      </w:r>
      <w:r>
        <w:rPr>
          <w:sz w:val="24"/>
        </w:rPr>
        <w:t xml:space="preserve">. </w:t>
      </w:r>
    </w:p>
    <w:p w:rsidR="009445C1" w:rsidRDefault="009445C1" w:rsidP="006530E2">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04"/>
        <w:gridCol w:w="5004"/>
      </w:tblGrid>
      <w:tr w:rsidR="009445C1" w:rsidRPr="000259B9" w:rsidTr="000259B9">
        <w:tc>
          <w:tcPr>
            <w:tcW w:w="10008" w:type="dxa"/>
            <w:gridSpan w:val="2"/>
          </w:tcPr>
          <w:p w:rsidR="009445C1" w:rsidRPr="000259B9" w:rsidRDefault="00402A44" w:rsidP="00402A44">
            <w:pPr>
              <w:rPr>
                <w:b/>
                <w:sz w:val="24"/>
              </w:rPr>
            </w:pPr>
            <w:r w:rsidRPr="000259B9">
              <w:rPr>
                <w:b/>
                <w:sz w:val="24"/>
              </w:rPr>
              <w:t xml:space="preserve">A. </w:t>
            </w:r>
            <w:r w:rsidR="009445C1" w:rsidRPr="000259B9">
              <w:rPr>
                <w:b/>
                <w:sz w:val="24"/>
              </w:rPr>
              <w:t>16 – 1 Project Time Schedule</w:t>
            </w:r>
          </w:p>
        </w:tc>
      </w:tr>
      <w:tr w:rsidR="009445C1" w:rsidRPr="000259B9" w:rsidTr="000259B9">
        <w:tc>
          <w:tcPr>
            <w:tcW w:w="5004" w:type="dxa"/>
          </w:tcPr>
          <w:p w:rsidR="009445C1" w:rsidRPr="000259B9" w:rsidRDefault="00402A44" w:rsidP="000259B9">
            <w:pPr>
              <w:jc w:val="center"/>
              <w:rPr>
                <w:b/>
                <w:sz w:val="24"/>
              </w:rPr>
            </w:pPr>
            <w:r w:rsidRPr="000259B9">
              <w:rPr>
                <w:b/>
                <w:sz w:val="24"/>
              </w:rPr>
              <w:t>Activity</w:t>
            </w:r>
          </w:p>
        </w:tc>
        <w:tc>
          <w:tcPr>
            <w:tcW w:w="5004" w:type="dxa"/>
          </w:tcPr>
          <w:p w:rsidR="009445C1" w:rsidRPr="000259B9" w:rsidRDefault="00402A44" w:rsidP="000259B9">
            <w:pPr>
              <w:jc w:val="center"/>
              <w:rPr>
                <w:b/>
                <w:sz w:val="24"/>
              </w:rPr>
            </w:pPr>
            <w:r w:rsidRPr="000259B9">
              <w:rPr>
                <w:b/>
                <w:sz w:val="24"/>
              </w:rPr>
              <w:t>Time Schedule</w:t>
            </w:r>
          </w:p>
        </w:tc>
      </w:tr>
      <w:tr w:rsidR="009445C1" w:rsidRPr="000259B9" w:rsidTr="000259B9">
        <w:tc>
          <w:tcPr>
            <w:tcW w:w="5004" w:type="dxa"/>
          </w:tcPr>
          <w:p w:rsidR="009445C1" w:rsidRPr="000259B9" w:rsidRDefault="00FE55F3" w:rsidP="00FE55F3">
            <w:pPr>
              <w:rPr>
                <w:sz w:val="24"/>
              </w:rPr>
            </w:pPr>
            <w:r>
              <w:rPr>
                <w:sz w:val="24"/>
              </w:rPr>
              <w:t>Ongoing c</w:t>
            </w:r>
            <w:r w:rsidR="00402A44" w:rsidRPr="000259B9">
              <w:rPr>
                <w:sz w:val="24"/>
              </w:rPr>
              <w:t xml:space="preserve">ollection of </w:t>
            </w:r>
            <w:r w:rsidR="00665E4D" w:rsidRPr="000259B9">
              <w:rPr>
                <w:sz w:val="24"/>
              </w:rPr>
              <w:t xml:space="preserve">survey </w:t>
            </w:r>
            <w:r w:rsidR="00402A44" w:rsidRPr="000259B9">
              <w:rPr>
                <w:sz w:val="24"/>
              </w:rPr>
              <w:t>data</w:t>
            </w:r>
          </w:p>
        </w:tc>
        <w:tc>
          <w:tcPr>
            <w:tcW w:w="5004" w:type="dxa"/>
          </w:tcPr>
          <w:p w:rsidR="009445C1" w:rsidRPr="000259B9" w:rsidRDefault="00000102" w:rsidP="00000102">
            <w:pPr>
              <w:rPr>
                <w:sz w:val="24"/>
              </w:rPr>
            </w:pPr>
            <w:r>
              <w:rPr>
                <w:sz w:val="24"/>
              </w:rPr>
              <w:t xml:space="preserve">6-8 </w:t>
            </w:r>
            <w:r w:rsidR="00665E4D" w:rsidRPr="000259B9">
              <w:rPr>
                <w:sz w:val="24"/>
              </w:rPr>
              <w:t xml:space="preserve"> months</w:t>
            </w:r>
            <w:r w:rsidR="00402A44" w:rsidRPr="000259B9">
              <w:rPr>
                <w:sz w:val="24"/>
              </w:rPr>
              <w:t xml:space="preserve"> after OMB approval</w:t>
            </w:r>
            <w:r w:rsidR="00A9455F">
              <w:rPr>
                <w:sz w:val="24"/>
              </w:rPr>
              <w:t xml:space="preserve"> of new ICR</w:t>
            </w:r>
          </w:p>
        </w:tc>
      </w:tr>
      <w:tr w:rsidR="009445C1" w:rsidRPr="000259B9" w:rsidTr="000259B9">
        <w:tc>
          <w:tcPr>
            <w:tcW w:w="5004" w:type="dxa"/>
          </w:tcPr>
          <w:p w:rsidR="009445C1" w:rsidRPr="000259B9" w:rsidRDefault="00402A44" w:rsidP="00FE55F3">
            <w:pPr>
              <w:rPr>
                <w:sz w:val="24"/>
              </w:rPr>
            </w:pPr>
            <w:r w:rsidRPr="000259B9">
              <w:rPr>
                <w:sz w:val="24"/>
              </w:rPr>
              <w:t xml:space="preserve">Completion of </w:t>
            </w:r>
            <w:r w:rsidR="00665E4D" w:rsidRPr="000259B9">
              <w:rPr>
                <w:sz w:val="24"/>
              </w:rPr>
              <w:t xml:space="preserve"> </w:t>
            </w:r>
            <w:r w:rsidRPr="000259B9">
              <w:rPr>
                <w:sz w:val="24"/>
              </w:rPr>
              <w:t>data collection</w:t>
            </w:r>
          </w:p>
        </w:tc>
        <w:tc>
          <w:tcPr>
            <w:tcW w:w="5004" w:type="dxa"/>
          </w:tcPr>
          <w:p w:rsidR="009445C1" w:rsidRPr="000259B9" w:rsidRDefault="00402A44" w:rsidP="006530E2">
            <w:pPr>
              <w:rPr>
                <w:sz w:val="24"/>
              </w:rPr>
            </w:pPr>
            <w:r w:rsidRPr="000259B9">
              <w:rPr>
                <w:sz w:val="24"/>
              </w:rPr>
              <w:t>9</w:t>
            </w:r>
            <w:r w:rsidR="00665E4D" w:rsidRPr="000259B9">
              <w:rPr>
                <w:sz w:val="24"/>
              </w:rPr>
              <w:t>-10</w:t>
            </w:r>
            <w:r w:rsidRPr="000259B9">
              <w:rPr>
                <w:sz w:val="24"/>
              </w:rPr>
              <w:t xml:space="preserve"> months after OMB approval</w:t>
            </w:r>
            <w:r w:rsidR="00A9455F">
              <w:rPr>
                <w:sz w:val="24"/>
              </w:rPr>
              <w:t xml:space="preserve"> of new ICR</w:t>
            </w:r>
          </w:p>
        </w:tc>
      </w:tr>
      <w:tr w:rsidR="009445C1" w:rsidRPr="000259B9" w:rsidTr="000259B9">
        <w:tc>
          <w:tcPr>
            <w:tcW w:w="5004" w:type="dxa"/>
          </w:tcPr>
          <w:p w:rsidR="009445C1" w:rsidRPr="000259B9" w:rsidRDefault="00665E4D" w:rsidP="006530E2">
            <w:pPr>
              <w:rPr>
                <w:sz w:val="24"/>
              </w:rPr>
            </w:pPr>
            <w:r w:rsidRPr="000259B9">
              <w:rPr>
                <w:sz w:val="24"/>
              </w:rPr>
              <w:t>Data analyses and reports</w:t>
            </w:r>
          </w:p>
        </w:tc>
        <w:tc>
          <w:tcPr>
            <w:tcW w:w="5004" w:type="dxa"/>
          </w:tcPr>
          <w:p w:rsidR="009445C1" w:rsidRPr="000259B9" w:rsidRDefault="00665E4D" w:rsidP="006530E2">
            <w:pPr>
              <w:rPr>
                <w:sz w:val="24"/>
              </w:rPr>
            </w:pPr>
            <w:r w:rsidRPr="000259B9">
              <w:rPr>
                <w:sz w:val="24"/>
              </w:rPr>
              <w:t>10-18 months after OMB approval</w:t>
            </w:r>
            <w:r w:rsidR="00A9455F">
              <w:rPr>
                <w:sz w:val="24"/>
              </w:rPr>
              <w:t xml:space="preserve"> of new ICR</w:t>
            </w:r>
          </w:p>
        </w:tc>
      </w:tr>
      <w:tr w:rsidR="009445C1" w:rsidRPr="000259B9" w:rsidTr="000259B9">
        <w:tc>
          <w:tcPr>
            <w:tcW w:w="5004" w:type="dxa"/>
          </w:tcPr>
          <w:p w:rsidR="009445C1" w:rsidRPr="000259B9" w:rsidRDefault="00665E4D" w:rsidP="006530E2">
            <w:pPr>
              <w:rPr>
                <w:sz w:val="24"/>
              </w:rPr>
            </w:pPr>
            <w:r w:rsidRPr="000259B9">
              <w:rPr>
                <w:sz w:val="24"/>
              </w:rPr>
              <w:t>Publication</w:t>
            </w:r>
            <w:r w:rsidR="00FE55F3">
              <w:rPr>
                <w:sz w:val="24"/>
              </w:rPr>
              <w:t>s</w:t>
            </w:r>
          </w:p>
        </w:tc>
        <w:tc>
          <w:tcPr>
            <w:tcW w:w="5004" w:type="dxa"/>
          </w:tcPr>
          <w:p w:rsidR="009445C1" w:rsidRPr="000259B9" w:rsidRDefault="00665E4D" w:rsidP="006530E2">
            <w:pPr>
              <w:rPr>
                <w:sz w:val="24"/>
              </w:rPr>
            </w:pPr>
            <w:r w:rsidRPr="000259B9">
              <w:rPr>
                <w:sz w:val="24"/>
              </w:rPr>
              <w:t>18- 24 months after OMB approval</w:t>
            </w:r>
            <w:r w:rsidR="00A9455F">
              <w:rPr>
                <w:sz w:val="24"/>
              </w:rPr>
              <w:t xml:space="preserve"> of new ICR</w:t>
            </w:r>
          </w:p>
        </w:tc>
      </w:tr>
    </w:tbl>
    <w:p w:rsidR="009445C1" w:rsidRDefault="009445C1" w:rsidP="006530E2">
      <w:pPr>
        <w:rPr>
          <w:sz w:val="24"/>
        </w:rPr>
      </w:pPr>
    </w:p>
    <w:p w:rsidR="00ED028C" w:rsidRDefault="00ED028C" w:rsidP="00DF7AF8">
      <w:pPr>
        <w:pStyle w:val="Heading3"/>
        <w:numPr>
          <w:ilvl w:val="0"/>
          <w:numId w:val="22"/>
        </w:numPr>
        <w:ind w:left="0" w:firstLine="0"/>
      </w:pPr>
      <w:bookmarkStart w:id="17" w:name="_Toc286743049"/>
      <w:r>
        <w:t>Reason(s) Display of OMB Expiration Date is Inappropriate</w:t>
      </w:r>
      <w:bookmarkEnd w:id="17"/>
    </w:p>
    <w:p w:rsidR="00ED028C" w:rsidRDefault="00ED028C" w:rsidP="006530E2">
      <w:r>
        <w:rPr>
          <w:sz w:val="24"/>
        </w:rPr>
        <w:t xml:space="preserve">Not applicable. </w:t>
      </w:r>
    </w:p>
    <w:p w:rsidR="00ED028C" w:rsidRPr="00F95C70" w:rsidRDefault="00ED028C" w:rsidP="00DF7AF8">
      <w:pPr>
        <w:pStyle w:val="Heading3"/>
        <w:numPr>
          <w:ilvl w:val="0"/>
          <w:numId w:val="22"/>
        </w:numPr>
        <w:ind w:left="0" w:hanging="90"/>
      </w:pPr>
      <w:bookmarkStart w:id="18" w:name="_Toc286743050"/>
      <w:r w:rsidRPr="00F95C70">
        <w:t>Exceptions to Certification for Paperwork Reduction Act Submissions</w:t>
      </w:r>
      <w:bookmarkEnd w:id="18"/>
    </w:p>
    <w:p w:rsidR="00ED028C" w:rsidRPr="00F95C70" w:rsidRDefault="00ED028C" w:rsidP="006530E2">
      <w:pPr>
        <w:rPr>
          <w:color w:val="000000"/>
          <w:sz w:val="24"/>
        </w:rPr>
      </w:pPr>
      <w:r w:rsidRPr="00F95C70">
        <w:rPr>
          <w:color w:val="000000"/>
          <w:sz w:val="24"/>
        </w:rPr>
        <w:t>There are no exceptions to the certification.</w:t>
      </w:r>
    </w:p>
    <w:sectPr w:rsidR="00ED028C" w:rsidRPr="00F95C70" w:rsidSect="00E10E86">
      <w:headerReference w:type="default" r:id="rId14"/>
      <w:footerReference w:type="default" r:id="rId15"/>
      <w:type w:val="continuous"/>
      <w:pgSz w:w="12240" w:h="15840" w:code="1"/>
      <w:pgMar w:top="1440" w:right="1008" w:bottom="1008"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F05" w:rsidRDefault="00401F05">
      <w:r>
        <w:separator/>
      </w:r>
    </w:p>
  </w:endnote>
  <w:endnote w:type="continuationSeparator" w:id="0">
    <w:p w:rsidR="00401F05" w:rsidRDefault="00401F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F05" w:rsidRDefault="00A93EE2">
    <w:pPr>
      <w:pStyle w:val="Footer"/>
      <w:jc w:val="right"/>
    </w:pPr>
    <w:fldSimple w:instr=" PAGE   \* MERGEFORMAT ">
      <w:r w:rsidR="00F97E59">
        <w:rPr>
          <w:noProof/>
        </w:rPr>
        <w:t>2</w:t>
      </w:r>
    </w:fldSimple>
  </w:p>
  <w:p w:rsidR="00401F05" w:rsidRDefault="00401F05">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F05" w:rsidRDefault="00401F05">
      <w:r>
        <w:separator/>
      </w:r>
    </w:p>
  </w:footnote>
  <w:footnote w:type="continuationSeparator" w:id="0">
    <w:p w:rsidR="00401F05" w:rsidRDefault="00401F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F05" w:rsidRPr="00022593" w:rsidRDefault="00401F05">
    <w:pPr>
      <w:pStyle w:val="Header"/>
      <w:rPr>
        <w:sz w:val="16"/>
        <w:szCs w:val="16"/>
      </w:rPr>
    </w:pPr>
    <w:r w:rsidRPr="00022593">
      <w:rPr>
        <w:sz w:val="16"/>
        <w:szCs w:val="16"/>
      </w:rPr>
      <w:t>03.0</w:t>
    </w:r>
    <w:r>
      <w:rPr>
        <w:sz w:val="16"/>
        <w:szCs w:val="16"/>
      </w:rPr>
      <w:t>2</w:t>
    </w:r>
    <w:r w:rsidRPr="00022593">
      <w:rPr>
        <w:sz w:val="16"/>
        <w:szCs w:val="16"/>
      </w:rPr>
      <w:t>.2011</w:t>
    </w:r>
  </w:p>
  <w:p w:rsidR="00401F05" w:rsidRDefault="00401F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C910F9"/>
    <w:multiLevelType w:val="hybridMultilevel"/>
    <w:tmpl w:val="AB14A518"/>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4D3344C"/>
    <w:multiLevelType w:val="hybridMultilevel"/>
    <w:tmpl w:val="ED94C4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94D7912"/>
    <w:multiLevelType w:val="hybridMultilevel"/>
    <w:tmpl w:val="47062852"/>
    <w:lvl w:ilvl="0" w:tplc="1758E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3029A6"/>
    <w:multiLevelType w:val="hybridMultilevel"/>
    <w:tmpl w:val="38ACA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A033A"/>
    <w:multiLevelType w:val="hybridMultilevel"/>
    <w:tmpl w:val="D7B49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7367B9"/>
    <w:multiLevelType w:val="hybridMultilevel"/>
    <w:tmpl w:val="D7F43F4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428727B"/>
    <w:multiLevelType w:val="hybridMultilevel"/>
    <w:tmpl w:val="41DC0B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AF4781"/>
    <w:multiLevelType w:val="hybridMultilevel"/>
    <w:tmpl w:val="E18EB902"/>
    <w:lvl w:ilvl="0" w:tplc="02C69E9A">
      <w:start w:val="2"/>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154820"/>
    <w:multiLevelType w:val="hybridMultilevel"/>
    <w:tmpl w:val="58EA99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DE19C6"/>
    <w:multiLevelType w:val="hybridMultilevel"/>
    <w:tmpl w:val="E5B844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B83325"/>
    <w:multiLevelType w:val="hybridMultilevel"/>
    <w:tmpl w:val="8564B18A"/>
    <w:lvl w:ilvl="0" w:tplc="04090001">
      <w:start w:val="1"/>
      <w:numFmt w:val="bullet"/>
      <w:lvlText w:val=""/>
      <w:lvlJc w:val="left"/>
      <w:pPr>
        <w:tabs>
          <w:tab w:val="num" w:pos="720"/>
        </w:tabs>
        <w:ind w:left="720" w:hanging="360"/>
      </w:pPr>
      <w:rPr>
        <w:rFonts w:ascii="Symbol" w:hAnsi="Symbol" w:hint="default"/>
        <w:b w:val="0"/>
      </w:rPr>
    </w:lvl>
    <w:lvl w:ilvl="1" w:tplc="0409000F">
      <w:start w:val="1"/>
      <w:numFmt w:val="decimal"/>
      <w:lvlText w:val="%2."/>
      <w:lvlJc w:val="left"/>
      <w:pPr>
        <w:tabs>
          <w:tab w:val="num" w:pos="1080"/>
        </w:tabs>
        <w:ind w:left="1080" w:hanging="360"/>
      </w:pPr>
      <w:rPr>
        <w:rFont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E4E114A"/>
    <w:multiLevelType w:val="hybridMultilevel"/>
    <w:tmpl w:val="F718DA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AC30C3C"/>
    <w:multiLevelType w:val="hybridMultilevel"/>
    <w:tmpl w:val="0D48E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574D35"/>
    <w:multiLevelType w:val="hybridMultilevel"/>
    <w:tmpl w:val="B120C2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DA6D50"/>
    <w:multiLevelType w:val="hybridMultilevel"/>
    <w:tmpl w:val="CFF2E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1D7109"/>
    <w:multiLevelType w:val="hybridMultilevel"/>
    <w:tmpl w:val="22162BC6"/>
    <w:lvl w:ilvl="0" w:tplc="0BF2B5AE">
      <w:start w:val="1"/>
      <w:numFmt w:val="decimal"/>
      <w:lvlText w:val="%1."/>
      <w:lvlJc w:val="left"/>
      <w:pPr>
        <w:tabs>
          <w:tab w:val="num" w:pos="810"/>
        </w:tabs>
        <w:ind w:left="810" w:hanging="360"/>
      </w:pPr>
      <w:rPr>
        <w:b/>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1">
      <w:start w:val="1"/>
      <w:numFmt w:val="bullet"/>
      <w:lvlText w:val=""/>
      <w:lvlJc w:val="left"/>
      <w:pPr>
        <w:tabs>
          <w:tab w:val="num" w:pos="2610"/>
        </w:tabs>
        <w:ind w:left="2610" w:hanging="360"/>
      </w:pPr>
      <w:rPr>
        <w:rFonts w:ascii="Symbol" w:hAnsi="Symbol" w:hint="default"/>
      </w:rPr>
    </w:lvl>
    <w:lvl w:ilvl="4" w:tplc="9AF416FC">
      <w:start w:val="2"/>
      <w:numFmt w:val="upperLetter"/>
      <w:lvlText w:val="%5."/>
      <w:lvlJc w:val="left"/>
      <w:pPr>
        <w:tabs>
          <w:tab w:val="num" w:pos="3330"/>
        </w:tabs>
        <w:ind w:left="3330" w:hanging="360"/>
      </w:pPr>
      <w:rPr>
        <w:rFonts w:hint="default"/>
      </w:rPr>
    </w:lvl>
    <w:lvl w:ilvl="5" w:tplc="0409001B">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nsid w:val="4C2E344C"/>
    <w:multiLevelType w:val="hybridMultilevel"/>
    <w:tmpl w:val="26AE4F1E"/>
    <w:lvl w:ilvl="0" w:tplc="1758EDE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DF03AE"/>
    <w:multiLevelType w:val="hybridMultilevel"/>
    <w:tmpl w:val="D1B22C90"/>
    <w:lvl w:ilvl="0" w:tplc="1758EDE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55A569D8"/>
    <w:multiLevelType w:val="hybridMultilevel"/>
    <w:tmpl w:val="9B020C4C"/>
    <w:lvl w:ilvl="0" w:tplc="04090001">
      <w:start w:val="1"/>
      <w:numFmt w:val="bullet"/>
      <w:lvlText w:val=""/>
      <w:lvlJc w:val="left"/>
      <w:pPr>
        <w:ind w:left="8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3C684C"/>
    <w:multiLevelType w:val="hybridMultilevel"/>
    <w:tmpl w:val="FBB4E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4E73F6"/>
    <w:multiLevelType w:val="hybridMultilevel"/>
    <w:tmpl w:val="CD9E9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1D6B0D"/>
    <w:multiLevelType w:val="hybridMultilevel"/>
    <w:tmpl w:val="8F82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14"/>
  </w:num>
  <w:num w:numId="11">
    <w:abstractNumId w:val="3"/>
  </w:num>
  <w:num w:numId="12">
    <w:abstractNumId w:val="18"/>
  </w:num>
  <w:num w:numId="13">
    <w:abstractNumId w:val="17"/>
  </w:num>
  <w:num w:numId="14">
    <w:abstractNumId w:val="7"/>
  </w:num>
  <w:num w:numId="15">
    <w:abstractNumId w:val="8"/>
  </w:num>
  <w:num w:numId="16">
    <w:abstractNumId w:val="23"/>
  </w:num>
  <w:num w:numId="17">
    <w:abstractNumId w:val="0"/>
  </w:num>
  <w:num w:numId="18">
    <w:abstractNumId w:val="15"/>
  </w:num>
  <w:num w:numId="19">
    <w:abstractNumId w:val="20"/>
  </w:num>
  <w:num w:numId="20">
    <w:abstractNumId w:val="21"/>
  </w:num>
  <w:num w:numId="21">
    <w:abstractNumId w:val="4"/>
  </w:num>
  <w:num w:numId="22">
    <w:abstractNumId w:val="22"/>
  </w:num>
  <w:num w:numId="23">
    <w:abstractNumId w:val="24"/>
  </w:num>
  <w:num w:numId="24">
    <w:abstractNumId w:val="13"/>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7889"/>
  </w:hdrShapeDefaults>
  <w:footnotePr>
    <w:footnote w:id="-1"/>
    <w:footnote w:id="0"/>
  </w:footnotePr>
  <w:endnotePr>
    <w:endnote w:id="-1"/>
    <w:endnote w:id="0"/>
  </w:endnotePr>
  <w:compat/>
  <w:rsids>
    <w:rsidRoot w:val="00EE6311"/>
    <w:rsid w:val="00000102"/>
    <w:rsid w:val="00004E5E"/>
    <w:rsid w:val="00005DAE"/>
    <w:rsid w:val="00012958"/>
    <w:rsid w:val="00016E40"/>
    <w:rsid w:val="0001736C"/>
    <w:rsid w:val="00022593"/>
    <w:rsid w:val="000254C2"/>
    <w:rsid w:val="000259B9"/>
    <w:rsid w:val="0003567A"/>
    <w:rsid w:val="00041AF0"/>
    <w:rsid w:val="000429CE"/>
    <w:rsid w:val="0004448F"/>
    <w:rsid w:val="00044EB7"/>
    <w:rsid w:val="000563A5"/>
    <w:rsid w:val="000579E0"/>
    <w:rsid w:val="00065FA7"/>
    <w:rsid w:val="000821AF"/>
    <w:rsid w:val="000A12A9"/>
    <w:rsid w:val="000A3667"/>
    <w:rsid w:val="000A60DE"/>
    <w:rsid w:val="000B17B5"/>
    <w:rsid w:val="000C495A"/>
    <w:rsid w:val="000D09BA"/>
    <w:rsid w:val="000D2393"/>
    <w:rsid w:val="000D48BF"/>
    <w:rsid w:val="000E118F"/>
    <w:rsid w:val="000E5FE0"/>
    <w:rsid w:val="000F0495"/>
    <w:rsid w:val="00101597"/>
    <w:rsid w:val="001075D7"/>
    <w:rsid w:val="001148FE"/>
    <w:rsid w:val="00123099"/>
    <w:rsid w:val="00123C3F"/>
    <w:rsid w:val="0012428E"/>
    <w:rsid w:val="00134EBD"/>
    <w:rsid w:val="00142646"/>
    <w:rsid w:val="00151A4F"/>
    <w:rsid w:val="00154DFB"/>
    <w:rsid w:val="001653E7"/>
    <w:rsid w:val="001702F8"/>
    <w:rsid w:val="00171B56"/>
    <w:rsid w:val="00172761"/>
    <w:rsid w:val="00180073"/>
    <w:rsid w:val="0018045F"/>
    <w:rsid w:val="00181B30"/>
    <w:rsid w:val="00182698"/>
    <w:rsid w:val="0018573C"/>
    <w:rsid w:val="00186C91"/>
    <w:rsid w:val="00195834"/>
    <w:rsid w:val="001B23C9"/>
    <w:rsid w:val="001C2603"/>
    <w:rsid w:val="001C5A26"/>
    <w:rsid w:val="001D1357"/>
    <w:rsid w:val="001D4260"/>
    <w:rsid w:val="001D56C3"/>
    <w:rsid w:val="001D7979"/>
    <w:rsid w:val="00200E50"/>
    <w:rsid w:val="002267D8"/>
    <w:rsid w:val="00231F67"/>
    <w:rsid w:val="00232D5D"/>
    <w:rsid w:val="00236EB0"/>
    <w:rsid w:val="00261C53"/>
    <w:rsid w:val="00276938"/>
    <w:rsid w:val="002A521D"/>
    <w:rsid w:val="002B0321"/>
    <w:rsid w:val="002B7BA2"/>
    <w:rsid w:val="002E0662"/>
    <w:rsid w:val="002F5E16"/>
    <w:rsid w:val="003007EF"/>
    <w:rsid w:val="00306F05"/>
    <w:rsid w:val="00333974"/>
    <w:rsid w:val="00336723"/>
    <w:rsid w:val="0034467D"/>
    <w:rsid w:val="003469EA"/>
    <w:rsid w:val="00356004"/>
    <w:rsid w:val="00363FB7"/>
    <w:rsid w:val="003940CB"/>
    <w:rsid w:val="003A185A"/>
    <w:rsid w:val="003A1FB8"/>
    <w:rsid w:val="003E29F1"/>
    <w:rsid w:val="003F3C2E"/>
    <w:rsid w:val="003F4143"/>
    <w:rsid w:val="003F614A"/>
    <w:rsid w:val="00400961"/>
    <w:rsid w:val="00400EB3"/>
    <w:rsid w:val="00401F05"/>
    <w:rsid w:val="00402A44"/>
    <w:rsid w:val="004173D7"/>
    <w:rsid w:val="00427B0C"/>
    <w:rsid w:val="00436023"/>
    <w:rsid w:val="00444A27"/>
    <w:rsid w:val="004453E0"/>
    <w:rsid w:val="004645E7"/>
    <w:rsid w:val="004716D5"/>
    <w:rsid w:val="004740CD"/>
    <w:rsid w:val="00480E04"/>
    <w:rsid w:val="00494ADF"/>
    <w:rsid w:val="004B3ED3"/>
    <w:rsid w:val="004B67EF"/>
    <w:rsid w:val="004C012C"/>
    <w:rsid w:val="004C0496"/>
    <w:rsid w:val="004C1C77"/>
    <w:rsid w:val="004E077E"/>
    <w:rsid w:val="004F1A23"/>
    <w:rsid w:val="00512B16"/>
    <w:rsid w:val="005149E3"/>
    <w:rsid w:val="00526BE5"/>
    <w:rsid w:val="00530B82"/>
    <w:rsid w:val="005359AF"/>
    <w:rsid w:val="00546923"/>
    <w:rsid w:val="00562294"/>
    <w:rsid w:val="00570E0C"/>
    <w:rsid w:val="005710C0"/>
    <w:rsid w:val="005775D5"/>
    <w:rsid w:val="00593EEE"/>
    <w:rsid w:val="005964DC"/>
    <w:rsid w:val="005A2E09"/>
    <w:rsid w:val="005A337E"/>
    <w:rsid w:val="005B3A95"/>
    <w:rsid w:val="005B4C5C"/>
    <w:rsid w:val="005B5826"/>
    <w:rsid w:val="005C04D3"/>
    <w:rsid w:val="005D63A9"/>
    <w:rsid w:val="005E089C"/>
    <w:rsid w:val="005E0D63"/>
    <w:rsid w:val="00605FCB"/>
    <w:rsid w:val="00607217"/>
    <w:rsid w:val="00607E8A"/>
    <w:rsid w:val="006141C6"/>
    <w:rsid w:val="00617444"/>
    <w:rsid w:val="0062368E"/>
    <w:rsid w:val="0063100D"/>
    <w:rsid w:val="00633DDF"/>
    <w:rsid w:val="00646876"/>
    <w:rsid w:val="00651D12"/>
    <w:rsid w:val="006530E2"/>
    <w:rsid w:val="006619D9"/>
    <w:rsid w:val="00665250"/>
    <w:rsid w:val="00665E4D"/>
    <w:rsid w:val="00690AF8"/>
    <w:rsid w:val="00692C0E"/>
    <w:rsid w:val="006A537B"/>
    <w:rsid w:val="006C4ABB"/>
    <w:rsid w:val="006C676C"/>
    <w:rsid w:val="006D3CF7"/>
    <w:rsid w:val="006D433C"/>
    <w:rsid w:val="006F5D34"/>
    <w:rsid w:val="006F633C"/>
    <w:rsid w:val="006F7636"/>
    <w:rsid w:val="0070063B"/>
    <w:rsid w:val="00703ED8"/>
    <w:rsid w:val="00707409"/>
    <w:rsid w:val="0071064E"/>
    <w:rsid w:val="00715953"/>
    <w:rsid w:val="007173B2"/>
    <w:rsid w:val="007273CE"/>
    <w:rsid w:val="007276BD"/>
    <w:rsid w:val="007311DE"/>
    <w:rsid w:val="00733454"/>
    <w:rsid w:val="0073733C"/>
    <w:rsid w:val="007375B4"/>
    <w:rsid w:val="00737F07"/>
    <w:rsid w:val="00743A2F"/>
    <w:rsid w:val="00744420"/>
    <w:rsid w:val="00757848"/>
    <w:rsid w:val="00767BBB"/>
    <w:rsid w:val="0077042B"/>
    <w:rsid w:val="00771BFE"/>
    <w:rsid w:val="00776179"/>
    <w:rsid w:val="00783A0C"/>
    <w:rsid w:val="00791D41"/>
    <w:rsid w:val="007A3553"/>
    <w:rsid w:val="007A47B4"/>
    <w:rsid w:val="007C566E"/>
    <w:rsid w:val="007E3B11"/>
    <w:rsid w:val="007E5196"/>
    <w:rsid w:val="007F1A9F"/>
    <w:rsid w:val="007F6E06"/>
    <w:rsid w:val="00800AF3"/>
    <w:rsid w:val="00815418"/>
    <w:rsid w:val="0082021D"/>
    <w:rsid w:val="008208DC"/>
    <w:rsid w:val="008221FC"/>
    <w:rsid w:val="008221FF"/>
    <w:rsid w:val="00834DCB"/>
    <w:rsid w:val="008511F0"/>
    <w:rsid w:val="008554F1"/>
    <w:rsid w:val="00857352"/>
    <w:rsid w:val="0086248B"/>
    <w:rsid w:val="0086531A"/>
    <w:rsid w:val="0088746A"/>
    <w:rsid w:val="008916F0"/>
    <w:rsid w:val="00891C01"/>
    <w:rsid w:val="008A7959"/>
    <w:rsid w:val="008B3914"/>
    <w:rsid w:val="008C2ABC"/>
    <w:rsid w:val="008C7497"/>
    <w:rsid w:val="008D4D01"/>
    <w:rsid w:val="008E35E9"/>
    <w:rsid w:val="008E39DD"/>
    <w:rsid w:val="008E483D"/>
    <w:rsid w:val="008E4D38"/>
    <w:rsid w:val="009313BE"/>
    <w:rsid w:val="00931674"/>
    <w:rsid w:val="00933898"/>
    <w:rsid w:val="00934E9D"/>
    <w:rsid w:val="009443BE"/>
    <w:rsid w:val="009445C1"/>
    <w:rsid w:val="00953F7F"/>
    <w:rsid w:val="00977E06"/>
    <w:rsid w:val="0098259B"/>
    <w:rsid w:val="009852FF"/>
    <w:rsid w:val="009930DD"/>
    <w:rsid w:val="0099578B"/>
    <w:rsid w:val="009D1D91"/>
    <w:rsid w:val="009D3B91"/>
    <w:rsid w:val="009E2A85"/>
    <w:rsid w:val="009F3F98"/>
    <w:rsid w:val="00A01C46"/>
    <w:rsid w:val="00A129A1"/>
    <w:rsid w:val="00A216D1"/>
    <w:rsid w:val="00A317C9"/>
    <w:rsid w:val="00A33872"/>
    <w:rsid w:val="00A33C9E"/>
    <w:rsid w:val="00A40CF1"/>
    <w:rsid w:val="00A472F6"/>
    <w:rsid w:val="00A93EE2"/>
    <w:rsid w:val="00A9455F"/>
    <w:rsid w:val="00AA31AB"/>
    <w:rsid w:val="00AD1C0D"/>
    <w:rsid w:val="00AD23BB"/>
    <w:rsid w:val="00AD2616"/>
    <w:rsid w:val="00AD2B7B"/>
    <w:rsid w:val="00AD564E"/>
    <w:rsid w:val="00AD77C7"/>
    <w:rsid w:val="00AE1594"/>
    <w:rsid w:val="00AE3158"/>
    <w:rsid w:val="00B02408"/>
    <w:rsid w:val="00B049E9"/>
    <w:rsid w:val="00B11374"/>
    <w:rsid w:val="00B26A5B"/>
    <w:rsid w:val="00B348C5"/>
    <w:rsid w:val="00B45A23"/>
    <w:rsid w:val="00B526D3"/>
    <w:rsid w:val="00B558E8"/>
    <w:rsid w:val="00B673FA"/>
    <w:rsid w:val="00B76CEA"/>
    <w:rsid w:val="00B85468"/>
    <w:rsid w:val="00B86DB1"/>
    <w:rsid w:val="00B936D1"/>
    <w:rsid w:val="00B95F53"/>
    <w:rsid w:val="00BB3564"/>
    <w:rsid w:val="00BF3C3F"/>
    <w:rsid w:val="00BF4BEB"/>
    <w:rsid w:val="00BF6106"/>
    <w:rsid w:val="00C035F5"/>
    <w:rsid w:val="00C10AF4"/>
    <w:rsid w:val="00C137F0"/>
    <w:rsid w:val="00C17B5A"/>
    <w:rsid w:val="00C25998"/>
    <w:rsid w:val="00C50121"/>
    <w:rsid w:val="00C54636"/>
    <w:rsid w:val="00C707A5"/>
    <w:rsid w:val="00C80584"/>
    <w:rsid w:val="00C909CD"/>
    <w:rsid w:val="00C91371"/>
    <w:rsid w:val="00C91A39"/>
    <w:rsid w:val="00CA091D"/>
    <w:rsid w:val="00CF0E7A"/>
    <w:rsid w:val="00D054E1"/>
    <w:rsid w:val="00D071BA"/>
    <w:rsid w:val="00D106A7"/>
    <w:rsid w:val="00D10755"/>
    <w:rsid w:val="00D14EDE"/>
    <w:rsid w:val="00D176B4"/>
    <w:rsid w:val="00D450B4"/>
    <w:rsid w:val="00D56667"/>
    <w:rsid w:val="00D56BE8"/>
    <w:rsid w:val="00D63D33"/>
    <w:rsid w:val="00D72B72"/>
    <w:rsid w:val="00D80556"/>
    <w:rsid w:val="00D814AD"/>
    <w:rsid w:val="00D836A2"/>
    <w:rsid w:val="00D8434C"/>
    <w:rsid w:val="00D855D0"/>
    <w:rsid w:val="00D85732"/>
    <w:rsid w:val="00D94B8F"/>
    <w:rsid w:val="00D95A8C"/>
    <w:rsid w:val="00D96052"/>
    <w:rsid w:val="00D97B4E"/>
    <w:rsid w:val="00DA339C"/>
    <w:rsid w:val="00DA4467"/>
    <w:rsid w:val="00DA5B28"/>
    <w:rsid w:val="00DA6599"/>
    <w:rsid w:val="00DE498F"/>
    <w:rsid w:val="00DE5D49"/>
    <w:rsid w:val="00DF7AF8"/>
    <w:rsid w:val="00E01920"/>
    <w:rsid w:val="00E0481A"/>
    <w:rsid w:val="00E10E86"/>
    <w:rsid w:val="00E125D2"/>
    <w:rsid w:val="00E16850"/>
    <w:rsid w:val="00E16C34"/>
    <w:rsid w:val="00E32BC7"/>
    <w:rsid w:val="00E35132"/>
    <w:rsid w:val="00E35AF9"/>
    <w:rsid w:val="00E40C4F"/>
    <w:rsid w:val="00E52DF4"/>
    <w:rsid w:val="00E540CE"/>
    <w:rsid w:val="00E56539"/>
    <w:rsid w:val="00E61970"/>
    <w:rsid w:val="00E664E8"/>
    <w:rsid w:val="00E85021"/>
    <w:rsid w:val="00E85B64"/>
    <w:rsid w:val="00E92546"/>
    <w:rsid w:val="00E9505E"/>
    <w:rsid w:val="00E9566C"/>
    <w:rsid w:val="00E96E1E"/>
    <w:rsid w:val="00EA3E78"/>
    <w:rsid w:val="00EB71CB"/>
    <w:rsid w:val="00EC3BAA"/>
    <w:rsid w:val="00EC67AD"/>
    <w:rsid w:val="00ED028C"/>
    <w:rsid w:val="00ED44FD"/>
    <w:rsid w:val="00EE4D23"/>
    <w:rsid w:val="00EE6311"/>
    <w:rsid w:val="00F0666F"/>
    <w:rsid w:val="00F240C9"/>
    <w:rsid w:val="00F33E7A"/>
    <w:rsid w:val="00F3639B"/>
    <w:rsid w:val="00F40FE8"/>
    <w:rsid w:val="00F43320"/>
    <w:rsid w:val="00F67CBB"/>
    <w:rsid w:val="00F701D8"/>
    <w:rsid w:val="00F74944"/>
    <w:rsid w:val="00F86033"/>
    <w:rsid w:val="00F95C70"/>
    <w:rsid w:val="00F96FBA"/>
    <w:rsid w:val="00F97B20"/>
    <w:rsid w:val="00F97E59"/>
    <w:rsid w:val="00FA6508"/>
    <w:rsid w:val="00FB0009"/>
    <w:rsid w:val="00FB01EE"/>
    <w:rsid w:val="00FB155D"/>
    <w:rsid w:val="00FC17B1"/>
    <w:rsid w:val="00FD0168"/>
    <w:rsid w:val="00FE0ECF"/>
    <w:rsid w:val="00FE145B"/>
    <w:rsid w:val="00FE2B01"/>
    <w:rsid w:val="00FE55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link w:val="HeaderChar"/>
    <w:uiPriority w:val="99"/>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semiHidden/>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semiHidden/>
    <w:unhideWhenUsed/>
    <w:rsid w:val="00261C53"/>
    <w:rPr>
      <w:szCs w:val="20"/>
    </w:rPr>
  </w:style>
  <w:style w:type="character" w:customStyle="1" w:styleId="CommentTextChar">
    <w:name w:val="Comment Text Char"/>
    <w:basedOn w:val="DefaultParagraphFont"/>
    <w:link w:val="CommentText"/>
    <w:uiPriority w:val="99"/>
    <w:semiHidden/>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character" w:customStyle="1" w:styleId="HeaderChar">
    <w:name w:val="Header Char"/>
    <w:basedOn w:val="DefaultParagraphFont"/>
    <w:link w:val="Header"/>
    <w:uiPriority w:val="99"/>
    <w:rsid w:val="00022593"/>
    <w:rPr>
      <w:szCs w:val="24"/>
    </w:rPr>
  </w:style>
  <w:style w:type="paragraph" w:customStyle="1" w:styleId="Default">
    <w:name w:val="Default"/>
    <w:rsid w:val="00F0666F"/>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12742661">
      <w:bodyDiv w:val="1"/>
      <w:marLeft w:val="0"/>
      <w:marRight w:val="0"/>
      <w:marTop w:val="0"/>
      <w:marBottom w:val="0"/>
      <w:divBdr>
        <w:top w:val="none" w:sz="0" w:space="0" w:color="auto"/>
        <w:left w:val="none" w:sz="0" w:space="0" w:color="auto"/>
        <w:bottom w:val="none" w:sz="0" w:space="0" w:color="auto"/>
        <w:right w:val="none" w:sz="0" w:space="0" w:color="auto"/>
      </w:divBdr>
    </w:div>
    <w:div w:id="1559823846">
      <w:bodyDiv w:val="1"/>
      <w:marLeft w:val="0"/>
      <w:marRight w:val="0"/>
      <w:marTop w:val="0"/>
      <w:marBottom w:val="0"/>
      <w:divBdr>
        <w:top w:val="none" w:sz="0" w:space="0" w:color="auto"/>
        <w:left w:val="none" w:sz="0" w:space="0" w:color="auto"/>
        <w:bottom w:val="none" w:sz="0" w:space="0" w:color="auto"/>
        <w:right w:val="none" w:sz="0" w:space="0" w:color="auto"/>
      </w:divBdr>
    </w:div>
    <w:div w:id="1854954326">
      <w:bodyDiv w:val="1"/>
      <w:marLeft w:val="0"/>
      <w:marRight w:val="0"/>
      <w:marTop w:val="0"/>
      <w:marBottom w:val="0"/>
      <w:divBdr>
        <w:top w:val="none" w:sz="0" w:space="0" w:color="auto"/>
        <w:left w:val="none" w:sz="0" w:space="0" w:color="auto"/>
        <w:bottom w:val="none" w:sz="0" w:space="0" w:color="auto"/>
        <w:right w:val="none" w:sz="0" w:space="0" w:color="auto"/>
      </w:divBdr>
    </w:div>
    <w:div w:id="211297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gould@cdc.gov" TargetMode="External"/><Relationship Id="rId13" Type="http://schemas.openxmlformats.org/officeDocument/2006/relationships/hyperlink" Target="mailto:Jesse.Pevear@adp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quanetta.Knight@m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ri.spear@samhs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na.hoard@samhsa" TargetMode="External"/><Relationship Id="rId4" Type="http://schemas.openxmlformats.org/officeDocument/2006/relationships/settings" Target="settings.xml"/><Relationship Id="rId9" Type="http://schemas.openxmlformats.org/officeDocument/2006/relationships/hyperlink" Target="mailto:Peter.delany@samhs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DBF70-CDF5-45C7-812C-E99136752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2219</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16562</CharactersWithSpaces>
  <SharedDoc>false</SharedDoc>
  <HLinks>
    <vt:vector size="114" baseType="variant">
      <vt:variant>
        <vt:i4>1638457</vt:i4>
      </vt:variant>
      <vt:variant>
        <vt:i4>110</vt:i4>
      </vt:variant>
      <vt:variant>
        <vt:i4>0</vt:i4>
      </vt:variant>
      <vt:variant>
        <vt:i4>5</vt:i4>
      </vt:variant>
      <vt:variant>
        <vt:lpwstr/>
      </vt:variant>
      <vt:variant>
        <vt:lpwstr>_Toc279938188</vt:lpwstr>
      </vt:variant>
      <vt:variant>
        <vt:i4>1638457</vt:i4>
      </vt:variant>
      <vt:variant>
        <vt:i4>104</vt:i4>
      </vt:variant>
      <vt:variant>
        <vt:i4>0</vt:i4>
      </vt:variant>
      <vt:variant>
        <vt:i4>5</vt:i4>
      </vt:variant>
      <vt:variant>
        <vt:lpwstr/>
      </vt:variant>
      <vt:variant>
        <vt:lpwstr>_Toc279938187</vt:lpwstr>
      </vt:variant>
      <vt:variant>
        <vt:i4>1638457</vt:i4>
      </vt:variant>
      <vt:variant>
        <vt:i4>98</vt:i4>
      </vt:variant>
      <vt:variant>
        <vt:i4>0</vt:i4>
      </vt:variant>
      <vt:variant>
        <vt:i4>5</vt:i4>
      </vt:variant>
      <vt:variant>
        <vt:lpwstr/>
      </vt:variant>
      <vt:variant>
        <vt:lpwstr>_Toc279938186</vt:lpwstr>
      </vt:variant>
      <vt:variant>
        <vt:i4>1638457</vt:i4>
      </vt:variant>
      <vt:variant>
        <vt:i4>92</vt:i4>
      </vt:variant>
      <vt:variant>
        <vt:i4>0</vt:i4>
      </vt:variant>
      <vt:variant>
        <vt:i4>5</vt:i4>
      </vt:variant>
      <vt:variant>
        <vt:lpwstr/>
      </vt:variant>
      <vt:variant>
        <vt:lpwstr>_Toc279938185</vt:lpwstr>
      </vt:variant>
      <vt:variant>
        <vt:i4>1638457</vt:i4>
      </vt:variant>
      <vt:variant>
        <vt:i4>86</vt:i4>
      </vt:variant>
      <vt:variant>
        <vt:i4>0</vt:i4>
      </vt:variant>
      <vt:variant>
        <vt:i4>5</vt:i4>
      </vt:variant>
      <vt:variant>
        <vt:lpwstr/>
      </vt:variant>
      <vt:variant>
        <vt:lpwstr>_Toc279938184</vt:lpwstr>
      </vt:variant>
      <vt:variant>
        <vt:i4>1638457</vt:i4>
      </vt:variant>
      <vt:variant>
        <vt:i4>80</vt:i4>
      </vt:variant>
      <vt:variant>
        <vt:i4>0</vt:i4>
      </vt:variant>
      <vt:variant>
        <vt:i4>5</vt:i4>
      </vt:variant>
      <vt:variant>
        <vt:lpwstr/>
      </vt:variant>
      <vt:variant>
        <vt:lpwstr>_Toc279938183</vt:lpwstr>
      </vt:variant>
      <vt:variant>
        <vt:i4>1638457</vt:i4>
      </vt:variant>
      <vt:variant>
        <vt:i4>74</vt:i4>
      </vt:variant>
      <vt:variant>
        <vt:i4>0</vt:i4>
      </vt:variant>
      <vt:variant>
        <vt:i4>5</vt:i4>
      </vt:variant>
      <vt:variant>
        <vt:lpwstr/>
      </vt:variant>
      <vt:variant>
        <vt:lpwstr>_Toc279938182</vt:lpwstr>
      </vt:variant>
      <vt:variant>
        <vt:i4>1638457</vt:i4>
      </vt:variant>
      <vt:variant>
        <vt:i4>68</vt:i4>
      </vt:variant>
      <vt:variant>
        <vt:i4>0</vt:i4>
      </vt:variant>
      <vt:variant>
        <vt:i4>5</vt:i4>
      </vt:variant>
      <vt:variant>
        <vt:lpwstr/>
      </vt:variant>
      <vt:variant>
        <vt:lpwstr>_Toc279938181</vt:lpwstr>
      </vt:variant>
      <vt:variant>
        <vt:i4>1638457</vt:i4>
      </vt:variant>
      <vt:variant>
        <vt:i4>62</vt:i4>
      </vt:variant>
      <vt:variant>
        <vt:i4>0</vt:i4>
      </vt:variant>
      <vt:variant>
        <vt:i4>5</vt:i4>
      </vt:variant>
      <vt:variant>
        <vt:lpwstr/>
      </vt:variant>
      <vt:variant>
        <vt:lpwstr>_Toc279938180</vt:lpwstr>
      </vt:variant>
      <vt:variant>
        <vt:i4>1441849</vt:i4>
      </vt:variant>
      <vt:variant>
        <vt:i4>56</vt:i4>
      </vt:variant>
      <vt:variant>
        <vt:i4>0</vt:i4>
      </vt:variant>
      <vt:variant>
        <vt:i4>5</vt:i4>
      </vt:variant>
      <vt:variant>
        <vt:lpwstr/>
      </vt:variant>
      <vt:variant>
        <vt:lpwstr>_Toc279938179</vt:lpwstr>
      </vt:variant>
      <vt:variant>
        <vt:i4>1441849</vt:i4>
      </vt:variant>
      <vt:variant>
        <vt:i4>50</vt:i4>
      </vt:variant>
      <vt:variant>
        <vt:i4>0</vt:i4>
      </vt:variant>
      <vt:variant>
        <vt:i4>5</vt:i4>
      </vt:variant>
      <vt:variant>
        <vt:lpwstr/>
      </vt:variant>
      <vt:variant>
        <vt:lpwstr>_Toc279938178</vt:lpwstr>
      </vt:variant>
      <vt:variant>
        <vt:i4>1441849</vt:i4>
      </vt:variant>
      <vt:variant>
        <vt:i4>44</vt:i4>
      </vt:variant>
      <vt:variant>
        <vt:i4>0</vt:i4>
      </vt:variant>
      <vt:variant>
        <vt:i4>5</vt:i4>
      </vt:variant>
      <vt:variant>
        <vt:lpwstr/>
      </vt:variant>
      <vt:variant>
        <vt:lpwstr>_Toc279938177</vt:lpwstr>
      </vt:variant>
      <vt:variant>
        <vt:i4>1441849</vt:i4>
      </vt:variant>
      <vt:variant>
        <vt:i4>38</vt:i4>
      </vt:variant>
      <vt:variant>
        <vt:i4>0</vt:i4>
      </vt:variant>
      <vt:variant>
        <vt:i4>5</vt:i4>
      </vt:variant>
      <vt:variant>
        <vt:lpwstr/>
      </vt:variant>
      <vt:variant>
        <vt:lpwstr>_Toc279938176</vt:lpwstr>
      </vt:variant>
      <vt:variant>
        <vt:i4>1441849</vt:i4>
      </vt:variant>
      <vt:variant>
        <vt:i4>32</vt:i4>
      </vt:variant>
      <vt:variant>
        <vt:i4>0</vt:i4>
      </vt:variant>
      <vt:variant>
        <vt:i4>5</vt:i4>
      </vt:variant>
      <vt:variant>
        <vt:lpwstr/>
      </vt:variant>
      <vt:variant>
        <vt:lpwstr>_Toc279938175</vt:lpwstr>
      </vt:variant>
      <vt:variant>
        <vt:i4>1441849</vt:i4>
      </vt:variant>
      <vt:variant>
        <vt:i4>26</vt:i4>
      </vt:variant>
      <vt:variant>
        <vt:i4>0</vt:i4>
      </vt:variant>
      <vt:variant>
        <vt:i4>5</vt:i4>
      </vt:variant>
      <vt:variant>
        <vt:lpwstr/>
      </vt:variant>
      <vt:variant>
        <vt:lpwstr>_Toc279938174</vt:lpwstr>
      </vt:variant>
      <vt:variant>
        <vt:i4>1441849</vt:i4>
      </vt:variant>
      <vt:variant>
        <vt:i4>20</vt:i4>
      </vt:variant>
      <vt:variant>
        <vt:i4>0</vt:i4>
      </vt:variant>
      <vt:variant>
        <vt:i4>5</vt:i4>
      </vt:variant>
      <vt:variant>
        <vt:lpwstr/>
      </vt:variant>
      <vt:variant>
        <vt:lpwstr>_Toc279938173</vt:lpwstr>
      </vt:variant>
      <vt:variant>
        <vt:i4>1441849</vt:i4>
      </vt:variant>
      <vt:variant>
        <vt:i4>14</vt:i4>
      </vt:variant>
      <vt:variant>
        <vt:i4>0</vt:i4>
      </vt:variant>
      <vt:variant>
        <vt:i4>5</vt:i4>
      </vt:variant>
      <vt:variant>
        <vt:lpwstr/>
      </vt:variant>
      <vt:variant>
        <vt:lpwstr>_Toc279938172</vt:lpwstr>
      </vt:variant>
      <vt:variant>
        <vt:i4>1441849</vt:i4>
      </vt:variant>
      <vt:variant>
        <vt:i4>8</vt:i4>
      </vt:variant>
      <vt:variant>
        <vt:i4>0</vt:i4>
      </vt:variant>
      <vt:variant>
        <vt:i4>5</vt:i4>
      </vt:variant>
      <vt:variant>
        <vt:lpwstr/>
      </vt:variant>
      <vt:variant>
        <vt:lpwstr>_Toc279938171</vt:lpwstr>
      </vt:variant>
      <vt:variant>
        <vt:i4>1441849</vt:i4>
      </vt:variant>
      <vt:variant>
        <vt:i4>2</vt:i4>
      </vt:variant>
      <vt:variant>
        <vt:i4>0</vt:i4>
      </vt:variant>
      <vt:variant>
        <vt:i4>5</vt:i4>
      </vt:variant>
      <vt:variant>
        <vt:lpwstr/>
      </vt:variant>
      <vt:variant>
        <vt:lpwstr>_Toc279938170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subject/>
  <dc:creator>CMS</dc:creator>
  <cp:keywords/>
  <dc:description/>
  <cp:lastModifiedBy>Centers for Disease Control &amp; Prevention</cp:lastModifiedBy>
  <cp:revision>13</cp:revision>
  <cp:lastPrinted>2011-03-03T15:47:00Z</cp:lastPrinted>
  <dcterms:created xsi:type="dcterms:W3CDTF">2011-03-02T20:55:00Z</dcterms:created>
  <dcterms:modified xsi:type="dcterms:W3CDTF">2011-03-03T15:47:00Z</dcterms:modified>
</cp:coreProperties>
</file>