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D3" w:rsidRPr="006E69D3" w:rsidRDefault="006E69D3" w:rsidP="006E69D3">
      <w:pPr>
        <w:pStyle w:val="BodyText"/>
        <w:spacing w:after="0"/>
        <w:jc w:val="center"/>
        <w:rPr>
          <w:b/>
        </w:rPr>
      </w:pPr>
      <w:r w:rsidRPr="006E69D3">
        <w:rPr>
          <w:b/>
        </w:rPr>
        <w:t>SUPPORTING STATEMENT</w:t>
      </w:r>
    </w:p>
    <w:p w:rsidR="0003388C" w:rsidRPr="006E69D3" w:rsidRDefault="0003388C" w:rsidP="0003388C">
      <w:pPr>
        <w:pStyle w:val="BodyText"/>
        <w:spacing w:after="0"/>
        <w:jc w:val="center"/>
        <w:rPr>
          <w:b/>
        </w:rPr>
      </w:pPr>
      <w:r>
        <w:rPr>
          <w:b/>
        </w:rPr>
        <w:t xml:space="preserve">U.S. </w:t>
      </w:r>
      <w:r w:rsidRPr="006E69D3">
        <w:rPr>
          <w:b/>
        </w:rPr>
        <w:t>Department of Commerce</w:t>
      </w:r>
    </w:p>
    <w:p w:rsidR="0003388C" w:rsidRPr="006E69D3" w:rsidRDefault="0003388C" w:rsidP="0003388C">
      <w:pPr>
        <w:pStyle w:val="BodyText"/>
        <w:spacing w:after="0"/>
        <w:jc w:val="center"/>
        <w:rPr>
          <w:b/>
        </w:rPr>
      </w:pPr>
      <w:r w:rsidRPr="006E69D3">
        <w:rPr>
          <w:b/>
        </w:rPr>
        <w:t>U.S. Census Bureau</w:t>
      </w:r>
    </w:p>
    <w:p w:rsidR="006E69D3" w:rsidRPr="006E69D3" w:rsidRDefault="006E69D3" w:rsidP="006E69D3">
      <w:pPr>
        <w:pStyle w:val="BodyText"/>
        <w:spacing w:after="0"/>
        <w:jc w:val="center"/>
        <w:rPr>
          <w:b/>
        </w:rPr>
      </w:pPr>
      <w:r w:rsidRPr="006E69D3">
        <w:rPr>
          <w:b/>
        </w:rPr>
        <w:t xml:space="preserve">Census Partnership Program </w:t>
      </w:r>
      <w:r w:rsidR="00B93B8F">
        <w:rPr>
          <w:b/>
        </w:rPr>
        <w:t>Focus Groups and Interviews</w:t>
      </w:r>
    </w:p>
    <w:p w:rsidR="006E69D3" w:rsidRPr="006E69D3" w:rsidRDefault="0003388C" w:rsidP="006E69D3">
      <w:pPr>
        <w:pStyle w:val="BodyText"/>
        <w:jc w:val="center"/>
        <w:rPr>
          <w:b/>
        </w:rPr>
      </w:pPr>
      <w:r>
        <w:rPr>
          <w:b/>
        </w:rPr>
        <w:t>OMB Control Number 0607-XXXX</w:t>
      </w:r>
    </w:p>
    <w:p w:rsidR="006E69D3" w:rsidRPr="006E69D3" w:rsidRDefault="0003388C" w:rsidP="006E69D3">
      <w:pPr>
        <w:pStyle w:val="BodyText"/>
        <w:rPr>
          <w:b/>
        </w:rPr>
      </w:pPr>
      <w:bookmarkStart w:id="0" w:name="OLE_LINK2"/>
      <w:bookmarkStart w:id="1" w:name="OLE_LINK3"/>
      <w:r>
        <w:rPr>
          <w:b/>
        </w:rPr>
        <w:t xml:space="preserve">Part </w:t>
      </w:r>
      <w:r w:rsidR="006E69D3" w:rsidRPr="006E69D3">
        <w:rPr>
          <w:b/>
        </w:rPr>
        <w:t>A</w:t>
      </w:r>
      <w:r>
        <w:rPr>
          <w:b/>
        </w:rPr>
        <w:t xml:space="preserve"> </w:t>
      </w:r>
      <w:r w:rsidRPr="00D72705">
        <w:rPr>
          <w:rFonts w:ascii="Times New Roman" w:eastAsia="Times New Roman" w:hAnsi="Times New Roman"/>
          <w:sz w:val="24"/>
          <w:szCs w:val="24"/>
        </w:rPr>
        <w:t>–</w:t>
      </w:r>
      <w:r w:rsidRPr="00D72705">
        <w:rPr>
          <w:rFonts w:ascii="Times New Roman" w:eastAsia="Times New Roman" w:hAnsi="Times New Roman"/>
          <w:b/>
          <w:bCs/>
          <w:sz w:val="24"/>
          <w:szCs w:val="24"/>
        </w:rPr>
        <w:t xml:space="preserve"> </w:t>
      </w:r>
      <w:r w:rsidR="006E69D3" w:rsidRPr="006E69D3">
        <w:rPr>
          <w:b/>
        </w:rPr>
        <w:t>JUSTIFICATION</w:t>
      </w:r>
    </w:p>
    <w:bookmarkEnd w:id="0"/>
    <w:bookmarkEnd w:id="1"/>
    <w:p w:rsidR="006E69D3" w:rsidRPr="003F0D4F" w:rsidRDefault="006E69D3" w:rsidP="003F0D4F">
      <w:pPr>
        <w:pStyle w:val="BodyText"/>
        <w:spacing w:after="0"/>
        <w:rPr>
          <w:b/>
          <w:i/>
          <w:u w:val="single"/>
        </w:rPr>
      </w:pPr>
      <w:r w:rsidRPr="003F0D4F">
        <w:rPr>
          <w:b/>
          <w:i/>
          <w:u w:val="single"/>
        </w:rPr>
        <w:t xml:space="preserve">1. </w:t>
      </w:r>
      <w:r w:rsidR="003F0D4F" w:rsidRPr="003F0D4F">
        <w:rPr>
          <w:b/>
          <w:i/>
          <w:u w:val="single"/>
        </w:rPr>
        <w:t>Necessity of the Information Collection</w:t>
      </w:r>
    </w:p>
    <w:p w:rsidR="00627FAD" w:rsidRDefault="006E69D3">
      <w:pPr>
        <w:pStyle w:val="BodyText"/>
        <w:spacing w:before="120"/>
      </w:pPr>
      <w:r>
        <w:t xml:space="preserve">For the 2010 Census, </w:t>
      </w:r>
      <w:r w:rsidR="00F45106">
        <w:t>the Census Bureau also conducted the Partnership Program,</w:t>
      </w:r>
      <w:r w:rsidR="00AA2523">
        <w:t xml:space="preserve"> </w:t>
      </w:r>
      <w:r w:rsidR="00F45106">
        <w:t>involving commercial entities of national scope</w:t>
      </w:r>
      <w:r w:rsidR="006E2CFF">
        <w:t xml:space="preserve">; </w:t>
      </w:r>
      <w:r w:rsidR="00F45106">
        <w:t>state, local and tribal governments</w:t>
      </w:r>
      <w:r w:rsidR="006E2CFF">
        <w:t xml:space="preserve">; </w:t>
      </w:r>
      <w:r w:rsidR="00F45106">
        <w:t xml:space="preserve">and regional and local corporations and organizations. The purpose of the Partnership Program was to target historically ‘‘hard-to-count’’ (HTC) areas in hopes of increasing </w:t>
      </w:r>
      <w:r w:rsidR="00806C76">
        <w:t xml:space="preserve">census </w:t>
      </w:r>
      <w:r w:rsidR="00F45106">
        <w:t>form mail-back rates.  O</w:t>
      </w:r>
      <w:r w:rsidR="00F376A8">
        <w:t>ver 800 National Partners participated in the 2010 Census</w:t>
      </w:r>
      <w:r w:rsidR="00A626EA">
        <w:t xml:space="preserve"> Partnership Program</w:t>
      </w:r>
      <w:r>
        <w:t>. The program will continue to be an integral part of future inter-census year promotional activities</w:t>
      </w:r>
      <w:r w:rsidR="00CC3EE6">
        <w:t xml:space="preserve">. The </w:t>
      </w:r>
      <w:r>
        <w:t xml:space="preserve">proposed data collection </w:t>
      </w:r>
      <w:r w:rsidR="00525DD5">
        <w:t xml:space="preserve">for </w:t>
      </w:r>
      <w:r w:rsidR="00CC3EE6">
        <w:t xml:space="preserve">Partnership Program Research </w:t>
      </w:r>
      <w:r>
        <w:t xml:space="preserve">will assist the Census Bureau </w:t>
      </w:r>
      <w:r w:rsidR="00CC3EE6">
        <w:t>by (1)</w:t>
      </w:r>
      <w:r w:rsidR="00525DD5">
        <w:t xml:space="preserve"> identifying the enhancers, incentives, and barriers to maintaining </w:t>
      </w:r>
      <w:r w:rsidR="00806C76">
        <w:t xml:space="preserve">partner </w:t>
      </w:r>
      <w:r w:rsidR="00525DD5">
        <w:t xml:space="preserve">relationships over time; (2) investigate the rationales behind organizations refusing to participate in the Partnership </w:t>
      </w:r>
      <w:r w:rsidR="006E2CFF">
        <w:t>Program</w:t>
      </w:r>
      <w:r w:rsidR="00525DD5">
        <w:t xml:space="preserve">; </w:t>
      </w:r>
      <w:r w:rsidR="006E2CFF">
        <w:t xml:space="preserve">and </w:t>
      </w:r>
      <w:r w:rsidR="00525DD5">
        <w:t xml:space="preserve">(3) identify the specific improvements </w:t>
      </w:r>
      <w:r w:rsidR="00806C76">
        <w:t xml:space="preserve">to </w:t>
      </w:r>
      <w:r w:rsidR="00525DD5">
        <w:t xml:space="preserve">the Partnership Program that will lead to more engagement by Partnership organizations. </w:t>
      </w:r>
    </w:p>
    <w:p w:rsidR="00696FCF" w:rsidRDefault="006E69D3" w:rsidP="006E69D3">
      <w:pPr>
        <w:pStyle w:val="BodyText"/>
      </w:pPr>
      <w:r>
        <w:t xml:space="preserve">The </w:t>
      </w:r>
      <w:r w:rsidR="00696FCF">
        <w:t>Census</w:t>
      </w:r>
      <w:r>
        <w:t xml:space="preserve"> Bureau needs to collect and analyze qualitative data to address the following research questions</w:t>
      </w:r>
      <w:r w:rsidR="006E2CFF">
        <w:t xml:space="preserve">: </w:t>
      </w:r>
    </w:p>
    <w:p w:rsidR="00627FAD" w:rsidRDefault="00284207">
      <w:pPr>
        <w:pStyle w:val="BodyText"/>
        <w:numPr>
          <w:ilvl w:val="0"/>
          <w:numId w:val="18"/>
        </w:numPr>
      </w:pPr>
      <w:r>
        <w:t>H</w:t>
      </w:r>
      <w:r w:rsidR="002F22DC">
        <w:t xml:space="preserve">ow can the Partnership program be improved and the partnerships </w:t>
      </w:r>
      <w:proofErr w:type="gramStart"/>
      <w:r w:rsidR="002F22DC">
        <w:t>be</w:t>
      </w:r>
      <w:proofErr w:type="gramEnd"/>
      <w:r w:rsidR="002F22DC">
        <w:t xml:space="preserve"> maintained in the future</w:t>
      </w:r>
      <w:r w:rsidR="00F45106">
        <w:t xml:space="preserve"> during the intercensal years as well as for the 2020 Census</w:t>
      </w:r>
      <w:r w:rsidR="00806C76">
        <w:t xml:space="preserve">? </w:t>
      </w:r>
    </w:p>
    <w:p w:rsidR="00627FAD" w:rsidRDefault="00284207">
      <w:pPr>
        <w:pStyle w:val="BodyText"/>
        <w:numPr>
          <w:ilvl w:val="0"/>
          <w:numId w:val="18"/>
        </w:numPr>
      </w:pPr>
      <w:r>
        <w:t>W</w:t>
      </w:r>
      <w:r w:rsidR="002F22DC">
        <w:t xml:space="preserve">hat metrics can be used to monitor and assess the impact of the Partnership Program in the intercensal years and for the 2020 </w:t>
      </w:r>
      <w:r w:rsidR="00806C76">
        <w:t>Census?</w:t>
      </w:r>
      <w:r w:rsidR="002F22DC">
        <w:t xml:space="preserve"> </w:t>
      </w:r>
    </w:p>
    <w:p w:rsidR="002F22DC" w:rsidRDefault="002F22DC" w:rsidP="006E69D3">
      <w:pPr>
        <w:pStyle w:val="BodyText"/>
      </w:pPr>
      <w:r>
        <w:t xml:space="preserve">Essentially, the research for which data collection approval is being sought seeks to inform the future direction, composition, and maintenance of </w:t>
      </w:r>
      <w:r w:rsidR="00754D0A">
        <w:t xml:space="preserve">this </w:t>
      </w:r>
      <w:r>
        <w:t xml:space="preserve">outreach program for the next eight or nine years, in preparation for the 2020 Census. </w:t>
      </w:r>
    </w:p>
    <w:p w:rsidR="006E69D3" w:rsidRDefault="00FF4A4B" w:rsidP="006E69D3">
      <w:pPr>
        <w:pStyle w:val="BodyText"/>
      </w:pPr>
      <w:r w:rsidRPr="002F22DC">
        <w:t>The legal authority under which this information is being collected is the general authority of the Census Bureau to undertak</w:t>
      </w:r>
      <w:r>
        <w:t>e the decennial Census in 2010 (</w:t>
      </w:r>
      <w:r w:rsidRPr="002F22DC">
        <w:t>Title 13 U.S.C. Section 141</w:t>
      </w:r>
      <w:r>
        <w:t>) and the authority to collect supplemental information after the Census is conducted (Title 13 U.S.C., Section 193)</w:t>
      </w:r>
      <w:r w:rsidRPr="002F22DC">
        <w:t>.</w:t>
      </w:r>
    </w:p>
    <w:p w:rsidR="006E69D3" w:rsidRPr="003F0D4F" w:rsidRDefault="003F0D4F" w:rsidP="00696FCF">
      <w:pPr>
        <w:pStyle w:val="BodyText"/>
        <w:spacing w:after="0"/>
        <w:rPr>
          <w:b/>
          <w:i/>
          <w:u w:val="single"/>
        </w:rPr>
      </w:pPr>
      <w:r w:rsidRPr="003F0D4F">
        <w:rPr>
          <w:b/>
          <w:i/>
          <w:u w:val="single"/>
        </w:rPr>
        <w:t>2. Needs and Uses</w:t>
      </w:r>
    </w:p>
    <w:p w:rsidR="00627FAD" w:rsidRDefault="001A299E">
      <w:pPr>
        <w:pStyle w:val="BodyText"/>
        <w:spacing w:before="200"/>
      </w:pPr>
      <w:r>
        <w:t>T</w:t>
      </w:r>
      <w:r w:rsidR="006E69D3">
        <w:t xml:space="preserve">he Census Bureau proposes to collect qualitative data via </w:t>
      </w:r>
      <w:r w:rsidR="00C27DC9" w:rsidRPr="00C27DC9">
        <w:t>six</w:t>
      </w:r>
      <w:r w:rsidR="007A6A9F" w:rsidRPr="00C27DC9">
        <w:t xml:space="preserve"> focus groups and 30 individual</w:t>
      </w:r>
      <w:r w:rsidR="006E69D3" w:rsidRPr="00330AC4">
        <w:t xml:space="preserve"> interviews</w:t>
      </w:r>
      <w:r w:rsidR="006E69D3">
        <w:t xml:space="preserve"> among </w:t>
      </w:r>
      <w:r w:rsidR="00F376A8">
        <w:t xml:space="preserve">national </w:t>
      </w:r>
      <w:r w:rsidR="006E69D3">
        <w:t xml:space="preserve">Partnership </w:t>
      </w:r>
      <w:r w:rsidR="00C553BE">
        <w:t xml:space="preserve">Program </w:t>
      </w:r>
      <w:r w:rsidR="006E69D3">
        <w:t>participant organizations</w:t>
      </w:r>
      <w:proofErr w:type="gramStart"/>
      <w:r w:rsidR="006E69D3">
        <w:t xml:space="preserve">. </w:t>
      </w:r>
      <w:proofErr w:type="gramEnd"/>
      <w:r w:rsidR="00C553BE">
        <w:t xml:space="preserve">The Census Bureau intends to ask program participants </w:t>
      </w:r>
      <w:r w:rsidR="007E4194">
        <w:t xml:space="preserve">about </w:t>
      </w:r>
      <w:r w:rsidR="00C553BE">
        <w:t xml:space="preserve">ways the program can be improved, and </w:t>
      </w:r>
      <w:r w:rsidR="007E4194">
        <w:t xml:space="preserve">ways in which </w:t>
      </w:r>
      <w:r w:rsidR="00C553BE">
        <w:t xml:space="preserve">their own participation </w:t>
      </w:r>
      <w:r w:rsidR="007E4194">
        <w:t xml:space="preserve">can be </w:t>
      </w:r>
      <w:r w:rsidR="00C553BE">
        <w:t xml:space="preserve">enhanced in future years. </w:t>
      </w:r>
      <w:r w:rsidR="006E69D3">
        <w:t xml:space="preserve">The resulting qualitative data will be used by Census Bureau management staff to </w:t>
      </w:r>
      <w:r w:rsidR="00525DD5">
        <w:t>create recommendations for program</w:t>
      </w:r>
      <w:r w:rsidR="006E69D3">
        <w:t xml:space="preserve"> redesign in order to improve </w:t>
      </w:r>
      <w:r w:rsidR="00754D0A">
        <w:t xml:space="preserve">the </w:t>
      </w:r>
      <w:r w:rsidR="006E69D3">
        <w:t>program in the years leading to the next Census.</w:t>
      </w:r>
      <w:r w:rsidR="00C553BE">
        <w:t xml:space="preserve"> </w:t>
      </w:r>
    </w:p>
    <w:p w:rsidR="0003388C" w:rsidRDefault="0003388C" w:rsidP="006E69D3">
      <w:pPr>
        <w:pStyle w:val="BodyText"/>
      </w:pPr>
      <w:r w:rsidRPr="0003388C">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6E69D3" w:rsidRPr="003F0D4F" w:rsidRDefault="003F0D4F" w:rsidP="00696FCF">
      <w:pPr>
        <w:pStyle w:val="BodyText"/>
        <w:spacing w:after="0"/>
        <w:rPr>
          <w:b/>
          <w:i/>
          <w:u w:val="single"/>
        </w:rPr>
      </w:pPr>
      <w:r w:rsidRPr="003F0D4F">
        <w:rPr>
          <w:b/>
          <w:i/>
          <w:u w:val="single"/>
        </w:rPr>
        <w:lastRenderedPageBreak/>
        <w:t>3. Use of Information Technology</w:t>
      </w:r>
    </w:p>
    <w:p w:rsidR="00627FAD" w:rsidRDefault="006E69D3">
      <w:pPr>
        <w:pStyle w:val="BodyText"/>
        <w:spacing w:before="200"/>
      </w:pPr>
      <w:r>
        <w:t xml:space="preserve">This data collection effort </w:t>
      </w:r>
      <w:r w:rsidR="00C553BE">
        <w:t xml:space="preserve">will obtain </w:t>
      </w:r>
      <w:r>
        <w:t>descriptive</w:t>
      </w:r>
      <w:r w:rsidR="00C553BE">
        <w:t xml:space="preserve"> qualitative data, </w:t>
      </w:r>
      <w:r>
        <w:t xml:space="preserve">including respondents’ recommendations for future activities that can </w:t>
      </w:r>
      <w:r w:rsidR="00C553BE">
        <w:t xml:space="preserve">most easily be </w:t>
      </w:r>
      <w:r>
        <w:t>obtained by gathering program participants in a group and creating an environment for free discussion</w:t>
      </w:r>
      <w:r w:rsidR="00C553BE">
        <w:t xml:space="preserve">.  For those Partnership Program </w:t>
      </w:r>
      <w:r w:rsidR="006E2CFF">
        <w:t xml:space="preserve">participants who are </w:t>
      </w:r>
      <w:r w:rsidR="00C553BE">
        <w:t>not able to attend focus group sessions, supplemental data will be collected via telephone interviews. The type of information be</w:t>
      </w:r>
      <w:r w:rsidR="00FC0F40">
        <w:t>ing</w:t>
      </w:r>
      <w:r w:rsidR="00C553BE">
        <w:t xml:space="preserve"> sought here is qualitative in nature, and thus </w:t>
      </w:r>
      <w:r>
        <w:t xml:space="preserve">is normally not gathered </w:t>
      </w:r>
      <w:r w:rsidR="00C553BE">
        <w:t>electronically</w:t>
      </w:r>
      <w:r>
        <w:t xml:space="preserve">. We will meet in person with each group and record notes on a laptop computer </w:t>
      </w:r>
      <w:r w:rsidR="00BB1F7D">
        <w:t>during</w:t>
      </w:r>
      <w:r>
        <w:t xml:space="preserve"> the focus group</w:t>
      </w:r>
      <w:r w:rsidR="00BB1F7D">
        <w:t xml:space="preserve"> session. W</w:t>
      </w:r>
      <w:r>
        <w:t xml:space="preserve">e will conduct telephone interviews with representatives of Partnership Program </w:t>
      </w:r>
      <w:r w:rsidR="00BB1F7D">
        <w:t xml:space="preserve">organizations </w:t>
      </w:r>
      <w:r>
        <w:t>to gain additional insights</w:t>
      </w:r>
      <w:r w:rsidR="00A626EA">
        <w:t xml:space="preserve"> </w:t>
      </w:r>
      <w:r w:rsidR="007B5FA1">
        <w:t xml:space="preserve">during which </w:t>
      </w:r>
      <w:r w:rsidR="00A626EA">
        <w:t xml:space="preserve">the interviewers will transcribe notes on a computer-based system to record </w:t>
      </w:r>
      <w:r w:rsidR="00FE1835">
        <w:t xml:space="preserve">and summarize </w:t>
      </w:r>
      <w:r w:rsidR="00A626EA">
        <w:t>participant answers</w:t>
      </w:r>
      <w:r>
        <w:t>.</w:t>
      </w:r>
      <w:r w:rsidR="00FE1835">
        <w:t xml:space="preserve">  The focus group sessions will </w:t>
      </w:r>
      <w:r w:rsidR="00835854">
        <w:t xml:space="preserve">not </w:t>
      </w:r>
      <w:r w:rsidR="00FE1835">
        <w:t>be recorded</w:t>
      </w:r>
      <w:r w:rsidR="007B5FA1">
        <w:t>, nor will the telephone interviews.</w:t>
      </w:r>
    </w:p>
    <w:p w:rsidR="007A6A9F" w:rsidRDefault="003F0D4F" w:rsidP="007A6A9F">
      <w:pPr>
        <w:pStyle w:val="BodyText"/>
        <w:keepNext/>
        <w:spacing w:after="0"/>
        <w:rPr>
          <w:b/>
          <w:i/>
          <w:u w:val="single"/>
        </w:rPr>
      </w:pPr>
      <w:r w:rsidRPr="003F0D4F">
        <w:rPr>
          <w:b/>
          <w:i/>
          <w:u w:val="single"/>
        </w:rPr>
        <w:t>4. Efforts to Identify Duplication</w:t>
      </w:r>
    </w:p>
    <w:p w:rsidR="00627FAD" w:rsidRDefault="006E69D3">
      <w:pPr>
        <w:pStyle w:val="BodyText"/>
        <w:spacing w:before="200"/>
      </w:pPr>
      <w:r>
        <w:t xml:space="preserve">ICF International, the contractor hired to conduct the research, has worked with the Census Bureau to review all prior research that may have collected data from Partnership </w:t>
      </w:r>
      <w:r w:rsidR="006E2CFF">
        <w:t xml:space="preserve">Program </w:t>
      </w:r>
      <w:r>
        <w:t>participants</w:t>
      </w:r>
      <w:proofErr w:type="gramStart"/>
      <w:r>
        <w:t>.</w:t>
      </w:r>
      <w:r w:rsidR="00C553BE">
        <w:t xml:space="preserve"> </w:t>
      </w:r>
      <w:proofErr w:type="gramEnd"/>
      <w:r w:rsidR="00C553BE">
        <w:t>The paragraphs below describe the prior research and data collection</w:t>
      </w:r>
      <w:r w:rsidR="006E2CFF">
        <w:t>:</w:t>
      </w:r>
      <w:r w:rsidR="00C553BE">
        <w:t xml:space="preserve"> </w:t>
      </w:r>
    </w:p>
    <w:p w:rsidR="006E69D3" w:rsidRPr="00C553BE" w:rsidRDefault="006E69D3" w:rsidP="006E69D3">
      <w:pPr>
        <w:pStyle w:val="BodyText"/>
        <w:rPr>
          <w:b/>
        </w:rPr>
      </w:pPr>
      <w:r w:rsidRPr="00C553BE">
        <w:rPr>
          <w:b/>
        </w:rPr>
        <w:t xml:space="preserve">Data </w:t>
      </w:r>
      <w:r w:rsidR="0069531D">
        <w:rPr>
          <w:b/>
        </w:rPr>
        <w:t>C</w:t>
      </w:r>
      <w:r w:rsidRPr="00C553BE">
        <w:rPr>
          <w:b/>
        </w:rPr>
        <w:t xml:space="preserve">ollection </w:t>
      </w:r>
      <w:r w:rsidR="0069531D">
        <w:rPr>
          <w:b/>
        </w:rPr>
        <w:t>P</w:t>
      </w:r>
      <w:r w:rsidR="0069531D" w:rsidRPr="00C553BE">
        <w:rPr>
          <w:b/>
        </w:rPr>
        <w:t xml:space="preserve">rior </w:t>
      </w:r>
      <w:r w:rsidRPr="00C553BE">
        <w:rPr>
          <w:b/>
        </w:rPr>
        <w:t>to 2010</w:t>
      </w:r>
    </w:p>
    <w:p w:rsidR="006E69D3" w:rsidRDefault="006E69D3" w:rsidP="006E69D3">
      <w:pPr>
        <w:pStyle w:val="BodyText"/>
      </w:pPr>
      <w:r>
        <w:t xml:space="preserve">This small body of work includes two evaluations related to the 2000 Census, the “Partnership and Marketing Program Evaluation” and the “Report of Survey of Partners.” </w:t>
      </w:r>
    </w:p>
    <w:p w:rsidR="0069531D" w:rsidRDefault="006E69D3" w:rsidP="006E69D3">
      <w:pPr>
        <w:pStyle w:val="BodyText"/>
      </w:pPr>
      <w:r>
        <w:t xml:space="preserve">The previous survey conducted among </w:t>
      </w:r>
      <w:r w:rsidR="006E2CFF">
        <w:t xml:space="preserve">partners </w:t>
      </w:r>
      <w:r w:rsidR="00FE1835">
        <w:t xml:space="preserve">for the 2000 Census </w:t>
      </w:r>
      <w:r>
        <w:t xml:space="preserve">focused on the </w:t>
      </w:r>
      <w:r w:rsidR="006E2CFF">
        <w:t>partner</w:t>
      </w:r>
      <w:r w:rsidR="00B57D28">
        <w:t>'</w:t>
      </w:r>
      <w:r w:rsidR="006E2CFF">
        <w:t xml:space="preserve">s </w:t>
      </w:r>
      <w:r>
        <w:t>experience</w:t>
      </w:r>
      <w:r w:rsidR="0069531D">
        <w:t>s</w:t>
      </w:r>
      <w:r>
        <w:t xml:space="preserve"> in the program with questions on the demographics of the </w:t>
      </w:r>
      <w:r w:rsidR="00B57D28">
        <w:t xml:space="preserve">partner </w:t>
      </w:r>
      <w:r>
        <w:t xml:space="preserve">organization, the number of contacts with the Program Point of Contact, </w:t>
      </w:r>
      <w:r w:rsidR="0069531D">
        <w:t xml:space="preserve">and </w:t>
      </w:r>
      <w:r>
        <w:t xml:space="preserve">the </w:t>
      </w:r>
      <w:r w:rsidR="00B57D28">
        <w:t xml:space="preserve">partner’s </w:t>
      </w:r>
      <w:r>
        <w:t>goal</w:t>
      </w:r>
      <w:r w:rsidR="00B57D28">
        <w:t>s</w:t>
      </w:r>
      <w:r>
        <w:t xml:space="preserve"> for participation</w:t>
      </w:r>
      <w:r w:rsidR="0069531D">
        <w:t xml:space="preserve">, among other items. </w:t>
      </w:r>
    </w:p>
    <w:p w:rsidR="0069531D" w:rsidRDefault="0069531D" w:rsidP="006E69D3">
      <w:pPr>
        <w:pStyle w:val="BodyText"/>
      </w:pPr>
      <w:r>
        <w:t>The data collected prior to 2010 cannot be used to address the research questions posed in this collection request</w:t>
      </w:r>
      <w:r w:rsidR="00C37B81">
        <w:t>.</w:t>
      </w:r>
      <w:r w:rsidR="00C37B81" w:rsidRPr="00C37B81">
        <w:t xml:space="preserve"> </w:t>
      </w:r>
      <w:r w:rsidR="00C37B81">
        <w:t>The data collected focused on events that had already transpired and sought to assess those events. The research questions posed here are oriented toward improving program operations and participant experience in the future.</w:t>
      </w:r>
    </w:p>
    <w:p w:rsidR="006E69D3" w:rsidRPr="00240CB6" w:rsidRDefault="006E69D3" w:rsidP="006E69D3">
      <w:pPr>
        <w:pStyle w:val="BodyText"/>
        <w:rPr>
          <w:b/>
        </w:rPr>
      </w:pPr>
      <w:r w:rsidRPr="00240CB6">
        <w:rPr>
          <w:b/>
        </w:rPr>
        <w:t>Data collected in 2010</w:t>
      </w:r>
    </w:p>
    <w:p w:rsidR="006E69D3" w:rsidRDefault="006E69D3" w:rsidP="006E69D3">
      <w:pPr>
        <w:pStyle w:val="BodyText"/>
      </w:pPr>
      <w:r>
        <w:t xml:space="preserve">Other research includes a “U.S. Census Partnership Survey” conducted under the aegis of the 2010 National Partnership Assessment and Evaluation Study Plan and the “2010 Census Integrated Communication Program Evaluation.” Data on </w:t>
      </w:r>
      <w:r w:rsidR="00B57D28">
        <w:t xml:space="preserve">partners </w:t>
      </w:r>
      <w:r>
        <w:t xml:space="preserve">are also contained in the 2010 Integrated Partner Contact Database (IPCD), a database designed to help Partnership Program staff track interactions with the participating </w:t>
      </w:r>
      <w:r w:rsidR="00B57D28">
        <w:t xml:space="preserve">partner </w:t>
      </w:r>
      <w:r>
        <w:t>organizations.</w:t>
      </w:r>
    </w:p>
    <w:p w:rsidR="006E69D3" w:rsidRDefault="006E69D3" w:rsidP="006E69D3">
      <w:pPr>
        <w:pStyle w:val="BodyText"/>
      </w:pPr>
      <w:r>
        <w:t xml:space="preserve">As with data collected prior to 2010, the “U.S. Census Partnership Survey” surveyed </w:t>
      </w:r>
      <w:r w:rsidR="00B57D28">
        <w:t>partners</w:t>
      </w:r>
      <w:r>
        <w:t xml:space="preserve">, but the survey consists of closed-ended questions that are not forward-looking (i.e. they do not ask the Partner to talk about potential enhancements to the program). The </w:t>
      </w:r>
      <w:proofErr w:type="spellStart"/>
      <w:r>
        <w:t>IPCD</w:t>
      </w:r>
      <w:proofErr w:type="spellEnd"/>
      <w:r>
        <w:t xml:space="preserve"> </w:t>
      </w:r>
      <w:r w:rsidR="00B57D28">
        <w:t xml:space="preserve">database </w:t>
      </w:r>
      <w:r>
        <w:t xml:space="preserve">is administrative in nature and does not provide information on participant experiences with the program. The Integrated Communication Program Evaluation does not allow for breakout of data related to </w:t>
      </w:r>
      <w:r w:rsidR="00B57D28">
        <w:t>p</w:t>
      </w:r>
      <w:r>
        <w:t xml:space="preserve">artners </w:t>
      </w:r>
      <w:r w:rsidR="007E4194">
        <w:t xml:space="preserve">as compared to </w:t>
      </w:r>
      <w:r>
        <w:t>more general communication efforts to the public.</w:t>
      </w:r>
    </w:p>
    <w:p w:rsidR="00117780" w:rsidRDefault="00117780" w:rsidP="006E69D3">
      <w:pPr>
        <w:pStyle w:val="BodyText"/>
      </w:pPr>
      <w:r>
        <w:t xml:space="preserve">In summary, there is no duplication or </w:t>
      </w:r>
      <w:r w:rsidR="007E4194">
        <w:t>significant</w:t>
      </w:r>
      <w:r>
        <w:t xml:space="preserve"> overlap of information already collected with </w:t>
      </w:r>
      <w:proofErr w:type="gramStart"/>
      <w:r>
        <w:t>that</w:t>
      </w:r>
      <w:r w:rsidR="001A299E">
        <w:t xml:space="preserve"> which</w:t>
      </w:r>
      <w:proofErr w:type="gramEnd"/>
      <w:r>
        <w:t xml:space="preserve"> </w:t>
      </w:r>
      <w:r w:rsidR="009F7728">
        <w:t xml:space="preserve">is </w:t>
      </w:r>
      <w:r>
        <w:t xml:space="preserve">needed here. </w:t>
      </w:r>
    </w:p>
    <w:p w:rsidR="00627FAD" w:rsidRDefault="003F0D4F">
      <w:pPr>
        <w:pStyle w:val="BodyText"/>
        <w:keepNext/>
        <w:spacing w:after="0"/>
        <w:rPr>
          <w:b/>
          <w:i/>
          <w:u w:val="single"/>
        </w:rPr>
      </w:pPr>
      <w:r w:rsidRPr="003F0D4F">
        <w:rPr>
          <w:b/>
          <w:i/>
          <w:u w:val="single"/>
        </w:rPr>
        <w:lastRenderedPageBreak/>
        <w:t>5. Minimizing Burden</w:t>
      </w:r>
    </w:p>
    <w:p w:rsidR="00627FAD" w:rsidRDefault="006E69D3">
      <w:pPr>
        <w:pStyle w:val="BodyText"/>
        <w:spacing w:before="200"/>
      </w:pPr>
      <w:r>
        <w:t>The focus groups and interviews will not be held with participants from small businesses or other small entities. As an integral part of this effort, the Census Bureau needs to understand the process by which large businesses would structure their participation in the Census programs; thus</w:t>
      </w:r>
      <w:r w:rsidR="00B57D28">
        <w:t>,</w:t>
      </w:r>
      <w:r>
        <w:t xml:space="preserve"> respondents from small organizations would not be able to provide useful information on this question. We will screen out small organizations by selecting only “National Partners” from the IPCD database.</w:t>
      </w:r>
    </w:p>
    <w:p w:rsidR="006E69D3" w:rsidRPr="003F0D4F" w:rsidRDefault="003F0D4F" w:rsidP="00696FCF">
      <w:pPr>
        <w:pStyle w:val="BodyText"/>
        <w:spacing w:after="0"/>
        <w:rPr>
          <w:b/>
          <w:i/>
          <w:u w:val="single"/>
        </w:rPr>
      </w:pPr>
      <w:r w:rsidRPr="003F0D4F">
        <w:rPr>
          <w:b/>
          <w:i/>
          <w:u w:val="single"/>
        </w:rPr>
        <w:t>6. Consequences of Less Frequent Collection</w:t>
      </w:r>
    </w:p>
    <w:p w:rsidR="00627FAD" w:rsidRDefault="006E69D3">
      <w:pPr>
        <w:pStyle w:val="BodyText"/>
        <w:spacing w:before="200"/>
      </w:pPr>
      <w:r>
        <w:t xml:space="preserve">No comparable data are currently available either from published </w:t>
      </w:r>
      <w:r w:rsidR="00BB1F7D">
        <w:t xml:space="preserve">sources </w:t>
      </w:r>
      <w:r>
        <w:t xml:space="preserve">or from Census Bureau research studies. The current information collection is necessary to obtain program participants’ suggestions for program enhancements. The study </w:t>
      </w:r>
      <w:r w:rsidR="00B57D28">
        <w:t>was</w:t>
      </w:r>
      <w:r>
        <w:t xml:space="preserve"> designed to minimize burden to the greatest extent possible by inviting participants to only one focus group session or telephone interview; no technical or legal obstacles to this minimization exist.</w:t>
      </w:r>
    </w:p>
    <w:p w:rsidR="006E69D3" w:rsidRPr="00104C40" w:rsidRDefault="00104C40" w:rsidP="00696FCF">
      <w:pPr>
        <w:pStyle w:val="BodyText"/>
        <w:spacing w:after="0"/>
        <w:rPr>
          <w:b/>
          <w:i/>
          <w:u w:val="single"/>
        </w:rPr>
      </w:pPr>
      <w:r w:rsidRPr="00104C40">
        <w:rPr>
          <w:b/>
          <w:i/>
          <w:u w:val="single"/>
        </w:rPr>
        <w:t>7. Special Circumstances</w:t>
      </w:r>
    </w:p>
    <w:p w:rsidR="00627FAD" w:rsidRDefault="006D530A">
      <w:pPr>
        <w:pStyle w:val="BodyText"/>
        <w:spacing w:before="200"/>
      </w:pPr>
      <w:r>
        <w:t xml:space="preserve">There are no such special circumstances. This is a one-time only data collection. </w:t>
      </w:r>
    </w:p>
    <w:p w:rsidR="00104C40" w:rsidRPr="00104C40" w:rsidRDefault="00104C40" w:rsidP="00104C40">
      <w:pPr>
        <w:pStyle w:val="BodyText"/>
        <w:spacing w:after="0"/>
        <w:rPr>
          <w:b/>
          <w:i/>
          <w:u w:val="single"/>
        </w:rPr>
      </w:pPr>
      <w:r w:rsidRPr="00104C40">
        <w:rPr>
          <w:b/>
          <w:i/>
          <w:u w:val="single"/>
        </w:rPr>
        <w:t>8. Consultations Outside the Agency</w:t>
      </w:r>
    </w:p>
    <w:p w:rsidR="00627FAD" w:rsidRDefault="001A299E">
      <w:pPr>
        <w:pStyle w:val="BodyText"/>
        <w:spacing w:before="200"/>
      </w:pPr>
      <w:r>
        <w:t>There were no consultations outside the agency</w:t>
      </w:r>
      <w:proofErr w:type="gramStart"/>
      <w:r>
        <w:t xml:space="preserve">. </w:t>
      </w:r>
      <w:proofErr w:type="gramEnd"/>
      <w:r>
        <w:t xml:space="preserve">The focus group and interview protocols were developed after extensive discussion with Census Bureau staff </w:t>
      </w:r>
      <w:proofErr w:type="gramStart"/>
      <w:r>
        <w:t>who</w:t>
      </w:r>
      <w:proofErr w:type="gramEnd"/>
      <w:r>
        <w:t xml:space="preserve"> are most knowledgeable of the Partnership </w:t>
      </w:r>
      <w:r w:rsidR="00AE2C78">
        <w:t>Program</w:t>
      </w:r>
      <w:r>
        <w:t xml:space="preserve">. </w:t>
      </w:r>
    </w:p>
    <w:p w:rsidR="006E69D3" w:rsidRPr="00BB1F7D" w:rsidRDefault="00FC0F40" w:rsidP="006E69D3">
      <w:pPr>
        <w:pStyle w:val="BodyText"/>
      </w:pPr>
      <w:r>
        <w:t xml:space="preserve">A </w:t>
      </w:r>
      <w:r w:rsidR="006D530A">
        <w:t xml:space="preserve">notice </w:t>
      </w:r>
      <w:r>
        <w:t xml:space="preserve">seeking comment on this proposed collection </w:t>
      </w:r>
      <w:r w:rsidR="006D530A">
        <w:t>was published on January 20, 2011, on pages 3609 and 3610 of the Federal Register</w:t>
      </w:r>
      <w:proofErr w:type="gramStart"/>
      <w:r w:rsidR="00783BF6">
        <w:t xml:space="preserve">. </w:t>
      </w:r>
      <w:proofErr w:type="gramEnd"/>
      <w:r w:rsidR="00783BF6" w:rsidRPr="00783BF6">
        <w:t>We have received no comments thus far</w:t>
      </w:r>
      <w:r w:rsidR="00AE2C78">
        <w:t>.</w:t>
      </w:r>
    </w:p>
    <w:p w:rsidR="006E69D3" w:rsidRPr="00104C40" w:rsidRDefault="00104C40" w:rsidP="00696FCF">
      <w:pPr>
        <w:pStyle w:val="BodyText"/>
        <w:spacing w:after="0"/>
        <w:rPr>
          <w:b/>
          <w:i/>
          <w:u w:val="single"/>
        </w:rPr>
      </w:pPr>
      <w:r w:rsidRPr="00104C40">
        <w:rPr>
          <w:b/>
          <w:i/>
          <w:u w:val="single"/>
        </w:rPr>
        <w:t>9. Paying Respondents</w:t>
      </w:r>
    </w:p>
    <w:p w:rsidR="00627FAD" w:rsidRDefault="00D413B2">
      <w:pPr>
        <w:pStyle w:val="BodyText"/>
        <w:spacing w:before="200"/>
      </w:pPr>
      <w:r>
        <w:t xml:space="preserve">Focus group participants </w:t>
      </w:r>
      <w:r w:rsidR="009F7728">
        <w:t>will receive $50 to partially compensate them for their time and local travel expenses</w:t>
      </w:r>
      <w:r w:rsidR="0003388C">
        <w:t>, and to provide an incentive to participate</w:t>
      </w:r>
      <w:r w:rsidR="009F7728">
        <w:t>.</w:t>
      </w:r>
      <w:r w:rsidR="00B470F9">
        <w:t xml:space="preserve"> </w:t>
      </w:r>
      <w:r>
        <w:t xml:space="preserve">Persons who will be interviewed will not receive </w:t>
      </w:r>
      <w:r w:rsidR="00BB1F7D">
        <w:t xml:space="preserve">any </w:t>
      </w:r>
      <w:r>
        <w:t xml:space="preserve">remuneration. </w:t>
      </w:r>
    </w:p>
    <w:p w:rsidR="00F40346" w:rsidRDefault="00F40346" w:rsidP="00F40346">
      <w:pPr>
        <w:pStyle w:val="BodyText"/>
      </w:pPr>
      <w:r>
        <w:t>The American Association for Public Opinion Research (AAPOR) in its recommendations for best practices indicates that “Specific procedures designed explicitly to stimulate survey cooperation or participation should also be considered, such as (where possible) sending advance letters to sample households or individuals to inform them of the pending survey, offering monetary (i.e., cash) or non-monetary (some other valued reward) incentives to encourage participation, and sending reminders or making follow-up calls to those who do not respond initially.”</w:t>
      </w:r>
      <w:r>
        <w:rPr>
          <w:rStyle w:val="FootnoteReference"/>
        </w:rPr>
        <w:footnoteReference w:id="1"/>
      </w:r>
      <w:r>
        <w:t xml:space="preserve">  The theory of survey participation indicates that a study employing a variety of motivational techniques, including incentives, is more likely to yield a more representativeness research sample than a study relying on a single motivational technique.</w:t>
      </w:r>
      <w:r>
        <w:rPr>
          <w:rStyle w:val="FootnoteReference"/>
        </w:rPr>
        <w:footnoteReference w:id="2"/>
      </w:r>
      <w:r>
        <w:t xml:space="preserve">  Incentives have been found to boost response rates for mail, telephone, and in-person surveys.</w:t>
      </w:r>
      <w:r w:rsidRPr="00F40346">
        <w:rPr>
          <w:rStyle w:val="FootnoteReference"/>
        </w:rPr>
        <w:t xml:space="preserve"> </w:t>
      </w:r>
      <w:r>
        <w:rPr>
          <w:rStyle w:val="FootnoteReference"/>
        </w:rPr>
        <w:footnoteReference w:id="3"/>
      </w:r>
      <w:r>
        <w:t xml:space="preserve">  In order to ensure a sufficient response rate by educational and business professionals, we </w:t>
      </w:r>
      <w:r>
        <w:lastRenderedPageBreak/>
        <w:t xml:space="preserve">believe that providing sufficient monetary incentives is an essential aspect of this project.  This will enable us to obtain sufficient cooperation in a study that requires respondents come to a centralized location to spend 90 minutes in a focus group. </w:t>
      </w:r>
    </w:p>
    <w:p w:rsidR="006E69D3" w:rsidRPr="00104C40" w:rsidRDefault="00104C40" w:rsidP="00696FCF">
      <w:pPr>
        <w:pStyle w:val="BodyText"/>
        <w:spacing w:after="0"/>
        <w:rPr>
          <w:b/>
          <w:i/>
          <w:u w:val="single"/>
        </w:rPr>
      </w:pPr>
      <w:r w:rsidRPr="00104C40">
        <w:rPr>
          <w:b/>
          <w:i/>
          <w:u w:val="single"/>
        </w:rPr>
        <w:t>10. Assurance of Confidentiality</w:t>
      </w:r>
    </w:p>
    <w:p w:rsidR="00627FAD" w:rsidRDefault="006E69D3">
      <w:pPr>
        <w:pStyle w:val="BodyText"/>
        <w:spacing w:before="200"/>
      </w:pPr>
      <w:r>
        <w:t xml:space="preserve">Before the focus group session begins, </w:t>
      </w:r>
      <w:r w:rsidR="00BB1F7D">
        <w:t xml:space="preserve">participants </w:t>
      </w:r>
      <w:r>
        <w:t>will be informed that the researchers</w:t>
      </w:r>
      <w:r w:rsidR="00835854">
        <w:t xml:space="preserve"> </w:t>
      </w:r>
      <w:r w:rsidR="00BB1F7D">
        <w:t xml:space="preserve">comply with </w:t>
      </w:r>
      <w:r w:rsidR="00D166E2">
        <w:t>Institutional Review Board requirements by respecting and protecting</w:t>
      </w:r>
      <w:r>
        <w:t xml:space="preserve"> their confidentiality</w:t>
      </w:r>
      <w:r w:rsidR="00BB1F7D">
        <w:t xml:space="preserve">. Researchers </w:t>
      </w:r>
      <w:r>
        <w:t>will record what they say, but will not link their statements to their names. Participants also will be informed that it is important for focus group participants to agree to respect and protect each other’s privacy by refraining from discussing anything about the focus group with anyone outside of the group. If participants are concerned about confidentiality, they will be advised to limit their participation in the group to what they are comfortable discussing, or decline to participate</w:t>
      </w:r>
      <w:proofErr w:type="gramStart"/>
      <w:r>
        <w:t xml:space="preserve">. </w:t>
      </w:r>
      <w:proofErr w:type="gramEnd"/>
      <w:r>
        <w:t>We will emphasize that participation is voluntary and inform them that they do not have to answer every question</w:t>
      </w:r>
      <w:r w:rsidR="00BB1F7D">
        <w:t xml:space="preserve">. </w:t>
      </w:r>
      <w:r>
        <w:t xml:space="preserve"> </w:t>
      </w:r>
      <w:r w:rsidR="00BB1F7D">
        <w:t xml:space="preserve">They </w:t>
      </w:r>
      <w:r>
        <w:t>may stop participating at any time with no consequences.</w:t>
      </w:r>
    </w:p>
    <w:p w:rsidR="009F7728" w:rsidRDefault="009F7728" w:rsidP="006E69D3">
      <w:pPr>
        <w:pStyle w:val="BodyText"/>
      </w:pPr>
      <w:r>
        <w:t>Additionally, each focus group participant will be assigned a letter (e.g., participant "A")</w:t>
      </w:r>
      <w:r w:rsidR="00A626EA">
        <w:t xml:space="preserve"> that</w:t>
      </w:r>
      <w:r>
        <w:t xml:space="preserve"> will be visible on a placard in front of them, and on their name tag and neither first names nor last names will be used during the sessions. </w:t>
      </w:r>
      <w:r w:rsidR="007E4194" w:rsidRPr="007E4194">
        <w:t>In the analysis phase</w:t>
      </w:r>
      <w:r w:rsidR="0069464B">
        <w:t>,</w:t>
      </w:r>
      <w:r w:rsidR="007E4194" w:rsidRPr="007E4194">
        <w:t xml:space="preserve"> the contractor will use these letter designations only to understand the body of sta</w:t>
      </w:r>
      <w:r w:rsidR="007E4194">
        <w:t xml:space="preserve">tements made by each participant </w:t>
      </w:r>
      <w:r w:rsidR="007E4194" w:rsidRPr="007E4194">
        <w:t>(</w:t>
      </w:r>
      <w:r w:rsidR="007E4194">
        <w:t xml:space="preserve">e.g., </w:t>
      </w:r>
      <w:r w:rsidR="007E4194" w:rsidRPr="007E4194">
        <w:t>person “A” said that he did not think more contact would be needed</w:t>
      </w:r>
      <w:r w:rsidR="0069464B" w:rsidRPr="007E4194">
        <w:t>)</w:t>
      </w:r>
      <w:r w:rsidR="0069464B">
        <w:t>.</w:t>
      </w:r>
      <w:r w:rsidR="0069464B" w:rsidRPr="007E4194">
        <w:t xml:space="preserve"> </w:t>
      </w:r>
      <w:r w:rsidR="0069464B">
        <w:t>T</w:t>
      </w:r>
      <w:r w:rsidR="007E4194" w:rsidRPr="007E4194">
        <w:t>hese letter designations will not be used to link comments back to individual names in the reporting phase of the study.</w:t>
      </w:r>
    </w:p>
    <w:p w:rsidR="000B1B62" w:rsidRDefault="000B1B62" w:rsidP="006E69D3">
      <w:pPr>
        <w:pStyle w:val="BodyText"/>
      </w:pPr>
      <w:r>
        <w:t xml:space="preserve">Individual telephone interviewees will be </w:t>
      </w:r>
      <w:r w:rsidR="0069464B">
        <w:t xml:space="preserve">given </w:t>
      </w:r>
      <w:r>
        <w:t>the same protection of confidentiality</w:t>
      </w:r>
      <w:r w:rsidR="0069464B">
        <w:t xml:space="preserve">. This will </w:t>
      </w:r>
      <w:r w:rsidR="00BB1F7D">
        <w:t>be explained</w:t>
      </w:r>
      <w:r>
        <w:t xml:space="preserve"> to them during the introduction to the interview. We will not identify material from individual interviews in a way that the material can be traced back to the respondent</w:t>
      </w:r>
      <w:r w:rsidR="00BB1F7D">
        <w:t>.  W</w:t>
      </w:r>
      <w:r>
        <w:t xml:space="preserve">e will not </w:t>
      </w:r>
      <w:r w:rsidR="00BB1F7D">
        <w:t xml:space="preserve">do any audio </w:t>
      </w:r>
      <w:r>
        <w:t>record</w:t>
      </w:r>
      <w:r w:rsidR="00BB1F7D">
        <w:t xml:space="preserve">ing </w:t>
      </w:r>
      <w:r w:rsidR="001A299E">
        <w:t>of the</w:t>
      </w:r>
      <w:r>
        <w:t xml:space="preserve"> interview.</w:t>
      </w:r>
      <w:bookmarkStart w:id="2" w:name="_GoBack"/>
      <w:bookmarkEnd w:id="2"/>
    </w:p>
    <w:p w:rsidR="006E69D3" w:rsidRDefault="006E69D3" w:rsidP="006E69D3">
      <w:pPr>
        <w:pStyle w:val="BodyText"/>
      </w:pPr>
      <w:r>
        <w:t xml:space="preserve">The </w:t>
      </w:r>
      <w:r w:rsidR="00696FCF">
        <w:t>Census</w:t>
      </w:r>
      <w:r>
        <w:t xml:space="preserve"> Bureau collects and maintains data, including data collected from this collection of information, in accordance with 5 U.S.C. § 552a Public Law 93-579, the Privacy Act of 1974.</w:t>
      </w:r>
    </w:p>
    <w:p w:rsidR="006E69D3" w:rsidRPr="00104C40" w:rsidRDefault="00104C40" w:rsidP="00696FCF">
      <w:pPr>
        <w:pStyle w:val="BodyText"/>
        <w:spacing w:after="0"/>
        <w:rPr>
          <w:b/>
          <w:i/>
          <w:u w:val="single"/>
        </w:rPr>
      </w:pPr>
      <w:r w:rsidRPr="00104C40">
        <w:rPr>
          <w:b/>
          <w:i/>
          <w:u w:val="single"/>
        </w:rPr>
        <w:t>11. Justification for Sensitive Questions</w:t>
      </w:r>
    </w:p>
    <w:p w:rsidR="00627FAD" w:rsidRDefault="006E69D3">
      <w:pPr>
        <w:pStyle w:val="BodyText"/>
        <w:spacing w:before="200"/>
      </w:pPr>
      <w:r>
        <w:t>Focus group respondents will not be asked to discuss any questions or topics of a sensitive nature, such as sexual behavior and attitudes, religious beliefs, and other matters that are commonly considered private.</w:t>
      </w:r>
    </w:p>
    <w:p w:rsidR="00627FAD" w:rsidRDefault="00104C40" w:rsidP="00D84ECC">
      <w:pPr>
        <w:pStyle w:val="BodyText"/>
        <w:keepNext/>
        <w:spacing w:after="0"/>
        <w:rPr>
          <w:b/>
          <w:i/>
          <w:u w:val="single"/>
        </w:rPr>
      </w:pPr>
      <w:r w:rsidRPr="00104C40">
        <w:rPr>
          <w:b/>
          <w:i/>
          <w:u w:val="single"/>
        </w:rPr>
        <w:t>12. Estimate of Hour Burden</w:t>
      </w:r>
    </w:p>
    <w:p w:rsidR="00627FAD" w:rsidRDefault="006026EF" w:rsidP="00D84ECC">
      <w:pPr>
        <w:pStyle w:val="BodyText"/>
        <w:keepNext/>
        <w:spacing w:before="200"/>
      </w:pPr>
      <w:r>
        <w:t>The estimated b</w:t>
      </w:r>
      <w:bookmarkStart w:id="3" w:name="OLE_LINK1"/>
      <w:r w:rsidR="00A75CAC">
        <w:t>urden hours are listed in the following tables</w:t>
      </w:r>
      <w:r w:rsidR="0069464B">
        <w:t>:</w:t>
      </w:r>
    </w:p>
    <w:tbl>
      <w:tblPr>
        <w:tblW w:w="0" w:type="auto"/>
        <w:jc w:val="center"/>
        <w:tblInd w:w="1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350"/>
        <w:gridCol w:w="1530"/>
        <w:gridCol w:w="1800"/>
        <w:gridCol w:w="2070"/>
        <w:gridCol w:w="1541"/>
      </w:tblGrid>
      <w:tr w:rsidR="001D1718" w:rsidRPr="00D84ECC" w:rsidTr="00842938">
        <w:trPr>
          <w:cantSplit/>
          <w:jc w:val="center"/>
        </w:trPr>
        <w:tc>
          <w:tcPr>
            <w:tcW w:w="8291" w:type="dxa"/>
            <w:gridSpan w:val="5"/>
            <w:vAlign w:val="center"/>
          </w:tcPr>
          <w:p w:rsidR="001D1718" w:rsidRPr="00D84ECC" w:rsidRDefault="001D1718" w:rsidP="00D84ECC">
            <w:pPr>
              <w:pStyle w:val="BodyText"/>
              <w:keepNext/>
              <w:spacing w:after="0"/>
              <w:jc w:val="center"/>
              <w:rPr>
                <w:b/>
              </w:rPr>
            </w:pPr>
            <w:r w:rsidRPr="00D84ECC">
              <w:rPr>
                <w:b/>
              </w:rPr>
              <w:t>Partnership Focus Group Protocol</w:t>
            </w:r>
          </w:p>
        </w:tc>
      </w:tr>
      <w:tr w:rsidR="009F6058" w:rsidRPr="00D84ECC" w:rsidTr="00842938">
        <w:trPr>
          <w:cantSplit/>
          <w:jc w:val="center"/>
        </w:trPr>
        <w:tc>
          <w:tcPr>
            <w:tcW w:w="1350" w:type="dxa"/>
            <w:vAlign w:val="center"/>
          </w:tcPr>
          <w:p w:rsidR="00627FAD" w:rsidRPr="00D84ECC" w:rsidRDefault="009F6058" w:rsidP="00D84ECC">
            <w:pPr>
              <w:pStyle w:val="BodyText"/>
              <w:keepNext/>
              <w:spacing w:after="0"/>
              <w:jc w:val="center"/>
              <w:rPr>
                <w:sz w:val="20"/>
                <w:szCs w:val="20"/>
              </w:rPr>
            </w:pPr>
            <w:r w:rsidRPr="00D84ECC">
              <w:rPr>
                <w:sz w:val="20"/>
                <w:szCs w:val="20"/>
              </w:rPr>
              <w:t>Number of Focus Groups</w:t>
            </w:r>
          </w:p>
        </w:tc>
        <w:tc>
          <w:tcPr>
            <w:tcW w:w="1530" w:type="dxa"/>
            <w:vAlign w:val="center"/>
          </w:tcPr>
          <w:p w:rsidR="009F6058" w:rsidRPr="00D84ECC" w:rsidRDefault="009F6058" w:rsidP="00D84ECC">
            <w:pPr>
              <w:pStyle w:val="BodyText"/>
              <w:keepNext/>
              <w:spacing w:after="0"/>
              <w:jc w:val="center"/>
              <w:rPr>
                <w:sz w:val="20"/>
                <w:szCs w:val="20"/>
              </w:rPr>
            </w:pPr>
            <w:r w:rsidRPr="00D84ECC">
              <w:rPr>
                <w:sz w:val="20"/>
                <w:szCs w:val="20"/>
              </w:rPr>
              <w:t>Participants Per Group</w:t>
            </w:r>
          </w:p>
        </w:tc>
        <w:tc>
          <w:tcPr>
            <w:tcW w:w="1800" w:type="dxa"/>
            <w:vAlign w:val="center"/>
          </w:tcPr>
          <w:p w:rsidR="009F6058" w:rsidRPr="00D84ECC" w:rsidRDefault="00783BF6" w:rsidP="00D84ECC">
            <w:pPr>
              <w:pStyle w:val="BodyText"/>
              <w:keepNext/>
              <w:spacing w:after="0"/>
              <w:jc w:val="center"/>
              <w:rPr>
                <w:sz w:val="20"/>
                <w:szCs w:val="20"/>
              </w:rPr>
            </w:pPr>
            <w:r w:rsidRPr="00D84ECC">
              <w:rPr>
                <w:sz w:val="20"/>
                <w:szCs w:val="20"/>
              </w:rPr>
              <w:t>Total Participants</w:t>
            </w:r>
          </w:p>
        </w:tc>
        <w:tc>
          <w:tcPr>
            <w:tcW w:w="2070" w:type="dxa"/>
            <w:vAlign w:val="center"/>
          </w:tcPr>
          <w:p w:rsidR="00627FAD" w:rsidRPr="00D84ECC" w:rsidRDefault="009F6058" w:rsidP="00D84ECC">
            <w:pPr>
              <w:pStyle w:val="BodyText"/>
              <w:keepNext/>
              <w:spacing w:after="0"/>
              <w:jc w:val="center"/>
              <w:rPr>
                <w:sz w:val="20"/>
                <w:szCs w:val="20"/>
              </w:rPr>
            </w:pPr>
            <w:r w:rsidRPr="00D84ECC">
              <w:rPr>
                <w:sz w:val="20"/>
                <w:szCs w:val="20"/>
              </w:rPr>
              <w:t>Focus Group Time Per Participant</w:t>
            </w:r>
          </w:p>
        </w:tc>
        <w:tc>
          <w:tcPr>
            <w:tcW w:w="1541" w:type="dxa"/>
            <w:vAlign w:val="center"/>
          </w:tcPr>
          <w:p w:rsidR="00627FAD" w:rsidRPr="00D84ECC" w:rsidRDefault="009F6058" w:rsidP="00D84ECC">
            <w:pPr>
              <w:pStyle w:val="BodyText"/>
              <w:keepNext/>
              <w:spacing w:after="0"/>
              <w:jc w:val="center"/>
              <w:rPr>
                <w:sz w:val="20"/>
                <w:szCs w:val="20"/>
              </w:rPr>
            </w:pPr>
            <w:r w:rsidRPr="00D84ECC">
              <w:rPr>
                <w:sz w:val="20"/>
                <w:szCs w:val="20"/>
              </w:rPr>
              <w:t>Total Burden All Participants</w:t>
            </w:r>
          </w:p>
        </w:tc>
      </w:tr>
      <w:tr w:rsidR="009F6058" w:rsidRPr="00D84ECC" w:rsidTr="00842938">
        <w:trPr>
          <w:cantSplit/>
          <w:jc w:val="center"/>
        </w:trPr>
        <w:tc>
          <w:tcPr>
            <w:tcW w:w="1350" w:type="dxa"/>
            <w:vAlign w:val="center"/>
          </w:tcPr>
          <w:p w:rsidR="009F6058" w:rsidRPr="00D84ECC" w:rsidRDefault="009F6058" w:rsidP="00D84ECC">
            <w:pPr>
              <w:pStyle w:val="BodyText"/>
              <w:keepNext/>
              <w:spacing w:after="0"/>
              <w:jc w:val="center"/>
              <w:rPr>
                <w:sz w:val="20"/>
                <w:szCs w:val="20"/>
              </w:rPr>
            </w:pPr>
            <w:r w:rsidRPr="00D84ECC">
              <w:rPr>
                <w:sz w:val="20"/>
                <w:szCs w:val="20"/>
              </w:rPr>
              <w:t>6</w:t>
            </w:r>
          </w:p>
        </w:tc>
        <w:tc>
          <w:tcPr>
            <w:tcW w:w="1530" w:type="dxa"/>
            <w:vAlign w:val="center"/>
          </w:tcPr>
          <w:p w:rsidR="009F6058" w:rsidRPr="00D84ECC" w:rsidRDefault="009F6058" w:rsidP="00D84ECC">
            <w:pPr>
              <w:pStyle w:val="BodyText"/>
              <w:keepNext/>
              <w:spacing w:after="0"/>
              <w:jc w:val="center"/>
              <w:rPr>
                <w:sz w:val="20"/>
                <w:szCs w:val="20"/>
              </w:rPr>
            </w:pPr>
            <w:r w:rsidRPr="00D84ECC">
              <w:rPr>
                <w:sz w:val="20"/>
                <w:szCs w:val="20"/>
              </w:rPr>
              <w:t>15</w:t>
            </w:r>
          </w:p>
        </w:tc>
        <w:tc>
          <w:tcPr>
            <w:tcW w:w="1800" w:type="dxa"/>
            <w:vAlign w:val="center"/>
          </w:tcPr>
          <w:p w:rsidR="009F6058" w:rsidRPr="00D84ECC" w:rsidRDefault="009F6058" w:rsidP="00D84ECC">
            <w:pPr>
              <w:pStyle w:val="BodyText"/>
              <w:keepNext/>
              <w:spacing w:after="0"/>
              <w:jc w:val="center"/>
              <w:rPr>
                <w:sz w:val="20"/>
                <w:szCs w:val="20"/>
              </w:rPr>
            </w:pPr>
            <w:r w:rsidRPr="00D84ECC">
              <w:rPr>
                <w:sz w:val="20"/>
                <w:szCs w:val="20"/>
              </w:rPr>
              <w:t>90</w:t>
            </w:r>
          </w:p>
        </w:tc>
        <w:tc>
          <w:tcPr>
            <w:tcW w:w="2070" w:type="dxa"/>
            <w:vAlign w:val="center"/>
          </w:tcPr>
          <w:p w:rsidR="009F6058" w:rsidRPr="00D84ECC" w:rsidRDefault="009F6058" w:rsidP="00D84ECC">
            <w:pPr>
              <w:pStyle w:val="BodyText"/>
              <w:keepNext/>
              <w:spacing w:after="0"/>
              <w:jc w:val="center"/>
              <w:rPr>
                <w:sz w:val="20"/>
                <w:szCs w:val="20"/>
              </w:rPr>
            </w:pPr>
            <w:r w:rsidRPr="00D84ECC">
              <w:rPr>
                <w:sz w:val="20"/>
                <w:szCs w:val="20"/>
              </w:rPr>
              <w:t>1.5 Hours</w:t>
            </w:r>
          </w:p>
        </w:tc>
        <w:tc>
          <w:tcPr>
            <w:tcW w:w="1541" w:type="dxa"/>
            <w:vAlign w:val="center"/>
          </w:tcPr>
          <w:p w:rsidR="009F6058" w:rsidRPr="00D84ECC" w:rsidRDefault="009F6058" w:rsidP="00D84ECC">
            <w:pPr>
              <w:pStyle w:val="BodyText"/>
              <w:keepNext/>
              <w:spacing w:after="0"/>
              <w:jc w:val="center"/>
              <w:rPr>
                <w:sz w:val="20"/>
                <w:szCs w:val="20"/>
              </w:rPr>
            </w:pPr>
            <w:r w:rsidRPr="00D84ECC">
              <w:rPr>
                <w:sz w:val="20"/>
                <w:szCs w:val="20"/>
              </w:rPr>
              <w:t>135 Hours</w:t>
            </w:r>
          </w:p>
        </w:tc>
      </w:tr>
    </w:tbl>
    <w:p w:rsidR="00A75CAC" w:rsidRDefault="00A75CAC" w:rsidP="00D84ECC">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1800"/>
        <w:gridCol w:w="2031"/>
      </w:tblGrid>
      <w:tr w:rsidR="00C66F07" w:rsidRPr="00D84ECC" w:rsidTr="002A1C94">
        <w:trPr>
          <w:jc w:val="center"/>
        </w:trPr>
        <w:tc>
          <w:tcPr>
            <w:tcW w:w="5400" w:type="dxa"/>
            <w:gridSpan w:val="3"/>
          </w:tcPr>
          <w:p w:rsidR="00C66F07" w:rsidRPr="00D84ECC" w:rsidRDefault="00C66F07" w:rsidP="00D84ECC">
            <w:pPr>
              <w:pStyle w:val="BodyText"/>
              <w:spacing w:after="0"/>
              <w:jc w:val="center"/>
              <w:rPr>
                <w:b/>
              </w:rPr>
            </w:pPr>
            <w:r w:rsidRPr="00D84ECC">
              <w:rPr>
                <w:b/>
              </w:rPr>
              <w:lastRenderedPageBreak/>
              <w:t>Partnership Interviews</w:t>
            </w:r>
          </w:p>
        </w:tc>
      </w:tr>
      <w:tr w:rsidR="00C66F07" w:rsidRPr="00D84ECC" w:rsidTr="002A1C94">
        <w:trPr>
          <w:jc w:val="center"/>
        </w:trPr>
        <w:tc>
          <w:tcPr>
            <w:tcW w:w="1569" w:type="dxa"/>
          </w:tcPr>
          <w:p w:rsidR="00627FAD" w:rsidRPr="00D84ECC" w:rsidRDefault="00783BF6" w:rsidP="00D84ECC">
            <w:pPr>
              <w:pStyle w:val="BodyText"/>
              <w:spacing w:after="0"/>
              <w:jc w:val="center"/>
              <w:rPr>
                <w:sz w:val="20"/>
                <w:szCs w:val="20"/>
              </w:rPr>
            </w:pPr>
            <w:r w:rsidRPr="00D84ECC">
              <w:rPr>
                <w:sz w:val="20"/>
                <w:szCs w:val="20"/>
              </w:rPr>
              <w:t>Number of Respondents</w:t>
            </w:r>
          </w:p>
        </w:tc>
        <w:tc>
          <w:tcPr>
            <w:tcW w:w="1800" w:type="dxa"/>
          </w:tcPr>
          <w:p w:rsidR="00627FAD" w:rsidRPr="00D84ECC" w:rsidRDefault="00783BF6" w:rsidP="00D84ECC">
            <w:pPr>
              <w:pStyle w:val="BodyText"/>
              <w:spacing w:after="0"/>
              <w:jc w:val="center"/>
              <w:rPr>
                <w:sz w:val="20"/>
                <w:szCs w:val="20"/>
              </w:rPr>
            </w:pPr>
            <w:r w:rsidRPr="00D84ECC">
              <w:rPr>
                <w:sz w:val="20"/>
                <w:szCs w:val="20"/>
              </w:rPr>
              <w:t>Interview Time Per Respondent</w:t>
            </w:r>
          </w:p>
        </w:tc>
        <w:tc>
          <w:tcPr>
            <w:tcW w:w="2031" w:type="dxa"/>
          </w:tcPr>
          <w:p w:rsidR="00627FAD" w:rsidRPr="00D84ECC" w:rsidRDefault="00783BF6" w:rsidP="00D84ECC">
            <w:pPr>
              <w:pStyle w:val="BodyText"/>
              <w:spacing w:after="0"/>
              <w:jc w:val="center"/>
              <w:rPr>
                <w:sz w:val="20"/>
                <w:szCs w:val="20"/>
              </w:rPr>
            </w:pPr>
            <w:r w:rsidRPr="00D84ECC">
              <w:rPr>
                <w:sz w:val="20"/>
                <w:szCs w:val="20"/>
              </w:rPr>
              <w:t>Total Burden All Participants</w:t>
            </w:r>
          </w:p>
        </w:tc>
      </w:tr>
      <w:tr w:rsidR="00C66F07" w:rsidRPr="00D84ECC" w:rsidTr="002A1C94">
        <w:trPr>
          <w:jc w:val="center"/>
        </w:trPr>
        <w:tc>
          <w:tcPr>
            <w:tcW w:w="1569" w:type="dxa"/>
          </w:tcPr>
          <w:p w:rsidR="00C66F07" w:rsidRPr="00D84ECC" w:rsidRDefault="00C66F07" w:rsidP="00D84ECC">
            <w:pPr>
              <w:pStyle w:val="BodyText"/>
              <w:spacing w:after="0"/>
              <w:jc w:val="center"/>
              <w:rPr>
                <w:sz w:val="20"/>
                <w:szCs w:val="20"/>
              </w:rPr>
            </w:pPr>
            <w:r w:rsidRPr="00D84ECC">
              <w:rPr>
                <w:sz w:val="20"/>
                <w:szCs w:val="20"/>
              </w:rPr>
              <w:t>30</w:t>
            </w:r>
          </w:p>
        </w:tc>
        <w:tc>
          <w:tcPr>
            <w:tcW w:w="1800" w:type="dxa"/>
          </w:tcPr>
          <w:p w:rsidR="00C66F07" w:rsidRPr="00D84ECC" w:rsidRDefault="00BB0109" w:rsidP="00D84ECC">
            <w:pPr>
              <w:pStyle w:val="BodyText"/>
              <w:spacing w:after="0"/>
              <w:jc w:val="center"/>
              <w:rPr>
                <w:sz w:val="20"/>
                <w:szCs w:val="20"/>
              </w:rPr>
            </w:pPr>
            <w:r w:rsidRPr="00D84ECC">
              <w:rPr>
                <w:sz w:val="20"/>
                <w:szCs w:val="20"/>
              </w:rPr>
              <w:t xml:space="preserve">0.5 </w:t>
            </w:r>
            <w:r w:rsidR="00C66F07" w:rsidRPr="00D84ECC">
              <w:rPr>
                <w:sz w:val="20"/>
                <w:szCs w:val="20"/>
              </w:rPr>
              <w:t>Hour</w:t>
            </w:r>
          </w:p>
        </w:tc>
        <w:tc>
          <w:tcPr>
            <w:tcW w:w="2031" w:type="dxa"/>
          </w:tcPr>
          <w:p w:rsidR="00C66F07" w:rsidRPr="00D84ECC" w:rsidRDefault="00BB0109" w:rsidP="00D84ECC">
            <w:pPr>
              <w:pStyle w:val="BodyText"/>
              <w:spacing w:after="0"/>
              <w:jc w:val="center"/>
              <w:rPr>
                <w:sz w:val="20"/>
                <w:szCs w:val="20"/>
              </w:rPr>
            </w:pPr>
            <w:r w:rsidRPr="00D84ECC">
              <w:rPr>
                <w:sz w:val="20"/>
                <w:szCs w:val="20"/>
              </w:rPr>
              <w:t xml:space="preserve">15 </w:t>
            </w:r>
            <w:r w:rsidR="00C66F07" w:rsidRPr="00D84ECC">
              <w:rPr>
                <w:sz w:val="20"/>
                <w:szCs w:val="20"/>
              </w:rPr>
              <w:t>Hours</w:t>
            </w:r>
          </w:p>
        </w:tc>
      </w:tr>
    </w:tbl>
    <w:p w:rsidR="00C66F07" w:rsidRPr="00B8767E" w:rsidRDefault="00C66F07" w:rsidP="00D84ECC">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0"/>
        <w:gridCol w:w="1187"/>
        <w:gridCol w:w="1398"/>
      </w:tblGrid>
      <w:tr w:rsidR="00C66F07" w:rsidRPr="00D84ECC" w:rsidTr="002A1C94">
        <w:trPr>
          <w:cantSplit/>
          <w:jc w:val="center"/>
        </w:trPr>
        <w:tc>
          <w:tcPr>
            <w:tcW w:w="0" w:type="auto"/>
            <w:gridSpan w:val="3"/>
          </w:tcPr>
          <w:p w:rsidR="00C66F07" w:rsidRPr="00D84ECC" w:rsidRDefault="00C66F07" w:rsidP="00D84ECC">
            <w:pPr>
              <w:pStyle w:val="BodyText"/>
              <w:spacing w:after="0"/>
              <w:jc w:val="center"/>
              <w:rPr>
                <w:b/>
              </w:rPr>
            </w:pPr>
            <w:r w:rsidRPr="00D84ECC">
              <w:rPr>
                <w:b/>
              </w:rPr>
              <w:t>Burden Summary</w:t>
            </w:r>
          </w:p>
        </w:tc>
      </w:tr>
      <w:tr w:rsidR="00C66F07" w:rsidRPr="00D84ECC" w:rsidTr="009F6058">
        <w:trPr>
          <w:cantSplit/>
          <w:jc w:val="center"/>
        </w:trPr>
        <w:tc>
          <w:tcPr>
            <w:tcW w:w="0" w:type="auto"/>
          </w:tcPr>
          <w:p w:rsidR="00C66F07" w:rsidRPr="00D84ECC" w:rsidRDefault="00C66F07" w:rsidP="00D84ECC">
            <w:pPr>
              <w:pStyle w:val="BodyText"/>
              <w:spacing w:after="0"/>
              <w:rPr>
                <w:i/>
                <w:sz w:val="20"/>
                <w:szCs w:val="20"/>
              </w:rPr>
            </w:pPr>
            <w:r w:rsidRPr="00D84ECC">
              <w:rPr>
                <w:i/>
                <w:sz w:val="20"/>
                <w:szCs w:val="20"/>
              </w:rPr>
              <w:t>Protocol</w:t>
            </w:r>
          </w:p>
        </w:tc>
        <w:tc>
          <w:tcPr>
            <w:tcW w:w="1187" w:type="dxa"/>
          </w:tcPr>
          <w:p w:rsidR="00C66F07" w:rsidRPr="00D84ECC" w:rsidRDefault="00C66F07" w:rsidP="00D84ECC">
            <w:pPr>
              <w:pStyle w:val="BodyText"/>
              <w:spacing w:after="0"/>
              <w:rPr>
                <w:i/>
                <w:sz w:val="20"/>
                <w:szCs w:val="20"/>
              </w:rPr>
            </w:pPr>
            <w:r w:rsidRPr="00D84ECC">
              <w:rPr>
                <w:i/>
                <w:sz w:val="20"/>
                <w:szCs w:val="20"/>
              </w:rPr>
              <w:t>Participants</w:t>
            </w:r>
          </w:p>
        </w:tc>
        <w:tc>
          <w:tcPr>
            <w:tcW w:w="1398" w:type="dxa"/>
          </w:tcPr>
          <w:p w:rsidR="00C66F07" w:rsidRPr="00D84ECC" w:rsidRDefault="00C66F07" w:rsidP="00D84ECC">
            <w:pPr>
              <w:pStyle w:val="BodyText"/>
              <w:spacing w:after="0"/>
              <w:rPr>
                <w:i/>
                <w:sz w:val="20"/>
                <w:szCs w:val="20"/>
              </w:rPr>
            </w:pPr>
            <w:r w:rsidRPr="00D84ECC">
              <w:rPr>
                <w:i/>
                <w:sz w:val="20"/>
                <w:szCs w:val="20"/>
              </w:rPr>
              <w:t>Total Burden</w:t>
            </w:r>
          </w:p>
        </w:tc>
      </w:tr>
      <w:tr w:rsidR="00C66F07" w:rsidRPr="00D84ECC" w:rsidTr="009F6058">
        <w:trPr>
          <w:cantSplit/>
          <w:jc w:val="center"/>
        </w:trPr>
        <w:tc>
          <w:tcPr>
            <w:tcW w:w="0" w:type="auto"/>
          </w:tcPr>
          <w:p w:rsidR="00C66F07" w:rsidRPr="00D84ECC" w:rsidRDefault="00C66F07" w:rsidP="00D84ECC">
            <w:pPr>
              <w:pStyle w:val="BodyText"/>
              <w:spacing w:after="0"/>
              <w:rPr>
                <w:sz w:val="20"/>
                <w:szCs w:val="20"/>
              </w:rPr>
            </w:pPr>
            <w:r w:rsidRPr="00D84ECC">
              <w:rPr>
                <w:sz w:val="20"/>
                <w:szCs w:val="20"/>
              </w:rPr>
              <w:t>Partnership Program Focus Groups</w:t>
            </w:r>
          </w:p>
        </w:tc>
        <w:tc>
          <w:tcPr>
            <w:tcW w:w="1187" w:type="dxa"/>
          </w:tcPr>
          <w:p w:rsidR="00C66F07" w:rsidRPr="00D84ECC" w:rsidRDefault="00DC64D1" w:rsidP="00D84ECC">
            <w:pPr>
              <w:pStyle w:val="BodyText"/>
              <w:spacing w:after="0"/>
              <w:rPr>
                <w:sz w:val="20"/>
                <w:szCs w:val="20"/>
              </w:rPr>
            </w:pPr>
            <w:r w:rsidRPr="00D84ECC">
              <w:rPr>
                <w:sz w:val="20"/>
                <w:szCs w:val="20"/>
              </w:rPr>
              <w:t>90</w:t>
            </w:r>
          </w:p>
        </w:tc>
        <w:tc>
          <w:tcPr>
            <w:tcW w:w="1398" w:type="dxa"/>
          </w:tcPr>
          <w:p w:rsidR="00C66F07" w:rsidRPr="00D84ECC" w:rsidRDefault="00DC64D1" w:rsidP="00D84ECC">
            <w:pPr>
              <w:pStyle w:val="BodyText"/>
              <w:spacing w:after="0"/>
              <w:rPr>
                <w:sz w:val="20"/>
                <w:szCs w:val="20"/>
              </w:rPr>
            </w:pPr>
            <w:r w:rsidRPr="00D84ECC">
              <w:rPr>
                <w:sz w:val="20"/>
                <w:szCs w:val="20"/>
              </w:rPr>
              <w:t>135</w:t>
            </w:r>
            <w:r w:rsidR="00E10A2A" w:rsidRPr="00D84ECC">
              <w:rPr>
                <w:sz w:val="20"/>
                <w:szCs w:val="20"/>
              </w:rPr>
              <w:t xml:space="preserve"> </w:t>
            </w:r>
            <w:r w:rsidR="00C66F07" w:rsidRPr="00D84ECC">
              <w:rPr>
                <w:sz w:val="20"/>
                <w:szCs w:val="20"/>
              </w:rPr>
              <w:t>Hours</w:t>
            </w:r>
          </w:p>
        </w:tc>
      </w:tr>
      <w:tr w:rsidR="00C66F07" w:rsidRPr="00D84ECC" w:rsidTr="009F6058">
        <w:trPr>
          <w:cantSplit/>
          <w:jc w:val="center"/>
        </w:trPr>
        <w:tc>
          <w:tcPr>
            <w:tcW w:w="0" w:type="auto"/>
          </w:tcPr>
          <w:p w:rsidR="00C66F07" w:rsidRPr="00D84ECC" w:rsidRDefault="00C66F07" w:rsidP="00D84ECC">
            <w:pPr>
              <w:pStyle w:val="BodyText"/>
              <w:spacing w:after="0"/>
              <w:rPr>
                <w:sz w:val="20"/>
                <w:szCs w:val="20"/>
              </w:rPr>
            </w:pPr>
            <w:r w:rsidRPr="00D84ECC">
              <w:rPr>
                <w:sz w:val="20"/>
                <w:szCs w:val="20"/>
              </w:rPr>
              <w:t>Partnership Program Interviews</w:t>
            </w:r>
          </w:p>
        </w:tc>
        <w:tc>
          <w:tcPr>
            <w:tcW w:w="1187" w:type="dxa"/>
          </w:tcPr>
          <w:p w:rsidR="00C66F07" w:rsidRPr="00D84ECC" w:rsidRDefault="00C66F07" w:rsidP="00D84ECC">
            <w:pPr>
              <w:pStyle w:val="BodyText"/>
              <w:spacing w:after="0"/>
              <w:rPr>
                <w:sz w:val="20"/>
                <w:szCs w:val="20"/>
              </w:rPr>
            </w:pPr>
            <w:r w:rsidRPr="00D84ECC">
              <w:rPr>
                <w:sz w:val="20"/>
                <w:szCs w:val="20"/>
              </w:rPr>
              <w:t>30</w:t>
            </w:r>
          </w:p>
        </w:tc>
        <w:tc>
          <w:tcPr>
            <w:tcW w:w="1398" w:type="dxa"/>
          </w:tcPr>
          <w:p w:rsidR="00C66F07" w:rsidRPr="00D84ECC" w:rsidRDefault="00E549E5" w:rsidP="00D84ECC">
            <w:pPr>
              <w:pStyle w:val="BodyText"/>
              <w:spacing w:after="0"/>
              <w:rPr>
                <w:sz w:val="20"/>
                <w:szCs w:val="20"/>
              </w:rPr>
            </w:pPr>
            <w:r w:rsidRPr="00D84ECC">
              <w:rPr>
                <w:sz w:val="20"/>
                <w:szCs w:val="20"/>
              </w:rPr>
              <w:t xml:space="preserve">15 </w:t>
            </w:r>
            <w:r w:rsidR="00C66F07" w:rsidRPr="00D84ECC">
              <w:rPr>
                <w:sz w:val="20"/>
                <w:szCs w:val="20"/>
              </w:rPr>
              <w:t>Hours</w:t>
            </w:r>
          </w:p>
        </w:tc>
      </w:tr>
      <w:tr w:rsidR="00C66F07" w:rsidRPr="00D84ECC" w:rsidTr="009F6058">
        <w:trPr>
          <w:cantSplit/>
          <w:jc w:val="center"/>
        </w:trPr>
        <w:tc>
          <w:tcPr>
            <w:tcW w:w="0" w:type="auto"/>
          </w:tcPr>
          <w:p w:rsidR="00C66F07" w:rsidRPr="00D84ECC" w:rsidRDefault="00C66F07" w:rsidP="00D84ECC">
            <w:pPr>
              <w:pStyle w:val="BodyText"/>
              <w:spacing w:after="0"/>
              <w:rPr>
                <w:sz w:val="20"/>
                <w:szCs w:val="20"/>
              </w:rPr>
            </w:pPr>
            <w:r w:rsidRPr="00D84ECC">
              <w:rPr>
                <w:sz w:val="20"/>
                <w:szCs w:val="20"/>
              </w:rPr>
              <w:t xml:space="preserve">Grand Total </w:t>
            </w:r>
          </w:p>
        </w:tc>
        <w:tc>
          <w:tcPr>
            <w:tcW w:w="1187" w:type="dxa"/>
          </w:tcPr>
          <w:p w:rsidR="00C66F07" w:rsidRPr="00D84ECC" w:rsidRDefault="009F6058" w:rsidP="00D84ECC">
            <w:pPr>
              <w:pStyle w:val="BodyText"/>
              <w:spacing w:after="0"/>
              <w:rPr>
                <w:sz w:val="20"/>
                <w:szCs w:val="20"/>
              </w:rPr>
            </w:pPr>
            <w:r w:rsidRPr="00D84ECC">
              <w:rPr>
                <w:sz w:val="20"/>
                <w:szCs w:val="20"/>
              </w:rPr>
              <w:t>120</w:t>
            </w:r>
          </w:p>
        </w:tc>
        <w:tc>
          <w:tcPr>
            <w:tcW w:w="1398" w:type="dxa"/>
          </w:tcPr>
          <w:p w:rsidR="00C66F07" w:rsidRPr="00D84ECC" w:rsidRDefault="009F6058" w:rsidP="00D84ECC">
            <w:pPr>
              <w:pStyle w:val="BodyText"/>
              <w:spacing w:after="0"/>
              <w:rPr>
                <w:sz w:val="20"/>
                <w:szCs w:val="20"/>
              </w:rPr>
            </w:pPr>
            <w:r w:rsidRPr="00D84ECC">
              <w:rPr>
                <w:sz w:val="20"/>
                <w:szCs w:val="20"/>
              </w:rPr>
              <w:t>150 Hours</w:t>
            </w:r>
          </w:p>
        </w:tc>
      </w:tr>
    </w:tbl>
    <w:p w:rsidR="00627FAD" w:rsidRDefault="006026EF">
      <w:pPr>
        <w:pStyle w:val="BodyText"/>
        <w:spacing w:before="200"/>
      </w:pPr>
      <w:r>
        <w:t xml:space="preserve">The estimated cost burden to participants and respondents are listed in the tables below. </w:t>
      </w:r>
    </w:p>
    <w:p w:rsidR="00627FAD" w:rsidRDefault="006026EF">
      <w:pPr>
        <w:pStyle w:val="BodyText"/>
      </w:pPr>
      <w:proofErr w:type="gramStart"/>
      <w:r>
        <w:t xml:space="preserve">The cost burden for the Partnership Program focus groups and interviews is </w:t>
      </w:r>
      <w:r w:rsidRPr="006026EF">
        <w:t>calculated based on per-hour median wage obtained from the U.S. Bureau of Labor Statistics, May 2009 National Occupational Employment and Wage Estimates for “Managers, All Other” ($44.52 median hourly wage); downloaded on January 13, 2011 from http://www.bls.gov/oes/current/oes_nat.htm#11-0000</w:t>
      </w:r>
      <w:r w:rsidR="004A2ED8">
        <w:t>,</w:t>
      </w:r>
      <w:r w:rsidRPr="006026EF">
        <w:t xml:space="preserve"> with 50% per hour added as an average overhead rate f</w:t>
      </w:r>
      <w:r w:rsidR="004A2ED8">
        <w:t>or benefits and taxes.</w:t>
      </w:r>
      <w:proofErr w:type="gramEnd"/>
      <w:r w:rsidR="004A2ED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9"/>
        <w:gridCol w:w="2104"/>
        <w:gridCol w:w="1830"/>
      </w:tblGrid>
      <w:tr w:rsidR="006026EF" w:rsidRPr="00D84ECC" w:rsidTr="006026EF">
        <w:trPr>
          <w:cantSplit/>
          <w:jc w:val="center"/>
        </w:trPr>
        <w:tc>
          <w:tcPr>
            <w:tcW w:w="0" w:type="auto"/>
            <w:gridSpan w:val="3"/>
            <w:shd w:val="clear" w:color="auto" w:fill="auto"/>
            <w:vAlign w:val="center"/>
          </w:tcPr>
          <w:p w:rsidR="006026EF" w:rsidRPr="00D84ECC" w:rsidRDefault="006026EF" w:rsidP="00D84ECC">
            <w:pPr>
              <w:pStyle w:val="BodyText"/>
              <w:spacing w:after="0"/>
              <w:jc w:val="center"/>
              <w:rPr>
                <w:b/>
              </w:rPr>
            </w:pPr>
            <w:r w:rsidRPr="00D84ECC">
              <w:rPr>
                <w:b/>
              </w:rPr>
              <w:t>Partnership Program Focus Group Protocol</w:t>
            </w:r>
          </w:p>
        </w:tc>
      </w:tr>
      <w:tr w:rsidR="006026EF" w:rsidRPr="009F6058" w:rsidTr="006026EF">
        <w:trPr>
          <w:cantSplit/>
          <w:jc w:val="center"/>
        </w:trPr>
        <w:tc>
          <w:tcPr>
            <w:tcW w:w="0" w:type="auto"/>
            <w:shd w:val="clear" w:color="auto" w:fill="auto"/>
            <w:vAlign w:val="center"/>
          </w:tcPr>
          <w:p w:rsidR="00627FAD" w:rsidRDefault="00783BF6" w:rsidP="00D84ECC">
            <w:pPr>
              <w:pStyle w:val="BodyText"/>
              <w:spacing w:after="0"/>
              <w:jc w:val="center"/>
              <w:rPr>
                <w:sz w:val="20"/>
              </w:rPr>
            </w:pPr>
            <w:r w:rsidRPr="00783BF6">
              <w:rPr>
                <w:sz w:val="20"/>
              </w:rPr>
              <w:t>Number of Respondents</w:t>
            </w:r>
          </w:p>
        </w:tc>
        <w:tc>
          <w:tcPr>
            <w:tcW w:w="0" w:type="auto"/>
            <w:shd w:val="clear" w:color="auto" w:fill="auto"/>
            <w:vAlign w:val="center"/>
          </w:tcPr>
          <w:p w:rsidR="00627FAD" w:rsidRDefault="00783BF6" w:rsidP="00D84ECC">
            <w:pPr>
              <w:pStyle w:val="BodyText"/>
              <w:spacing w:after="0"/>
              <w:jc w:val="center"/>
              <w:rPr>
                <w:sz w:val="20"/>
              </w:rPr>
            </w:pPr>
            <w:r w:rsidRPr="00783BF6">
              <w:rPr>
                <w:sz w:val="20"/>
              </w:rPr>
              <w:t>Frequency of Response</w:t>
            </w:r>
          </w:p>
        </w:tc>
        <w:tc>
          <w:tcPr>
            <w:tcW w:w="0" w:type="auto"/>
            <w:shd w:val="clear" w:color="auto" w:fill="auto"/>
            <w:vAlign w:val="center"/>
          </w:tcPr>
          <w:p w:rsidR="00627FAD" w:rsidRDefault="00783BF6" w:rsidP="00D84ECC">
            <w:pPr>
              <w:pStyle w:val="BodyText"/>
              <w:spacing w:after="0"/>
              <w:jc w:val="center"/>
              <w:rPr>
                <w:sz w:val="20"/>
              </w:rPr>
            </w:pPr>
            <w:r w:rsidRPr="00783BF6">
              <w:rPr>
                <w:sz w:val="20"/>
              </w:rPr>
              <w:t>Annual Cost Burden</w:t>
            </w:r>
          </w:p>
        </w:tc>
      </w:tr>
      <w:tr w:rsidR="006026EF" w:rsidRPr="009F6058" w:rsidTr="006026EF">
        <w:trPr>
          <w:cantSplit/>
          <w:jc w:val="center"/>
        </w:trPr>
        <w:tc>
          <w:tcPr>
            <w:tcW w:w="0" w:type="auto"/>
            <w:shd w:val="clear" w:color="auto" w:fill="auto"/>
            <w:vAlign w:val="center"/>
          </w:tcPr>
          <w:p w:rsidR="00627FAD" w:rsidRDefault="00783BF6" w:rsidP="00D84ECC">
            <w:pPr>
              <w:pStyle w:val="BodyText"/>
              <w:spacing w:after="0"/>
              <w:jc w:val="center"/>
              <w:rPr>
                <w:sz w:val="20"/>
              </w:rPr>
            </w:pPr>
            <w:r w:rsidRPr="00783BF6">
              <w:rPr>
                <w:sz w:val="20"/>
              </w:rPr>
              <w:t>90 respondents</w:t>
            </w:r>
          </w:p>
        </w:tc>
        <w:tc>
          <w:tcPr>
            <w:tcW w:w="0" w:type="auto"/>
            <w:shd w:val="clear" w:color="auto" w:fill="auto"/>
            <w:vAlign w:val="center"/>
          </w:tcPr>
          <w:p w:rsidR="00627FAD" w:rsidRDefault="00783BF6" w:rsidP="00D84ECC">
            <w:pPr>
              <w:pStyle w:val="BodyText"/>
              <w:spacing w:after="0"/>
              <w:jc w:val="center"/>
              <w:rPr>
                <w:sz w:val="20"/>
              </w:rPr>
            </w:pPr>
            <w:r w:rsidRPr="00783BF6">
              <w:rPr>
                <w:sz w:val="20"/>
              </w:rPr>
              <w:t>One time</w:t>
            </w:r>
          </w:p>
        </w:tc>
        <w:tc>
          <w:tcPr>
            <w:tcW w:w="0" w:type="auto"/>
            <w:shd w:val="clear" w:color="auto" w:fill="auto"/>
            <w:vAlign w:val="center"/>
          </w:tcPr>
          <w:p w:rsidR="00627FAD" w:rsidRDefault="00783BF6" w:rsidP="00D84ECC">
            <w:pPr>
              <w:pStyle w:val="BodyText"/>
              <w:spacing w:after="0"/>
              <w:jc w:val="center"/>
              <w:rPr>
                <w:sz w:val="20"/>
              </w:rPr>
            </w:pPr>
            <w:r w:rsidRPr="00783BF6">
              <w:rPr>
                <w:sz w:val="20"/>
              </w:rPr>
              <w:t>$9,015.30</w:t>
            </w:r>
          </w:p>
        </w:tc>
      </w:tr>
    </w:tbl>
    <w:p w:rsidR="006026EF" w:rsidRPr="00B8767E" w:rsidRDefault="006026EF" w:rsidP="00D84ECC">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9"/>
        <w:gridCol w:w="2104"/>
        <w:gridCol w:w="1830"/>
      </w:tblGrid>
      <w:tr w:rsidR="006026EF" w:rsidRPr="00D84ECC" w:rsidTr="006026EF">
        <w:trPr>
          <w:cantSplit/>
          <w:jc w:val="center"/>
        </w:trPr>
        <w:tc>
          <w:tcPr>
            <w:tcW w:w="0" w:type="auto"/>
            <w:gridSpan w:val="3"/>
            <w:shd w:val="clear" w:color="auto" w:fill="auto"/>
          </w:tcPr>
          <w:p w:rsidR="00783BF6" w:rsidRPr="00D84ECC" w:rsidRDefault="006026EF" w:rsidP="00D84ECC">
            <w:pPr>
              <w:pStyle w:val="BodyText"/>
              <w:spacing w:after="0"/>
              <w:jc w:val="center"/>
              <w:rPr>
                <w:b/>
              </w:rPr>
            </w:pPr>
            <w:r w:rsidRPr="00D84ECC">
              <w:rPr>
                <w:b/>
              </w:rPr>
              <w:t>Partnership Telephone Interview</w:t>
            </w:r>
          </w:p>
        </w:tc>
      </w:tr>
      <w:tr w:rsidR="006026EF" w:rsidRPr="009F6058" w:rsidTr="006026EF">
        <w:trPr>
          <w:cantSplit/>
          <w:jc w:val="center"/>
        </w:trPr>
        <w:tc>
          <w:tcPr>
            <w:tcW w:w="0" w:type="auto"/>
            <w:shd w:val="clear" w:color="auto" w:fill="auto"/>
          </w:tcPr>
          <w:p w:rsidR="00627FAD" w:rsidRDefault="00783BF6" w:rsidP="00D84ECC">
            <w:pPr>
              <w:pStyle w:val="BodyText"/>
              <w:spacing w:after="0"/>
              <w:jc w:val="center"/>
              <w:rPr>
                <w:sz w:val="20"/>
              </w:rPr>
            </w:pPr>
            <w:r w:rsidRPr="00783BF6">
              <w:rPr>
                <w:sz w:val="20"/>
              </w:rPr>
              <w:t>Number of Respondents</w:t>
            </w:r>
          </w:p>
        </w:tc>
        <w:tc>
          <w:tcPr>
            <w:tcW w:w="0" w:type="auto"/>
            <w:shd w:val="clear" w:color="auto" w:fill="auto"/>
          </w:tcPr>
          <w:p w:rsidR="00627FAD" w:rsidRDefault="00783BF6" w:rsidP="00D84ECC">
            <w:pPr>
              <w:pStyle w:val="BodyText"/>
              <w:spacing w:after="0"/>
              <w:jc w:val="center"/>
              <w:rPr>
                <w:sz w:val="20"/>
              </w:rPr>
            </w:pPr>
            <w:r w:rsidRPr="00783BF6">
              <w:rPr>
                <w:sz w:val="20"/>
              </w:rPr>
              <w:t>Frequency of Response</w:t>
            </w:r>
          </w:p>
        </w:tc>
        <w:tc>
          <w:tcPr>
            <w:tcW w:w="0" w:type="auto"/>
            <w:shd w:val="clear" w:color="auto" w:fill="auto"/>
          </w:tcPr>
          <w:p w:rsidR="00627FAD" w:rsidRDefault="00783BF6" w:rsidP="00D84ECC">
            <w:pPr>
              <w:pStyle w:val="BodyText"/>
              <w:spacing w:after="0"/>
              <w:jc w:val="center"/>
              <w:rPr>
                <w:sz w:val="20"/>
              </w:rPr>
            </w:pPr>
            <w:r w:rsidRPr="00783BF6">
              <w:rPr>
                <w:sz w:val="20"/>
              </w:rPr>
              <w:t>Annual Cost Burden</w:t>
            </w:r>
          </w:p>
        </w:tc>
      </w:tr>
      <w:tr w:rsidR="006026EF" w:rsidRPr="009F6058" w:rsidTr="006026EF">
        <w:trPr>
          <w:cantSplit/>
          <w:jc w:val="center"/>
        </w:trPr>
        <w:tc>
          <w:tcPr>
            <w:tcW w:w="0" w:type="auto"/>
            <w:shd w:val="clear" w:color="auto" w:fill="auto"/>
          </w:tcPr>
          <w:p w:rsidR="00627FAD" w:rsidRDefault="00783BF6" w:rsidP="00D84ECC">
            <w:pPr>
              <w:pStyle w:val="BodyText"/>
              <w:spacing w:after="0"/>
              <w:jc w:val="center"/>
              <w:rPr>
                <w:sz w:val="20"/>
              </w:rPr>
            </w:pPr>
            <w:r w:rsidRPr="00783BF6">
              <w:rPr>
                <w:sz w:val="20"/>
              </w:rPr>
              <w:t>30 respondents</w:t>
            </w:r>
          </w:p>
        </w:tc>
        <w:tc>
          <w:tcPr>
            <w:tcW w:w="0" w:type="auto"/>
            <w:shd w:val="clear" w:color="auto" w:fill="auto"/>
          </w:tcPr>
          <w:p w:rsidR="00627FAD" w:rsidRDefault="00783BF6" w:rsidP="00D84ECC">
            <w:pPr>
              <w:pStyle w:val="BodyText"/>
              <w:spacing w:after="0"/>
              <w:jc w:val="center"/>
              <w:rPr>
                <w:sz w:val="20"/>
              </w:rPr>
            </w:pPr>
            <w:r w:rsidRPr="00783BF6">
              <w:rPr>
                <w:sz w:val="20"/>
              </w:rPr>
              <w:t>One time</w:t>
            </w:r>
          </w:p>
        </w:tc>
        <w:tc>
          <w:tcPr>
            <w:tcW w:w="0" w:type="auto"/>
            <w:shd w:val="clear" w:color="auto" w:fill="auto"/>
          </w:tcPr>
          <w:p w:rsidR="00627FAD" w:rsidRDefault="00783BF6" w:rsidP="00D84ECC">
            <w:pPr>
              <w:pStyle w:val="BodyText"/>
              <w:spacing w:after="0"/>
              <w:jc w:val="center"/>
              <w:rPr>
                <w:sz w:val="20"/>
              </w:rPr>
            </w:pPr>
            <w:r w:rsidRPr="00783BF6">
              <w:rPr>
                <w:sz w:val="20"/>
              </w:rPr>
              <w:t>$1,001.70</w:t>
            </w:r>
          </w:p>
        </w:tc>
      </w:tr>
    </w:tbl>
    <w:p w:rsidR="00783BF6" w:rsidRDefault="006E69D3" w:rsidP="00783BF6">
      <w:pPr>
        <w:pStyle w:val="BodyText"/>
        <w:spacing w:before="200"/>
      </w:pPr>
      <w:r>
        <w:t>Total cost burden: $</w:t>
      </w:r>
      <w:r w:rsidR="009F6058">
        <w:t>10</w:t>
      </w:r>
      <w:r w:rsidR="006B4C64">
        <w:t>,</w:t>
      </w:r>
      <w:r w:rsidR="009F6058">
        <w:t>017</w:t>
      </w:r>
      <w:r w:rsidR="006B4C64">
        <w:t>.</w:t>
      </w:r>
      <w:r w:rsidR="009F6058">
        <w:t>00</w:t>
      </w:r>
    </w:p>
    <w:p w:rsidR="006E69D3" w:rsidRPr="00104C40" w:rsidRDefault="00104C40" w:rsidP="00696FCF">
      <w:pPr>
        <w:pStyle w:val="BodyText"/>
        <w:spacing w:after="0"/>
        <w:rPr>
          <w:b/>
          <w:i/>
          <w:u w:val="single"/>
        </w:rPr>
      </w:pPr>
      <w:r w:rsidRPr="00104C40">
        <w:rPr>
          <w:b/>
          <w:i/>
          <w:u w:val="single"/>
        </w:rPr>
        <w:t>13. Estimate of Cost Burden</w:t>
      </w:r>
    </w:p>
    <w:bookmarkEnd w:id="3"/>
    <w:p w:rsidR="00627FAD" w:rsidRDefault="0003388C">
      <w:pPr>
        <w:pStyle w:val="BodyText"/>
        <w:spacing w:before="200"/>
      </w:pPr>
      <w:r w:rsidRPr="0003388C">
        <w:t>There are no costs to respondents other than that of their time to respond.</w:t>
      </w:r>
    </w:p>
    <w:p w:rsidR="006E69D3" w:rsidRPr="00104C40" w:rsidRDefault="00104C40" w:rsidP="00696FCF">
      <w:pPr>
        <w:pStyle w:val="BodyText"/>
        <w:spacing w:after="0"/>
        <w:rPr>
          <w:b/>
          <w:i/>
          <w:u w:val="single"/>
        </w:rPr>
      </w:pPr>
      <w:r w:rsidRPr="00104C40">
        <w:rPr>
          <w:b/>
          <w:i/>
          <w:u w:val="single"/>
        </w:rPr>
        <w:t>14. Cost to Federal Government</w:t>
      </w:r>
    </w:p>
    <w:p w:rsidR="00627FAD" w:rsidRDefault="0003388C">
      <w:pPr>
        <w:pStyle w:val="BodyText"/>
        <w:spacing w:before="200"/>
      </w:pPr>
      <w:r>
        <w:t xml:space="preserve">An estimate of costs to the </w:t>
      </w:r>
      <w:r w:rsidR="00696FCF">
        <w:t>Census</w:t>
      </w:r>
      <w:r>
        <w:t xml:space="preserve"> Bureau is </w:t>
      </w:r>
      <w:r w:rsidR="0014181A">
        <w:t>$</w:t>
      </w:r>
      <w:r w:rsidR="009F6058">
        <w:t>124,919</w:t>
      </w:r>
      <w:r>
        <w:t xml:space="preserve">. </w:t>
      </w:r>
    </w:p>
    <w:p w:rsidR="00FC449D" w:rsidRDefault="00FC449D" w:rsidP="006E69D3">
      <w:pPr>
        <w:pStyle w:val="BodyText"/>
      </w:pPr>
      <w:r>
        <w:t xml:space="preserve">Except payments to respondents, the costs above are estimates of the labor cost required to conduct the activities related to this data collection. This is a one-time data collection so this cost will be incurred only once. </w:t>
      </w:r>
    </w:p>
    <w:p w:rsidR="006E69D3" w:rsidRPr="00104C40" w:rsidRDefault="00104C40" w:rsidP="00696FCF">
      <w:pPr>
        <w:pStyle w:val="BodyText"/>
        <w:spacing w:after="0"/>
        <w:rPr>
          <w:b/>
          <w:i/>
        </w:rPr>
      </w:pPr>
      <w:r w:rsidRPr="00104C40">
        <w:rPr>
          <w:b/>
          <w:i/>
          <w:color w:val="000000"/>
          <w:u w:val="single"/>
        </w:rPr>
        <w:t>15. Reason for Change in Burden</w:t>
      </w:r>
    </w:p>
    <w:p w:rsidR="00627FAD" w:rsidRDefault="006E69D3">
      <w:pPr>
        <w:pStyle w:val="BodyText"/>
        <w:spacing w:before="200"/>
      </w:pPr>
      <w:r>
        <w:t>Not applicable.</w:t>
      </w:r>
      <w:r w:rsidR="0014181A">
        <w:t xml:space="preserve"> This is a new collection request.</w:t>
      </w:r>
    </w:p>
    <w:p w:rsidR="006E69D3" w:rsidRPr="00104C40" w:rsidRDefault="00104C40" w:rsidP="00696FCF">
      <w:pPr>
        <w:pStyle w:val="BodyText"/>
        <w:spacing w:after="0"/>
        <w:rPr>
          <w:b/>
          <w:i/>
        </w:rPr>
      </w:pPr>
      <w:r w:rsidRPr="00104C40">
        <w:rPr>
          <w:b/>
          <w:i/>
          <w:color w:val="000000"/>
          <w:u w:val="single"/>
        </w:rPr>
        <w:t>16. Project Schedule</w:t>
      </w:r>
    </w:p>
    <w:p w:rsidR="00627FAD" w:rsidRDefault="00B62A27">
      <w:pPr>
        <w:pStyle w:val="BodyText"/>
        <w:spacing w:before="200"/>
      </w:pPr>
      <w:r>
        <w:t xml:space="preserve">To the extent consistent with </w:t>
      </w:r>
      <w:proofErr w:type="gramStart"/>
      <w:r>
        <w:t>Federal information disclosure law</w:t>
      </w:r>
      <w:proofErr w:type="gramEnd"/>
      <w:r>
        <w:t>, the Census Bureau does not intend to publish the results, and plans to use the results only for internal purposes.</w:t>
      </w:r>
    </w:p>
    <w:p w:rsidR="006E69D3" w:rsidRDefault="00FC449D" w:rsidP="006E69D3">
      <w:pPr>
        <w:pStyle w:val="BodyText"/>
      </w:pPr>
      <w:r>
        <w:rPr>
          <w:rFonts w:cs="Calibri"/>
        </w:rPr>
        <w:lastRenderedPageBreak/>
        <w:t xml:space="preserve">The </w:t>
      </w:r>
      <w:r w:rsidR="006E69D3">
        <w:t>schedule for the data collection</w:t>
      </w:r>
      <w:r>
        <w:t xml:space="preserve"> is provided in the Table below</w:t>
      </w:r>
      <w:r w:rsidR="006E69D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7"/>
        <w:gridCol w:w="4370"/>
      </w:tblGrid>
      <w:tr w:rsidR="00FC449D" w:rsidRPr="00D84ECC" w:rsidTr="001D2575">
        <w:trPr>
          <w:cantSplit/>
          <w:tblHeader/>
          <w:jc w:val="center"/>
        </w:trPr>
        <w:tc>
          <w:tcPr>
            <w:tcW w:w="0" w:type="auto"/>
            <w:shd w:val="clear" w:color="auto" w:fill="auto"/>
          </w:tcPr>
          <w:p w:rsidR="00FC449D" w:rsidRPr="00D84ECC" w:rsidRDefault="00FC449D" w:rsidP="00D84ECC">
            <w:pPr>
              <w:pStyle w:val="BodyText"/>
              <w:spacing w:after="0"/>
              <w:rPr>
                <w:b/>
              </w:rPr>
            </w:pPr>
            <w:r w:rsidRPr="00D84ECC">
              <w:rPr>
                <w:b/>
              </w:rPr>
              <w:t>Date</w:t>
            </w:r>
          </w:p>
        </w:tc>
        <w:tc>
          <w:tcPr>
            <w:tcW w:w="0" w:type="auto"/>
            <w:shd w:val="clear" w:color="auto" w:fill="auto"/>
          </w:tcPr>
          <w:p w:rsidR="00FC449D" w:rsidRPr="00D84ECC" w:rsidRDefault="00FC449D" w:rsidP="00D84ECC">
            <w:pPr>
              <w:pStyle w:val="BodyText"/>
              <w:spacing w:after="0"/>
              <w:rPr>
                <w:b/>
              </w:rPr>
            </w:pPr>
            <w:r w:rsidRPr="00D84ECC">
              <w:rPr>
                <w:b/>
              </w:rPr>
              <w:t>Action</w:t>
            </w:r>
          </w:p>
        </w:tc>
      </w:tr>
      <w:tr w:rsidR="00FC449D" w:rsidRPr="00B8767E" w:rsidTr="00FC449D">
        <w:trPr>
          <w:cantSplit/>
          <w:jc w:val="center"/>
        </w:trPr>
        <w:tc>
          <w:tcPr>
            <w:tcW w:w="0" w:type="auto"/>
            <w:shd w:val="clear" w:color="auto" w:fill="auto"/>
          </w:tcPr>
          <w:p w:rsidR="00FC449D" w:rsidRPr="00B8767E" w:rsidRDefault="00FC449D" w:rsidP="00D84ECC">
            <w:pPr>
              <w:pStyle w:val="BodyText"/>
              <w:spacing w:after="0"/>
            </w:pPr>
            <w:r w:rsidRPr="00B8767E">
              <w:t>May 31, 2011</w:t>
            </w:r>
          </w:p>
        </w:tc>
        <w:tc>
          <w:tcPr>
            <w:tcW w:w="0" w:type="auto"/>
            <w:shd w:val="clear" w:color="auto" w:fill="auto"/>
          </w:tcPr>
          <w:p w:rsidR="00FC449D" w:rsidRPr="00B8767E" w:rsidRDefault="00FC449D" w:rsidP="00D84ECC">
            <w:pPr>
              <w:pStyle w:val="BodyText"/>
              <w:spacing w:after="0"/>
            </w:pPr>
            <w:r w:rsidRPr="00B8767E">
              <w:t>Receive OMB approval</w:t>
            </w:r>
          </w:p>
        </w:tc>
      </w:tr>
      <w:tr w:rsidR="00FC449D" w:rsidRPr="00B8767E" w:rsidTr="00FC449D">
        <w:trPr>
          <w:cantSplit/>
          <w:jc w:val="center"/>
        </w:trPr>
        <w:tc>
          <w:tcPr>
            <w:tcW w:w="0" w:type="auto"/>
            <w:shd w:val="clear" w:color="auto" w:fill="auto"/>
          </w:tcPr>
          <w:p w:rsidR="00FC449D" w:rsidRPr="00B8767E" w:rsidRDefault="00FC449D" w:rsidP="00D84ECC">
            <w:pPr>
              <w:pStyle w:val="BodyText"/>
              <w:spacing w:after="0"/>
            </w:pPr>
            <w:r w:rsidRPr="00B8767E">
              <w:t>June 1, 2011</w:t>
            </w:r>
          </w:p>
        </w:tc>
        <w:tc>
          <w:tcPr>
            <w:tcW w:w="0" w:type="auto"/>
            <w:shd w:val="clear" w:color="auto" w:fill="auto"/>
          </w:tcPr>
          <w:p w:rsidR="00FC449D" w:rsidRPr="00B8767E" w:rsidRDefault="00FC449D" w:rsidP="00D84ECC">
            <w:pPr>
              <w:pStyle w:val="BodyText"/>
              <w:spacing w:after="0"/>
            </w:pPr>
            <w:r w:rsidRPr="00B8767E">
              <w:t>Begin data collection</w:t>
            </w:r>
          </w:p>
        </w:tc>
      </w:tr>
      <w:tr w:rsidR="00FC449D" w:rsidRPr="00B8767E" w:rsidTr="00FC449D">
        <w:trPr>
          <w:cantSplit/>
          <w:jc w:val="center"/>
        </w:trPr>
        <w:tc>
          <w:tcPr>
            <w:tcW w:w="0" w:type="auto"/>
            <w:shd w:val="clear" w:color="auto" w:fill="auto"/>
          </w:tcPr>
          <w:p w:rsidR="00FC449D" w:rsidRPr="00B8767E" w:rsidRDefault="00FC449D" w:rsidP="00D84ECC">
            <w:pPr>
              <w:pStyle w:val="BodyText"/>
              <w:spacing w:after="0"/>
            </w:pPr>
            <w:r w:rsidRPr="00B8767E">
              <w:t>June 15, 2011</w:t>
            </w:r>
          </w:p>
        </w:tc>
        <w:tc>
          <w:tcPr>
            <w:tcW w:w="0" w:type="auto"/>
            <w:shd w:val="clear" w:color="auto" w:fill="auto"/>
          </w:tcPr>
          <w:p w:rsidR="00FC449D" w:rsidRPr="00B8767E" w:rsidRDefault="00FC449D" w:rsidP="00D84ECC">
            <w:pPr>
              <w:pStyle w:val="BodyText"/>
              <w:spacing w:after="0"/>
            </w:pPr>
            <w:r w:rsidRPr="00B8767E">
              <w:t>Begin data analysis (initial groups / interviews)</w:t>
            </w:r>
          </w:p>
        </w:tc>
      </w:tr>
      <w:tr w:rsidR="00FC449D" w:rsidRPr="00B8767E" w:rsidTr="00FC449D">
        <w:trPr>
          <w:cantSplit/>
          <w:jc w:val="center"/>
        </w:trPr>
        <w:tc>
          <w:tcPr>
            <w:tcW w:w="0" w:type="auto"/>
            <w:shd w:val="clear" w:color="auto" w:fill="auto"/>
          </w:tcPr>
          <w:p w:rsidR="00FC449D" w:rsidRPr="00B8767E" w:rsidRDefault="00FC449D" w:rsidP="00D84ECC">
            <w:pPr>
              <w:pStyle w:val="BodyText"/>
              <w:spacing w:after="0"/>
            </w:pPr>
            <w:r w:rsidRPr="00B8767E">
              <w:t>July 29, 2011</w:t>
            </w:r>
          </w:p>
        </w:tc>
        <w:tc>
          <w:tcPr>
            <w:tcW w:w="0" w:type="auto"/>
            <w:shd w:val="clear" w:color="auto" w:fill="auto"/>
          </w:tcPr>
          <w:p w:rsidR="00FC449D" w:rsidRPr="00B8767E" w:rsidRDefault="00FC449D" w:rsidP="00D84ECC">
            <w:pPr>
              <w:pStyle w:val="BodyText"/>
              <w:spacing w:after="0"/>
            </w:pPr>
            <w:r w:rsidRPr="00B8767E">
              <w:t>Conclude data collection</w:t>
            </w:r>
          </w:p>
        </w:tc>
      </w:tr>
      <w:tr w:rsidR="00FC449D" w:rsidRPr="00B8767E" w:rsidTr="00FC449D">
        <w:trPr>
          <w:cantSplit/>
          <w:jc w:val="center"/>
        </w:trPr>
        <w:tc>
          <w:tcPr>
            <w:tcW w:w="0" w:type="auto"/>
            <w:shd w:val="clear" w:color="auto" w:fill="auto"/>
          </w:tcPr>
          <w:p w:rsidR="00FC449D" w:rsidRPr="00B8767E" w:rsidRDefault="00FC449D" w:rsidP="00D84ECC">
            <w:pPr>
              <w:pStyle w:val="BodyText"/>
              <w:spacing w:after="0"/>
            </w:pPr>
            <w:r w:rsidRPr="00B8767E">
              <w:t>August 31, 2011</w:t>
            </w:r>
          </w:p>
        </w:tc>
        <w:tc>
          <w:tcPr>
            <w:tcW w:w="0" w:type="auto"/>
            <w:shd w:val="clear" w:color="auto" w:fill="auto"/>
          </w:tcPr>
          <w:p w:rsidR="00FC449D" w:rsidRPr="00B8767E" w:rsidRDefault="00FC449D" w:rsidP="00D84ECC">
            <w:pPr>
              <w:pStyle w:val="BodyText"/>
              <w:spacing w:after="0"/>
            </w:pPr>
            <w:r w:rsidRPr="00B8767E">
              <w:t>Conclude data analysis</w:t>
            </w:r>
          </w:p>
        </w:tc>
      </w:tr>
      <w:tr w:rsidR="00FC449D" w:rsidRPr="00B8767E" w:rsidTr="00FC449D">
        <w:trPr>
          <w:cantSplit/>
          <w:jc w:val="center"/>
        </w:trPr>
        <w:tc>
          <w:tcPr>
            <w:tcW w:w="0" w:type="auto"/>
            <w:shd w:val="clear" w:color="auto" w:fill="auto"/>
          </w:tcPr>
          <w:p w:rsidR="00FC449D" w:rsidRPr="00B8767E" w:rsidRDefault="00FC449D" w:rsidP="00D84ECC">
            <w:pPr>
              <w:pStyle w:val="BodyText"/>
              <w:spacing w:after="0"/>
            </w:pPr>
            <w:r w:rsidRPr="00B8767E">
              <w:t>September 15, 2011</w:t>
            </w:r>
          </w:p>
        </w:tc>
        <w:tc>
          <w:tcPr>
            <w:tcW w:w="0" w:type="auto"/>
            <w:shd w:val="clear" w:color="auto" w:fill="auto"/>
          </w:tcPr>
          <w:p w:rsidR="00FC449D" w:rsidRPr="00B8767E" w:rsidRDefault="00FC449D" w:rsidP="00D84ECC">
            <w:pPr>
              <w:pStyle w:val="BodyText"/>
              <w:spacing w:after="0"/>
            </w:pPr>
            <w:r w:rsidRPr="00B8767E">
              <w:t>Submit draft Report</w:t>
            </w:r>
          </w:p>
        </w:tc>
      </w:tr>
      <w:tr w:rsidR="00FC449D" w:rsidRPr="00B8767E" w:rsidTr="00FC449D">
        <w:trPr>
          <w:cantSplit/>
          <w:jc w:val="center"/>
        </w:trPr>
        <w:tc>
          <w:tcPr>
            <w:tcW w:w="0" w:type="auto"/>
            <w:shd w:val="clear" w:color="auto" w:fill="auto"/>
          </w:tcPr>
          <w:p w:rsidR="00FC449D" w:rsidRPr="00B8767E" w:rsidRDefault="00FC449D" w:rsidP="00D84ECC">
            <w:pPr>
              <w:pStyle w:val="BodyText"/>
              <w:spacing w:after="0"/>
            </w:pPr>
            <w:r w:rsidRPr="00B8767E">
              <w:t xml:space="preserve">September </w:t>
            </w:r>
            <w:r>
              <w:t>27</w:t>
            </w:r>
            <w:r w:rsidRPr="00B8767E">
              <w:t>, 2011</w:t>
            </w:r>
          </w:p>
        </w:tc>
        <w:tc>
          <w:tcPr>
            <w:tcW w:w="0" w:type="auto"/>
            <w:shd w:val="clear" w:color="auto" w:fill="auto"/>
          </w:tcPr>
          <w:p w:rsidR="00FC449D" w:rsidRPr="00B8767E" w:rsidRDefault="00FC449D" w:rsidP="00D84ECC">
            <w:pPr>
              <w:pStyle w:val="BodyText"/>
              <w:spacing w:after="0"/>
            </w:pPr>
            <w:r w:rsidRPr="00B8767E">
              <w:t>Submit final Report</w:t>
            </w:r>
          </w:p>
        </w:tc>
      </w:tr>
    </w:tbl>
    <w:p w:rsidR="00627FAD" w:rsidRDefault="00104C40">
      <w:pPr>
        <w:pStyle w:val="BodyText"/>
        <w:spacing w:before="200" w:after="0"/>
        <w:rPr>
          <w:b/>
          <w:i/>
        </w:rPr>
      </w:pPr>
      <w:r w:rsidRPr="00104C40">
        <w:rPr>
          <w:b/>
          <w:i/>
          <w:color w:val="000000"/>
          <w:u w:val="single"/>
        </w:rPr>
        <w:t>17. Request to Not Display Expiration Date</w:t>
      </w:r>
    </w:p>
    <w:p w:rsidR="00627FAD" w:rsidRDefault="0003388C">
      <w:pPr>
        <w:pStyle w:val="BodyText"/>
        <w:spacing w:before="200"/>
      </w:pPr>
      <w:r>
        <w:t>No such exemption is being requested</w:t>
      </w:r>
      <w:r w:rsidR="006E69D3">
        <w:t>.</w:t>
      </w:r>
      <w:r>
        <w:t xml:space="preserve"> We will display the expiration date on all information collection forms. </w:t>
      </w:r>
    </w:p>
    <w:p w:rsidR="00627FAD" w:rsidRDefault="00104C40">
      <w:pPr>
        <w:pStyle w:val="BodyText"/>
        <w:keepNext/>
        <w:spacing w:after="0"/>
        <w:rPr>
          <w:b/>
          <w:i/>
        </w:rPr>
      </w:pPr>
      <w:r w:rsidRPr="00104C40">
        <w:rPr>
          <w:b/>
          <w:i/>
          <w:color w:val="000000"/>
          <w:u w:val="single"/>
        </w:rPr>
        <w:t>18. Exceptions to the Certification</w:t>
      </w:r>
    </w:p>
    <w:p w:rsidR="00F955FA" w:rsidRDefault="006E69D3">
      <w:pPr>
        <w:pStyle w:val="BodyText"/>
        <w:spacing w:before="200"/>
      </w:pPr>
      <w:r w:rsidRPr="00FC449D">
        <w:t>There are no exceptions to the certification statement.</w:t>
      </w:r>
    </w:p>
    <w:sectPr w:rsidR="00F955FA" w:rsidSect="00B93B8F">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E89" w:rsidRDefault="00715E89" w:rsidP="006E69D3">
      <w:r>
        <w:separator/>
      </w:r>
    </w:p>
  </w:endnote>
  <w:endnote w:type="continuationSeparator" w:id="0">
    <w:p w:rsidR="00715E89" w:rsidRDefault="00715E89" w:rsidP="006E69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9D3" w:rsidRDefault="00D62FEF" w:rsidP="006E69D3">
    <w:pPr>
      <w:pStyle w:val="Footer"/>
      <w:jc w:val="center"/>
    </w:pPr>
    <w:r>
      <w:fldChar w:fldCharType="begin"/>
    </w:r>
    <w:r w:rsidR="00AD3C7B">
      <w:instrText xml:space="preserve"> PAGE   \* MERGEFORMAT </w:instrText>
    </w:r>
    <w:r>
      <w:fldChar w:fldCharType="separate"/>
    </w:r>
    <w:r w:rsidR="00AE2C78">
      <w:rPr>
        <w:noProof/>
      </w:rPr>
      <w:t>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E89" w:rsidRDefault="00715E89" w:rsidP="006E69D3">
      <w:r>
        <w:separator/>
      </w:r>
    </w:p>
  </w:footnote>
  <w:footnote w:type="continuationSeparator" w:id="0">
    <w:p w:rsidR="00715E89" w:rsidRDefault="00715E89" w:rsidP="006E69D3">
      <w:r>
        <w:continuationSeparator/>
      </w:r>
    </w:p>
  </w:footnote>
  <w:footnote w:id="1">
    <w:p w:rsidR="00F40346" w:rsidRDefault="00F40346">
      <w:pPr>
        <w:pStyle w:val="FootnoteText"/>
      </w:pPr>
      <w:r>
        <w:rPr>
          <w:rStyle w:val="FootnoteReference"/>
        </w:rPr>
        <w:footnoteRef/>
      </w:r>
      <w:r>
        <w:t xml:space="preserve"> </w:t>
      </w:r>
      <w:r w:rsidRPr="00F40346">
        <w:t>American Association of Public Opinion Research (May, 2010).  Best Practices.  (http://www.aapor.org/Best_Practices.htm - accessed 1/24/2011).</w:t>
      </w:r>
    </w:p>
  </w:footnote>
  <w:footnote w:id="2">
    <w:p w:rsidR="00F40346" w:rsidRDefault="00F40346">
      <w:pPr>
        <w:pStyle w:val="FootnoteText"/>
      </w:pPr>
      <w:r>
        <w:rPr>
          <w:rStyle w:val="FootnoteReference"/>
        </w:rPr>
        <w:footnoteRef/>
      </w:r>
      <w:r>
        <w:t xml:space="preserve"> </w:t>
      </w:r>
      <w:r w:rsidRPr="00F40346">
        <w:t>Groves Robert, Singer Eleanor, Corning Amy. Leverage-Saliency Theory of Survey Participation Description and an Illustration. Public Opinion Quarterly 2000;64:299-308.</w:t>
      </w:r>
    </w:p>
  </w:footnote>
  <w:footnote w:id="3">
    <w:p w:rsidR="00F40346" w:rsidRDefault="00F40346" w:rsidP="00F40346">
      <w:pPr>
        <w:pStyle w:val="FootnoteText"/>
      </w:pPr>
      <w:r>
        <w:rPr>
          <w:rStyle w:val="FootnoteReference"/>
        </w:rPr>
        <w:footnoteRef/>
      </w:r>
      <w:r>
        <w:t xml:space="preserve"> See, for example, </w:t>
      </w:r>
      <w:r w:rsidRPr="00F40346">
        <w:t xml:space="preserve">Church Allan. Estimating the Effect of Incentives on Mail Survey Response Rates: A Meta-Analysis. </w:t>
      </w:r>
      <w:r w:rsidRPr="00F40346">
        <w:rPr>
          <w:i/>
        </w:rPr>
        <w:t>Public Opinion Quarterly</w:t>
      </w:r>
      <w:r w:rsidRPr="00F40346">
        <w:t xml:space="preserve"> 1</w:t>
      </w:r>
      <w:r>
        <w:t>993;</w:t>
      </w:r>
      <w:r w:rsidRPr="00F40346">
        <w:rPr>
          <w:i/>
        </w:rPr>
        <w:t>57</w:t>
      </w:r>
      <w:r>
        <w:t xml:space="preserve">:62-79; Singer Eleanor, van Hoowyk John, Maher Mary. Does the Payment of Incentives Create Expectation Effects? </w:t>
      </w:r>
      <w:r w:rsidRPr="00F40346">
        <w:rPr>
          <w:i/>
        </w:rPr>
        <w:t>Public Opinion Quarterly</w:t>
      </w:r>
      <w:r>
        <w:t xml:space="preserve"> 1998</w:t>
      </w:r>
      <w:r w:rsidRPr="00F40346">
        <w:rPr>
          <w:i/>
        </w:rPr>
        <w:t>;62</w:t>
      </w:r>
      <w:r>
        <w:t>:152-64; and Willimack Diane, Schuman Howard, Pennell Beth-Ellen, Lepkowski James. Effects of a Prepaid Nonmonetary Incentive on Response Rates and Response Quality in a Face-to-Face Survey</w:t>
      </w:r>
      <w:r w:rsidRPr="00F40346">
        <w:rPr>
          <w:i/>
        </w:rPr>
        <w:t>. Public Opinion Quarterly</w:t>
      </w:r>
      <w:r>
        <w:t xml:space="preserve"> 1995;</w:t>
      </w:r>
      <w:r w:rsidRPr="00F40346">
        <w:rPr>
          <w:i/>
        </w:rPr>
        <w:t>59</w:t>
      </w:r>
      <w:r>
        <w:t>(1):78-92.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FAF338"/>
    <w:lvl w:ilvl="0">
      <w:start w:val="1"/>
      <w:numFmt w:val="decimal"/>
      <w:lvlText w:val="%1."/>
      <w:lvlJc w:val="left"/>
      <w:pPr>
        <w:tabs>
          <w:tab w:val="num" w:pos="1800"/>
        </w:tabs>
        <w:ind w:left="1800" w:hanging="360"/>
      </w:pPr>
    </w:lvl>
  </w:abstractNum>
  <w:abstractNum w:abstractNumId="1">
    <w:nsid w:val="FFFFFF7D"/>
    <w:multiLevelType w:val="singleLevel"/>
    <w:tmpl w:val="9F9001A0"/>
    <w:lvl w:ilvl="0">
      <w:start w:val="1"/>
      <w:numFmt w:val="decimal"/>
      <w:lvlText w:val="%1."/>
      <w:lvlJc w:val="left"/>
      <w:pPr>
        <w:tabs>
          <w:tab w:val="num" w:pos="1440"/>
        </w:tabs>
        <w:ind w:left="1440" w:hanging="360"/>
      </w:pPr>
    </w:lvl>
  </w:abstractNum>
  <w:abstractNum w:abstractNumId="2">
    <w:nsid w:val="FFFFFF7E"/>
    <w:multiLevelType w:val="singleLevel"/>
    <w:tmpl w:val="7FF8DFBA"/>
    <w:lvl w:ilvl="0">
      <w:start w:val="1"/>
      <w:numFmt w:val="decimal"/>
      <w:lvlText w:val="%1."/>
      <w:lvlJc w:val="left"/>
      <w:pPr>
        <w:tabs>
          <w:tab w:val="num" w:pos="1080"/>
        </w:tabs>
        <w:ind w:left="1080" w:hanging="360"/>
      </w:pPr>
    </w:lvl>
  </w:abstractNum>
  <w:abstractNum w:abstractNumId="3">
    <w:nsid w:val="FFFFFF7F"/>
    <w:multiLevelType w:val="singleLevel"/>
    <w:tmpl w:val="E5E65934"/>
    <w:lvl w:ilvl="0">
      <w:start w:val="1"/>
      <w:numFmt w:val="decimal"/>
      <w:lvlText w:val="%1."/>
      <w:lvlJc w:val="left"/>
      <w:pPr>
        <w:tabs>
          <w:tab w:val="num" w:pos="720"/>
        </w:tabs>
        <w:ind w:left="720" w:hanging="360"/>
      </w:pPr>
    </w:lvl>
  </w:abstractNum>
  <w:abstractNum w:abstractNumId="4">
    <w:nsid w:val="FFFFFF80"/>
    <w:multiLevelType w:val="singleLevel"/>
    <w:tmpl w:val="8960B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CC22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FE2D2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4E2469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838C952"/>
    <w:lvl w:ilvl="0">
      <w:start w:val="1"/>
      <w:numFmt w:val="decimal"/>
      <w:lvlText w:val="%1."/>
      <w:lvlJc w:val="left"/>
      <w:pPr>
        <w:tabs>
          <w:tab w:val="num" w:pos="360"/>
        </w:tabs>
        <w:ind w:left="360" w:hanging="360"/>
      </w:pPr>
    </w:lvl>
  </w:abstractNum>
  <w:abstractNum w:abstractNumId="9">
    <w:nsid w:val="FFFFFF89"/>
    <w:multiLevelType w:val="singleLevel"/>
    <w:tmpl w:val="6CD8FDD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AE3859"/>
    <w:multiLevelType w:val="hybridMultilevel"/>
    <w:tmpl w:val="82E033F0"/>
    <w:lvl w:ilvl="0" w:tplc="0409000F">
      <w:start w:val="1"/>
      <w:numFmt w:val="decimal"/>
      <w:lvlText w:val="%1."/>
      <w:lvlJc w:val="left"/>
      <w:pPr>
        <w:ind w:left="720" w:hanging="360"/>
      </w:pPr>
    </w:lvl>
    <w:lvl w:ilvl="1" w:tplc="0E6EDBB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119A2"/>
    <w:multiLevelType w:val="hybridMultilevel"/>
    <w:tmpl w:val="76004E70"/>
    <w:lvl w:ilvl="0" w:tplc="5290CA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7E1E9B"/>
    <w:multiLevelType w:val="hybridMultilevel"/>
    <w:tmpl w:val="F1A4C9E8"/>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D273B37"/>
    <w:multiLevelType w:val="hybridMultilevel"/>
    <w:tmpl w:val="C3866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435CCE"/>
    <w:multiLevelType w:val="hybridMultilevel"/>
    <w:tmpl w:val="04A815BA"/>
    <w:lvl w:ilvl="0" w:tplc="04090017">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3"/>
  </w:num>
  <w:num w:numId="17">
    <w:abstractNumId w:val="12"/>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8"/>
  <w:proofState w:spelling="clean" w:grammar="clean"/>
  <w:stylePaneFormatFilter w:val="1024"/>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rsids>
    <w:rsidRoot w:val="006E69D3"/>
    <w:rsid w:val="000032FD"/>
    <w:rsid w:val="0000531B"/>
    <w:rsid w:val="00005F01"/>
    <w:rsid w:val="00005F5C"/>
    <w:rsid w:val="00010D94"/>
    <w:rsid w:val="00012995"/>
    <w:rsid w:val="000131C5"/>
    <w:rsid w:val="0001353E"/>
    <w:rsid w:val="0002120F"/>
    <w:rsid w:val="00021C6E"/>
    <w:rsid w:val="00021CE9"/>
    <w:rsid w:val="000224A9"/>
    <w:rsid w:val="000252B9"/>
    <w:rsid w:val="0002556B"/>
    <w:rsid w:val="000258C0"/>
    <w:rsid w:val="00025A15"/>
    <w:rsid w:val="00027015"/>
    <w:rsid w:val="00030C08"/>
    <w:rsid w:val="0003146B"/>
    <w:rsid w:val="0003306F"/>
    <w:rsid w:val="0003388C"/>
    <w:rsid w:val="00036794"/>
    <w:rsid w:val="000367F9"/>
    <w:rsid w:val="0004096E"/>
    <w:rsid w:val="00040D74"/>
    <w:rsid w:val="00042B70"/>
    <w:rsid w:val="00043AD5"/>
    <w:rsid w:val="00043B0E"/>
    <w:rsid w:val="00043EAC"/>
    <w:rsid w:val="00044145"/>
    <w:rsid w:val="000451DF"/>
    <w:rsid w:val="00046E55"/>
    <w:rsid w:val="000477DD"/>
    <w:rsid w:val="000506CB"/>
    <w:rsid w:val="00050B39"/>
    <w:rsid w:val="00050C8E"/>
    <w:rsid w:val="0005140B"/>
    <w:rsid w:val="000534AE"/>
    <w:rsid w:val="00055562"/>
    <w:rsid w:val="000569E6"/>
    <w:rsid w:val="000622D1"/>
    <w:rsid w:val="000623D8"/>
    <w:rsid w:val="00063820"/>
    <w:rsid w:val="00063927"/>
    <w:rsid w:val="00063B3C"/>
    <w:rsid w:val="000656B3"/>
    <w:rsid w:val="0006770C"/>
    <w:rsid w:val="00072763"/>
    <w:rsid w:val="000749BC"/>
    <w:rsid w:val="000764AA"/>
    <w:rsid w:val="00076C08"/>
    <w:rsid w:val="00076F46"/>
    <w:rsid w:val="00077C8A"/>
    <w:rsid w:val="00081276"/>
    <w:rsid w:val="00083240"/>
    <w:rsid w:val="000903F2"/>
    <w:rsid w:val="00094595"/>
    <w:rsid w:val="000948BE"/>
    <w:rsid w:val="0009510B"/>
    <w:rsid w:val="0009575E"/>
    <w:rsid w:val="00097BB8"/>
    <w:rsid w:val="00097C94"/>
    <w:rsid w:val="000A071A"/>
    <w:rsid w:val="000A0A7B"/>
    <w:rsid w:val="000A30FF"/>
    <w:rsid w:val="000A6CDA"/>
    <w:rsid w:val="000A7C2D"/>
    <w:rsid w:val="000B1B62"/>
    <w:rsid w:val="000B3DD9"/>
    <w:rsid w:val="000B54E3"/>
    <w:rsid w:val="000B62FB"/>
    <w:rsid w:val="000B69D6"/>
    <w:rsid w:val="000B6C41"/>
    <w:rsid w:val="000B6D3A"/>
    <w:rsid w:val="000C036D"/>
    <w:rsid w:val="000C1458"/>
    <w:rsid w:val="000C2CA4"/>
    <w:rsid w:val="000C4BE9"/>
    <w:rsid w:val="000D196C"/>
    <w:rsid w:val="000D19C0"/>
    <w:rsid w:val="000D3496"/>
    <w:rsid w:val="000D57DA"/>
    <w:rsid w:val="000D7524"/>
    <w:rsid w:val="000E18BA"/>
    <w:rsid w:val="000E2453"/>
    <w:rsid w:val="000E3808"/>
    <w:rsid w:val="000E5458"/>
    <w:rsid w:val="000E72FA"/>
    <w:rsid w:val="000E777F"/>
    <w:rsid w:val="000F0210"/>
    <w:rsid w:val="000F04C9"/>
    <w:rsid w:val="000F1566"/>
    <w:rsid w:val="000F35DD"/>
    <w:rsid w:val="000F426D"/>
    <w:rsid w:val="000F48B1"/>
    <w:rsid w:val="000F4FB8"/>
    <w:rsid w:val="000F61DA"/>
    <w:rsid w:val="00102323"/>
    <w:rsid w:val="00102F28"/>
    <w:rsid w:val="00103DEF"/>
    <w:rsid w:val="00104C40"/>
    <w:rsid w:val="00104CDA"/>
    <w:rsid w:val="00107FA3"/>
    <w:rsid w:val="00111150"/>
    <w:rsid w:val="00115CF2"/>
    <w:rsid w:val="001168FF"/>
    <w:rsid w:val="00117780"/>
    <w:rsid w:val="00121BAA"/>
    <w:rsid w:val="001235D5"/>
    <w:rsid w:val="00125782"/>
    <w:rsid w:val="00125D1F"/>
    <w:rsid w:val="001268B8"/>
    <w:rsid w:val="00126EDD"/>
    <w:rsid w:val="00127B49"/>
    <w:rsid w:val="0013026F"/>
    <w:rsid w:val="00130DBF"/>
    <w:rsid w:val="00133ABF"/>
    <w:rsid w:val="00133EF3"/>
    <w:rsid w:val="00135967"/>
    <w:rsid w:val="00136BBF"/>
    <w:rsid w:val="00140ACB"/>
    <w:rsid w:val="0014181A"/>
    <w:rsid w:val="001420F0"/>
    <w:rsid w:val="0014231F"/>
    <w:rsid w:val="00145D3A"/>
    <w:rsid w:val="00146501"/>
    <w:rsid w:val="00147DC7"/>
    <w:rsid w:val="0015123C"/>
    <w:rsid w:val="00151A87"/>
    <w:rsid w:val="00152255"/>
    <w:rsid w:val="00152769"/>
    <w:rsid w:val="0015290B"/>
    <w:rsid w:val="00153443"/>
    <w:rsid w:val="00156DC1"/>
    <w:rsid w:val="0016256F"/>
    <w:rsid w:val="00163DE5"/>
    <w:rsid w:val="00165585"/>
    <w:rsid w:val="00166CE4"/>
    <w:rsid w:val="001708BF"/>
    <w:rsid w:val="00171CAD"/>
    <w:rsid w:val="00172E2A"/>
    <w:rsid w:val="00174F1F"/>
    <w:rsid w:val="00176436"/>
    <w:rsid w:val="00180184"/>
    <w:rsid w:val="00180764"/>
    <w:rsid w:val="00181E37"/>
    <w:rsid w:val="00184EEF"/>
    <w:rsid w:val="001868CB"/>
    <w:rsid w:val="00186BC2"/>
    <w:rsid w:val="00187209"/>
    <w:rsid w:val="00191E85"/>
    <w:rsid w:val="0019351E"/>
    <w:rsid w:val="0019521C"/>
    <w:rsid w:val="001958A1"/>
    <w:rsid w:val="00195EDC"/>
    <w:rsid w:val="00197B93"/>
    <w:rsid w:val="00197F6E"/>
    <w:rsid w:val="001A09D2"/>
    <w:rsid w:val="001A299E"/>
    <w:rsid w:val="001A656C"/>
    <w:rsid w:val="001A65E3"/>
    <w:rsid w:val="001B414A"/>
    <w:rsid w:val="001B5ED5"/>
    <w:rsid w:val="001B61F7"/>
    <w:rsid w:val="001B72EE"/>
    <w:rsid w:val="001C0A27"/>
    <w:rsid w:val="001C0E88"/>
    <w:rsid w:val="001C14B2"/>
    <w:rsid w:val="001C14E1"/>
    <w:rsid w:val="001C1766"/>
    <w:rsid w:val="001C6BD7"/>
    <w:rsid w:val="001C76B9"/>
    <w:rsid w:val="001C7975"/>
    <w:rsid w:val="001C79D7"/>
    <w:rsid w:val="001D1718"/>
    <w:rsid w:val="001D2575"/>
    <w:rsid w:val="001D2988"/>
    <w:rsid w:val="001D3394"/>
    <w:rsid w:val="001D35B0"/>
    <w:rsid w:val="001D382C"/>
    <w:rsid w:val="001D38E5"/>
    <w:rsid w:val="001D471D"/>
    <w:rsid w:val="001D52D8"/>
    <w:rsid w:val="001D5EDD"/>
    <w:rsid w:val="001E0D58"/>
    <w:rsid w:val="001E6A2A"/>
    <w:rsid w:val="001E7937"/>
    <w:rsid w:val="001E797B"/>
    <w:rsid w:val="001F0855"/>
    <w:rsid w:val="001F2327"/>
    <w:rsid w:val="001F2977"/>
    <w:rsid w:val="001F3198"/>
    <w:rsid w:val="001F603E"/>
    <w:rsid w:val="00200101"/>
    <w:rsid w:val="00201FC4"/>
    <w:rsid w:val="00204207"/>
    <w:rsid w:val="0020441E"/>
    <w:rsid w:val="002069D9"/>
    <w:rsid w:val="00207228"/>
    <w:rsid w:val="00212FCE"/>
    <w:rsid w:val="0021383C"/>
    <w:rsid w:val="00213BDE"/>
    <w:rsid w:val="002152CB"/>
    <w:rsid w:val="002172D2"/>
    <w:rsid w:val="00222A37"/>
    <w:rsid w:val="00222AC2"/>
    <w:rsid w:val="00223D4F"/>
    <w:rsid w:val="00227139"/>
    <w:rsid w:val="00231991"/>
    <w:rsid w:val="00231DC8"/>
    <w:rsid w:val="00232775"/>
    <w:rsid w:val="00235BEA"/>
    <w:rsid w:val="00240CB6"/>
    <w:rsid w:val="00243B33"/>
    <w:rsid w:val="00244FD4"/>
    <w:rsid w:val="0024654A"/>
    <w:rsid w:val="00251A25"/>
    <w:rsid w:val="0025257B"/>
    <w:rsid w:val="002533F3"/>
    <w:rsid w:val="002539CF"/>
    <w:rsid w:val="00255038"/>
    <w:rsid w:val="00255CE3"/>
    <w:rsid w:val="00255ED5"/>
    <w:rsid w:val="00261F26"/>
    <w:rsid w:val="00263CBD"/>
    <w:rsid w:val="00263DA5"/>
    <w:rsid w:val="00265457"/>
    <w:rsid w:val="00270A14"/>
    <w:rsid w:val="00272C10"/>
    <w:rsid w:val="0027443A"/>
    <w:rsid w:val="002745F9"/>
    <w:rsid w:val="00275AAA"/>
    <w:rsid w:val="0027634E"/>
    <w:rsid w:val="00276B62"/>
    <w:rsid w:val="002773AF"/>
    <w:rsid w:val="0028087B"/>
    <w:rsid w:val="00282445"/>
    <w:rsid w:val="00284207"/>
    <w:rsid w:val="00285A59"/>
    <w:rsid w:val="0028708C"/>
    <w:rsid w:val="0029118D"/>
    <w:rsid w:val="00291525"/>
    <w:rsid w:val="002947E7"/>
    <w:rsid w:val="002948DB"/>
    <w:rsid w:val="00294958"/>
    <w:rsid w:val="00295B85"/>
    <w:rsid w:val="00295EBE"/>
    <w:rsid w:val="00296E4E"/>
    <w:rsid w:val="002A1C94"/>
    <w:rsid w:val="002A36D1"/>
    <w:rsid w:val="002A402F"/>
    <w:rsid w:val="002A7694"/>
    <w:rsid w:val="002B09C6"/>
    <w:rsid w:val="002B1366"/>
    <w:rsid w:val="002B20D5"/>
    <w:rsid w:val="002B393D"/>
    <w:rsid w:val="002B4E16"/>
    <w:rsid w:val="002B55FE"/>
    <w:rsid w:val="002C0100"/>
    <w:rsid w:val="002C059A"/>
    <w:rsid w:val="002C24C9"/>
    <w:rsid w:val="002C2850"/>
    <w:rsid w:val="002C33B4"/>
    <w:rsid w:val="002C40CD"/>
    <w:rsid w:val="002C436F"/>
    <w:rsid w:val="002C539B"/>
    <w:rsid w:val="002C56AF"/>
    <w:rsid w:val="002D304B"/>
    <w:rsid w:val="002D3127"/>
    <w:rsid w:val="002D509D"/>
    <w:rsid w:val="002D5232"/>
    <w:rsid w:val="002D5D12"/>
    <w:rsid w:val="002D5F35"/>
    <w:rsid w:val="002E052D"/>
    <w:rsid w:val="002E32A0"/>
    <w:rsid w:val="002E74F5"/>
    <w:rsid w:val="002F17AA"/>
    <w:rsid w:val="002F2288"/>
    <w:rsid w:val="002F22DC"/>
    <w:rsid w:val="0030265B"/>
    <w:rsid w:val="0030437E"/>
    <w:rsid w:val="00305264"/>
    <w:rsid w:val="0031252F"/>
    <w:rsid w:val="00315A36"/>
    <w:rsid w:val="00317326"/>
    <w:rsid w:val="003210A1"/>
    <w:rsid w:val="00321341"/>
    <w:rsid w:val="003220C3"/>
    <w:rsid w:val="003248C3"/>
    <w:rsid w:val="003267E4"/>
    <w:rsid w:val="00327556"/>
    <w:rsid w:val="00330AC4"/>
    <w:rsid w:val="00331311"/>
    <w:rsid w:val="0033233E"/>
    <w:rsid w:val="003339D5"/>
    <w:rsid w:val="00334452"/>
    <w:rsid w:val="00334519"/>
    <w:rsid w:val="00337CD9"/>
    <w:rsid w:val="0034211D"/>
    <w:rsid w:val="0034337C"/>
    <w:rsid w:val="003433F7"/>
    <w:rsid w:val="00343F10"/>
    <w:rsid w:val="00344138"/>
    <w:rsid w:val="003448ED"/>
    <w:rsid w:val="00344E70"/>
    <w:rsid w:val="00346FF8"/>
    <w:rsid w:val="00350BD6"/>
    <w:rsid w:val="00355F54"/>
    <w:rsid w:val="00357640"/>
    <w:rsid w:val="00361308"/>
    <w:rsid w:val="00364B78"/>
    <w:rsid w:val="003662DC"/>
    <w:rsid w:val="003671BF"/>
    <w:rsid w:val="00367ED4"/>
    <w:rsid w:val="003715CD"/>
    <w:rsid w:val="0037193F"/>
    <w:rsid w:val="00372277"/>
    <w:rsid w:val="00373C3C"/>
    <w:rsid w:val="00373C93"/>
    <w:rsid w:val="003748A8"/>
    <w:rsid w:val="00374C8A"/>
    <w:rsid w:val="003766D8"/>
    <w:rsid w:val="00376E8A"/>
    <w:rsid w:val="0038417C"/>
    <w:rsid w:val="00385082"/>
    <w:rsid w:val="00385085"/>
    <w:rsid w:val="00385AC7"/>
    <w:rsid w:val="00386FCA"/>
    <w:rsid w:val="003878A2"/>
    <w:rsid w:val="00387AD5"/>
    <w:rsid w:val="00390E33"/>
    <w:rsid w:val="00391BC9"/>
    <w:rsid w:val="00391E1D"/>
    <w:rsid w:val="003949DD"/>
    <w:rsid w:val="00395302"/>
    <w:rsid w:val="00396BC5"/>
    <w:rsid w:val="003A4193"/>
    <w:rsid w:val="003A7A47"/>
    <w:rsid w:val="003B025A"/>
    <w:rsid w:val="003B0840"/>
    <w:rsid w:val="003B13C7"/>
    <w:rsid w:val="003B2E5B"/>
    <w:rsid w:val="003B38D4"/>
    <w:rsid w:val="003B5D27"/>
    <w:rsid w:val="003B67DE"/>
    <w:rsid w:val="003B70D8"/>
    <w:rsid w:val="003C06D9"/>
    <w:rsid w:val="003C0BF3"/>
    <w:rsid w:val="003C3E1B"/>
    <w:rsid w:val="003C7D86"/>
    <w:rsid w:val="003D6BD5"/>
    <w:rsid w:val="003D7083"/>
    <w:rsid w:val="003E06AC"/>
    <w:rsid w:val="003E06ED"/>
    <w:rsid w:val="003E1240"/>
    <w:rsid w:val="003E2C96"/>
    <w:rsid w:val="003E36F7"/>
    <w:rsid w:val="003E693A"/>
    <w:rsid w:val="003E6B66"/>
    <w:rsid w:val="003F0D4F"/>
    <w:rsid w:val="003F3DEC"/>
    <w:rsid w:val="003F3F1A"/>
    <w:rsid w:val="003F436C"/>
    <w:rsid w:val="004009E0"/>
    <w:rsid w:val="00401449"/>
    <w:rsid w:val="00401FBF"/>
    <w:rsid w:val="00402036"/>
    <w:rsid w:val="00403EF7"/>
    <w:rsid w:val="00403F92"/>
    <w:rsid w:val="00406324"/>
    <w:rsid w:val="00406A0A"/>
    <w:rsid w:val="00407078"/>
    <w:rsid w:val="0040746D"/>
    <w:rsid w:val="00414FEA"/>
    <w:rsid w:val="00422765"/>
    <w:rsid w:val="0042330A"/>
    <w:rsid w:val="00424C80"/>
    <w:rsid w:val="00426F82"/>
    <w:rsid w:val="00427D30"/>
    <w:rsid w:val="00431A6B"/>
    <w:rsid w:val="00432F28"/>
    <w:rsid w:val="00434EDB"/>
    <w:rsid w:val="00434F7C"/>
    <w:rsid w:val="00435696"/>
    <w:rsid w:val="00436531"/>
    <w:rsid w:val="00440FD3"/>
    <w:rsid w:val="0044191E"/>
    <w:rsid w:val="00442085"/>
    <w:rsid w:val="004444C3"/>
    <w:rsid w:val="00446566"/>
    <w:rsid w:val="004474C1"/>
    <w:rsid w:val="00447E95"/>
    <w:rsid w:val="00450517"/>
    <w:rsid w:val="0045443E"/>
    <w:rsid w:val="004566A4"/>
    <w:rsid w:val="004607D0"/>
    <w:rsid w:val="004616FF"/>
    <w:rsid w:val="004632C3"/>
    <w:rsid w:val="00466A72"/>
    <w:rsid w:val="00470BBA"/>
    <w:rsid w:val="0047104B"/>
    <w:rsid w:val="0047141F"/>
    <w:rsid w:val="00471561"/>
    <w:rsid w:val="00471C4D"/>
    <w:rsid w:val="00471D6A"/>
    <w:rsid w:val="004735D3"/>
    <w:rsid w:val="0047365E"/>
    <w:rsid w:val="0047365F"/>
    <w:rsid w:val="00473AA1"/>
    <w:rsid w:val="004753B7"/>
    <w:rsid w:val="00480F8B"/>
    <w:rsid w:val="0048150D"/>
    <w:rsid w:val="00482A44"/>
    <w:rsid w:val="004840AF"/>
    <w:rsid w:val="00484B19"/>
    <w:rsid w:val="0048537E"/>
    <w:rsid w:val="0048609D"/>
    <w:rsid w:val="00487FD4"/>
    <w:rsid w:val="00490A56"/>
    <w:rsid w:val="00490B2E"/>
    <w:rsid w:val="004917EE"/>
    <w:rsid w:val="004926C4"/>
    <w:rsid w:val="00495BEE"/>
    <w:rsid w:val="004A27D7"/>
    <w:rsid w:val="004A2ED8"/>
    <w:rsid w:val="004A4287"/>
    <w:rsid w:val="004A5020"/>
    <w:rsid w:val="004A506F"/>
    <w:rsid w:val="004A5768"/>
    <w:rsid w:val="004A58AB"/>
    <w:rsid w:val="004A5A31"/>
    <w:rsid w:val="004B02B9"/>
    <w:rsid w:val="004B297A"/>
    <w:rsid w:val="004B35AB"/>
    <w:rsid w:val="004B44C3"/>
    <w:rsid w:val="004B44E0"/>
    <w:rsid w:val="004B554D"/>
    <w:rsid w:val="004B56A7"/>
    <w:rsid w:val="004C174C"/>
    <w:rsid w:val="004D086B"/>
    <w:rsid w:val="004D16A1"/>
    <w:rsid w:val="004D1DCE"/>
    <w:rsid w:val="004D3E74"/>
    <w:rsid w:val="004D71A5"/>
    <w:rsid w:val="004E18FE"/>
    <w:rsid w:val="004E493D"/>
    <w:rsid w:val="004E644F"/>
    <w:rsid w:val="004E669A"/>
    <w:rsid w:val="004F1AA6"/>
    <w:rsid w:val="004F2153"/>
    <w:rsid w:val="004F3848"/>
    <w:rsid w:val="004F454B"/>
    <w:rsid w:val="004F59B4"/>
    <w:rsid w:val="004F7716"/>
    <w:rsid w:val="005007E6"/>
    <w:rsid w:val="005010F5"/>
    <w:rsid w:val="00501C32"/>
    <w:rsid w:val="0050237C"/>
    <w:rsid w:val="0050285C"/>
    <w:rsid w:val="00503939"/>
    <w:rsid w:val="00503FD4"/>
    <w:rsid w:val="00504C77"/>
    <w:rsid w:val="00504F01"/>
    <w:rsid w:val="00505808"/>
    <w:rsid w:val="005063BA"/>
    <w:rsid w:val="005069FD"/>
    <w:rsid w:val="005074C1"/>
    <w:rsid w:val="00511F3E"/>
    <w:rsid w:val="00512CF1"/>
    <w:rsid w:val="005177D7"/>
    <w:rsid w:val="00525127"/>
    <w:rsid w:val="005253AB"/>
    <w:rsid w:val="00525562"/>
    <w:rsid w:val="00525DD5"/>
    <w:rsid w:val="0052600E"/>
    <w:rsid w:val="00526F59"/>
    <w:rsid w:val="00534011"/>
    <w:rsid w:val="00534147"/>
    <w:rsid w:val="00535A17"/>
    <w:rsid w:val="005360C6"/>
    <w:rsid w:val="00536E0F"/>
    <w:rsid w:val="005408D0"/>
    <w:rsid w:val="00540E28"/>
    <w:rsid w:val="00541ADA"/>
    <w:rsid w:val="00545252"/>
    <w:rsid w:val="00545717"/>
    <w:rsid w:val="00546677"/>
    <w:rsid w:val="00547622"/>
    <w:rsid w:val="00551CA3"/>
    <w:rsid w:val="00552484"/>
    <w:rsid w:val="00552501"/>
    <w:rsid w:val="00554383"/>
    <w:rsid w:val="005546FB"/>
    <w:rsid w:val="005603B9"/>
    <w:rsid w:val="00562394"/>
    <w:rsid w:val="00562755"/>
    <w:rsid w:val="00562BB9"/>
    <w:rsid w:val="00562D70"/>
    <w:rsid w:val="0056329A"/>
    <w:rsid w:val="00565564"/>
    <w:rsid w:val="00565AA6"/>
    <w:rsid w:val="0056605C"/>
    <w:rsid w:val="0056722D"/>
    <w:rsid w:val="005707FD"/>
    <w:rsid w:val="00572FC2"/>
    <w:rsid w:val="00573E02"/>
    <w:rsid w:val="00574F37"/>
    <w:rsid w:val="005756ED"/>
    <w:rsid w:val="005757FE"/>
    <w:rsid w:val="005770C1"/>
    <w:rsid w:val="005833D6"/>
    <w:rsid w:val="00585F78"/>
    <w:rsid w:val="0058686E"/>
    <w:rsid w:val="005878C8"/>
    <w:rsid w:val="00590864"/>
    <w:rsid w:val="00590B1B"/>
    <w:rsid w:val="00592163"/>
    <w:rsid w:val="00594161"/>
    <w:rsid w:val="005A060B"/>
    <w:rsid w:val="005A27EF"/>
    <w:rsid w:val="005A2AE0"/>
    <w:rsid w:val="005A6BF0"/>
    <w:rsid w:val="005A7773"/>
    <w:rsid w:val="005B046A"/>
    <w:rsid w:val="005B0B1F"/>
    <w:rsid w:val="005B2302"/>
    <w:rsid w:val="005B3716"/>
    <w:rsid w:val="005B6081"/>
    <w:rsid w:val="005B77C1"/>
    <w:rsid w:val="005B7909"/>
    <w:rsid w:val="005C1556"/>
    <w:rsid w:val="005C1D9A"/>
    <w:rsid w:val="005C3804"/>
    <w:rsid w:val="005C38EF"/>
    <w:rsid w:val="005C3CF1"/>
    <w:rsid w:val="005C4F66"/>
    <w:rsid w:val="005C50F0"/>
    <w:rsid w:val="005C6CFC"/>
    <w:rsid w:val="005D2B18"/>
    <w:rsid w:val="005D411E"/>
    <w:rsid w:val="005D4553"/>
    <w:rsid w:val="005D5B12"/>
    <w:rsid w:val="005D6046"/>
    <w:rsid w:val="005D66FE"/>
    <w:rsid w:val="005D6716"/>
    <w:rsid w:val="005D6944"/>
    <w:rsid w:val="005D6DB5"/>
    <w:rsid w:val="005E2201"/>
    <w:rsid w:val="005E2734"/>
    <w:rsid w:val="005E398B"/>
    <w:rsid w:val="005F41AA"/>
    <w:rsid w:val="005F45F7"/>
    <w:rsid w:val="005F494A"/>
    <w:rsid w:val="0060143A"/>
    <w:rsid w:val="00601F83"/>
    <w:rsid w:val="006026EF"/>
    <w:rsid w:val="0060316B"/>
    <w:rsid w:val="00603E86"/>
    <w:rsid w:val="00610A83"/>
    <w:rsid w:val="00611AB4"/>
    <w:rsid w:val="00613AEB"/>
    <w:rsid w:val="00614193"/>
    <w:rsid w:val="00615DFC"/>
    <w:rsid w:val="00616F3B"/>
    <w:rsid w:val="00620FAD"/>
    <w:rsid w:val="00626F2A"/>
    <w:rsid w:val="00627FAD"/>
    <w:rsid w:val="006325DA"/>
    <w:rsid w:val="00633108"/>
    <w:rsid w:val="00635829"/>
    <w:rsid w:val="00635DDF"/>
    <w:rsid w:val="00636067"/>
    <w:rsid w:val="00640124"/>
    <w:rsid w:val="0064109B"/>
    <w:rsid w:val="0064281F"/>
    <w:rsid w:val="0064467F"/>
    <w:rsid w:val="00647ABF"/>
    <w:rsid w:val="00651895"/>
    <w:rsid w:val="006520E1"/>
    <w:rsid w:val="006528D9"/>
    <w:rsid w:val="006552FF"/>
    <w:rsid w:val="00655E98"/>
    <w:rsid w:val="0066075F"/>
    <w:rsid w:val="00660B0A"/>
    <w:rsid w:val="006617EA"/>
    <w:rsid w:val="00663397"/>
    <w:rsid w:val="0067028A"/>
    <w:rsid w:val="00673A32"/>
    <w:rsid w:val="00675E18"/>
    <w:rsid w:val="00681F65"/>
    <w:rsid w:val="006826B9"/>
    <w:rsid w:val="00682B35"/>
    <w:rsid w:val="00682EC8"/>
    <w:rsid w:val="00682EE7"/>
    <w:rsid w:val="006831FF"/>
    <w:rsid w:val="0068392F"/>
    <w:rsid w:val="00684496"/>
    <w:rsid w:val="00693EF2"/>
    <w:rsid w:val="0069464B"/>
    <w:rsid w:val="0069531D"/>
    <w:rsid w:val="00696FCF"/>
    <w:rsid w:val="00697268"/>
    <w:rsid w:val="006979C0"/>
    <w:rsid w:val="006A2853"/>
    <w:rsid w:val="006A28E4"/>
    <w:rsid w:val="006A298E"/>
    <w:rsid w:val="006A4D72"/>
    <w:rsid w:val="006A66E5"/>
    <w:rsid w:val="006A684D"/>
    <w:rsid w:val="006A7BB9"/>
    <w:rsid w:val="006B1D58"/>
    <w:rsid w:val="006B2C31"/>
    <w:rsid w:val="006B360E"/>
    <w:rsid w:val="006B4C64"/>
    <w:rsid w:val="006B5BD3"/>
    <w:rsid w:val="006C04C2"/>
    <w:rsid w:val="006C3970"/>
    <w:rsid w:val="006C4791"/>
    <w:rsid w:val="006C569B"/>
    <w:rsid w:val="006C5AC4"/>
    <w:rsid w:val="006C5BB7"/>
    <w:rsid w:val="006C617F"/>
    <w:rsid w:val="006C650D"/>
    <w:rsid w:val="006C6EBC"/>
    <w:rsid w:val="006D07F2"/>
    <w:rsid w:val="006D2E9C"/>
    <w:rsid w:val="006D3048"/>
    <w:rsid w:val="006D530A"/>
    <w:rsid w:val="006E1E27"/>
    <w:rsid w:val="006E2CFF"/>
    <w:rsid w:val="006E485E"/>
    <w:rsid w:val="006E69D3"/>
    <w:rsid w:val="006E6B8D"/>
    <w:rsid w:val="006E73C8"/>
    <w:rsid w:val="006F2293"/>
    <w:rsid w:val="006F277B"/>
    <w:rsid w:val="006F710A"/>
    <w:rsid w:val="006F7676"/>
    <w:rsid w:val="0070065C"/>
    <w:rsid w:val="00700AAB"/>
    <w:rsid w:val="00700D18"/>
    <w:rsid w:val="0071099D"/>
    <w:rsid w:val="00715E89"/>
    <w:rsid w:val="00716A6C"/>
    <w:rsid w:val="00717188"/>
    <w:rsid w:val="00717B1A"/>
    <w:rsid w:val="0072012C"/>
    <w:rsid w:val="00721FA0"/>
    <w:rsid w:val="007224AF"/>
    <w:rsid w:val="007239DA"/>
    <w:rsid w:val="007258C2"/>
    <w:rsid w:val="007259C9"/>
    <w:rsid w:val="00726EF2"/>
    <w:rsid w:val="0073082B"/>
    <w:rsid w:val="00733DDB"/>
    <w:rsid w:val="00737BD2"/>
    <w:rsid w:val="0074257D"/>
    <w:rsid w:val="00742A95"/>
    <w:rsid w:val="00742CDA"/>
    <w:rsid w:val="0075065D"/>
    <w:rsid w:val="00751840"/>
    <w:rsid w:val="00754D0A"/>
    <w:rsid w:val="00756CC0"/>
    <w:rsid w:val="0076014B"/>
    <w:rsid w:val="00760E91"/>
    <w:rsid w:val="00761546"/>
    <w:rsid w:val="007620D1"/>
    <w:rsid w:val="00762961"/>
    <w:rsid w:val="00762BFE"/>
    <w:rsid w:val="00764061"/>
    <w:rsid w:val="00764FC8"/>
    <w:rsid w:val="007716B2"/>
    <w:rsid w:val="00774693"/>
    <w:rsid w:val="00774D63"/>
    <w:rsid w:val="00774E84"/>
    <w:rsid w:val="00777F01"/>
    <w:rsid w:val="0078059B"/>
    <w:rsid w:val="00783BF6"/>
    <w:rsid w:val="00783D6A"/>
    <w:rsid w:val="007840D6"/>
    <w:rsid w:val="00785D82"/>
    <w:rsid w:val="0078719C"/>
    <w:rsid w:val="0078752F"/>
    <w:rsid w:val="00790A8A"/>
    <w:rsid w:val="00790DAA"/>
    <w:rsid w:val="00795F83"/>
    <w:rsid w:val="007A094D"/>
    <w:rsid w:val="007A1D9B"/>
    <w:rsid w:val="007A5D44"/>
    <w:rsid w:val="007A62AF"/>
    <w:rsid w:val="007A6A9F"/>
    <w:rsid w:val="007A710C"/>
    <w:rsid w:val="007A7596"/>
    <w:rsid w:val="007B0EF8"/>
    <w:rsid w:val="007B2A88"/>
    <w:rsid w:val="007B2F3E"/>
    <w:rsid w:val="007B3458"/>
    <w:rsid w:val="007B419D"/>
    <w:rsid w:val="007B4634"/>
    <w:rsid w:val="007B4CFD"/>
    <w:rsid w:val="007B51F2"/>
    <w:rsid w:val="007B5FA1"/>
    <w:rsid w:val="007B7970"/>
    <w:rsid w:val="007C063C"/>
    <w:rsid w:val="007C09E7"/>
    <w:rsid w:val="007C1C83"/>
    <w:rsid w:val="007C4221"/>
    <w:rsid w:val="007D507A"/>
    <w:rsid w:val="007D5A20"/>
    <w:rsid w:val="007D5C6E"/>
    <w:rsid w:val="007D76F4"/>
    <w:rsid w:val="007E10E1"/>
    <w:rsid w:val="007E2292"/>
    <w:rsid w:val="007E2D8B"/>
    <w:rsid w:val="007E3046"/>
    <w:rsid w:val="007E4194"/>
    <w:rsid w:val="007E59EE"/>
    <w:rsid w:val="007E6760"/>
    <w:rsid w:val="007E714E"/>
    <w:rsid w:val="007E7E4B"/>
    <w:rsid w:val="007F0A85"/>
    <w:rsid w:val="007F19E8"/>
    <w:rsid w:val="007F2AA5"/>
    <w:rsid w:val="007F4752"/>
    <w:rsid w:val="007F667A"/>
    <w:rsid w:val="007F6CB3"/>
    <w:rsid w:val="007F7A62"/>
    <w:rsid w:val="00800ABA"/>
    <w:rsid w:val="00801D28"/>
    <w:rsid w:val="008025B7"/>
    <w:rsid w:val="008038D5"/>
    <w:rsid w:val="00806BD2"/>
    <w:rsid w:val="00806C76"/>
    <w:rsid w:val="0080794F"/>
    <w:rsid w:val="00807E7B"/>
    <w:rsid w:val="008108DA"/>
    <w:rsid w:val="00811CC7"/>
    <w:rsid w:val="00812829"/>
    <w:rsid w:val="00812D5D"/>
    <w:rsid w:val="00813CDA"/>
    <w:rsid w:val="0081427E"/>
    <w:rsid w:val="00814A08"/>
    <w:rsid w:val="00816AB5"/>
    <w:rsid w:val="00817221"/>
    <w:rsid w:val="00821540"/>
    <w:rsid w:val="008242C0"/>
    <w:rsid w:val="00824840"/>
    <w:rsid w:val="00825616"/>
    <w:rsid w:val="008266AB"/>
    <w:rsid w:val="008304E6"/>
    <w:rsid w:val="00830AC6"/>
    <w:rsid w:val="008310C6"/>
    <w:rsid w:val="00833BBD"/>
    <w:rsid w:val="00833E2F"/>
    <w:rsid w:val="00833FCD"/>
    <w:rsid w:val="0083412F"/>
    <w:rsid w:val="00835854"/>
    <w:rsid w:val="00841152"/>
    <w:rsid w:val="00842555"/>
    <w:rsid w:val="00842938"/>
    <w:rsid w:val="00842A6E"/>
    <w:rsid w:val="00844F9C"/>
    <w:rsid w:val="00845343"/>
    <w:rsid w:val="00845685"/>
    <w:rsid w:val="00846631"/>
    <w:rsid w:val="00847053"/>
    <w:rsid w:val="008605F6"/>
    <w:rsid w:val="00861DAC"/>
    <w:rsid w:val="0086676A"/>
    <w:rsid w:val="00872154"/>
    <w:rsid w:val="00876F63"/>
    <w:rsid w:val="00880910"/>
    <w:rsid w:val="00891610"/>
    <w:rsid w:val="00891A6C"/>
    <w:rsid w:val="00892BBA"/>
    <w:rsid w:val="00893D93"/>
    <w:rsid w:val="008946CA"/>
    <w:rsid w:val="008A03CB"/>
    <w:rsid w:val="008A1D63"/>
    <w:rsid w:val="008A6DC9"/>
    <w:rsid w:val="008B0376"/>
    <w:rsid w:val="008B109D"/>
    <w:rsid w:val="008B1975"/>
    <w:rsid w:val="008B1D24"/>
    <w:rsid w:val="008B2269"/>
    <w:rsid w:val="008B4F0C"/>
    <w:rsid w:val="008B51A0"/>
    <w:rsid w:val="008B7A0C"/>
    <w:rsid w:val="008C091C"/>
    <w:rsid w:val="008C0F78"/>
    <w:rsid w:val="008C1248"/>
    <w:rsid w:val="008C36D2"/>
    <w:rsid w:val="008C3E8E"/>
    <w:rsid w:val="008C4482"/>
    <w:rsid w:val="008C587D"/>
    <w:rsid w:val="008C6699"/>
    <w:rsid w:val="008C7A6C"/>
    <w:rsid w:val="008C7C61"/>
    <w:rsid w:val="008D2F2D"/>
    <w:rsid w:val="008D4311"/>
    <w:rsid w:val="008D4CFD"/>
    <w:rsid w:val="008D5C03"/>
    <w:rsid w:val="008D66CE"/>
    <w:rsid w:val="008D7710"/>
    <w:rsid w:val="008D7B86"/>
    <w:rsid w:val="008E049D"/>
    <w:rsid w:val="008E213B"/>
    <w:rsid w:val="008E58A9"/>
    <w:rsid w:val="008E7434"/>
    <w:rsid w:val="008F108C"/>
    <w:rsid w:val="008F1E9B"/>
    <w:rsid w:val="008F3C03"/>
    <w:rsid w:val="008F4157"/>
    <w:rsid w:val="008F6003"/>
    <w:rsid w:val="008F7B4D"/>
    <w:rsid w:val="00902852"/>
    <w:rsid w:val="00904104"/>
    <w:rsid w:val="0090451B"/>
    <w:rsid w:val="00904BD9"/>
    <w:rsid w:val="009065D7"/>
    <w:rsid w:val="009076BA"/>
    <w:rsid w:val="00907FF2"/>
    <w:rsid w:val="00913472"/>
    <w:rsid w:val="009136DA"/>
    <w:rsid w:val="009139CC"/>
    <w:rsid w:val="009145D8"/>
    <w:rsid w:val="00916470"/>
    <w:rsid w:val="009164C6"/>
    <w:rsid w:val="009177F8"/>
    <w:rsid w:val="00917943"/>
    <w:rsid w:val="00917D85"/>
    <w:rsid w:val="0092002C"/>
    <w:rsid w:val="00926D9C"/>
    <w:rsid w:val="00931313"/>
    <w:rsid w:val="00932E83"/>
    <w:rsid w:val="00932F96"/>
    <w:rsid w:val="00933032"/>
    <w:rsid w:val="00935788"/>
    <w:rsid w:val="00935AC6"/>
    <w:rsid w:val="009372E9"/>
    <w:rsid w:val="00937C89"/>
    <w:rsid w:val="00937F0E"/>
    <w:rsid w:val="0094580A"/>
    <w:rsid w:val="0094586B"/>
    <w:rsid w:val="009458DA"/>
    <w:rsid w:val="00947A70"/>
    <w:rsid w:val="0095048F"/>
    <w:rsid w:val="009612B0"/>
    <w:rsid w:val="00961474"/>
    <w:rsid w:val="00964C5A"/>
    <w:rsid w:val="009658E7"/>
    <w:rsid w:val="00971998"/>
    <w:rsid w:val="0097356A"/>
    <w:rsid w:val="00974A8E"/>
    <w:rsid w:val="009771F0"/>
    <w:rsid w:val="00982C49"/>
    <w:rsid w:val="0098345A"/>
    <w:rsid w:val="009846DC"/>
    <w:rsid w:val="00985643"/>
    <w:rsid w:val="0098762C"/>
    <w:rsid w:val="0098789D"/>
    <w:rsid w:val="009913F9"/>
    <w:rsid w:val="009960B4"/>
    <w:rsid w:val="00997033"/>
    <w:rsid w:val="00997F2F"/>
    <w:rsid w:val="009A0FBB"/>
    <w:rsid w:val="009A1670"/>
    <w:rsid w:val="009A16B6"/>
    <w:rsid w:val="009A1ECA"/>
    <w:rsid w:val="009A2BD3"/>
    <w:rsid w:val="009A439B"/>
    <w:rsid w:val="009A5372"/>
    <w:rsid w:val="009A5D93"/>
    <w:rsid w:val="009A680B"/>
    <w:rsid w:val="009B0D01"/>
    <w:rsid w:val="009B1977"/>
    <w:rsid w:val="009B3068"/>
    <w:rsid w:val="009B489F"/>
    <w:rsid w:val="009B4C0D"/>
    <w:rsid w:val="009B573D"/>
    <w:rsid w:val="009C06C9"/>
    <w:rsid w:val="009C118F"/>
    <w:rsid w:val="009C152E"/>
    <w:rsid w:val="009C2F1E"/>
    <w:rsid w:val="009C5DD7"/>
    <w:rsid w:val="009C74A1"/>
    <w:rsid w:val="009D03F7"/>
    <w:rsid w:val="009D0A34"/>
    <w:rsid w:val="009D2E9C"/>
    <w:rsid w:val="009D5661"/>
    <w:rsid w:val="009D5C56"/>
    <w:rsid w:val="009D7666"/>
    <w:rsid w:val="009D7AD1"/>
    <w:rsid w:val="009D7E0A"/>
    <w:rsid w:val="009E070E"/>
    <w:rsid w:val="009E0B69"/>
    <w:rsid w:val="009E3B8E"/>
    <w:rsid w:val="009E4AE1"/>
    <w:rsid w:val="009E5A63"/>
    <w:rsid w:val="009F1B6D"/>
    <w:rsid w:val="009F2A17"/>
    <w:rsid w:val="009F39FB"/>
    <w:rsid w:val="009F6058"/>
    <w:rsid w:val="009F7728"/>
    <w:rsid w:val="00A036A8"/>
    <w:rsid w:val="00A044AA"/>
    <w:rsid w:val="00A10263"/>
    <w:rsid w:val="00A10D0F"/>
    <w:rsid w:val="00A1338B"/>
    <w:rsid w:val="00A13630"/>
    <w:rsid w:val="00A15A0E"/>
    <w:rsid w:val="00A16048"/>
    <w:rsid w:val="00A163AE"/>
    <w:rsid w:val="00A17694"/>
    <w:rsid w:val="00A17C69"/>
    <w:rsid w:val="00A202B1"/>
    <w:rsid w:val="00A20D0B"/>
    <w:rsid w:val="00A21527"/>
    <w:rsid w:val="00A2183B"/>
    <w:rsid w:val="00A237FD"/>
    <w:rsid w:val="00A24C41"/>
    <w:rsid w:val="00A252E2"/>
    <w:rsid w:val="00A31891"/>
    <w:rsid w:val="00A32001"/>
    <w:rsid w:val="00A35557"/>
    <w:rsid w:val="00A361F6"/>
    <w:rsid w:val="00A36D19"/>
    <w:rsid w:val="00A40F9B"/>
    <w:rsid w:val="00A41799"/>
    <w:rsid w:val="00A43A25"/>
    <w:rsid w:val="00A44AA4"/>
    <w:rsid w:val="00A454A6"/>
    <w:rsid w:val="00A45AFC"/>
    <w:rsid w:val="00A45F8D"/>
    <w:rsid w:val="00A47BA2"/>
    <w:rsid w:val="00A47FDE"/>
    <w:rsid w:val="00A51AF1"/>
    <w:rsid w:val="00A53F50"/>
    <w:rsid w:val="00A554C7"/>
    <w:rsid w:val="00A5633F"/>
    <w:rsid w:val="00A61936"/>
    <w:rsid w:val="00A626EA"/>
    <w:rsid w:val="00A7142D"/>
    <w:rsid w:val="00A72ACE"/>
    <w:rsid w:val="00A7555E"/>
    <w:rsid w:val="00A75CAC"/>
    <w:rsid w:val="00A77D62"/>
    <w:rsid w:val="00A82B50"/>
    <w:rsid w:val="00A83C0C"/>
    <w:rsid w:val="00A843BD"/>
    <w:rsid w:val="00A86856"/>
    <w:rsid w:val="00A904E4"/>
    <w:rsid w:val="00A90C07"/>
    <w:rsid w:val="00A928CF"/>
    <w:rsid w:val="00A96FDE"/>
    <w:rsid w:val="00AA09F8"/>
    <w:rsid w:val="00AA2523"/>
    <w:rsid w:val="00AA2963"/>
    <w:rsid w:val="00AB4467"/>
    <w:rsid w:val="00AB7F5E"/>
    <w:rsid w:val="00AC001E"/>
    <w:rsid w:val="00AC03D8"/>
    <w:rsid w:val="00AC3DDB"/>
    <w:rsid w:val="00AC4596"/>
    <w:rsid w:val="00AC50C1"/>
    <w:rsid w:val="00AC598A"/>
    <w:rsid w:val="00AC6ADE"/>
    <w:rsid w:val="00AD0467"/>
    <w:rsid w:val="00AD09E0"/>
    <w:rsid w:val="00AD0ADB"/>
    <w:rsid w:val="00AD1056"/>
    <w:rsid w:val="00AD1BDE"/>
    <w:rsid w:val="00AD219C"/>
    <w:rsid w:val="00AD2383"/>
    <w:rsid w:val="00AD3642"/>
    <w:rsid w:val="00AD3C7B"/>
    <w:rsid w:val="00AD442E"/>
    <w:rsid w:val="00AD498B"/>
    <w:rsid w:val="00AD5331"/>
    <w:rsid w:val="00AD607E"/>
    <w:rsid w:val="00AD7A09"/>
    <w:rsid w:val="00AE10AB"/>
    <w:rsid w:val="00AE10CE"/>
    <w:rsid w:val="00AE25B8"/>
    <w:rsid w:val="00AE2C78"/>
    <w:rsid w:val="00AF093E"/>
    <w:rsid w:val="00AF0CE8"/>
    <w:rsid w:val="00AF112A"/>
    <w:rsid w:val="00AF225B"/>
    <w:rsid w:val="00AF226D"/>
    <w:rsid w:val="00AF22B0"/>
    <w:rsid w:val="00AF3E5B"/>
    <w:rsid w:val="00AF4CE8"/>
    <w:rsid w:val="00B00E7D"/>
    <w:rsid w:val="00B02E33"/>
    <w:rsid w:val="00B056AA"/>
    <w:rsid w:val="00B07219"/>
    <w:rsid w:val="00B1159A"/>
    <w:rsid w:val="00B11E92"/>
    <w:rsid w:val="00B13DDD"/>
    <w:rsid w:val="00B13FC3"/>
    <w:rsid w:val="00B14848"/>
    <w:rsid w:val="00B20F0B"/>
    <w:rsid w:val="00B217E8"/>
    <w:rsid w:val="00B2618B"/>
    <w:rsid w:val="00B30370"/>
    <w:rsid w:val="00B3304A"/>
    <w:rsid w:val="00B34660"/>
    <w:rsid w:val="00B36AAB"/>
    <w:rsid w:val="00B423ED"/>
    <w:rsid w:val="00B44D2A"/>
    <w:rsid w:val="00B4576A"/>
    <w:rsid w:val="00B460A3"/>
    <w:rsid w:val="00B470F9"/>
    <w:rsid w:val="00B473BD"/>
    <w:rsid w:val="00B50801"/>
    <w:rsid w:val="00B50EDB"/>
    <w:rsid w:val="00B527A0"/>
    <w:rsid w:val="00B53525"/>
    <w:rsid w:val="00B569B6"/>
    <w:rsid w:val="00B57D28"/>
    <w:rsid w:val="00B60DFE"/>
    <w:rsid w:val="00B624A2"/>
    <w:rsid w:val="00B62A27"/>
    <w:rsid w:val="00B63C38"/>
    <w:rsid w:val="00B64A20"/>
    <w:rsid w:val="00B64F42"/>
    <w:rsid w:val="00B66FA4"/>
    <w:rsid w:val="00B70BEE"/>
    <w:rsid w:val="00B72011"/>
    <w:rsid w:val="00B73463"/>
    <w:rsid w:val="00B73C0C"/>
    <w:rsid w:val="00B74CB4"/>
    <w:rsid w:val="00B81035"/>
    <w:rsid w:val="00B81075"/>
    <w:rsid w:val="00B81548"/>
    <w:rsid w:val="00B81768"/>
    <w:rsid w:val="00B82D74"/>
    <w:rsid w:val="00B835E6"/>
    <w:rsid w:val="00B83B89"/>
    <w:rsid w:val="00B8403D"/>
    <w:rsid w:val="00B8414A"/>
    <w:rsid w:val="00B84514"/>
    <w:rsid w:val="00B85D77"/>
    <w:rsid w:val="00B86128"/>
    <w:rsid w:val="00B86312"/>
    <w:rsid w:val="00B8767E"/>
    <w:rsid w:val="00B924FB"/>
    <w:rsid w:val="00B92903"/>
    <w:rsid w:val="00B93156"/>
    <w:rsid w:val="00B93B8F"/>
    <w:rsid w:val="00B93D02"/>
    <w:rsid w:val="00B94B34"/>
    <w:rsid w:val="00B966C3"/>
    <w:rsid w:val="00BA15FB"/>
    <w:rsid w:val="00BA2E5B"/>
    <w:rsid w:val="00BA34BE"/>
    <w:rsid w:val="00BA39C1"/>
    <w:rsid w:val="00BB0109"/>
    <w:rsid w:val="00BB1DC0"/>
    <w:rsid w:val="00BB1F7D"/>
    <w:rsid w:val="00BB36DB"/>
    <w:rsid w:val="00BB650E"/>
    <w:rsid w:val="00BB79E8"/>
    <w:rsid w:val="00BC30D5"/>
    <w:rsid w:val="00BC35D4"/>
    <w:rsid w:val="00BC5499"/>
    <w:rsid w:val="00BC5DEA"/>
    <w:rsid w:val="00BC6BF3"/>
    <w:rsid w:val="00BD13D2"/>
    <w:rsid w:val="00BD3672"/>
    <w:rsid w:val="00BD373B"/>
    <w:rsid w:val="00BD552E"/>
    <w:rsid w:val="00BD5877"/>
    <w:rsid w:val="00BD7C18"/>
    <w:rsid w:val="00BD7C9D"/>
    <w:rsid w:val="00BE2420"/>
    <w:rsid w:val="00BE4A3B"/>
    <w:rsid w:val="00BE4E0E"/>
    <w:rsid w:val="00BE77D5"/>
    <w:rsid w:val="00BF046C"/>
    <w:rsid w:val="00BF2094"/>
    <w:rsid w:val="00BF3111"/>
    <w:rsid w:val="00BF46E1"/>
    <w:rsid w:val="00BF54F9"/>
    <w:rsid w:val="00BF66CB"/>
    <w:rsid w:val="00BF6B2C"/>
    <w:rsid w:val="00BF7B2B"/>
    <w:rsid w:val="00BF7D16"/>
    <w:rsid w:val="00C00CCF"/>
    <w:rsid w:val="00C019E5"/>
    <w:rsid w:val="00C02096"/>
    <w:rsid w:val="00C023C2"/>
    <w:rsid w:val="00C0316A"/>
    <w:rsid w:val="00C04A5B"/>
    <w:rsid w:val="00C04ABE"/>
    <w:rsid w:val="00C04AD1"/>
    <w:rsid w:val="00C0583C"/>
    <w:rsid w:val="00C05F43"/>
    <w:rsid w:val="00C0753A"/>
    <w:rsid w:val="00C13E8E"/>
    <w:rsid w:val="00C209F5"/>
    <w:rsid w:val="00C22327"/>
    <w:rsid w:val="00C252B7"/>
    <w:rsid w:val="00C27DC9"/>
    <w:rsid w:val="00C30C16"/>
    <w:rsid w:val="00C31B13"/>
    <w:rsid w:val="00C31F5A"/>
    <w:rsid w:val="00C365E0"/>
    <w:rsid w:val="00C37ADA"/>
    <w:rsid w:val="00C37B81"/>
    <w:rsid w:val="00C40A7E"/>
    <w:rsid w:val="00C43B1E"/>
    <w:rsid w:val="00C453AD"/>
    <w:rsid w:val="00C46E82"/>
    <w:rsid w:val="00C52260"/>
    <w:rsid w:val="00C553BE"/>
    <w:rsid w:val="00C6065F"/>
    <w:rsid w:val="00C65528"/>
    <w:rsid w:val="00C65B62"/>
    <w:rsid w:val="00C66F07"/>
    <w:rsid w:val="00C71BBD"/>
    <w:rsid w:val="00C71DC2"/>
    <w:rsid w:val="00C729B0"/>
    <w:rsid w:val="00C72AF3"/>
    <w:rsid w:val="00C72D38"/>
    <w:rsid w:val="00C77DCE"/>
    <w:rsid w:val="00C8296D"/>
    <w:rsid w:val="00C8313A"/>
    <w:rsid w:val="00C8313F"/>
    <w:rsid w:val="00C839DE"/>
    <w:rsid w:val="00C83D1D"/>
    <w:rsid w:val="00C867F0"/>
    <w:rsid w:val="00C902A8"/>
    <w:rsid w:val="00C90890"/>
    <w:rsid w:val="00C90CB8"/>
    <w:rsid w:val="00C93EFF"/>
    <w:rsid w:val="00C9613B"/>
    <w:rsid w:val="00CA2804"/>
    <w:rsid w:val="00CA36F5"/>
    <w:rsid w:val="00CA4722"/>
    <w:rsid w:val="00CA7C36"/>
    <w:rsid w:val="00CB0714"/>
    <w:rsid w:val="00CB482C"/>
    <w:rsid w:val="00CB4984"/>
    <w:rsid w:val="00CB765E"/>
    <w:rsid w:val="00CB79E6"/>
    <w:rsid w:val="00CC1D47"/>
    <w:rsid w:val="00CC2518"/>
    <w:rsid w:val="00CC3EE6"/>
    <w:rsid w:val="00CC4296"/>
    <w:rsid w:val="00CC42C8"/>
    <w:rsid w:val="00CC6F70"/>
    <w:rsid w:val="00CC716F"/>
    <w:rsid w:val="00CC7870"/>
    <w:rsid w:val="00CC7DE7"/>
    <w:rsid w:val="00CD176E"/>
    <w:rsid w:val="00CD178E"/>
    <w:rsid w:val="00CD31C5"/>
    <w:rsid w:val="00CD343E"/>
    <w:rsid w:val="00CD3497"/>
    <w:rsid w:val="00CD4342"/>
    <w:rsid w:val="00CD44C2"/>
    <w:rsid w:val="00CD51DB"/>
    <w:rsid w:val="00CD6BFB"/>
    <w:rsid w:val="00CE0AC7"/>
    <w:rsid w:val="00CE1391"/>
    <w:rsid w:val="00CE1C26"/>
    <w:rsid w:val="00CE2ADC"/>
    <w:rsid w:val="00CE2B0D"/>
    <w:rsid w:val="00CE2D23"/>
    <w:rsid w:val="00CE354C"/>
    <w:rsid w:val="00CE6E48"/>
    <w:rsid w:val="00CF0510"/>
    <w:rsid w:val="00CF2F27"/>
    <w:rsid w:val="00CF6776"/>
    <w:rsid w:val="00CF762A"/>
    <w:rsid w:val="00CF7ED5"/>
    <w:rsid w:val="00D0498E"/>
    <w:rsid w:val="00D052F5"/>
    <w:rsid w:val="00D057F0"/>
    <w:rsid w:val="00D10078"/>
    <w:rsid w:val="00D1097E"/>
    <w:rsid w:val="00D13A58"/>
    <w:rsid w:val="00D166E2"/>
    <w:rsid w:val="00D170FD"/>
    <w:rsid w:val="00D2353C"/>
    <w:rsid w:val="00D26397"/>
    <w:rsid w:val="00D2712E"/>
    <w:rsid w:val="00D30443"/>
    <w:rsid w:val="00D32C56"/>
    <w:rsid w:val="00D34169"/>
    <w:rsid w:val="00D34B2C"/>
    <w:rsid w:val="00D34E72"/>
    <w:rsid w:val="00D371DA"/>
    <w:rsid w:val="00D37B43"/>
    <w:rsid w:val="00D37B49"/>
    <w:rsid w:val="00D413B2"/>
    <w:rsid w:val="00D442C3"/>
    <w:rsid w:val="00D44B04"/>
    <w:rsid w:val="00D46A71"/>
    <w:rsid w:val="00D52004"/>
    <w:rsid w:val="00D53747"/>
    <w:rsid w:val="00D53F73"/>
    <w:rsid w:val="00D5443A"/>
    <w:rsid w:val="00D548F9"/>
    <w:rsid w:val="00D56681"/>
    <w:rsid w:val="00D57E50"/>
    <w:rsid w:val="00D60762"/>
    <w:rsid w:val="00D62741"/>
    <w:rsid w:val="00D62FEF"/>
    <w:rsid w:val="00D63F3B"/>
    <w:rsid w:val="00D65194"/>
    <w:rsid w:val="00D65389"/>
    <w:rsid w:val="00D6711E"/>
    <w:rsid w:val="00D676B9"/>
    <w:rsid w:val="00D676C9"/>
    <w:rsid w:val="00D71E5D"/>
    <w:rsid w:val="00D7277A"/>
    <w:rsid w:val="00D75650"/>
    <w:rsid w:val="00D756B0"/>
    <w:rsid w:val="00D825E0"/>
    <w:rsid w:val="00D84ECC"/>
    <w:rsid w:val="00D85804"/>
    <w:rsid w:val="00D85A98"/>
    <w:rsid w:val="00D85C74"/>
    <w:rsid w:val="00D85E87"/>
    <w:rsid w:val="00D86F0E"/>
    <w:rsid w:val="00D943CF"/>
    <w:rsid w:val="00D945D7"/>
    <w:rsid w:val="00D96D66"/>
    <w:rsid w:val="00D97095"/>
    <w:rsid w:val="00D975CC"/>
    <w:rsid w:val="00DA1778"/>
    <w:rsid w:val="00DA43A4"/>
    <w:rsid w:val="00DA4E69"/>
    <w:rsid w:val="00DA5AFF"/>
    <w:rsid w:val="00DB0A25"/>
    <w:rsid w:val="00DB258F"/>
    <w:rsid w:val="00DB52F0"/>
    <w:rsid w:val="00DB7A4C"/>
    <w:rsid w:val="00DC1E27"/>
    <w:rsid w:val="00DC5869"/>
    <w:rsid w:val="00DC64D1"/>
    <w:rsid w:val="00DD0A11"/>
    <w:rsid w:val="00DD3FC1"/>
    <w:rsid w:val="00DD46F0"/>
    <w:rsid w:val="00DD7530"/>
    <w:rsid w:val="00DE1B81"/>
    <w:rsid w:val="00DE1E8A"/>
    <w:rsid w:val="00DE21FB"/>
    <w:rsid w:val="00DE2673"/>
    <w:rsid w:val="00DE35EC"/>
    <w:rsid w:val="00DE5981"/>
    <w:rsid w:val="00DF3BDB"/>
    <w:rsid w:val="00DF533B"/>
    <w:rsid w:val="00DF63C7"/>
    <w:rsid w:val="00DF6DB5"/>
    <w:rsid w:val="00E0098A"/>
    <w:rsid w:val="00E02848"/>
    <w:rsid w:val="00E02E43"/>
    <w:rsid w:val="00E061FC"/>
    <w:rsid w:val="00E06387"/>
    <w:rsid w:val="00E073A5"/>
    <w:rsid w:val="00E073CA"/>
    <w:rsid w:val="00E07D33"/>
    <w:rsid w:val="00E07E30"/>
    <w:rsid w:val="00E10A2A"/>
    <w:rsid w:val="00E1283A"/>
    <w:rsid w:val="00E16DA5"/>
    <w:rsid w:val="00E25755"/>
    <w:rsid w:val="00E258D4"/>
    <w:rsid w:val="00E2608D"/>
    <w:rsid w:val="00E27513"/>
    <w:rsid w:val="00E3082A"/>
    <w:rsid w:val="00E31C96"/>
    <w:rsid w:val="00E337DA"/>
    <w:rsid w:val="00E35416"/>
    <w:rsid w:val="00E35EAA"/>
    <w:rsid w:val="00E41EB3"/>
    <w:rsid w:val="00E41F47"/>
    <w:rsid w:val="00E445BB"/>
    <w:rsid w:val="00E45037"/>
    <w:rsid w:val="00E455D4"/>
    <w:rsid w:val="00E478A2"/>
    <w:rsid w:val="00E53A1E"/>
    <w:rsid w:val="00E549E5"/>
    <w:rsid w:val="00E57767"/>
    <w:rsid w:val="00E578EA"/>
    <w:rsid w:val="00E60365"/>
    <w:rsid w:val="00E65C9F"/>
    <w:rsid w:val="00E70ABB"/>
    <w:rsid w:val="00E748A3"/>
    <w:rsid w:val="00E74A3A"/>
    <w:rsid w:val="00E75A33"/>
    <w:rsid w:val="00E80BAA"/>
    <w:rsid w:val="00E80CC9"/>
    <w:rsid w:val="00E8151A"/>
    <w:rsid w:val="00E86438"/>
    <w:rsid w:val="00E86E6D"/>
    <w:rsid w:val="00E87FF8"/>
    <w:rsid w:val="00E9074E"/>
    <w:rsid w:val="00E926A2"/>
    <w:rsid w:val="00E92FDD"/>
    <w:rsid w:val="00E938AB"/>
    <w:rsid w:val="00E93EC3"/>
    <w:rsid w:val="00E942F8"/>
    <w:rsid w:val="00E9437F"/>
    <w:rsid w:val="00E96959"/>
    <w:rsid w:val="00EA3C0A"/>
    <w:rsid w:val="00EA4CDA"/>
    <w:rsid w:val="00EA5987"/>
    <w:rsid w:val="00EA6B85"/>
    <w:rsid w:val="00EB09EF"/>
    <w:rsid w:val="00EB2561"/>
    <w:rsid w:val="00EC0DF1"/>
    <w:rsid w:val="00EC3D08"/>
    <w:rsid w:val="00EC49DB"/>
    <w:rsid w:val="00EC6700"/>
    <w:rsid w:val="00EC6946"/>
    <w:rsid w:val="00ED01F3"/>
    <w:rsid w:val="00ED2E7D"/>
    <w:rsid w:val="00ED34E6"/>
    <w:rsid w:val="00ED68C0"/>
    <w:rsid w:val="00EE0D0F"/>
    <w:rsid w:val="00EE233C"/>
    <w:rsid w:val="00EE45CE"/>
    <w:rsid w:val="00EE495C"/>
    <w:rsid w:val="00EE4B1D"/>
    <w:rsid w:val="00EE6B95"/>
    <w:rsid w:val="00EE7FEB"/>
    <w:rsid w:val="00EF0BF3"/>
    <w:rsid w:val="00EF1C8F"/>
    <w:rsid w:val="00EF35DE"/>
    <w:rsid w:val="00EF6F40"/>
    <w:rsid w:val="00F0094B"/>
    <w:rsid w:val="00F00CCC"/>
    <w:rsid w:val="00F0214E"/>
    <w:rsid w:val="00F0337F"/>
    <w:rsid w:val="00F04727"/>
    <w:rsid w:val="00F076B8"/>
    <w:rsid w:val="00F10F55"/>
    <w:rsid w:val="00F12834"/>
    <w:rsid w:val="00F14BFF"/>
    <w:rsid w:val="00F153F6"/>
    <w:rsid w:val="00F16692"/>
    <w:rsid w:val="00F22A3F"/>
    <w:rsid w:val="00F23B52"/>
    <w:rsid w:val="00F23E5C"/>
    <w:rsid w:val="00F2552D"/>
    <w:rsid w:val="00F25EE8"/>
    <w:rsid w:val="00F26A7A"/>
    <w:rsid w:val="00F32A70"/>
    <w:rsid w:val="00F32DB9"/>
    <w:rsid w:val="00F34F8F"/>
    <w:rsid w:val="00F350D3"/>
    <w:rsid w:val="00F35837"/>
    <w:rsid w:val="00F376A8"/>
    <w:rsid w:val="00F40346"/>
    <w:rsid w:val="00F4148C"/>
    <w:rsid w:val="00F4187A"/>
    <w:rsid w:val="00F42656"/>
    <w:rsid w:val="00F42C2A"/>
    <w:rsid w:val="00F4434F"/>
    <w:rsid w:val="00F45106"/>
    <w:rsid w:val="00F4561C"/>
    <w:rsid w:val="00F45743"/>
    <w:rsid w:val="00F45825"/>
    <w:rsid w:val="00F51686"/>
    <w:rsid w:val="00F523A4"/>
    <w:rsid w:val="00F567E5"/>
    <w:rsid w:val="00F60753"/>
    <w:rsid w:val="00F638AA"/>
    <w:rsid w:val="00F661DE"/>
    <w:rsid w:val="00F7464C"/>
    <w:rsid w:val="00F746B3"/>
    <w:rsid w:val="00F76C92"/>
    <w:rsid w:val="00F804FD"/>
    <w:rsid w:val="00F83624"/>
    <w:rsid w:val="00F869FE"/>
    <w:rsid w:val="00F903EE"/>
    <w:rsid w:val="00F90CA2"/>
    <w:rsid w:val="00F92F31"/>
    <w:rsid w:val="00F946BC"/>
    <w:rsid w:val="00F95267"/>
    <w:rsid w:val="00F95534"/>
    <w:rsid w:val="00F955FA"/>
    <w:rsid w:val="00F959D4"/>
    <w:rsid w:val="00F97D8A"/>
    <w:rsid w:val="00FA0B2B"/>
    <w:rsid w:val="00FA315B"/>
    <w:rsid w:val="00FA403E"/>
    <w:rsid w:val="00FA4A06"/>
    <w:rsid w:val="00FA4E1B"/>
    <w:rsid w:val="00FA6DEE"/>
    <w:rsid w:val="00FA7702"/>
    <w:rsid w:val="00FB696F"/>
    <w:rsid w:val="00FC06F0"/>
    <w:rsid w:val="00FC0F40"/>
    <w:rsid w:val="00FC2A34"/>
    <w:rsid w:val="00FC2B03"/>
    <w:rsid w:val="00FC4012"/>
    <w:rsid w:val="00FC449D"/>
    <w:rsid w:val="00FC55D6"/>
    <w:rsid w:val="00FC6684"/>
    <w:rsid w:val="00FC767B"/>
    <w:rsid w:val="00FC7CA3"/>
    <w:rsid w:val="00FD3CC5"/>
    <w:rsid w:val="00FE1835"/>
    <w:rsid w:val="00FE4E0B"/>
    <w:rsid w:val="00FF23F6"/>
    <w:rsid w:val="00FF410F"/>
    <w:rsid w:val="00FF4A4B"/>
    <w:rsid w:val="00FF639E"/>
    <w:rsid w:val="00FF69FF"/>
    <w:rsid w:val="00FF7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F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E2CFF"/>
    <w:pPr>
      <w:spacing w:after="200"/>
    </w:pPr>
    <w:rPr>
      <w:szCs w:val="22"/>
    </w:rPr>
  </w:style>
  <w:style w:type="character" w:customStyle="1" w:styleId="BodyTextChar">
    <w:name w:val="Body Text Char"/>
    <w:basedOn w:val="DefaultParagraphFont"/>
    <w:link w:val="BodyText"/>
    <w:uiPriority w:val="99"/>
    <w:rsid w:val="006E2CFF"/>
    <w:rPr>
      <w:sz w:val="22"/>
      <w:szCs w:val="22"/>
    </w:rPr>
  </w:style>
  <w:style w:type="paragraph" w:styleId="ListBullet">
    <w:name w:val="List Bullet"/>
    <w:basedOn w:val="Normal"/>
    <w:uiPriority w:val="99"/>
    <w:unhideWhenUsed/>
    <w:rsid w:val="005756ED"/>
    <w:pPr>
      <w:numPr>
        <w:numId w:val="2"/>
      </w:numPr>
      <w:spacing w:after="120"/>
    </w:pPr>
    <w:rPr>
      <w:szCs w:val="22"/>
    </w:rPr>
  </w:style>
  <w:style w:type="paragraph" w:styleId="ListBullet2">
    <w:name w:val="List Bullet 2"/>
    <w:basedOn w:val="Normal"/>
    <w:uiPriority w:val="99"/>
    <w:unhideWhenUsed/>
    <w:rsid w:val="005756ED"/>
    <w:pPr>
      <w:numPr>
        <w:numId w:val="5"/>
      </w:numPr>
      <w:spacing w:after="120"/>
    </w:pPr>
    <w:rPr>
      <w:szCs w:val="22"/>
    </w:rPr>
  </w:style>
  <w:style w:type="paragraph" w:styleId="FootnoteText">
    <w:name w:val="footnote text"/>
    <w:basedOn w:val="Normal"/>
    <w:link w:val="FootnoteTextChar"/>
    <w:autoRedefine/>
    <w:uiPriority w:val="99"/>
    <w:unhideWhenUsed/>
    <w:rsid w:val="00F40346"/>
    <w:pPr>
      <w:widowControl w:val="0"/>
      <w:autoSpaceDE w:val="0"/>
      <w:autoSpaceDN w:val="0"/>
      <w:adjustRightInd w:val="0"/>
      <w:ind w:left="360" w:hanging="360"/>
    </w:pPr>
    <w:rPr>
      <w:rFonts w:eastAsia="Times New Roman"/>
      <w:sz w:val="18"/>
    </w:rPr>
  </w:style>
  <w:style w:type="character" w:customStyle="1" w:styleId="FootnoteTextChar">
    <w:name w:val="Footnote Text Char"/>
    <w:basedOn w:val="DefaultParagraphFont"/>
    <w:link w:val="FootnoteText"/>
    <w:uiPriority w:val="99"/>
    <w:rsid w:val="00F40346"/>
    <w:rPr>
      <w:rFonts w:eastAsia="Times New Roman"/>
      <w:sz w:val="18"/>
    </w:rPr>
  </w:style>
  <w:style w:type="paragraph" w:styleId="Header">
    <w:name w:val="header"/>
    <w:basedOn w:val="Normal"/>
    <w:link w:val="HeaderChar"/>
    <w:uiPriority w:val="99"/>
    <w:semiHidden/>
    <w:unhideWhenUsed/>
    <w:rsid w:val="006E69D3"/>
    <w:pPr>
      <w:tabs>
        <w:tab w:val="center" w:pos="4680"/>
        <w:tab w:val="right" w:pos="9360"/>
      </w:tabs>
    </w:pPr>
  </w:style>
  <w:style w:type="character" w:customStyle="1" w:styleId="HeaderChar">
    <w:name w:val="Header Char"/>
    <w:basedOn w:val="DefaultParagraphFont"/>
    <w:link w:val="Header"/>
    <w:uiPriority w:val="99"/>
    <w:semiHidden/>
    <w:rsid w:val="006E69D3"/>
  </w:style>
  <w:style w:type="paragraph" w:styleId="Footer">
    <w:name w:val="footer"/>
    <w:basedOn w:val="Normal"/>
    <w:link w:val="FooterChar"/>
    <w:uiPriority w:val="99"/>
    <w:unhideWhenUsed/>
    <w:rsid w:val="006E69D3"/>
    <w:pPr>
      <w:tabs>
        <w:tab w:val="center" w:pos="4680"/>
        <w:tab w:val="right" w:pos="9360"/>
      </w:tabs>
    </w:pPr>
  </w:style>
  <w:style w:type="character" w:customStyle="1" w:styleId="FooterChar">
    <w:name w:val="Footer Char"/>
    <w:basedOn w:val="DefaultParagraphFont"/>
    <w:link w:val="Footer"/>
    <w:uiPriority w:val="99"/>
    <w:rsid w:val="006E69D3"/>
  </w:style>
  <w:style w:type="paragraph" w:customStyle="1" w:styleId="Default">
    <w:name w:val="Default"/>
    <w:rsid w:val="00BB650E"/>
    <w:pPr>
      <w:autoSpaceDE w:val="0"/>
      <w:autoSpaceDN w:val="0"/>
      <w:adjustRightInd w:val="0"/>
    </w:pPr>
    <w:rPr>
      <w:rFonts w:ascii="Arial Narrow" w:eastAsia="Times New Roman" w:hAnsi="Arial Narrow" w:cs="Arial Narrow"/>
      <w:color w:val="000000"/>
      <w:sz w:val="24"/>
      <w:szCs w:val="24"/>
    </w:rPr>
  </w:style>
  <w:style w:type="character" w:styleId="Hyperlink">
    <w:name w:val="Hyperlink"/>
    <w:rsid w:val="00BB650E"/>
    <w:rPr>
      <w:color w:val="0000FF"/>
      <w:u w:val="single"/>
    </w:rPr>
  </w:style>
  <w:style w:type="table" w:styleId="TableGrid">
    <w:name w:val="Table Grid"/>
    <w:basedOn w:val="TableNormal"/>
    <w:rsid w:val="00BB65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CB6"/>
    <w:rPr>
      <w:rFonts w:ascii="Tahoma" w:hAnsi="Tahoma" w:cs="Tahoma"/>
      <w:sz w:val="16"/>
      <w:szCs w:val="16"/>
    </w:rPr>
  </w:style>
  <w:style w:type="character" w:customStyle="1" w:styleId="BalloonTextChar">
    <w:name w:val="Balloon Text Char"/>
    <w:basedOn w:val="DefaultParagraphFont"/>
    <w:link w:val="BalloonText"/>
    <w:uiPriority w:val="99"/>
    <w:semiHidden/>
    <w:rsid w:val="00240CB6"/>
    <w:rPr>
      <w:rFonts w:ascii="Tahoma" w:hAnsi="Tahoma" w:cs="Tahoma"/>
      <w:sz w:val="16"/>
      <w:szCs w:val="16"/>
    </w:rPr>
  </w:style>
  <w:style w:type="character" w:styleId="CommentReference">
    <w:name w:val="annotation reference"/>
    <w:basedOn w:val="DefaultParagraphFont"/>
    <w:uiPriority w:val="99"/>
    <w:semiHidden/>
    <w:unhideWhenUsed/>
    <w:rsid w:val="00AD2383"/>
    <w:rPr>
      <w:sz w:val="16"/>
      <w:szCs w:val="16"/>
    </w:rPr>
  </w:style>
  <w:style w:type="paragraph" w:styleId="CommentText">
    <w:name w:val="annotation text"/>
    <w:basedOn w:val="Normal"/>
    <w:link w:val="CommentTextChar"/>
    <w:uiPriority w:val="99"/>
    <w:semiHidden/>
    <w:unhideWhenUsed/>
    <w:rsid w:val="00AD2383"/>
  </w:style>
  <w:style w:type="character" w:customStyle="1" w:styleId="CommentTextChar">
    <w:name w:val="Comment Text Char"/>
    <w:basedOn w:val="DefaultParagraphFont"/>
    <w:link w:val="CommentText"/>
    <w:uiPriority w:val="99"/>
    <w:semiHidden/>
    <w:rsid w:val="00AD2383"/>
  </w:style>
  <w:style w:type="paragraph" w:styleId="CommentSubject">
    <w:name w:val="annotation subject"/>
    <w:basedOn w:val="CommentText"/>
    <w:next w:val="CommentText"/>
    <w:link w:val="CommentSubjectChar"/>
    <w:uiPriority w:val="99"/>
    <w:semiHidden/>
    <w:unhideWhenUsed/>
    <w:rsid w:val="00AD2383"/>
    <w:rPr>
      <w:b/>
      <w:bCs/>
    </w:rPr>
  </w:style>
  <w:style w:type="character" w:customStyle="1" w:styleId="CommentSubjectChar">
    <w:name w:val="Comment Subject Char"/>
    <w:basedOn w:val="CommentTextChar"/>
    <w:link w:val="CommentSubject"/>
    <w:uiPriority w:val="99"/>
    <w:semiHidden/>
    <w:rsid w:val="00AD2383"/>
    <w:rPr>
      <w:b/>
      <w:bCs/>
    </w:rPr>
  </w:style>
  <w:style w:type="paragraph" w:styleId="Revision">
    <w:name w:val="Revision"/>
    <w:hidden/>
    <w:uiPriority w:val="99"/>
    <w:semiHidden/>
    <w:rsid w:val="00AD2383"/>
  </w:style>
  <w:style w:type="character" w:styleId="FootnoteReference">
    <w:name w:val="footnote reference"/>
    <w:basedOn w:val="DefaultParagraphFont"/>
    <w:uiPriority w:val="99"/>
    <w:semiHidden/>
    <w:unhideWhenUsed/>
    <w:rsid w:val="00B470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F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756ED"/>
    <w:pPr>
      <w:spacing w:after="120"/>
    </w:pPr>
    <w:rPr>
      <w:szCs w:val="22"/>
    </w:rPr>
  </w:style>
  <w:style w:type="character" w:customStyle="1" w:styleId="BodyTextChar">
    <w:name w:val="Body Text Char"/>
    <w:basedOn w:val="DefaultParagraphFont"/>
    <w:link w:val="BodyText"/>
    <w:uiPriority w:val="99"/>
    <w:rsid w:val="005756ED"/>
    <w:rPr>
      <w:sz w:val="22"/>
      <w:szCs w:val="22"/>
    </w:rPr>
  </w:style>
  <w:style w:type="paragraph" w:styleId="ListBullet">
    <w:name w:val="List Bullet"/>
    <w:basedOn w:val="Normal"/>
    <w:uiPriority w:val="99"/>
    <w:unhideWhenUsed/>
    <w:rsid w:val="005756ED"/>
    <w:pPr>
      <w:numPr>
        <w:numId w:val="2"/>
      </w:numPr>
      <w:spacing w:after="120"/>
    </w:pPr>
    <w:rPr>
      <w:szCs w:val="22"/>
    </w:rPr>
  </w:style>
  <w:style w:type="paragraph" w:styleId="ListBullet2">
    <w:name w:val="List Bullet 2"/>
    <w:basedOn w:val="Normal"/>
    <w:uiPriority w:val="99"/>
    <w:unhideWhenUsed/>
    <w:rsid w:val="005756ED"/>
    <w:pPr>
      <w:numPr>
        <w:numId w:val="5"/>
      </w:numPr>
      <w:spacing w:after="120"/>
    </w:pPr>
    <w:rPr>
      <w:szCs w:val="22"/>
    </w:rPr>
  </w:style>
  <w:style w:type="paragraph" w:styleId="FootnoteText">
    <w:name w:val="footnote text"/>
    <w:basedOn w:val="Normal"/>
    <w:link w:val="FootnoteTextChar"/>
    <w:autoRedefine/>
    <w:uiPriority w:val="99"/>
    <w:unhideWhenUsed/>
    <w:rsid w:val="00F40346"/>
    <w:pPr>
      <w:widowControl w:val="0"/>
      <w:autoSpaceDE w:val="0"/>
      <w:autoSpaceDN w:val="0"/>
      <w:adjustRightInd w:val="0"/>
      <w:ind w:left="360" w:hanging="360"/>
    </w:pPr>
    <w:rPr>
      <w:rFonts w:eastAsia="Times New Roman"/>
      <w:sz w:val="18"/>
    </w:rPr>
  </w:style>
  <w:style w:type="character" w:customStyle="1" w:styleId="FootnoteTextChar">
    <w:name w:val="Footnote Text Char"/>
    <w:basedOn w:val="DefaultParagraphFont"/>
    <w:link w:val="FootnoteText"/>
    <w:uiPriority w:val="99"/>
    <w:rsid w:val="00F40346"/>
    <w:rPr>
      <w:rFonts w:eastAsia="Times New Roman"/>
      <w:sz w:val="18"/>
    </w:rPr>
  </w:style>
  <w:style w:type="paragraph" w:styleId="Header">
    <w:name w:val="header"/>
    <w:basedOn w:val="Normal"/>
    <w:link w:val="HeaderChar"/>
    <w:uiPriority w:val="99"/>
    <w:semiHidden/>
    <w:unhideWhenUsed/>
    <w:rsid w:val="006E69D3"/>
    <w:pPr>
      <w:tabs>
        <w:tab w:val="center" w:pos="4680"/>
        <w:tab w:val="right" w:pos="9360"/>
      </w:tabs>
    </w:pPr>
  </w:style>
  <w:style w:type="character" w:customStyle="1" w:styleId="HeaderChar">
    <w:name w:val="Header Char"/>
    <w:basedOn w:val="DefaultParagraphFont"/>
    <w:link w:val="Header"/>
    <w:uiPriority w:val="99"/>
    <w:semiHidden/>
    <w:rsid w:val="006E69D3"/>
  </w:style>
  <w:style w:type="paragraph" w:styleId="Footer">
    <w:name w:val="footer"/>
    <w:basedOn w:val="Normal"/>
    <w:link w:val="FooterChar"/>
    <w:uiPriority w:val="99"/>
    <w:unhideWhenUsed/>
    <w:rsid w:val="006E69D3"/>
    <w:pPr>
      <w:tabs>
        <w:tab w:val="center" w:pos="4680"/>
        <w:tab w:val="right" w:pos="9360"/>
      </w:tabs>
    </w:pPr>
  </w:style>
  <w:style w:type="character" w:customStyle="1" w:styleId="FooterChar">
    <w:name w:val="Footer Char"/>
    <w:basedOn w:val="DefaultParagraphFont"/>
    <w:link w:val="Footer"/>
    <w:uiPriority w:val="99"/>
    <w:rsid w:val="006E69D3"/>
  </w:style>
  <w:style w:type="paragraph" w:customStyle="1" w:styleId="Default">
    <w:name w:val="Default"/>
    <w:rsid w:val="00BB650E"/>
    <w:pPr>
      <w:autoSpaceDE w:val="0"/>
      <w:autoSpaceDN w:val="0"/>
      <w:adjustRightInd w:val="0"/>
    </w:pPr>
    <w:rPr>
      <w:rFonts w:ascii="Arial Narrow" w:eastAsia="Times New Roman" w:hAnsi="Arial Narrow" w:cs="Arial Narrow"/>
      <w:color w:val="000000"/>
      <w:sz w:val="24"/>
      <w:szCs w:val="24"/>
    </w:rPr>
  </w:style>
  <w:style w:type="character" w:styleId="Hyperlink">
    <w:name w:val="Hyperlink"/>
    <w:rsid w:val="00BB650E"/>
    <w:rPr>
      <w:color w:val="0000FF"/>
      <w:u w:val="single"/>
    </w:rPr>
  </w:style>
  <w:style w:type="table" w:styleId="TableGrid">
    <w:name w:val="Table Grid"/>
    <w:basedOn w:val="TableNormal"/>
    <w:rsid w:val="00BB65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CB6"/>
    <w:rPr>
      <w:rFonts w:ascii="Tahoma" w:hAnsi="Tahoma" w:cs="Tahoma"/>
      <w:sz w:val="16"/>
      <w:szCs w:val="16"/>
    </w:rPr>
  </w:style>
  <w:style w:type="character" w:customStyle="1" w:styleId="BalloonTextChar">
    <w:name w:val="Balloon Text Char"/>
    <w:basedOn w:val="DefaultParagraphFont"/>
    <w:link w:val="BalloonText"/>
    <w:uiPriority w:val="99"/>
    <w:semiHidden/>
    <w:rsid w:val="00240CB6"/>
    <w:rPr>
      <w:rFonts w:ascii="Tahoma" w:hAnsi="Tahoma" w:cs="Tahoma"/>
      <w:sz w:val="16"/>
      <w:szCs w:val="16"/>
    </w:rPr>
  </w:style>
  <w:style w:type="character" w:styleId="CommentReference">
    <w:name w:val="annotation reference"/>
    <w:basedOn w:val="DefaultParagraphFont"/>
    <w:uiPriority w:val="99"/>
    <w:semiHidden/>
    <w:unhideWhenUsed/>
    <w:rsid w:val="00AD2383"/>
    <w:rPr>
      <w:sz w:val="16"/>
      <w:szCs w:val="16"/>
    </w:rPr>
  </w:style>
  <w:style w:type="paragraph" w:styleId="CommentText">
    <w:name w:val="annotation text"/>
    <w:basedOn w:val="Normal"/>
    <w:link w:val="CommentTextChar"/>
    <w:uiPriority w:val="99"/>
    <w:semiHidden/>
    <w:unhideWhenUsed/>
    <w:rsid w:val="00AD2383"/>
  </w:style>
  <w:style w:type="character" w:customStyle="1" w:styleId="CommentTextChar">
    <w:name w:val="Comment Text Char"/>
    <w:basedOn w:val="DefaultParagraphFont"/>
    <w:link w:val="CommentText"/>
    <w:uiPriority w:val="99"/>
    <w:semiHidden/>
    <w:rsid w:val="00AD2383"/>
  </w:style>
  <w:style w:type="paragraph" w:styleId="CommentSubject">
    <w:name w:val="annotation subject"/>
    <w:basedOn w:val="CommentText"/>
    <w:next w:val="CommentText"/>
    <w:link w:val="CommentSubjectChar"/>
    <w:uiPriority w:val="99"/>
    <w:semiHidden/>
    <w:unhideWhenUsed/>
    <w:rsid w:val="00AD2383"/>
    <w:rPr>
      <w:b/>
      <w:bCs/>
    </w:rPr>
  </w:style>
  <w:style w:type="character" w:customStyle="1" w:styleId="CommentSubjectChar">
    <w:name w:val="Comment Subject Char"/>
    <w:basedOn w:val="CommentTextChar"/>
    <w:link w:val="CommentSubject"/>
    <w:uiPriority w:val="99"/>
    <w:semiHidden/>
    <w:rsid w:val="00AD2383"/>
    <w:rPr>
      <w:b/>
      <w:bCs/>
    </w:rPr>
  </w:style>
  <w:style w:type="paragraph" w:styleId="Revision">
    <w:name w:val="Revision"/>
    <w:hidden/>
    <w:uiPriority w:val="99"/>
    <w:semiHidden/>
    <w:rsid w:val="00AD2383"/>
  </w:style>
  <w:style w:type="character" w:styleId="FootnoteReference">
    <w:name w:val="footnote reference"/>
    <w:basedOn w:val="DefaultParagraphFont"/>
    <w:uiPriority w:val="99"/>
    <w:semiHidden/>
    <w:unhideWhenUsed/>
    <w:rsid w:val="00B470F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BC257-8248-493A-8475-384EA2B7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Z. Szoc, PhD</dc:creator>
  <cp:lastModifiedBy>Ronald Z. Szoc, PhD</cp:lastModifiedBy>
  <cp:revision>2</cp:revision>
  <dcterms:created xsi:type="dcterms:W3CDTF">2011-03-02T16:17:00Z</dcterms:created>
  <dcterms:modified xsi:type="dcterms:W3CDTF">2011-03-02T16:17:00Z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