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91" w:rsidRPr="00B741D2" w:rsidRDefault="0077116E" w:rsidP="00824691">
      <w:pPr>
        <w:jc w:val="center"/>
        <w:rPr>
          <w:b/>
          <w:bCs/>
          <w:color w:val="000000"/>
          <w:szCs w:val="24"/>
        </w:rPr>
      </w:pPr>
      <w:r w:rsidRPr="00B741D2">
        <w:rPr>
          <w:szCs w:val="24"/>
          <w:lang w:val="en-CA"/>
        </w:rPr>
        <w:fldChar w:fldCharType="begin"/>
      </w:r>
      <w:r w:rsidR="00824691" w:rsidRPr="00B741D2">
        <w:rPr>
          <w:szCs w:val="24"/>
          <w:lang w:val="en-CA"/>
        </w:rPr>
        <w:instrText xml:space="preserve"> SEQ CHAPTER \h \r 1</w:instrText>
      </w:r>
      <w:r w:rsidRPr="00B741D2">
        <w:rPr>
          <w:szCs w:val="24"/>
          <w:lang w:val="en-CA"/>
        </w:rPr>
        <w:fldChar w:fldCharType="end"/>
      </w:r>
      <w:r w:rsidR="00824691" w:rsidRPr="00B741D2">
        <w:rPr>
          <w:b/>
          <w:bCs/>
          <w:color w:val="000000"/>
          <w:szCs w:val="24"/>
        </w:rPr>
        <w:t xml:space="preserve">Supporting Statement for the </w:t>
      </w:r>
    </w:p>
    <w:p w:rsidR="00824691" w:rsidRDefault="00824691" w:rsidP="00824691">
      <w:pPr>
        <w:jc w:val="center"/>
        <w:rPr>
          <w:b/>
          <w:bCs/>
          <w:color w:val="000000"/>
        </w:rPr>
      </w:pPr>
      <w:r w:rsidRPr="00B741D2">
        <w:rPr>
          <w:b/>
          <w:bCs/>
          <w:color w:val="000000"/>
          <w:szCs w:val="24"/>
        </w:rPr>
        <w:t>R</w:t>
      </w:r>
      <w:r w:rsidRPr="00B741D2">
        <w:rPr>
          <w:b/>
          <w:bCs/>
          <w:color w:val="000000"/>
        </w:rPr>
        <w:t xml:space="preserve">ecordkeeping and Disclosure Requirements </w:t>
      </w:r>
    </w:p>
    <w:p w:rsidR="00824691" w:rsidRPr="00B741D2" w:rsidRDefault="00824691" w:rsidP="00824691">
      <w:pPr>
        <w:jc w:val="center"/>
        <w:rPr>
          <w:b/>
          <w:bCs/>
          <w:color w:val="000000"/>
          <w:szCs w:val="24"/>
        </w:rPr>
      </w:pPr>
      <w:proofErr w:type="gramStart"/>
      <w:r w:rsidRPr="00B741D2">
        <w:rPr>
          <w:b/>
          <w:bCs/>
          <w:color w:val="000000"/>
        </w:rPr>
        <w:t>in</w:t>
      </w:r>
      <w:proofErr w:type="gramEnd"/>
      <w:r w:rsidRPr="00B741D2">
        <w:rPr>
          <w:b/>
          <w:bCs/>
          <w:color w:val="000000"/>
        </w:rPr>
        <w:t xml:space="preserve"> Connection with Regulation M (Consumer Leasing)</w:t>
      </w:r>
      <w:r w:rsidRPr="00B741D2">
        <w:rPr>
          <w:b/>
          <w:bCs/>
          <w:color w:val="000000"/>
          <w:szCs w:val="24"/>
        </w:rPr>
        <w:t xml:space="preserve"> </w:t>
      </w:r>
    </w:p>
    <w:p w:rsidR="00824691" w:rsidRDefault="00824691" w:rsidP="00824691">
      <w:pPr>
        <w:jc w:val="center"/>
        <w:rPr>
          <w:b/>
          <w:bCs/>
          <w:color w:val="000000"/>
          <w:szCs w:val="24"/>
        </w:rPr>
      </w:pPr>
      <w:r w:rsidRPr="00B741D2">
        <w:rPr>
          <w:b/>
          <w:bCs/>
          <w:color w:val="000000"/>
          <w:szCs w:val="24"/>
        </w:rPr>
        <w:t>(OMB No. 7100-0202)</w:t>
      </w:r>
      <w:r w:rsidR="005709DF">
        <w:rPr>
          <w:b/>
          <w:bCs/>
          <w:color w:val="000000"/>
          <w:szCs w:val="24"/>
        </w:rPr>
        <w:br/>
      </w:r>
    </w:p>
    <w:p w:rsidR="005709DF" w:rsidRPr="001764DB" w:rsidRDefault="005709DF" w:rsidP="005709DF">
      <w:pPr>
        <w:autoSpaceDE w:val="0"/>
        <w:autoSpaceDN w:val="0"/>
        <w:adjustRightInd w:val="0"/>
        <w:jc w:val="center"/>
        <w:rPr>
          <w:b/>
          <w:bCs/>
          <w:i/>
          <w:szCs w:val="24"/>
        </w:rPr>
      </w:pPr>
      <w:r w:rsidRPr="001764DB">
        <w:rPr>
          <w:rFonts w:eastAsia="Calibri"/>
          <w:b/>
          <w:i/>
          <w:snapToGrid/>
          <w:szCs w:val="24"/>
        </w:rPr>
        <w:t>Consumer Lease Exemption Threshold</w:t>
      </w:r>
    </w:p>
    <w:p w:rsidR="005709DF" w:rsidRPr="001764DB" w:rsidRDefault="005709DF" w:rsidP="005709DF">
      <w:pPr>
        <w:autoSpaceDE w:val="0"/>
        <w:autoSpaceDN w:val="0"/>
        <w:adjustRightInd w:val="0"/>
        <w:jc w:val="center"/>
        <w:rPr>
          <w:b/>
          <w:bCs/>
          <w:i/>
          <w:szCs w:val="24"/>
        </w:rPr>
      </w:pPr>
      <w:r w:rsidRPr="001764DB">
        <w:rPr>
          <w:b/>
          <w:bCs/>
          <w:i/>
          <w:szCs w:val="24"/>
        </w:rPr>
        <w:t>(Docket No. R-1400) (RIN 7100-AD60)</w:t>
      </w:r>
    </w:p>
    <w:p w:rsidR="00824691" w:rsidRPr="00B741D2" w:rsidRDefault="00824691" w:rsidP="00824691">
      <w:pPr>
        <w:jc w:val="center"/>
        <w:rPr>
          <w:color w:val="000000"/>
          <w:szCs w:val="24"/>
        </w:rPr>
      </w:pPr>
    </w:p>
    <w:p w:rsidR="00643D39" w:rsidRDefault="00643D39">
      <w:pPr>
        <w:rPr>
          <w:color w:val="000000"/>
        </w:rPr>
      </w:pPr>
      <w:r>
        <w:rPr>
          <w:b/>
          <w:color w:val="000000"/>
        </w:rPr>
        <w:t>Summary</w:t>
      </w:r>
    </w:p>
    <w:p w:rsidR="00643D39" w:rsidRDefault="00643D39">
      <w:pPr>
        <w:rPr>
          <w:color w:val="000000"/>
        </w:rPr>
      </w:pPr>
    </w:p>
    <w:p w:rsidR="00724F60" w:rsidRPr="00577E62" w:rsidRDefault="0077116E">
      <w:pPr>
        <w:ind w:firstLine="720"/>
        <w:rPr>
          <w:color w:val="000000"/>
          <w:szCs w:val="24"/>
        </w:rPr>
      </w:pPr>
      <w:r>
        <w:rPr>
          <w:lang w:val="en-CA"/>
        </w:rPr>
        <w:fldChar w:fldCharType="begin"/>
      </w:r>
      <w:r w:rsidR="00643D39">
        <w:rPr>
          <w:lang w:val="en-CA"/>
        </w:rPr>
        <w:instrText xml:space="preserve"> SEQ CHAPTER \h \r 1</w:instrText>
      </w:r>
      <w:r>
        <w:rPr>
          <w:lang w:val="en-CA"/>
        </w:rPr>
        <w:fldChar w:fldCharType="end"/>
      </w:r>
      <w:r w:rsidR="00603A55" w:rsidRPr="00603A55">
        <w:rPr>
          <w:rFonts w:ascii="Times" w:hAnsi="Times" w:cs="Times"/>
          <w:color w:val="000000"/>
          <w:szCs w:val="24"/>
        </w:rPr>
        <w:t xml:space="preserve"> </w:t>
      </w:r>
      <w:r w:rsidR="00603A55">
        <w:rPr>
          <w:rFonts w:ascii="Times" w:hAnsi="Times" w:cs="Times"/>
          <w:color w:val="000000"/>
          <w:szCs w:val="24"/>
        </w:rPr>
        <w:t xml:space="preserve">The Board of Governors of the Federal Reserve System, under delegated authority from the Office of Management and Budget (OMB), </w:t>
      </w:r>
      <w:r w:rsidR="00603A55">
        <w:rPr>
          <w:color w:val="000000"/>
        </w:rPr>
        <w:t>proposes</w:t>
      </w:r>
      <w:r w:rsidR="00603A55" w:rsidRPr="00EF5FC7">
        <w:rPr>
          <w:szCs w:val="24"/>
        </w:rPr>
        <w:t xml:space="preserve"> to extend for three years, with revision,</w:t>
      </w:r>
      <w:r w:rsidR="00603A55" w:rsidRPr="00EF5FC7">
        <w:rPr>
          <w:color w:val="000000"/>
          <w:szCs w:val="24"/>
        </w:rPr>
        <w:t xml:space="preserve"> </w:t>
      </w:r>
      <w:r w:rsidR="00643D39">
        <w:rPr>
          <w:color w:val="000000"/>
        </w:rPr>
        <w:t xml:space="preserve">the recordkeeping and disclosure requirements of Regulation M, which implements the </w:t>
      </w:r>
      <w:r w:rsidR="00643D39" w:rsidRPr="00577E62">
        <w:rPr>
          <w:color w:val="000000"/>
          <w:szCs w:val="24"/>
        </w:rPr>
        <w:t>Consumer Leasing Act (CLA)</w:t>
      </w:r>
      <w:r w:rsidR="00661DAC" w:rsidRPr="00577E62">
        <w:rPr>
          <w:color w:val="000000"/>
          <w:szCs w:val="24"/>
        </w:rPr>
        <w:t>.</w:t>
      </w:r>
      <w:r w:rsidR="00643D39" w:rsidRPr="00577E62">
        <w:rPr>
          <w:rStyle w:val="FootnoteReference"/>
          <w:color w:val="000000"/>
          <w:szCs w:val="24"/>
        </w:rPr>
        <w:footnoteReference w:id="1"/>
      </w:r>
      <w:r w:rsidR="00661DAC" w:rsidRPr="00577E62">
        <w:rPr>
          <w:color w:val="000000"/>
          <w:szCs w:val="24"/>
        </w:rPr>
        <w:t xml:space="preserve">  </w:t>
      </w:r>
      <w:r w:rsidR="00690351" w:rsidRPr="00577E62">
        <w:rPr>
          <w:color w:val="000000"/>
          <w:szCs w:val="24"/>
        </w:rPr>
        <w:t xml:space="preserve">The Paperwork Reduction Act of 1995 (PRA), classifies </w:t>
      </w:r>
      <w:r w:rsidR="005709DF" w:rsidRPr="00577E62">
        <w:rPr>
          <w:color w:val="000000"/>
          <w:szCs w:val="24"/>
        </w:rPr>
        <w:t xml:space="preserve">these requirements as an </w:t>
      </w:r>
      <w:r w:rsidR="00690351" w:rsidRPr="00577E62">
        <w:rPr>
          <w:color w:val="000000"/>
          <w:szCs w:val="24"/>
        </w:rPr>
        <w:t>information collections.</w:t>
      </w:r>
      <w:r w:rsidR="00724F60" w:rsidRPr="00577E62">
        <w:rPr>
          <w:rStyle w:val="FootnoteReference"/>
          <w:color w:val="000000"/>
          <w:szCs w:val="24"/>
        </w:rPr>
        <w:footnoteReference w:id="2"/>
      </w:r>
      <w:r w:rsidR="00CC0ACD" w:rsidRPr="00577E62">
        <w:rPr>
          <w:szCs w:val="24"/>
        </w:rPr>
        <w:t xml:space="preserve">  </w:t>
      </w:r>
    </w:p>
    <w:p w:rsidR="00CC0ACD" w:rsidRPr="00577E62" w:rsidRDefault="00CC0ACD">
      <w:pPr>
        <w:rPr>
          <w:color w:val="000000"/>
          <w:szCs w:val="24"/>
        </w:rPr>
      </w:pPr>
    </w:p>
    <w:p w:rsidR="00577E62" w:rsidRPr="001764DB" w:rsidRDefault="005709DF" w:rsidP="00676F0D">
      <w:pPr>
        <w:autoSpaceDE w:val="0"/>
        <w:autoSpaceDN w:val="0"/>
        <w:adjustRightInd w:val="0"/>
        <w:ind w:firstLine="720"/>
        <w:rPr>
          <w:snapToGrid/>
          <w:szCs w:val="24"/>
        </w:rPr>
      </w:pPr>
      <w:r w:rsidRPr="001764DB">
        <w:rPr>
          <w:szCs w:val="24"/>
        </w:rPr>
        <w:t xml:space="preserve">On December 16, 2010, a notice of proposed rulemaking (NPRM) was published in the </w:t>
      </w:r>
      <w:r w:rsidRPr="001764DB">
        <w:rPr>
          <w:i/>
          <w:szCs w:val="24"/>
        </w:rPr>
        <w:t>Federal Register</w:t>
      </w:r>
      <w:r w:rsidRPr="001764DB">
        <w:rPr>
          <w:szCs w:val="24"/>
        </w:rPr>
        <w:t xml:space="preserve"> (75 FR 78632) </w:t>
      </w:r>
      <w:r w:rsidR="00064EB7" w:rsidRPr="001764DB">
        <w:rPr>
          <w:szCs w:val="24"/>
        </w:rPr>
        <w:t xml:space="preserve">requesting </w:t>
      </w:r>
      <w:r w:rsidRPr="001764DB">
        <w:rPr>
          <w:szCs w:val="24"/>
        </w:rPr>
        <w:t xml:space="preserve">public comment </w:t>
      </w:r>
      <w:r w:rsidR="00064EB7" w:rsidRPr="001764DB">
        <w:rPr>
          <w:szCs w:val="24"/>
        </w:rPr>
        <w:t xml:space="preserve">on the proposed </w:t>
      </w:r>
      <w:r w:rsidRPr="001764DB">
        <w:rPr>
          <w:szCs w:val="24"/>
        </w:rPr>
        <w:t>amend</w:t>
      </w:r>
      <w:r w:rsidR="00064EB7" w:rsidRPr="001764DB">
        <w:rPr>
          <w:szCs w:val="24"/>
        </w:rPr>
        <w:t>ments to</w:t>
      </w:r>
      <w:r w:rsidRPr="001764DB">
        <w:rPr>
          <w:szCs w:val="24"/>
        </w:rPr>
        <w:t xml:space="preserve"> Regulation M.  </w:t>
      </w:r>
      <w:r w:rsidR="00676F0D" w:rsidRPr="001764DB">
        <w:rPr>
          <w:szCs w:val="24"/>
        </w:rPr>
        <w:t xml:space="preserve">The proposed </w:t>
      </w:r>
      <w:r w:rsidR="00064EB7" w:rsidRPr="001764DB">
        <w:rPr>
          <w:szCs w:val="24"/>
        </w:rPr>
        <w:t xml:space="preserve">amendments </w:t>
      </w:r>
      <w:r w:rsidR="00676F0D" w:rsidRPr="001764DB">
        <w:rPr>
          <w:snapToGrid/>
          <w:szCs w:val="24"/>
        </w:rPr>
        <w:t>implement Section 1100E of the Dodd-Frank Wall Street Reform and Consumer Protection Act of 2010 (Dodd-Frank Act), which was signed into law on July 21, 2010.  The Dodd-Frank Act raises the CLA’s $25,000 exemption threshold to $50,000.  In addition, the Dodd-Frank Act requires that, on or after December 31, 2011, the threshold shall be adjusted annually for inflation by the annual percentage increase in the Consumer Price Index for Urban Wage Earners and Clerical Workers (CPI–W), as published by the Bureau of Labor Statistics.  Therefore, from July 21, 2011 to December 31, 2011, the threshold dollar amount will be $50,000.  Beginning on January 1, 2012, the $50,000 threshold will be adjusted annually based on any annual percentage increase in the CPI–W.  The Federal Reserve is proposing to amend Section 213.2(e), the accompanying commentary, and the commentary to Section 213.7(a) for consistency with the amendments to the CLA’s exemption threshold.  The comment period for this NPRM expired February 14, 2011.  The Federal Reserve received two</w:t>
      </w:r>
      <w:r w:rsidR="00577E62" w:rsidRPr="001764DB">
        <w:rPr>
          <w:snapToGrid/>
          <w:szCs w:val="24"/>
        </w:rPr>
        <w:t xml:space="preserve"> comment letters; however, neither specifically addressed the paperwork burden.  </w:t>
      </w:r>
      <w:r w:rsidR="00B2094D" w:rsidRPr="00D95EE3">
        <w:t xml:space="preserve">On </w:t>
      </w:r>
      <w:r w:rsidR="00B2094D">
        <w:t>April 4, 2011</w:t>
      </w:r>
      <w:r w:rsidR="00B2094D" w:rsidRPr="00D95EE3">
        <w:t xml:space="preserve">, a notice of final rulemaking was </w:t>
      </w:r>
      <w:r w:rsidR="00B2094D" w:rsidRPr="00D95EE3">
        <w:rPr>
          <w:szCs w:val="24"/>
        </w:rPr>
        <w:t xml:space="preserve">published in the </w:t>
      </w:r>
      <w:r w:rsidR="00B2094D" w:rsidRPr="00D95EE3">
        <w:rPr>
          <w:i/>
          <w:szCs w:val="24"/>
        </w:rPr>
        <w:t>Federal Register</w:t>
      </w:r>
      <w:r w:rsidR="00B2094D" w:rsidRPr="00D95EE3">
        <w:rPr>
          <w:szCs w:val="24"/>
        </w:rPr>
        <w:t xml:space="preserve"> </w:t>
      </w:r>
      <w:r w:rsidR="00B2094D" w:rsidRPr="00E4047A">
        <w:rPr>
          <w:szCs w:val="24"/>
        </w:rPr>
        <w:t xml:space="preserve">(76 FR </w:t>
      </w:r>
      <w:r w:rsidR="00B2094D">
        <w:rPr>
          <w:szCs w:val="24"/>
        </w:rPr>
        <w:t>18349)</w:t>
      </w:r>
      <w:r w:rsidR="00B2094D" w:rsidRPr="00D95EE3">
        <w:rPr>
          <w:szCs w:val="24"/>
        </w:rPr>
        <w:t xml:space="preserve"> adopting the amendments largely as proposed, with mandatory compliance by July 21, 2011.</w:t>
      </w:r>
    </w:p>
    <w:p w:rsidR="00577E62" w:rsidRPr="00577E62" w:rsidRDefault="00577E62" w:rsidP="00577E62">
      <w:pPr>
        <w:autoSpaceDE w:val="0"/>
        <w:autoSpaceDN w:val="0"/>
        <w:adjustRightInd w:val="0"/>
        <w:rPr>
          <w:color w:val="000000"/>
          <w:szCs w:val="24"/>
        </w:rPr>
      </w:pPr>
    </w:p>
    <w:p w:rsidR="00643D39" w:rsidRPr="00577E62" w:rsidRDefault="00643D39" w:rsidP="00577E62">
      <w:pPr>
        <w:ind w:firstLine="720"/>
        <w:rPr>
          <w:color w:val="000000"/>
          <w:szCs w:val="24"/>
        </w:rPr>
      </w:pPr>
      <w:r w:rsidRPr="00577E62">
        <w:rPr>
          <w:color w:val="000000"/>
          <w:szCs w:val="24"/>
        </w:rPr>
        <w:t xml:space="preserve">The CLA and Regulation M are intended to provide consumers with meaningful disclosures about the costs and terms of leases for personal property.  The disclosures enable consumers to compare the terms for a particular lease with those for other leases and, when appropriate, to compare lease terms with those for credit transactions.  The </w:t>
      </w:r>
      <w:r w:rsidR="00690351" w:rsidRPr="00577E62">
        <w:rPr>
          <w:color w:val="000000"/>
          <w:szCs w:val="24"/>
        </w:rPr>
        <w:t>CLA</w:t>
      </w:r>
      <w:r w:rsidRPr="00577E62">
        <w:rPr>
          <w:color w:val="000000"/>
          <w:szCs w:val="24"/>
        </w:rPr>
        <w:t xml:space="preserve"> and </w:t>
      </w:r>
      <w:r w:rsidR="00690351" w:rsidRPr="00577E62">
        <w:rPr>
          <w:color w:val="000000"/>
          <w:szCs w:val="24"/>
        </w:rPr>
        <w:t>R</w:t>
      </w:r>
      <w:r w:rsidRPr="00577E62">
        <w:rPr>
          <w:color w:val="000000"/>
          <w:szCs w:val="24"/>
        </w:rPr>
        <w:t xml:space="preserve">egulation </w:t>
      </w:r>
      <w:r w:rsidR="00690351" w:rsidRPr="00577E62">
        <w:rPr>
          <w:color w:val="000000"/>
          <w:szCs w:val="24"/>
        </w:rPr>
        <w:t xml:space="preserve">M </w:t>
      </w:r>
      <w:r w:rsidRPr="00577E62">
        <w:rPr>
          <w:color w:val="000000"/>
          <w:szCs w:val="24"/>
        </w:rPr>
        <w:t>also contain rules about advertising consumer leases and limit the size of balloon payments in consumer lease transactions.</w:t>
      </w:r>
    </w:p>
    <w:p w:rsidR="00643D39" w:rsidRDefault="00643D39">
      <w:pPr>
        <w:ind w:firstLine="720"/>
        <w:rPr>
          <w:color w:val="000000"/>
        </w:rPr>
      </w:pPr>
    </w:p>
    <w:p w:rsidR="005709DF" w:rsidRDefault="00643D39" w:rsidP="005709DF">
      <w:pPr>
        <w:ind w:firstLine="720"/>
      </w:pPr>
      <w:r>
        <w:lastRenderedPageBreak/>
        <w:t xml:space="preserve">The information collection pursuant to Regulation M is triggered by specific events.  All disclosures must be provided to the lessee prior to the consummation of the lease and when the availability of consumer leases on particular terms is advertised.  </w:t>
      </w:r>
      <w:r>
        <w:rPr>
          <w:color w:val="000000"/>
        </w:rPr>
        <w:t xml:space="preserve">There are no </w:t>
      </w:r>
      <w:r w:rsidR="00D77EAA">
        <w:rPr>
          <w:color w:val="000000"/>
        </w:rPr>
        <w:t xml:space="preserve">required </w:t>
      </w:r>
      <w:r>
        <w:rPr>
          <w:color w:val="000000"/>
        </w:rPr>
        <w:t xml:space="preserve">reporting forms associated with Regulation M.  To ease the compliance cost (particularly for small entities) model forms are appended to the regulation.  Lessors are required to “retain evidence of </w:t>
      </w:r>
      <w:r w:rsidRPr="00CB5F40">
        <w:rPr>
          <w:color w:val="000000"/>
        </w:rPr>
        <w:t xml:space="preserve">compliance” for </w:t>
      </w:r>
      <w:r w:rsidR="00670517">
        <w:rPr>
          <w:color w:val="000000"/>
        </w:rPr>
        <w:t>24</w:t>
      </w:r>
      <w:r w:rsidRPr="00CB5F40">
        <w:rPr>
          <w:color w:val="000000"/>
        </w:rPr>
        <w:t xml:space="preserve"> months, but the regulation does not specify </w:t>
      </w:r>
      <w:r w:rsidR="00813887">
        <w:rPr>
          <w:color w:val="000000"/>
        </w:rPr>
        <w:t xml:space="preserve">the </w:t>
      </w:r>
      <w:r w:rsidRPr="00CB5F40">
        <w:rPr>
          <w:color w:val="000000"/>
        </w:rPr>
        <w:t>types of records that must be retained</w:t>
      </w:r>
      <w:r w:rsidRPr="00CB5F40">
        <w:t>.</w:t>
      </w:r>
      <w:r w:rsidRPr="00CB5F40">
        <w:tab/>
      </w:r>
    </w:p>
    <w:p w:rsidR="005709DF" w:rsidRDefault="005709DF">
      <w:pPr>
        <w:pStyle w:val="BodyText"/>
        <w:keepNext/>
        <w:keepLines/>
        <w:jc w:val="left"/>
        <w:rPr>
          <w:rFonts w:ascii="Times New Roman" w:hAnsi="Times New Roman"/>
        </w:rPr>
      </w:pPr>
    </w:p>
    <w:p w:rsidR="00643D39" w:rsidRPr="00CB5F40" w:rsidRDefault="00643D39" w:rsidP="00337F45">
      <w:pPr>
        <w:pStyle w:val="BodyText"/>
        <w:keepNext/>
        <w:keepLines/>
        <w:ind w:firstLine="720"/>
        <w:jc w:val="left"/>
        <w:rPr>
          <w:rFonts w:ascii="Times New Roman" w:hAnsi="Times New Roman"/>
        </w:rPr>
      </w:pPr>
      <w:r w:rsidRPr="00CB5F40">
        <w:rPr>
          <w:rFonts w:ascii="Times New Roman" w:hAnsi="Times New Roman"/>
        </w:rPr>
        <w:t>Regulation M applies to all types of lessors of personal property</w:t>
      </w:r>
      <w:r w:rsidR="00F910EB" w:rsidRPr="00CB5F40">
        <w:rPr>
          <w:rFonts w:ascii="Times New Roman" w:hAnsi="Times New Roman"/>
        </w:rPr>
        <w:t>.</w:t>
      </w:r>
      <w:r w:rsidRPr="00CB5F40">
        <w:rPr>
          <w:rFonts w:ascii="Times New Roman" w:hAnsi="Times New Roman"/>
        </w:rPr>
        <w:t xml:space="preserve">  The Federal Reserve accounts for the paperwork burden associated with the regulation only for </w:t>
      </w:r>
      <w:r w:rsidR="00F910EB" w:rsidRPr="00CB5F40">
        <w:rPr>
          <w:rFonts w:ascii="Times New Roman" w:hAnsi="Times New Roman"/>
        </w:rPr>
        <w:t>Federal Reserve</w:t>
      </w:r>
      <w:r w:rsidR="00667574" w:rsidRPr="00CB5F40">
        <w:rPr>
          <w:rFonts w:ascii="Times New Roman" w:hAnsi="Times New Roman"/>
        </w:rPr>
        <w:t>-</w:t>
      </w:r>
      <w:r w:rsidR="00B40A0B" w:rsidRPr="00CB5F40">
        <w:rPr>
          <w:rFonts w:ascii="Times New Roman" w:hAnsi="Times New Roman"/>
        </w:rPr>
        <w:t>supervised</w:t>
      </w:r>
      <w:r w:rsidR="00F910EB" w:rsidRPr="00CB5F40">
        <w:rPr>
          <w:rFonts w:ascii="Times New Roman" w:hAnsi="Times New Roman"/>
        </w:rPr>
        <w:t xml:space="preserve"> institutions.</w:t>
      </w:r>
      <w:r w:rsidR="00F910EB" w:rsidRPr="00CB5F40">
        <w:rPr>
          <w:rStyle w:val="FootnoteReference"/>
          <w:rFonts w:ascii="Times New Roman" w:hAnsi="Times New Roman"/>
        </w:rPr>
        <w:footnoteReference w:id="3"/>
      </w:r>
      <w:r w:rsidRPr="00CB5F40">
        <w:rPr>
          <w:rFonts w:ascii="Times New Roman" w:hAnsi="Times New Roman"/>
        </w:rPr>
        <w:t xml:space="preserve">  Other federal agencies account for the paperwork burden on other lessors</w:t>
      </w:r>
      <w:r w:rsidR="00F910EB" w:rsidRPr="00CB5F40">
        <w:rPr>
          <w:rFonts w:ascii="Times New Roman" w:hAnsi="Times New Roman"/>
        </w:rPr>
        <w:t xml:space="preserve"> for which they have administrative enforcement authority</w:t>
      </w:r>
      <w:r w:rsidRPr="00CB5F40">
        <w:rPr>
          <w:rFonts w:ascii="Times New Roman" w:hAnsi="Times New Roman"/>
        </w:rPr>
        <w:t>.</w:t>
      </w:r>
      <w:r w:rsidR="000F29A7" w:rsidRPr="00CB5F40">
        <w:rPr>
          <w:rFonts w:ascii="Times New Roman" w:hAnsi="Times New Roman"/>
        </w:rPr>
        <w:t xml:space="preserve">  The </w:t>
      </w:r>
      <w:r w:rsidR="00D77EAA">
        <w:rPr>
          <w:rFonts w:ascii="Times New Roman" w:hAnsi="Times New Roman"/>
        </w:rPr>
        <w:t xml:space="preserve">Federal Reserve estimates that with respect to Regulation M, </w:t>
      </w:r>
      <w:r w:rsidR="000F29A7" w:rsidRPr="00CB5F40">
        <w:rPr>
          <w:rFonts w:ascii="Times New Roman" w:hAnsi="Times New Roman"/>
        </w:rPr>
        <w:t>the</w:t>
      </w:r>
      <w:r w:rsidR="00D77EAA">
        <w:rPr>
          <w:rFonts w:ascii="Times New Roman" w:hAnsi="Times New Roman"/>
        </w:rPr>
        <w:t>re are</w:t>
      </w:r>
      <w:r w:rsidR="000F29A7" w:rsidRPr="00CB5F40">
        <w:rPr>
          <w:rFonts w:ascii="Times New Roman" w:hAnsi="Times New Roman"/>
        </w:rPr>
        <w:t xml:space="preserve"> </w:t>
      </w:r>
      <w:r w:rsidR="00DB725B">
        <w:rPr>
          <w:rFonts w:ascii="Times New Roman" w:hAnsi="Times New Roman"/>
        </w:rPr>
        <w:t>four</w:t>
      </w:r>
      <w:r w:rsidR="00C5094D" w:rsidRPr="00CB5F40">
        <w:rPr>
          <w:rFonts w:ascii="Times New Roman" w:hAnsi="Times New Roman"/>
        </w:rPr>
        <w:t xml:space="preserve"> </w:t>
      </w:r>
      <w:r w:rsidR="00CB5F40" w:rsidRPr="00CB5F40">
        <w:rPr>
          <w:rFonts w:ascii="Times New Roman" w:hAnsi="Times New Roman"/>
        </w:rPr>
        <w:t>Federal Reserve-supervised institutions that are deemed “respondents” for purposes of the P</w:t>
      </w:r>
      <w:r w:rsidR="00690351">
        <w:rPr>
          <w:rFonts w:ascii="Times New Roman" w:hAnsi="Times New Roman"/>
        </w:rPr>
        <w:t>RA</w:t>
      </w:r>
      <w:r w:rsidR="00D77EAA">
        <w:rPr>
          <w:rFonts w:ascii="Times New Roman" w:hAnsi="Times New Roman"/>
        </w:rPr>
        <w:t>, and their collective</w:t>
      </w:r>
      <w:r w:rsidR="00D77EAA" w:rsidRPr="00D77EAA">
        <w:rPr>
          <w:rFonts w:ascii="Times New Roman" w:hAnsi="Times New Roman"/>
        </w:rPr>
        <w:t xml:space="preserve"> </w:t>
      </w:r>
      <w:r w:rsidR="00D77EAA" w:rsidRPr="00CB5F40">
        <w:rPr>
          <w:rFonts w:ascii="Times New Roman" w:hAnsi="Times New Roman"/>
        </w:rPr>
        <w:t xml:space="preserve">annual burden is estimated to be </w:t>
      </w:r>
      <w:r w:rsidR="00DB725B">
        <w:rPr>
          <w:rFonts w:ascii="Times New Roman" w:hAnsi="Times New Roman"/>
        </w:rPr>
        <w:t>8</w:t>
      </w:r>
      <w:r w:rsidR="00D77EAA" w:rsidRPr="00CB5F40">
        <w:rPr>
          <w:rFonts w:ascii="Times New Roman" w:hAnsi="Times New Roman"/>
        </w:rPr>
        <w:t xml:space="preserve"> hours</w:t>
      </w:r>
      <w:r w:rsidR="00CB5F40" w:rsidRPr="00CB5F40">
        <w:rPr>
          <w:rFonts w:ascii="Times New Roman" w:hAnsi="Times New Roman"/>
        </w:rPr>
        <w:t>.</w:t>
      </w:r>
    </w:p>
    <w:p w:rsidR="00643D39" w:rsidRDefault="00643D39">
      <w:pPr>
        <w:pStyle w:val="BodyText"/>
        <w:jc w:val="left"/>
        <w:rPr>
          <w:rFonts w:ascii="Times New Roman" w:hAnsi="Times New Roman"/>
        </w:rPr>
      </w:pPr>
    </w:p>
    <w:p w:rsidR="00DB48CB" w:rsidRPr="001764DB" w:rsidRDefault="00DB48CB" w:rsidP="00DB48CB">
      <w:pPr>
        <w:pStyle w:val="BodyText"/>
        <w:ind w:firstLine="720"/>
        <w:jc w:val="left"/>
        <w:rPr>
          <w:rFonts w:ascii="Times New Roman" w:hAnsi="Times New Roman"/>
          <w:color w:val="auto"/>
        </w:rPr>
      </w:pPr>
      <w:r w:rsidRPr="001764DB">
        <w:rPr>
          <w:color w:val="auto"/>
        </w:rPr>
        <w:t xml:space="preserve">The Federal Reserve estimates the </w:t>
      </w:r>
      <w:r w:rsidR="00420F65" w:rsidRPr="001764DB">
        <w:rPr>
          <w:color w:val="auto"/>
        </w:rPr>
        <w:t>final</w:t>
      </w:r>
      <w:r w:rsidRPr="001764DB">
        <w:rPr>
          <w:color w:val="auto"/>
        </w:rPr>
        <w:t xml:space="preserve"> rule </w:t>
      </w:r>
      <w:r w:rsidR="00C91027" w:rsidRPr="001764DB">
        <w:rPr>
          <w:color w:val="auto"/>
        </w:rPr>
        <w:t xml:space="preserve">will </w:t>
      </w:r>
      <w:r w:rsidRPr="001764DB">
        <w:rPr>
          <w:color w:val="auto"/>
        </w:rPr>
        <w:t>impose</w:t>
      </w:r>
      <w:r w:rsidRPr="001764DB">
        <w:rPr>
          <w:rFonts w:eastAsia="Calibri"/>
          <w:color w:val="auto"/>
        </w:rPr>
        <w:t xml:space="preserve"> a one-time increase </w:t>
      </w:r>
      <w:r w:rsidR="007D4A6A" w:rsidRPr="001764DB">
        <w:rPr>
          <w:rFonts w:eastAsia="Calibri"/>
          <w:color w:val="auto"/>
        </w:rPr>
        <w:t xml:space="preserve">of 160 hours </w:t>
      </w:r>
      <w:r w:rsidRPr="001764DB">
        <w:rPr>
          <w:rFonts w:eastAsia="Calibri"/>
          <w:color w:val="auto"/>
        </w:rPr>
        <w:t xml:space="preserve">in the annual burden under Regulation M for respondents regulated by the Federal Reserve.  </w:t>
      </w:r>
      <w:r w:rsidRPr="001764DB">
        <w:rPr>
          <w:rFonts w:eastAsia="Calibri"/>
          <w:snapToGrid/>
          <w:color w:val="auto"/>
        </w:rPr>
        <w:t xml:space="preserve">In addition, the Federal Reserve estimates that, on a continuing basis, the revision to the rule will increase the annual burden by </w:t>
      </w:r>
      <w:r w:rsidR="00C91027" w:rsidRPr="001764DB">
        <w:rPr>
          <w:rFonts w:eastAsia="Calibri"/>
          <w:snapToGrid/>
          <w:color w:val="auto"/>
        </w:rPr>
        <w:t xml:space="preserve">32 </w:t>
      </w:r>
      <w:r w:rsidRPr="001764DB">
        <w:rPr>
          <w:rFonts w:eastAsia="Calibri"/>
          <w:snapToGrid/>
          <w:color w:val="auto"/>
        </w:rPr>
        <w:t>hours.</w:t>
      </w:r>
      <w:r w:rsidRPr="001764DB">
        <w:rPr>
          <w:rFonts w:eastAsia="Calibri"/>
          <w:color w:val="auto"/>
        </w:rPr>
        <w:t xml:space="preserve"> </w:t>
      </w:r>
      <w:r w:rsidR="00C91027" w:rsidRPr="001764DB">
        <w:rPr>
          <w:rFonts w:eastAsia="Calibri"/>
          <w:color w:val="auto"/>
        </w:rPr>
        <w:t xml:space="preserve"> </w:t>
      </w:r>
      <w:r w:rsidRPr="001764DB">
        <w:rPr>
          <w:rFonts w:eastAsia="Calibri"/>
          <w:color w:val="auto"/>
        </w:rPr>
        <w:t>The total annual burden for the Regulation M information collection is estimated to increase by 192 hours from 8 to 200 hours.</w:t>
      </w:r>
    </w:p>
    <w:p w:rsidR="00DB48CB" w:rsidRPr="001764DB" w:rsidRDefault="00DB48CB">
      <w:pPr>
        <w:pStyle w:val="BodyText"/>
        <w:jc w:val="left"/>
        <w:rPr>
          <w:rFonts w:ascii="Times New Roman" w:hAnsi="Times New Roman"/>
          <w:color w:val="auto"/>
        </w:rPr>
      </w:pPr>
    </w:p>
    <w:p w:rsidR="00643D39" w:rsidRDefault="00643D39">
      <w:pPr>
        <w:pStyle w:val="Heading1"/>
        <w:rPr>
          <w:rFonts w:ascii="Times New Roman" w:hAnsi="Times New Roman"/>
        </w:rPr>
      </w:pPr>
      <w:r>
        <w:rPr>
          <w:rFonts w:ascii="Times New Roman" w:hAnsi="Times New Roman"/>
        </w:rPr>
        <w:t>Background and Justification</w:t>
      </w:r>
    </w:p>
    <w:p w:rsidR="00643D39" w:rsidRDefault="00643D39">
      <w:pPr>
        <w:rPr>
          <w:color w:val="000000"/>
        </w:rPr>
      </w:pPr>
    </w:p>
    <w:p w:rsidR="00643D39" w:rsidRDefault="00643D39">
      <w:pPr>
        <w:pStyle w:val="BodyText"/>
        <w:jc w:val="left"/>
        <w:rPr>
          <w:rFonts w:ascii="Times New Roman" w:hAnsi="Times New Roman"/>
        </w:rPr>
      </w:pPr>
      <w:r>
        <w:rPr>
          <w:rFonts w:ascii="Times New Roman" w:hAnsi="Times New Roman"/>
        </w:rPr>
        <w:tab/>
        <w:t xml:space="preserve">The CLA and Regulation M require lessors to disclose to consumers uniformly the costs, liabilities, and terms of consumer lease transactions.  Disclosures are provided to consumers before they enter into lease transactions and in advertisements that state the availability of consumer leases on particular terms.  </w:t>
      </w:r>
      <w:r w:rsidRPr="00201748">
        <w:rPr>
          <w:rFonts w:ascii="Times New Roman" w:hAnsi="Times New Roman"/>
          <w:color w:val="auto"/>
        </w:rPr>
        <w:t>The regulation generally applies to consumer leases of personal property in which the contractual obligation does not exceed $25,000 and has a term of more than four months.  An automobile lease is the most common type of consumer lease covered by the regulation.</w:t>
      </w:r>
      <w:r>
        <w:rPr>
          <w:rFonts w:ascii="Times New Roman" w:hAnsi="Times New Roman"/>
        </w:rPr>
        <w:t xml:space="preserve">  The CLA does not </w:t>
      </w:r>
      <w:r w:rsidR="005A2F89">
        <w:rPr>
          <w:rFonts w:ascii="Times New Roman" w:hAnsi="Times New Roman"/>
        </w:rPr>
        <w:t xml:space="preserve">provide </w:t>
      </w:r>
      <w:r>
        <w:rPr>
          <w:rFonts w:ascii="Times New Roman" w:hAnsi="Times New Roman"/>
        </w:rPr>
        <w:t xml:space="preserve">exemptions for small entities.  </w:t>
      </w:r>
    </w:p>
    <w:p w:rsidR="00643D39" w:rsidRDefault="00643D39">
      <w:pPr>
        <w:pStyle w:val="BodyText"/>
        <w:jc w:val="left"/>
        <w:rPr>
          <w:rFonts w:ascii="Times New Roman" w:hAnsi="Times New Roman"/>
        </w:rPr>
      </w:pPr>
      <w:r>
        <w:rPr>
          <w:rFonts w:ascii="Times New Roman" w:hAnsi="Times New Roman"/>
        </w:rPr>
        <w:t xml:space="preserve">  </w:t>
      </w:r>
    </w:p>
    <w:p w:rsidR="00B40A0B" w:rsidRDefault="00643D39" w:rsidP="000372A8">
      <w:pPr>
        <w:pStyle w:val="FootnoteText"/>
        <w:ind w:firstLine="720"/>
      </w:pPr>
      <w:r w:rsidRPr="000372A8">
        <w:rPr>
          <w:sz w:val="24"/>
          <w:szCs w:val="24"/>
        </w:rPr>
        <w:t xml:space="preserve">In October 1996, the Board substantially revised Regulation M </w:t>
      </w:r>
      <w:r w:rsidR="005A2F89">
        <w:rPr>
          <w:sz w:val="24"/>
          <w:szCs w:val="24"/>
        </w:rPr>
        <w:t>in its</w:t>
      </w:r>
      <w:r w:rsidRPr="000372A8">
        <w:rPr>
          <w:sz w:val="24"/>
          <w:szCs w:val="24"/>
        </w:rPr>
        <w:t xml:space="preserve"> periodic review</w:t>
      </w:r>
      <w:r w:rsidR="005A2F89">
        <w:rPr>
          <w:sz w:val="24"/>
          <w:szCs w:val="24"/>
        </w:rPr>
        <w:t xml:space="preserve"> of the regulation</w:t>
      </w:r>
      <w:r w:rsidRPr="000372A8">
        <w:rPr>
          <w:sz w:val="24"/>
          <w:szCs w:val="24"/>
        </w:rPr>
        <w:t>.</w:t>
      </w:r>
      <w:r w:rsidRPr="000372A8">
        <w:rPr>
          <w:rStyle w:val="FootnoteReference"/>
          <w:sz w:val="24"/>
          <w:szCs w:val="24"/>
        </w:rPr>
        <w:footnoteReference w:id="4"/>
      </w:r>
      <w:r w:rsidRPr="000372A8">
        <w:rPr>
          <w:sz w:val="24"/>
          <w:szCs w:val="24"/>
        </w:rPr>
        <w:t xml:space="preserve">  The 1996 revisions updated the disclosure requirements to more effectively carry out the purposes of the CLA.  In April 1997, Regulation M was amended to implement statutory amendments contained in the Economic Growth and Regulatory Paperwork Reduction Act of 1996 that streamlined the advertising disclosures.</w:t>
      </w:r>
      <w:r w:rsidRPr="000372A8">
        <w:rPr>
          <w:rStyle w:val="FootnoteReference"/>
          <w:sz w:val="24"/>
          <w:szCs w:val="24"/>
        </w:rPr>
        <w:footnoteReference w:id="5"/>
      </w:r>
      <w:r w:rsidRPr="000372A8">
        <w:rPr>
          <w:sz w:val="24"/>
          <w:szCs w:val="24"/>
        </w:rPr>
        <w:t xml:space="preserve">   The Board also revised the </w:t>
      </w:r>
      <w:r w:rsidRPr="000372A8">
        <w:rPr>
          <w:sz w:val="24"/>
          <w:szCs w:val="24"/>
        </w:rPr>
        <w:lastRenderedPageBreak/>
        <w:t>disclosures required for particular lease transactions to parallel the statutory changes for advertising disclosures.</w:t>
      </w:r>
      <w:r w:rsidRPr="000372A8">
        <w:rPr>
          <w:rStyle w:val="FootnoteReference"/>
          <w:sz w:val="24"/>
          <w:szCs w:val="24"/>
        </w:rPr>
        <w:footnoteReference w:id="6"/>
      </w:r>
      <w:r w:rsidRPr="000372A8">
        <w:rPr>
          <w:sz w:val="24"/>
          <w:szCs w:val="24"/>
        </w:rPr>
        <w:t xml:space="preserve">  In September 1998, the Board published amendments to Regulation M to implement statutory amendments clarifying the rules on disclosures for lease payments, advertisements, and rounding calculations.</w:t>
      </w:r>
      <w:r>
        <w:rPr>
          <w:rStyle w:val="FootnoteReference"/>
          <w:sz w:val="24"/>
        </w:rPr>
        <w:footnoteReference w:id="7"/>
      </w:r>
    </w:p>
    <w:p w:rsidR="000372A8" w:rsidRDefault="000372A8" w:rsidP="000372A8">
      <w:pPr>
        <w:pStyle w:val="FootnoteText"/>
        <w:ind w:firstLine="720"/>
      </w:pPr>
    </w:p>
    <w:p w:rsidR="000372A8" w:rsidRPr="00EF5FC7" w:rsidRDefault="000372A8" w:rsidP="000372A8">
      <w:pPr>
        <w:autoSpaceDE w:val="0"/>
        <w:autoSpaceDN w:val="0"/>
        <w:adjustRightInd w:val="0"/>
        <w:ind w:firstLine="720"/>
        <w:rPr>
          <w:snapToGrid/>
          <w:szCs w:val="24"/>
        </w:rPr>
      </w:pPr>
      <w:r w:rsidRPr="00EF5FC7">
        <w:rPr>
          <w:color w:val="000000"/>
          <w:szCs w:val="24"/>
        </w:rPr>
        <w:t>In November 2007, the Board published a final rulemaking (72 FR 634</w:t>
      </w:r>
      <w:r>
        <w:rPr>
          <w:color w:val="000000"/>
          <w:szCs w:val="24"/>
        </w:rPr>
        <w:t>56</w:t>
      </w:r>
      <w:r w:rsidRPr="00EF5FC7">
        <w:rPr>
          <w:color w:val="000000"/>
          <w:szCs w:val="24"/>
        </w:rPr>
        <w:t xml:space="preserve">) that </w:t>
      </w:r>
      <w:r w:rsidRPr="00EF5FC7">
        <w:rPr>
          <w:szCs w:val="24"/>
        </w:rPr>
        <w:t xml:space="preserve">amended Regulation </w:t>
      </w:r>
      <w:r>
        <w:rPr>
          <w:szCs w:val="24"/>
        </w:rPr>
        <w:t>M</w:t>
      </w:r>
      <w:r w:rsidRPr="00EF5FC7">
        <w:rPr>
          <w:szCs w:val="24"/>
        </w:rPr>
        <w:t xml:space="preserve"> to address </w:t>
      </w:r>
      <w:r w:rsidRPr="00EF5FC7">
        <w:rPr>
          <w:snapToGrid/>
          <w:szCs w:val="24"/>
        </w:rPr>
        <w:t>the timing and delivery of electronic disclosures, consistent with the</w:t>
      </w:r>
      <w:r>
        <w:rPr>
          <w:snapToGrid/>
          <w:szCs w:val="24"/>
        </w:rPr>
        <w:t xml:space="preserve"> </w:t>
      </w:r>
      <w:r w:rsidRPr="00EF5FC7">
        <w:rPr>
          <w:snapToGrid/>
          <w:szCs w:val="24"/>
        </w:rPr>
        <w:t>requirements of the Electronic Signatures in Global and Natio</w:t>
      </w:r>
      <w:r w:rsidR="00DC2517">
        <w:rPr>
          <w:snapToGrid/>
          <w:szCs w:val="24"/>
        </w:rPr>
        <w:t xml:space="preserve">nal Commerce Act (E-Sign Act).  </w:t>
      </w:r>
      <w:r w:rsidR="00D77EAA">
        <w:rPr>
          <w:snapToGrid/>
          <w:szCs w:val="24"/>
        </w:rPr>
        <w:t xml:space="preserve">Under the E-Sign Act, consumers generally must consent to the use of electronic disclosures.  </w:t>
      </w:r>
      <w:r w:rsidRPr="00EF5FC7">
        <w:rPr>
          <w:snapToGrid/>
          <w:szCs w:val="24"/>
        </w:rPr>
        <w:t>Th</w:t>
      </w:r>
      <w:r w:rsidR="00D77EAA">
        <w:rPr>
          <w:snapToGrid/>
          <w:szCs w:val="24"/>
        </w:rPr>
        <w:t>e Board’s November 2007</w:t>
      </w:r>
      <w:r w:rsidRPr="00EF5FC7">
        <w:rPr>
          <w:snapToGrid/>
          <w:szCs w:val="24"/>
        </w:rPr>
        <w:t xml:space="preserve"> rule provides that certain </w:t>
      </w:r>
      <w:r w:rsidR="00D77EAA">
        <w:rPr>
          <w:snapToGrid/>
          <w:szCs w:val="24"/>
        </w:rPr>
        <w:t xml:space="preserve">advertising </w:t>
      </w:r>
      <w:r w:rsidRPr="00EF5FC7">
        <w:rPr>
          <w:snapToGrid/>
          <w:szCs w:val="24"/>
        </w:rPr>
        <w:t>disclosures may be provided to a consumer in electronic form without regard to the consumer consent and other provisions of the E-Sign Act; and that, when an advertisement is accessed by the consumer in electronic form, the disclosures must be provided in electronic form on or with the advertisement.</w:t>
      </w:r>
    </w:p>
    <w:p w:rsidR="000372A8" w:rsidRDefault="000372A8">
      <w:pPr>
        <w:rPr>
          <w:b/>
          <w:color w:val="000000"/>
        </w:rPr>
      </w:pPr>
    </w:p>
    <w:p w:rsidR="00643D39" w:rsidRDefault="00643D39">
      <w:pPr>
        <w:rPr>
          <w:color w:val="000000"/>
        </w:rPr>
      </w:pPr>
      <w:r>
        <w:rPr>
          <w:b/>
          <w:color w:val="000000"/>
        </w:rPr>
        <w:t>Description of Information Collection</w:t>
      </w:r>
    </w:p>
    <w:p w:rsidR="00643D39" w:rsidRDefault="00643D39">
      <w:pPr>
        <w:rPr>
          <w:color w:val="000000"/>
        </w:rPr>
      </w:pPr>
      <w:r>
        <w:rPr>
          <w:color w:val="000000"/>
        </w:rPr>
        <w:t xml:space="preserve">       </w:t>
      </w:r>
    </w:p>
    <w:p w:rsidR="00643D39" w:rsidRDefault="00643D39">
      <w:pPr>
        <w:pStyle w:val="BodyText"/>
        <w:jc w:val="left"/>
        <w:rPr>
          <w:rFonts w:ascii="Times New Roman" w:hAnsi="Times New Roman"/>
        </w:rPr>
      </w:pPr>
      <w:r>
        <w:rPr>
          <w:rFonts w:ascii="Times New Roman" w:hAnsi="Times New Roman"/>
        </w:rPr>
        <w:tab/>
        <w:t xml:space="preserve">The purpose of Regulation M disclosures is to enable consumers to compare the costs and terms of different leases in order to make an informed decision and, where appropriate, to compare lease terms with those for credit transactions.  </w:t>
      </w:r>
      <w:r w:rsidR="005A2F89">
        <w:rPr>
          <w:rFonts w:ascii="Times New Roman" w:hAnsi="Times New Roman"/>
        </w:rPr>
        <w:t xml:space="preserve">Regulation M’s requirements apply to leases of personal property for a period exceeding four months where the contractual obligation is $25,000 or less.  </w:t>
      </w:r>
      <w:r>
        <w:rPr>
          <w:rFonts w:ascii="Times New Roman" w:hAnsi="Times New Roman"/>
        </w:rPr>
        <w:t xml:space="preserve">The recordkeeping and disclosure requirements associated with Regulation M are described below.  </w:t>
      </w:r>
    </w:p>
    <w:p w:rsidR="00F5311A" w:rsidRDefault="00F5311A" w:rsidP="00661DAC">
      <w:pPr>
        <w:pStyle w:val="BodyText"/>
        <w:ind w:left="720"/>
        <w:jc w:val="left"/>
        <w:rPr>
          <w:rFonts w:ascii="Times New Roman" w:hAnsi="Times New Roman"/>
          <w:b/>
        </w:rPr>
      </w:pPr>
    </w:p>
    <w:p w:rsidR="00643D39" w:rsidRDefault="00643D39" w:rsidP="00661DAC">
      <w:pPr>
        <w:pStyle w:val="BodyText"/>
        <w:ind w:left="720"/>
        <w:jc w:val="left"/>
        <w:rPr>
          <w:rFonts w:ascii="Times New Roman" w:hAnsi="Times New Roman"/>
          <w:b/>
        </w:rPr>
      </w:pPr>
      <w:r>
        <w:rPr>
          <w:rFonts w:ascii="Times New Roman" w:hAnsi="Times New Roman"/>
          <w:b/>
        </w:rPr>
        <w:t>Lease Disclosures (Section 213.4)</w:t>
      </w:r>
    </w:p>
    <w:p w:rsidR="00643D39" w:rsidRDefault="00643D39">
      <w:pPr>
        <w:rPr>
          <w:color w:val="000000"/>
        </w:rPr>
      </w:pPr>
    </w:p>
    <w:p w:rsidR="00643D39" w:rsidRDefault="00643D39" w:rsidP="005A2F89">
      <w:pPr>
        <w:pStyle w:val="BodyText"/>
        <w:ind w:firstLine="720"/>
        <w:jc w:val="left"/>
        <w:rPr>
          <w:rFonts w:ascii="Times New Roman" w:hAnsi="Times New Roman"/>
        </w:rPr>
      </w:pPr>
      <w:r>
        <w:rPr>
          <w:rFonts w:ascii="Times New Roman" w:hAnsi="Times New Roman"/>
        </w:rPr>
        <w:t xml:space="preserve">Under the CLA and Regulation M, lessors are required to provide certain key information to consumers before they enter into the lease transaction.  </w:t>
      </w:r>
      <w:r w:rsidR="002D77BC">
        <w:rPr>
          <w:rFonts w:ascii="Times New Roman" w:hAnsi="Times New Roman"/>
        </w:rPr>
        <w:t>Lessors are persons who regularly lease, offer to lease, or arrange to lease personal property to consumers.</w:t>
      </w:r>
      <w:r w:rsidR="002D77BC" w:rsidDel="005A2F89">
        <w:rPr>
          <w:rFonts w:ascii="Times New Roman" w:hAnsi="Times New Roman"/>
        </w:rPr>
        <w:t xml:space="preserve"> </w:t>
      </w:r>
      <w:r w:rsidR="002D77BC">
        <w:rPr>
          <w:rFonts w:ascii="Times New Roman" w:hAnsi="Times New Roman"/>
        </w:rPr>
        <w:t xml:space="preserve"> </w:t>
      </w:r>
      <w:r>
        <w:rPr>
          <w:rFonts w:ascii="Times New Roman" w:hAnsi="Times New Roman"/>
        </w:rPr>
        <w:t xml:space="preserve">The frequency of response varies according to the </w:t>
      </w:r>
      <w:proofErr w:type="spellStart"/>
      <w:r>
        <w:rPr>
          <w:rFonts w:ascii="Times New Roman" w:hAnsi="Times New Roman"/>
        </w:rPr>
        <w:t>lessor’s</w:t>
      </w:r>
      <w:proofErr w:type="spellEnd"/>
      <w:r>
        <w:rPr>
          <w:rFonts w:ascii="Times New Roman" w:hAnsi="Times New Roman"/>
        </w:rPr>
        <w:t xml:space="preserve"> level of consumer leasing activities.  The costs and terms of the lease must be disclosed to consumers </w:t>
      </w:r>
      <w:r w:rsidR="00BD5524">
        <w:rPr>
          <w:rFonts w:ascii="Times New Roman" w:hAnsi="Times New Roman"/>
        </w:rPr>
        <w:t>clear</w:t>
      </w:r>
      <w:r w:rsidR="006F7BB5">
        <w:rPr>
          <w:rFonts w:ascii="Times New Roman" w:hAnsi="Times New Roman"/>
        </w:rPr>
        <w:t>ly</w:t>
      </w:r>
      <w:r w:rsidR="00BD5524">
        <w:rPr>
          <w:rFonts w:ascii="Times New Roman" w:hAnsi="Times New Roman"/>
        </w:rPr>
        <w:t xml:space="preserve"> and conspicuous</w:t>
      </w:r>
      <w:r w:rsidR="006F7BB5">
        <w:rPr>
          <w:rFonts w:ascii="Times New Roman" w:hAnsi="Times New Roman"/>
        </w:rPr>
        <w:t>ly</w:t>
      </w:r>
      <w:r>
        <w:rPr>
          <w:rFonts w:ascii="Times New Roman" w:hAnsi="Times New Roman"/>
        </w:rPr>
        <w:t xml:space="preserve"> </w:t>
      </w:r>
      <w:r w:rsidR="006F7BB5">
        <w:rPr>
          <w:rFonts w:ascii="Times New Roman" w:hAnsi="Times New Roman"/>
        </w:rPr>
        <w:t>and</w:t>
      </w:r>
      <w:r w:rsidR="00BD5524">
        <w:rPr>
          <w:rFonts w:ascii="Times New Roman" w:hAnsi="Times New Roman"/>
        </w:rPr>
        <w:t xml:space="preserve"> must be in writing in a form the consumer may keep</w:t>
      </w:r>
      <w:r w:rsidR="006F7BB5">
        <w:rPr>
          <w:rFonts w:ascii="Times New Roman" w:hAnsi="Times New Roman"/>
        </w:rPr>
        <w:t>.  Disclosures may be in</w:t>
      </w:r>
      <w:r w:rsidR="00BD5524">
        <w:rPr>
          <w:rFonts w:ascii="Times New Roman" w:hAnsi="Times New Roman"/>
        </w:rPr>
        <w:t xml:space="preserve"> electronic form, subject to the </w:t>
      </w:r>
      <w:r w:rsidR="00BD5524" w:rsidRPr="00EF5FC7">
        <w:rPr>
          <w:snapToGrid/>
        </w:rPr>
        <w:t>consumer consent and other provisions of the E-Sign Act</w:t>
      </w:r>
      <w:r>
        <w:rPr>
          <w:rFonts w:ascii="Times New Roman" w:hAnsi="Times New Roman"/>
        </w:rPr>
        <w:t xml:space="preserve">.  </w:t>
      </w:r>
      <w:r w:rsidR="00BD5524">
        <w:rPr>
          <w:rFonts w:ascii="Times New Roman" w:hAnsi="Times New Roman"/>
        </w:rPr>
        <w:t xml:space="preserve">Lessors </w:t>
      </w:r>
      <w:r>
        <w:rPr>
          <w:rFonts w:ascii="Times New Roman" w:hAnsi="Times New Roman"/>
        </w:rPr>
        <w:t xml:space="preserve">must </w:t>
      </w:r>
      <w:r w:rsidR="00BD5524">
        <w:rPr>
          <w:rFonts w:ascii="Times New Roman" w:hAnsi="Times New Roman"/>
        </w:rPr>
        <w:t>disclose, among other things,</w:t>
      </w:r>
      <w:r>
        <w:rPr>
          <w:rFonts w:ascii="Times New Roman" w:hAnsi="Times New Roman"/>
        </w:rPr>
        <w:t xml:space="preserve"> the total amount due at lease signing or delivery; the number, amount, due dates or periods of payments under the lease, and the total amount of these payments; and other terms relating to the rights and responsibilities of both parties to the lease.  </w:t>
      </w:r>
    </w:p>
    <w:p w:rsidR="00643D39" w:rsidRDefault="00643D39">
      <w:pPr>
        <w:pStyle w:val="BodyText"/>
        <w:jc w:val="left"/>
        <w:rPr>
          <w:rFonts w:ascii="Times New Roman" w:hAnsi="Times New Roman"/>
        </w:rPr>
      </w:pPr>
    </w:p>
    <w:p w:rsidR="00643D39" w:rsidRDefault="00643D39">
      <w:pPr>
        <w:rPr>
          <w:color w:val="000000"/>
        </w:rPr>
      </w:pPr>
      <w:r>
        <w:rPr>
          <w:color w:val="000000"/>
        </w:rPr>
        <w:tab/>
      </w:r>
      <w:r>
        <w:rPr>
          <w:b/>
          <w:color w:val="000000"/>
        </w:rPr>
        <w:t>Advertising Rules (Section 213.7)</w:t>
      </w:r>
    </w:p>
    <w:p w:rsidR="00643D39" w:rsidRDefault="00643D39">
      <w:pPr>
        <w:rPr>
          <w:color w:val="000000"/>
        </w:rPr>
      </w:pPr>
    </w:p>
    <w:p w:rsidR="00643D39" w:rsidRDefault="00643D39">
      <w:pPr>
        <w:pStyle w:val="BodyText"/>
        <w:jc w:val="left"/>
        <w:rPr>
          <w:rFonts w:ascii="Times New Roman" w:hAnsi="Times New Roman"/>
        </w:rPr>
      </w:pPr>
      <w:r>
        <w:rPr>
          <w:rFonts w:ascii="Times New Roman" w:hAnsi="Times New Roman"/>
        </w:rPr>
        <w:tab/>
      </w:r>
      <w:r w:rsidR="002D77BC">
        <w:rPr>
          <w:rFonts w:ascii="Times New Roman" w:hAnsi="Times New Roman"/>
        </w:rPr>
        <w:t xml:space="preserve">The advertising requirements apply to all persons that promote the availability of consumer leases through commercial messages in any form, including messages in print or electronic media, direct mailings, or on any sign or display.  </w:t>
      </w:r>
      <w:r>
        <w:rPr>
          <w:rFonts w:ascii="Times New Roman" w:hAnsi="Times New Roman"/>
        </w:rPr>
        <w:t xml:space="preserve">The frequency of response varies according to the level of advertising activity by the </w:t>
      </w:r>
      <w:r w:rsidR="002D77BC">
        <w:rPr>
          <w:rFonts w:ascii="Times New Roman" w:hAnsi="Times New Roman"/>
        </w:rPr>
        <w:t>advertiser</w:t>
      </w:r>
      <w:r>
        <w:rPr>
          <w:rFonts w:ascii="Times New Roman" w:hAnsi="Times New Roman"/>
        </w:rPr>
        <w:t xml:space="preserve">.  Advertising certain terms triggers the requirement for additional disclosures.  For television or radio advertisements, special rules </w:t>
      </w:r>
      <w:r>
        <w:rPr>
          <w:rFonts w:ascii="Times New Roman" w:hAnsi="Times New Roman"/>
        </w:rPr>
        <w:lastRenderedPageBreak/>
        <w:t xml:space="preserve">allow alternative disclosures using toll-free telephone numbers or written advertisements in a publication of general circulation. </w:t>
      </w:r>
    </w:p>
    <w:p w:rsidR="00F23201" w:rsidRPr="001764DB" w:rsidRDefault="00F23201">
      <w:pPr>
        <w:pStyle w:val="BodyText"/>
        <w:jc w:val="left"/>
        <w:rPr>
          <w:rFonts w:ascii="Times New Roman" w:hAnsi="Times New Roman"/>
          <w:color w:val="auto"/>
        </w:rPr>
      </w:pPr>
    </w:p>
    <w:p w:rsidR="00420F65" w:rsidRPr="001764DB" w:rsidRDefault="00420F65" w:rsidP="00420F65">
      <w:pPr>
        <w:autoSpaceDE w:val="0"/>
        <w:autoSpaceDN w:val="0"/>
        <w:adjustRightInd w:val="0"/>
        <w:jc w:val="center"/>
        <w:rPr>
          <w:b/>
          <w:bCs/>
          <w:i/>
          <w:szCs w:val="24"/>
        </w:rPr>
      </w:pPr>
      <w:r w:rsidRPr="001764DB">
        <w:rPr>
          <w:rFonts w:eastAsia="Calibri"/>
          <w:b/>
          <w:i/>
          <w:snapToGrid/>
          <w:szCs w:val="24"/>
        </w:rPr>
        <w:t>Consumer Lease Exemption Threshold amendments</w:t>
      </w:r>
    </w:p>
    <w:p w:rsidR="00D7634D" w:rsidRPr="001764DB" w:rsidRDefault="00D7634D" w:rsidP="00870C47">
      <w:pPr>
        <w:autoSpaceDE w:val="0"/>
        <w:autoSpaceDN w:val="0"/>
        <w:adjustRightInd w:val="0"/>
        <w:ind w:firstLine="720"/>
        <w:rPr>
          <w:snapToGrid/>
          <w:szCs w:val="24"/>
        </w:rPr>
      </w:pPr>
    </w:p>
    <w:p w:rsidR="00F23201" w:rsidRPr="001764DB" w:rsidRDefault="00870C47" w:rsidP="00870C47">
      <w:pPr>
        <w:autoSpaceDE w:val="0"/>
        <w:autoSpaceDN w:val="0"/>
        <w:adjustRightInd w:val="0"/>
        <w:ind w:firstLine="720"/>
        <w:rPr>
          <w:snapToGrid/>
          <w:szCs w:val="24"/>
        </w:rPr>
      </w:pPr>
      <w:r w:rsidRPr="001764DB">
        <w:rPr>
          <w:snapToGrid/>
          <w:szCs w:val="24"/>
        </w:rPr>
        <w:t xml:space="preserve">The </w:t>
      </w:r>
      <w:r w:rsidR="00C91027" w:rsidRPr="001764DB">
        <w:rPr>
          <w:snapToGrid/>
          <w:szCs w:val="24"/>
        </w:rPr>
        <w:t xml:space="preserve">final </w:t>
      </w:r>
      <w:r w:rsidRPr="001764DB">
        <w:rPr>
          <w:snapToGrid/>
          <w:szCs w:val="24"/>
        </w:rPr>
        <w:t xml:space="preserve">rule </w:t>
      </w:r>
      <w:r w:rsidR="00C91027" w:rsidRPr="001764DB">
        <w:rPr>
          <w:snapToGrid/>
          <w:szCs w:val="24"/>
        </w:rPr>
        <w:t xml:space="preserve">will </w:t>
      </w:r>
      <w:r w:rsidRPr="001764DB">
        <w:rPr>
          <w:snapToGrid/>
          <w:szCs w:val="24"/>
        </w:rPr>
        <w:t xml:space="preserve">impose new compliance requirements for consumer leases with total contractual obligations of more than $25,000 but not more than $50,000. </w:t>
      </w:r>
      <w:r w:rsidR="00D7634D" w:rsidRPr="001764DB">
        <w:rPr>
          <w:snapToGrid/>
          <w:szCs w:val="24"/>
        </w:rPr>
        <w:t xml:space="preserve"> </w:t>
      </w:r>
      <w:r w:rsidRPr="001764DB">
        <w:rPr>
          <w:snapToGrid/>
          <w:szCs w:val="24"/>
        </w:rPr>
        <w:t>Specifically, for consumer leases subject to Regulation M, the lessor must provide certain disclosures regarding payments, liability, and other terms of the lease prior to consummation (§§ 213.3 and 213.4) and when the availability of consumer leases on particular terms is advertised (§ 213.7).</w:t>
      </w:r>
    </w:p>
    <w:p w:rsidR="008F70BE" w:rsidRPr="001764DB" w:rsidRDefault="008F70BE" w:rsidP="000D024D">
      <w:pPr>
        <w:pStyle w:val="Heading3"/>
        <w:rPr>
          <w:color w:val="auto"/>
          <w:szCs w:val="24"/>
        </w:rPr>
      </w:pPr>
    </w:p>
    <w:p w:rsidR="000D024D" w:rsidRDefault="000D024D" w:rsidP="000D024D">
      <w:pPr>
        <w:pStyle w:val="Heading3"/>
      </w:pPr>
      <w:r>
        <w:t>Sensitive Questions</w:t>
      </w:r>
    </w:p>
    <w:p w:rsidR="000D024D" w:rsidRDefault="000D024D" w:rsidP="000D024D">
      <w:pPr>
        <w:keepNext/>
        <w:jc w:val="both"/>
        <w:rPr>
          <w:color w:val="000000"/>
        </w:rPr>
      </w:pPr>
    </w:p>
    <w:p w:rsidR="000D024D" w:rsidRDefault="000D024D" w:rsidP="000D024D">
      <w:pPr>
        <w:pStyle w:val="BodyText"/>
        <w:keepNext/>
        <w:rPr>
          <w:rFonts w:ascii="Times New Roman" w:hAnsi="Times New Roman"/>
        </w:rPr>
      </w:pPr>
      <w:r>
        <w:rPr>
          <w:rFonts w:ascii="Times New Roman" w:hAnsi="Times New Roman"/>
        </w:rPr>
        <w:tab/>
        <w:t>This information collection contains no questions of a sensitive nature, as defined by OMB guidelines.</w:t>
      </w:r>
    </w:p>
    <w:p w:rsidR="000D024D" w:rsidRDefault="000D024D" w:rsidP="000D024D">
      <w:pPr>
        <w:rPr>
          <w:b/>
          <w:color w:val="000000"/>
        </w:rPr>
      </w:pPr>
    </w:p>
    <w:p w:rsidR="000D024D" w:rsidRDefault="000D024D" w:rsidP="000D024D">
      <w:pPr>
        <w:rPr>
          <w:color w:val="000000"/>
        </w:rPr>
      </w:pPr>
      <w:r>
        <w:rPr>
          <w:b/>
          <w:color w:val="000000"/>
        </w:rPr>
        <w:t xml:space="preserve">Consultation </w:t>
      </w:r>
      <w:proofErr w:type="gramStart"/>
      <w:r>
        <w:rPr>
          <w:b/>
          <w:color w:val="000000"/>
        </w:rPr>
        <w:t>Outside</w:t>
      </w:r>
      <w:proofErr w:type="gramEnd"/>
      <w:r>
        <w:rPr>
          <w:b/>
          <w:color w:val="000000"/>
        </w:rPr>
        <w:t xml:space="preserve"> the Agency</w:t>
      </w:r>
    </w:p>
    <w:p w:rsidR="000D024D" w:rsidRPr="001764DB" w:rsidRDefault="000D024D" w:rsidP="000D024D"/>
    <w:p w:rsidR="00603A55" w:rsidRPr="001764DB" w:rsidRDefault="00603A55" w:rsidP="00603A55">
      <w:pPr>
        <w:rPr>
          <w:szCs w:val="24"/>
        </w:rPr>
      </w:pPr>
      <w:r w:rsidRPr="001764DB">
        <w:tab/>
      </w:r>
      <w:r w:rsidR="00A02884" w:rsidRPr="001764DB">
        <w:rPr>
          <w:szCs w:val="24"/>
        </w:rPr>
        <w:t>On December 16, 2010, a</w:t>
      </w:r>
      <w:r w:rsidR="00F1325C" w:rsidRPr="001764DB">
        <w:rPr>
          <w:szCs w:val="24"/>
        </w:rPr>
        <w:t>n</w:t>
      </w:r>
      <w:r w:rsidR="00A02884" w:rsidRPr="001764DB">
        <w:rPr>
          <w:szCs w:val="24"/>
        </w:rPr>
        <w:t xml:space="preserve"> NPRM was published in the </w:t>
      </w:r>
      <w:r w:rsidR="00A02884" w:rsidRPr="001764DB">
        <w:rPr>
          <w:i/>
          <w:szCs w:val="24"/>
        </w:rPr>
        <w:t>Federal Register</w:t>
      </w:r>
      <w:r w:rsidR="00A02884" w:rsidRPr="001764DB">
        <w:rPr>
          <w:szCs w:val="24"/>
        </w:rPr>
        <w:t xml:space="preserve"> (75 FR 78632) for public comment to amend Regulation M.  </w:t>
      </w:r>
      <w:r w:rsidR="00A02884" w:rsidRPr="001764DB">
        <w:rPr>
          <w:snapToGrid/>
          <w:szCs w:val="24"/>
        </w:rPr>
        <w:t xml:space="preserve">The comment period for this NPRM expired February 14, 2011.  The Federal Reserve received two comment letters; however, neither specifically addressed the paperwork burden.  </w:t>
      </w:r>
      <w:r w:rsidR="00B2094D" w:rsidRPr="00D95EE3">
        <w:t xml:space="preserve">On </w:t>
      </w:r>
      <w:r w:rsidR="00B2094D">
        <w:t>April 4, 2011</w:t>
      </w:r>
      <w:r w:rsidR="00B2094D" w:rsidRPr="00D95EE3">
        <w:t xml:space="preserve">, a notice of final rulemaking was </w:t>
      </w:r>
      <w:r w:rsidR="00B2094D" w:rsidRPr="00D95EE3">
        <w:rPr>
          <w:szCs w:val="24"/>
        </w:rPr>
        <w:t xml:space="preserve">published in the </w:t>
      </w:r>
      <w:r w:rsidR="00B2094D" w:rsidRPr="00D95EE3">
        <w:rPr>
          <w:i/>
          <w:szCs w:val="24"/>
        </w:rPr>
        <w:t>Federal Register</w:t>
      </w:r>
      <w:r w:rsidR="00B2094D" w:rsidRPr="00D95EE3">
        <w:rPr>
          <w:szCs w:val="24"/>
        </w:rPr>
        <w:t xml:space="preserve"> </w:t>
      </w:r>
      <w:r w:rsidR="00B2094D" w:rsidRPr="00E4047A">
        <w:rPr>
          <w:szCs w:val="24"/>
        </w:rPr>
        <w:t xml:space="preserve">(76 FR </w:t>
      </w:r>
      <w:r w:rsidR="00B2094D">
        <w:rPr>
          <w:szCs w:val="24"/>
        </w:rPr>
        <w:t>18349)</w:t>
      </w:r>
      <w:r w:rsidR="00B2094D" w:rsidRPr="00D95EE3">
        <w:rPr>
          <w:szCs w:val="24"/>
        </w:rPr>
        <w:t xml:space="preserve"> adopting the amendments largely as proposed, with mandatory compliance by July 21, 2011.</w:t>
      </w:r>
    </w:p>
    <w:p w:rsidR="000D024D" w:rsidRPr="001764DB" w:rsidRDefault="000D024D"/>
    <w:p w:rsidR="00643D39" w:rsidRPr="001764DB" w:rsidRDefault="00643D39">
      <w:pPr>
        <w:pStyle w:val="Heading2"/>
        <w:jc w:val="left"/>
      </w:pPr>
      <w:r w:rsidRPr="001764DB">
        <w:t>Time Schedule for Information Collection</w:t>
      </w:r>
    </w:p>
    <w:p w:rsidR="00643D39" w:rsidRDefault="00643D39">
      <w:pPr>
        <w:rPr>
          <w:color w:val="000000"/>
        </w:rPr>
      </w:pPr>
    </w:p>
    <w:p w:rsidR="00643D39" w:rsidRDefault="00643D39">
      <w:pPr>
        <w:pStyle w:val="BodyText"/>
        <w:jc w:val="left"/>
        <w:rPr>
          <w:rFonts w:ascii="Times New Roman" w:hAnsi="Times New Roman"/>
        </w:rPr>
      </w:pPr>
      <w:r>
        <w:rPr>
          <w:rFonts w:ascii="Times New Roman" w:hAnsi="Times New Roman"/>
        </w:rPr>
        <w:tab/>
        <w:t xml:space="preserve">The information collection pursuant to Regulation M is triggered by specific events.  Disclosures must be provided to the lessee prior to the consummation of the lease and when the availability of consumer leases on particular terms is advertised.  There is no reporting form associated with the requirements of Regulation M.  Lease-specific disclosures are not </w:t>
      </w:r>
      <w:r w:rsidR="006F7BB5">
        <w:rPr>
          <w:rFonts w:ascii="Times New Roman" w:hAnsi="Times New Roman"/>
        </w:rPr>
        <w:t>collected by</w:t>
      </w:r>
      <w:r>
        <w:rPr>
          <w:rFonts w:ascii="Times New Roman" w:hAnsi="Times New Roman"/>
        </w:rPr>
        <w:t xml:space="preserve"> the Federal Reserve, are not publicly available, and are not published.  Disclosures of lease terms that appear in advertisements are available to the public.    </w:t>
      </w:r>
    </w:p>
    <w:p w:rsidR="006F5A82" w:rsidRDefault="006F5A82">
      <w:pPr>
        <w:rPr>
          <w:b/>
          <w:color w:val="000000"/>
        </w:rPr>
      </w:pPr>
    </w:p>
    <w:p w:rsidR="00643D39" w:rsidRDefault="00643D39">
      <w:pPr>
        <w:rPr>
          <w:color w:val="000000"/>
        </w:rPr>
      </w:pPr>
      <w:r>
        <w:rPr>
          <w:b/>
          <w:color w:val="000000"/>
        </w:rPr>
        <w:t>Legal Status</w:t>
      </w:r>
    </w:p>
    <w:p w:rsidR="00643D39" w:rsidRDefault="00643D39">
      <w:pPr>
        <w:rPr>
          <w:color w:val="000000"/>
        </w:rPr>
      </w:pPr>
    </w:p>
    <w:p w:rsidR="00724F60" w:rsidRDefault="00643D39" w:rsidP="00724F60">
      <w:pPr>
        <w:pStyle w:val="BodyTextIndent3"/>
        <w:jc w:val="left"/>
      </w:pPr>
      <w:r>
        <w:rPr>
          <w:color w:val="000000"/>
        </w:rPr>
        <w:t xml:space="preserve">The Board’s Legal Division has determined that </w:t>
      </w:r>
      <w:r w:rsidR="0013326D">
        <w:rPr>
          <w:color w:val="000000"/>
        </w:rPr>
        <w:t>S</w:t>
      </w:r>
      <w:r>
        <w:rPr>
          <w:color w:val="000000"/>
        </w:rPr>
        <w:t xml:space="preserve">ections 105(a) and 187 of TILA (15 U.S.C. §§ 1604(a) and 1667f) authorize the </w:t>
      </w:r>
      <w:r w:rsidR="00CA3BE8">
        <w:rPr>
          <w:color w:val="000000"/>
        </w:rPr>
        <w:t>Board</w:t>
      </w:r>
      <w:r>
        <w:rPr>
          <w:color w:val="000000"/>
        </w:rPr>
        <w:t xml:space="preserve"> to issue regulations to carry out the provisions of the </w:t>
      </w:r>
      <w:r w:rsidR="00690351">
        <w:rPr>
          <w:color w:val="000000"/>
        </w:rPr>
        <w:t>CLA</w:t>
      </w:r>
      <w:r>
        <w:rPr>
          <w:color w:val="000000"/>
        </w:rPr>
        <w:t>.  The information collections are mandatory.  Since the Federal Reserve does not collect any information, no issue of confidentiality arises.</w:t>
      </w:r>
      <w:r w:rsidR="00724F60">
        <w:rPr>
          <w:color w:val="000000"/>
        </w:rPr>
        <w:t xml:space="preserve">  </w:t>
      </w:r>
    </w:p>
    <w:p w:rsidR="00670D70" w:rsidRDefault="00670D70">
      <w:pPr>
        <w:rPr>
          <w:b/>
          <w:color w:val="000000"/>
        </w:rPr>
      </w:pPr>
    </w:p>
    <w:p w:rsidR="00643D39" w:rsidRDefault="00643D39">
      <w:pPr>
        <w:rPr>
          <w:color w:val="000000"/>
        </w:rPr>
      </w:pPr>
      <w:bookmarkStart w:id="0" w:name="OLE_LINK1"/>
      <w:r>
        <w:rPr>
          <w:b/>
          <w:color w:val="000000"/>
        </w:rPr>
        <w:t>Estimate of Information Collection Burden</w:t>
      </w:r>
    </w:p>
    <w:p w:rsidR="00643D39" w:rsidRDefault="00643D39">
      <w:pPr>
        <w:rPr>
          <w:color w:val="000000"/>
        </w:rPr>
      </w:pPr>
    </w:p>
    <w:p w:rsidR="00171147" w:rsidRDefault="00643D39" w:rsidP="00171147">
      <w:pPr>
        <w:ind w:firstLine="720"/>
        <w:rPr>
          <w:szCs w:val="24"/>
        </w:rPr>
      </w:pPr>
      <w:r>
        <w:t xml:space="preserve">The total annual burden for </w:t>
      </w:r>
      <w:r w:rsidR="00667574">
        <w:t>Federal Reserve-</w:t>
      </w:r>
      <w:r w:rsidR="00EA0A3D">
        <w:t>supervised</w:t>
      </w:r>
      <w:r w:rsidR="00667574">
        <w:t xml:space="preserve"> institutions</w:t>
      </w:r>
      <w:r w:rsidR="00667574" w:rsidDel="00667574">
        <w:t xml:space="preserve"> </w:t>
      </w:r>
      <w:r>
        <w:t xml:space="preserve">for this information collection is </w:t>
      </w:r>
      <w:r w:rsidR="00690351">
        <w:t xml:space="preserve">estimated to be </w:t>
      </w:r>
      <w:r w:rsidR="00DB725B">
        <w:t>8</w:t>
      </w:r>
      <w:r w:rsidR="008A689A">
        <w:t xml:space="preserve"> </w:t>
      </w:r>
      <w:r>
        <w:t xml:space="preserve">hours, as shown in the table below.  </w:t>
      </w:r>
      <w:r w:rsidRPr="00FD69D7">
        <w:t xml:space="preserve">The Federal Reserve has </w:t>
      </w:r>
      <w:r w:rsidRPr="00FD69D7">
        <w:lastRenderedPageBreak/>
        <w:t>found that while</w:t>
      </w:r>
      <w:r w:rsidR="00FD69D7" w:rsidRPr="00FD69D7">
        <w:t xml:space="preserve"> in recent years</w:t>
      </w:r>
      <w:r w:rsidRPr="00FD69D7">
        <w:t xml:space="preserve"> the prevalence of leasing has increased</w:t>
      </w:r>
      <w:r w:rsidR="00FD69D7" w:rsidRPr="00FD69D7">
        <w:t xml:space="preserve"> amongst </w:t>
      </w:r>
      <w:r w:rsidR="00280F6D">
        <w:t>finance companies</w:t>
      </w:r>
      <w:r w:rsidR="00F15631">
        <w:t xml:space="preserve"> owned by vehicle manufacturers,</w:t>
      </w:r>
      <w:r w:rsidR="00280F6D" w:rsidRPr="00FD69D7">
        <w:t xml:space="preserve"> </w:t>
      </w:r>
      <w:r w:rsidRPr="00FD69D7">
        <w:t xml:space="preserve">it has </w:t>
      </w:r>
      <w:r w:rsidR="0057420D" w:rsidRPr="00FD69D7">
        <w:t>decreased</w:t>
      </w:r>
      <w:r w:rsidRPr="00FD69D7">
        <w:t xml:space="preserve"> substantially among </w:t>
      </w:r>
      <w:r w:rsidR="00667574" w:rsidRPr="00FD69D7">
        <w:t>Federal Reserve-</w:t>
      </w:r>
      <w:r w:rsidR="00EA0A3D" w:rsidRPr="00FD69D7">
        <w:t>supervised</w:t>
      </w:r>
      <w:r w:rsidR="00667574" w:rsidRPr="00FD69D7">
        <w:t xml:space="preserve"> institutions</w:t>
      </w:r>
      <w:r w:rsidRPr="00FD69D7">
        <w:t>.</w:t>
      </w:r>
      <w:r>
        <w:t xml:space="preserve">  The Federal Reserve has estimated that only </w:t>
      </w:r>
      <w:r w:rsidR="00DB725B">
        <w:t>four</w:t>
      </w:r>
      <w:r w:rsidR="00033671">
        <w:t xml:space="preserve"> </w:t>
      </w:r>
      <w:r w:rsidR="006F7BB5">
        <w:t xml:space="preserve">Federal Reserve-supervised </w:t>
      </w:r>
      <w:r w:rsidR="00667574">
        <w:t>institutions</w:t>
      </w:r>
      <w:r>
        <w:t xml:space="preserve"> engage in consumer leasing</w:t>
      </w:r>
      <w:r w:rsidR="00FD69D7">
        <w:rPr>
          <w:rStyle w:val="FootnoteReference"/>
        </w:rPr>
        <w:footnoteReference w:id="8"/>
      </w:r>
      <w:r>
        <w:t xml:space="preserve"> with an </w:t>
      </w:r>
      <w:r w:rsidR="006F7BB5">
        <w:t xml:space="preserve">estimated </w:t>
      </w:r>
      <w:r>
        <w:t xml:space="preserve">average frequency of </w:t>
      </w:r>
      <w:r w:rsidR="00DB725B">
        <w:t>four</w:t>
      </w:r>
      <w:r w:rsidR="00C20221">
        <w:t xml:space="preserve"> </w:t>
      </w:r>
      <w:r>
        <w:t xml:space="preserve">transactions per year.  The Federal Reserve also estimates that </w:t>
      </w:r>
      <w:r w:rsidR="00C20221">
        <w:t>the</w:t>
      </w:r>
      <w:r>
        <w:t xml:space="preserve"> </w:t>
      </w:r>
      <w:r w:rsidR="00DB725B">
        <w:t>four</w:t>
      </w:r>
      <w:r w:rsidR="00C20221">
        <w:t xml:space="preserve"> </w:t>
      </w:r>
      <w:r w:rsidR="00F64C54">
        <w:t xml:space="preserve">Federal Reserve-supervised </w:t>
      </w:r>
      <w:r w:rsidR="00667574">
        <w:t>institutions</w:t>
      </w:r>
      <w:r>
        <w:t xml:space="preserve"> advertise their leasing program approximately </w:t>
      </w:r>
      <w:r w:rsidR="00234F4F">
        <w:t xml:space="preserve">four </w:t>
      </w:r>
      <w:r>
        <w:t xml:space="preserve">times per year.  </w:t>
      </w:r>
      <w:r w:rsidR="00AF757F" w:rsidRPr="00FE5B27">
        <w:t>For purposes of the PRA, no</w:t>
      </w:r>
      <w:r>
        <w:t xml:space="preserve"> paperwork burden is deemed to be associated with the </w:t>
      </w:r>
      <w:r w:rsidR="00AF757F" w:rsidRPr="00FE5B27">
        <w:t xml:space="preserve">recordkeeping </w:t>
      </w:r>
      <w:r>
        <w:t xml:space="preserve">requirement in Regulation M </w:t>
      </w:r>
      <w:r w:rsidRPr="00171147">
        <w:rPr>
          <w:szCs w:val="24"/>
        </w:rPr>
        <w:t xml:space="preserve">that lessors </w:t>
      </w:r>
      <w:r w:rsidRPr="00171147">
        <w:rPr>
          <w:color w:val="000000"/>
          <w:szCs w:val="24"/>
        </w:rPr>
        <w:t>“retain evidence of compliance” for a minimum of two years after the date disclosures are required to be made (</w:t>
      </w:r>
      <w:r w:rsidR="0013326D" w:rsidRPr="00171147">
        <w:rPr>
          <w:color w:val="000000"/>
          <w:szCs w:val="24"/>
        </w:rPr>
        <w:t>§</w:t>
      </w:r>
      <w:r w:rsidRPr="00171147">
        <w:rPr>
          <w:color w:val="000000"/>
          <w:szCs w:val="24"/>
        </w:rPr>
        <w:t xml:space="preserve"> 213.8).  The regulation does not specify the kind of records that must be retained for this purpose</w:t>
      </w:r>
      <w:r w:rsidRPr="00171147">
        <w:rPr>
          <w:szCs w:val="24"/>
        </w:rPr>
        <w:t>.</w:t>
      </w:r>
    </w:p>
    <w:p w:rsidR="00171147" w:rsidRDefault="00171147" w:rsidP="00171147">
      <w:pPr>
        <w:ind w:firstLine="720"/>
        <w:rPr>
          <w:szCs w:val="24"/>
        </w:rPr>
      </w:pPr>
    </w:p>
    <w:p w:rsidR="000F29A7" w:rsidRPr="001764DB" w:rsidRDefault="00171147" w:rsidP="00171147">
      <w:pPr>
        <w:ind w:firstLine="720"/>
        <w:rPr>
          <w:szCs w:val="24"/>
        </w:rPr>
      </w:pPr>
      <w:r w:rsidRPr="001764DB">
        <w:rPr>
          <w:snapToGrid/>
          <w:szCs w:val="24"/>
        </w:rPr>
        <w:t xml:space="preserve">The Federal Reserve estimates that the </w:t>
      </w:r>
      <w:r w:rsidR="00420F65" w:rsidRPr="001764DB">
        <w:rPr>
          <w:snapToGrid/>
          <w:szCs w:val="24"/>
        </w:rPr>
        <w:t>final</w:t>
      </w:r>
      <w:r w:rsidRPr="001764DB">
        <w:rPr>
          <w:snapToGrid/>
          <w:szCs w:val="24"/>
        </w:rPr>
        <w:t xml:space="preserve"> rule </w:t>
      </w:r>
      <w:r w:rsidR="00C91027" w:rsidRPr="001764DB">
        <w:rPr>
          <w:snapToGrid/>
          <w:szCs w:val="24"/>
        </w:rPr>
        <w:t xml:space="preserve">will </w:t>
      </w:r>
      <w:r w:rsidRPr="001764DB">
        <w:rPr>
          <w:snapToGrid/>
          <w:szCs w:val="24"/>
        </w:rPr>
        <w:t xml:space="preserve">impose a one-time increase in the total annual burden under Regulation M.  The four respondents would take, on average, 40 hours (one business week) to update their systems to comply with the requirements.  This one-time revision </w:t>
      </w:r>
      <w:r w:rsidR="00C91027" w:rsidRPr="001764DB">
        <w:rPr>
          <w:snapToGrid/>
          <w:szCs w:val="24"/>
        </w:rPr>
        <w:t xml:space="preserve">will </w:t>
      </w:r>
      <w:r w:rsidRPr="001764DB">
        <w:rPr>
          <w:snapToGrid/>
          <w:szCs w:val="24"/>
        </w:rPr>
        <w:t xml:space="preserve">increase the total burden for all </w:t>
      </w:r>
      <w:r w:rsidR="003F1E59" w:rsidRPr="001764DB">
        <w:rPr>
          <w:snapToGrid/>
          <w:szCs w:val="24"/>
        </w:rPr>
        <w:t xml:space="preserve">four </w:t>
      </w:r>
      <w:r w:rsidRPr="001764DB">
        <w:rPr>
          <w:snapToGrid/>
          <w:szCs w:val="24"/>
        </w:rPr>
        <w:t xml:space="preserve">respondents by 160 hours.  On a continuing basis, the Federal Reserve estimates that the four respondents </w:t>
      </w:r>
      <w:r w:rsidR="00C91027" w:rsidRPr="001764DB">
        <w:rPr>
          <w:snapToGrid/>
          <w:szCs w:val="24"/>
        </w:rPr>
        <w:t xml:space="preserve">will </w:t>
      </w:r>
      <w:r w:rsidRPr="001764DB">
        <w:rPr>
          <w:snapToGrid/>
          <w:szCs w:val="24"/>
        </w:rPr>
        <w:t xml:space="preserve">each take, on average, an additional 8 hours (one business day) annually to comply with the </w:t>
      </w:r>
      <w:r w:rsidR="00AF757F" w:rsidRPr="001764DB">
        <w:rPr>
          <w:sz w:val="22"/>
          <w:szCs w:val="22"/>
        </w:rPr>
        <w:t>Disclosures under § 213.4</w:t>
      </w:r>
      <w:r w:rsidRPr="001764DB">
        <w:rPr>
          <w:snapToGrid/>
          <w:szCs w:val="24"/>
        </w:rPr>
        <w:t xml:space="preserve">, which </w:t>
      </w:r>
      <w:r w:rsidR="00C91027" w:rsidRPr="001764DB">
        <w:rPr>
          <w:snapToGrid/>
          <w:szCs w:val="24"/>
        </w:rPr>
        <w:t xml:space="preserve">will </w:t>
      </w:r>
      <w:r w:rsidRPr="001764DB">
        <w:rPr>
          <w:snapToGrid/>
          <w:szCs w:val="24"/>
        </w:rPr>
        <w:t>increase the ongoing total annual burden by 32 hours.</w:t>
      </w:r>
      <w:r w:rsidR="00420F65" w:rsidRPr="001764DB">
        <w:rPr>
          <w:snapToGrid/>
          <w:szCs w:val="24"/>
        </w:rPr>
        <w:t xml:space="preserve">  </w:t>
      </w:r>
      <w:r w:rsidRPr="001764DB">
        <w:rPr>
          <w:snapToGrid/>
          <w:szCs w:val="24"/>
        </w:rPr>
        <w:t xml:space="preserve">Therefore, the total annual burden for all respondents is estimated to increase by 192 hours (from 8 to 200 hours) during the first year after a final rule is adopted.  Thereafter, the ongoing total annual burden </w:t>
      </w:r>
      <w:r w:rsidR="00C91027" w:rsidRPr="001764DB">
        <w:rPr>
          <w:snapToGrid/>
          <w:szCs w:val="24"/>
        </w:rPr>
        <w:t xml:space="preserve">will </w:t>
      </w:r>
      <w:r w:rsidRPr="001764DB">
        <w:rPr>
          <w:snapToGrid/>
          <w:szCs w:val="24"/>
        </w:rPr>
        <w:t>be 40 hours.</w:t>
      </w:r>
      <w:bookmarkEnd w:id="0"/>
      <w:r w:rsidRPr="001764DB">
        <w:rPr>
          <w:snapToGrid/>
          <w:szCs w:val="24"/>
        </w:rPr>
        <w:t xml:space="preserve">  </w:t>
      </w:r>
      <w:r w:rsidRPr="001764DB">
        <w:rPr>
          <w:szCs w:val="24"/>
        </w:rPr>
        <w:t>The recordkeeping and disclosure requirements represent less than 1 percent of total Federal Reserve System paperwork burden.</w:t>
      </w:r>
    </w:p>
    <w:p w:rsidR="00AF757F" w:rsidRPr="001764DB" w:rsidRDefault="00AF757F" w:rsidP="000F29A7">
      <w:pPr>
        <w:rPr>
          <w:szCs w:val="24"/>
        </w:rPr>
      </w:pPr>
      <w:r w:rsidRPr="001764DB">
        <w:rPr>
          <w:szCs w:val="24"/>
        </w:rPr>
        <w:br w:type="page"/>
      </w:r>
    </w:p>
    <w:tbl>
      <w:tblPr>
        <w:tblW w:w="0" w:type="auto"/>
        <w:tblInd w:w="139" w:type="dxa"/>
        <w:tblBorders>
          <w:top w:val="single" w:sz="6" w:space="0" w:color="000000"/>
          <w:bottom w:val="single" w:sz="6" w:space="0" w:color="000000"/>
        </w:tblBorders>
        <w:tblLayout w:type="fixed"/>
        <w:tblCellMar>
          <w:left w:w="139" w:type="dxa"/>
          <w:right w:w="139" w:type="dxa"/>
        </w:tblCellMar>
        <w:tblLook w:val="0000"/>
      </w:tblPr>
      <w:tblGrid>
        <w:gridCol w:w="2880"/>
        <w:gridCol w:w="1619"/>
        <w:gridCol w:w="1620"/>
        <w:gridCol w:w="1619"/>
        <w:gridCol w:w="1620"/>
      </w:tblGrid>
      <w:tr w:rsidR="000F29A7" w:rsidRPr="001764DB" w:rsidTr="009D67A6">
        <w:trPr>
          <w:cantSplit/>
        </w:trPr>
        <w:tc>
          <w:tcPr>
            <w:tcW w:w="2880" w:type="dxa"/>
            <w:vAlign w:val="bottom"/>
          </w:tcPr>
          <w:p w:rsidR="000F29A7" w:rsidRPr="001764DB" w:rsidRDefault="000F29A7" w:rsidP="00CB5F40">
            <w:pPr>
              <w:tabs>
                <w:tab w:val="left" w:pos="-1440"/>
                <w:tab w:val="left" w:pos="-720"/>
                <w:tab w:val="left" w:pos="0"/>
                <w:tab w:val="left" w:pos="240"/>
                <w:tab w:val="left" w:pos="720"/>
                <w:tab w:val="left" w:pos="1440"/>
              </w:tabs>
              <w:spacing w:before="163" w:after="24"/>
              <w:rPr>
                <w:sz w:val="22"/>
                <w:szCs w:val="22"/>
              </w:rPr>
            </w:pPr>
          </w:p>
        </w:tc>
        <w:tc>
          <w:tcPr>
            <w:tcW w:w="1619" w:type="dxa"/>
            <w:vAlign w:val="center"/>
          </w:tcPr>
          <w:p w:rsidR="000F29A7" w:rsidRPr="001764DB" w:rsidRDefault="000F29A7" w:rsidP="00CB5F40">
            <w:pPr>
              <w:tabs>
                <w:tab w:val="left" w:pos="-1440"/>
                <w:tab w:val="left" w:pos="-720"/>
                <w:tab w:val="left" w:pos="0"/>
                <w:tab w:val="left" w:pos="240"/>
                <w:tab w:val="left" w:pos="720"/>
              </w:tabs>
              <w:spacing w:before="163" w:after="24"/>
              <w:jc w:val="center"/>
              <w:rPr>
                <w:sz w:val="22"/>
                <w:szCs w:val="22"/>
              </w:rPr>
            </w:pPr>
            <w:r w:rsidRPr="001764DB">
              <w:rPr>
                <w:i/>
                <w:sz w:val="22"/>
                <w:szCs w:val="22"/>
              </w:rPr>
              <w:t>Estimated number of respondents</w:t>
            </w:r>
          </w:p>
        </w:tc>
        <w:tc>
          <w:tcPr>
            <w:tcW w:w="1620" w:type="dxa"/>
            <w:vAlign w:val="center"/>
          </w:tcPr>
          <w:p w:rsidR="000F29A7" w:rsidRPr="001764DB" w:rsidRDefault="000F29A7" w:rsidP="00CB5F40">
            <w:pPr>
              <w:tabs>
                <w:tab w:val="left" w:pos="-1440"/>
                <w:tab w:val="left" w:pos="-720"/>
                <w:tab w:val="left" w:pos="0"/>
                <w:tab w:val="left" w:pos="240"/>
                <w:tab w:val="left" w:pos="720"/>
                <w:tab w:val="left" w:pos="1440"/>
              </w:tabs>
              <w:spacing w:before="163" w:after="24"/>
              <w:jc w:val="center"/>
              <w:rPr>
                <w:sz w:val="22"/>
                <w:szCs w:val="22"/>
              </w:rPr>
            </w:pPr>
            <w:r w:rsidRPr="001764DB">
              <w:rPr>
                <w:i/>
                <w:sz w:val="22"/>
                <w:szCs w:val="22"/>
              </w:rPr>
              <w:t>Estimated annual frequency</w:t>
            </w:r>
          </w:p>
        </w:tc>
        <w:tc>
          <w:tcPr>
            <w:tcW w:w="1619" w:type="dxa"/>
            <w:vAlign w:val="center"/>
          </w:tcPr>
          <w:p w:rsidR="000F29A7" w:rsidRPr="001764DB" w:rsidRDefault="000F29A7" w:rsidP="00CB5F40">
            <w:pPr>
              <w:jc w:val="center"/>
              <w:rPr>
                <w:i/>
                <w:sz w:val="22"/>
                <w:szCs w:val="22"/>
              </w:rPr>
            </w:pPr>
            <w:r w:rsidRPr="001764DB">
              <w:rPr>
                <w:i/>
                <w:sz w:val="22"/>
                <w:szCs w:val="22"/>
              </w:rPr>
              <w:t>Estimated response</w:t>
            </w:r>
          </w:p>
          <w:p w:rsidR="000F29A7" w:rsidRPr="001764DB" w:rsidRDefault="000F29A7" w:rsidP="00CB5F40">
            <w:pPr>
              <w:jc w:val="center"/>
              <w:rPr>
                <w:i/>
                <w:sz w:val="22"/>
                <w:szCs w:val="22"/>
              </w:rPr>
            </w:pPr>
            <w:r w:rsidRPr="001764DB">
              <w:rPr>
                <w:i/>
                <w:sz w:val="22"/>
                <w:szCs w:val="22"/>
              </w:rPr>
              <w:t>time</w:t>
            </w:r>
          </w:p>
        </w:tc>
        <w:tc>
          <w:tcPr>
            <w:tcW w:w="1620" w:type="dxa"/>
            <w:vAlign w:val="center"/>
          </w:tcPr>
          <w:p w:rsidR="000F29A7" w:rsidRPr="001764DB" w:rsidRDefault="000F29A7" w:rsidP="00CB5F40">
            <w:pPr>
              <w:tabs>
                <w:tab w:val="left" w:pos="-1440"/>
                <w:tab w:val="left" w:pos="-720"/>
                <w:tab w:val="left" w:pos="0"/>
                <w:tab w:val="left" w:pos="240"/>
                <w:tab w:val="left" w:pos="720"/>
                <w:tab w:val="left" w:pos="1440"/>
              </w:tabs>
              <w:spacing w:before="163" w:after="24"/>
              <w:jc w:val="center"/>
              <w:rPr>
                <w:i/>
                <w:sz w:val="22"/>
                <w:szCs w:val="22"/>
              </w:rPr>
            </w:pPr>
            <w:r w:rsidRPr="001764DB">
              <w:rPr>
                <w:i/>
                <w:sz w:val="22"/>
                <w:szCs w:val="22"/>
              </w:rPr>
              <w:t>Estimated annual burden hours</w:t>
            </w:r>
          </w:p>
        </w:tc>
      </w:tr>
      <w:tr w:rsidR="00DE2B48" w:rsidRPr="001764DB" w:rsidTr="009D67A6">
        <w:trPr>
          <w:cantSplit/>
          <w:trHeight w:val="463"/>
        </w:trPr>
        <w:tc>
          <w:tcPr>
            <w:tcW w:w="2880" w:type="dxa"/>
            <w:vAlign w:val="bottom"/>
          </w:tcPr>
          <w:p w:rsidR="00DE2B48" w:rsidRPr="001764DB" w:rsidRDefault="00DE2B48" w:rsidP="00CB5F40">
            <w:pPr>
              <w:tabs>
                <w:tab w:val="left" w:pos="-1440"/>
                <w:tab w:val="left" w:pos="-720"/>
                <w:tab w:val="left" w:pos="0"/>
                <w:tab w:val="left" w:pos="240"/>
                <w:tab w:val="left" w:pos="720"/>
                <w:tab w:val="left" w:pos="1440"/>
              </w:tabs>
              <w:spacing w:before="163"/>
              <w:rPr>
                <w:i/>
                <w:sz w:val="22"/>
                <w:szCs w:val="22"/>
              </w:rPr>
            </w:pPr>
            <w:r w:rsidRPr="001764DB">
              <w:rPr>
                <w:i/>
                <w:sz w:val="22"/>
                <w:szCs w:val="22"/>
              </w:rPr>
              <w:t>Current</w:t>
            </w:r>
          </w:p>
        </w:tc>
        <w:tc>
          <w:tcPr>
            <w:tcW w:w="1619" w:type="dxa"/>
            <w:vAlign w:val="bottom"/>
          </w:tcPr>
          <w:p w:rsidR="00DE2B48" w:rsidRPr="001764DB" w:rsidRDefault="00DE2B48" w:rsidP="00CB5F40">
            <w:pPr>
              <w:tabs>
                <w:tab w:val="left" w:pos="-1440"/>
                <w:tab w:val="left" w:pos="-720"/>
                <w:tab w:val="left" w:pos="0"/>
                <w:tab w:val="left" w:pos="240"/>
                <w:tab w:val="left" w:pos="720"/>
              </w:tabs>
              <w:spacing w:before="163"/>
              <w:jc w:val="center"/>
              <w:rPr>
                <w:sz w:val="22"/>
                <w:szCs w:val="22"/>
              </w:rPr>
            </w:pPr>
          </w:p>
        </w:tc>
        <w:tc>
          <w:tcPr>
            <w:tcW w:w="1620" w:type="dxa"/>
            <w:vAlign w:val="bottom"/>
          </w:tcPr>
          <w:p w:rsidR="00DE2B48" w:rsidRPr="001764DB" w:rsidRDefault="00DE2B48" w:rsidP="00CB5F40">
            <w:pPr>
              <w:tabs>
                <w:tab w:val="left" w:pos="-1440"/>
                <w:tab w:val="left" w:pos="-720"/>
                <w:tab w:val="left" w:pos="0"/>
                <w:tab w:val="left" w:pos="240"/>
                <w:tab w:val="left" w:pos="720"/>
                <w:tab w:val="left" w:pos="1440"/>
              </w:tabs>
              <w:spacing w:before="163"/>
              <w:jc w:val="center"/>
              <w:rPr>
                <w:sz w:val="22"/>
                <w:szCs w:val="22"/>
              </w:rPr>
            </w:pPr>
          </w:p>
        </w:tc>
        <w:tc>
          <w:tcPr>
            <w:tcW w:w="1619" w:type="dxa"/>
            <w:vAlign w:val="bottom"/>
          </w:tcPr>
          <w:p w:rsidR="00DE2B48" w:rsidRPr="001764DB" w:rsidRDefault="00DE2B48" w:rsidP="00CB5F40">
            <w:pPr>
              <w:tabs>
                <w:tab w:val="left" w:pos="-1440"/>
                <w:tab w:val="left" w:pos="-720"/>
                <w:tab w:val="left" w:pos="0"/>
                <w:tab w:val="left" w:pos="240"/>
                <w:tab w:val="left" w:pos="720"/>
                <w:tab w:val="left" w:pos="1440"/>
                <w:tab w:val="left" w:pos="2160"/>
              </w:tabs>
              <w:spacing w:before="163"/>
              <w:jc w:val="center"/>
              <w:rPr>
                <w:sz w:val="22"/>
                <w:szCs w:val="22"/>
              </w:rPr>
            </w:pPr>
          </w:p>
        </w:tc>
        <w:tc>
          <w:tcPr>
            <w:tcW w:w="1620" w:type="dxa"/>
            <w:vAlign w:val="bottom"/>
          </w:tcPr>
          <w:p w:rsidR="00DE2B48" w:rsidRPr="001764DB" w:rsidRDefault="00DE2B48" w:rsidP="00CB5F40">
            <w:pPr>
              <w:tabs>
                <w:tab w:val="left" w:pos="-1440"/>
                <w:tab w:val="left" w:pos="-720"/>
                <w:tab w:val="left" w:pos="0"/>
                <w:tab w:val="left" w:pos="240"/>
                <w:tab w:val="left" w:pos="720"/>
                <w:tab w:val="left" w:pos="1440"/>
              </w:tabs>
              <w:spacing w:before="163"/>
              <w:jc w:val="right"/>
              <w:rPr>
                <w:sz w:val="22"/>
                <w:szCs w:val="22"/>
              </w:rPr>
            </w:pPr>
          </w:p>
        </w:tc>
      </w:tr>
      <w:tr w:rsidR="000F29A7" w:rsidRPr="001764DB" w:rsidTr="009D67A6">
        <w:trPr>
          <w:cantSplit/>
          <w:trHeight w:val="463"/>
        </w:trPr>
        <w:tc>
          <w:tcPr>
            <w:tcW w:w="2880" w:type="dxa"/>
            <w:vAlign w:val="bottom"/>
          </w:tcPr>
          <w:p w:rsidR="000F29A7" w:rsidRPr="001764DB" w:rsidRDefault="000F29A7" w:rsidP="00CB5F40">
            <w:pPr>
              <w:tabs>
                <w:tab w:val="left" w:pos="-1440"/>
                <w:tab w:val="left" w:pos="-720"/>
                <w:tab w:val="left" w:pos="0"/>
                <w:tab w:val="left" w:pos="240"/>
                <w:tab w:val="left" w:pos="720"/>
                <w:tab w:val="left" w:pos="1440"/>
              </w:tabs>
              <w:spacing w:before="163"/>
              <w:rPr>
                <w:sz w:val="22"/>
                <w:szCs w:val="22"/>
              </w:rPr>
            </w:pPr>
            <w:r w:rsidRPr="001764DB">
              <w:rPr>
                <w:sz w:val="22"/>
                <w:szCs w:val="22"/>
              </w:rPr>
              <w:t>Disclosures (</w:t>
            </w:r>
            <w:r w:rsidR="004A6138" w:rsidRPr="001764DB">
              <w:rPr>
                <w:sz w:val="22"/>
                <w:szCs w:val="22"/>
              </w:rPr>
              <w:t>§ </w:t>
            </w:r>
            <w:r w:rsidRPr="001764DB">
              <w:rPr>
                <w:sz w:val="22"/>
                <w:szCs w:val="22"/>
              </w:rPr>
              <w:t>213.4)</w:t>
            </w:r>
            <w:r w:rsidRPr="001764DB">
              <w:rPr>
                <w:i/>
                <w:sz w:val="22"/>
                <w:szCs w:val="22"/>
                <w:vertAlign w:val="superscript"/>
              </w:rPr>
              <w:t xml:space="preserve"> </w:t>
            </w:r>
          </w:p>
        </w:tc>
        <w:tc>
          <w:tcPr>
            <w:tcW w:w="1619" w:type="dxa"/>
            <w:vAlign w:val="bottom"/>
          </w:tcPr>
          <w:p w:rsidR="000F29A7" w:rsidRPr="001764DB" w:rsidRDefault="00033671" w:rsidP="00CB5F40">
            <w:pPr>
              <w:tabs>
                <w:tab w:val="left" w:pos="-1440"/>
                <w:tab w:val="left" w:pos="-720"/>
                <w:tab w:val="left" w:pos="0"/>
                <w:tab w:val="left" w:pos="240"/>
                <w:tab w:val="left" w:pos="720"/>
              </w:tabs>
              <w:spacing w:before="163"/>
              <w:jc w:val="center"/>
              <w:rPr>
                <w:sz w:val="22"/>
                <w:szCs w:val="22"/>
              </w:rPr>
            </w:pPr>
            <w:r w:rsidRPr="001764DB">
              <w:rPr>
                <w:sz w:val="22"/>
                <w:szCs w:val="22"/>
              </w:rPr>
              <w:t>4</w:t>
            </w:r>
          </w:p>
        </w:tc>
        <w:tc>
          <w:tcPr>
            <w:tcW w:w="1620" w:type="dxa"/>
            <w:vAlign w:val="bottom"/>
          </w:tcPr>
          <w:p w:rsidR="000F29A7" w:rsidRPr="001764DB" w:rsidRDefault="00DB725B" w:rsidP="00CB5F40">
            <w:pPr>
              <w:tabs>
                <w:tab w:val="left" w:pos="-1440"/>
                <w:tab w:val="left" w:pos="-720"/>
                <w:tab w:val="left" w:pos="0"/>
                <w:tab w:val="left" w:pos="240"/>
                <w:tab w:val="left" w:pos="720"/>
                <w:tab w:val="left" w:pos="1440"/>
              </w:tabs>
              <w:spacing w:before="163"/>
              <w:jc w:val="center"/>
              <w:rPr>
                <w:sz w:val="22"/>
                <w:szCs w:val="22"/>
              </w:rPr>
            </w:pPr>
            <w:r w:rsidRPr="001764DB">
              <w:rPr>
                <w:sz w:val="22"/>
                <w:szCs w:val="22"/>
              </w:rPr>
              <w:t>4</w:t>
            </w:r>
          </w:p>
        </w:tc>
        <w:tc>
          <w:tcPr>
            <w:tcW w:w="1619" w:type="dxa"/>
            <w:vAlign w:val="bottom"/>
          </w:tcPr>
          <w:p w:rsidR="000F29A7" w:rsidRPr="001764DB" w:rsidRDefault="000F29A7" w:rsidP="00CB5F40">
            <w:pPr>
              <w:tabs>
                <w:tab w:val="left" w:pos="-1440"/>
                <w:tab w:val="left" w:pos="-720"/>
                <w:tab w:val="left" w:pos="0"/>
                <w:tab w:val="left" w:pos="240"/>
                <w:tab w:val="left" w:pos="720"/>
                <w:tab w:val="left" w:pos="1440"/>
                <w:tab w:val="left" w:pos="2160"/>
              </w:tabs>
              <w:spacing w:before="163"/>
              <w:jc w:val="center"/>
              <w:rPr>
                <w:sz w:val="22"/>
                <w:szCs w:val="22"/>
              </w:rPr>
            </w:pPr>
            <w:r w:rsidRPr="001764DB">
              <w:rPr>
                <w:sz w:val="22"/>
                <w:szCs w:val="22"/>
              </w:rPr>
              <w:t>5 minutes</w:t>
            </w:r>
          </w:p>
        </w:tc>
        <w:tc>
          <w:tcPr>
            <w:tcW w:w="1620" w:type="dxa"/>
            <w:vAlign w:val="bottom"/>
          </w:tcPr>
          <w:p w:rsidR="000F29A7" w:rsidRPr="001764DB" w:rsidRDefault="00DB725B" w:rsidP="00CB5F40">
            <w:pPr>
              <w:tabs>
                <w:tab w:val="left" w:pos="-1440"/>
                <w:tab w:val="left" w:pos="-720"/>
                <w:tab w:val="left" w:pos="0"/>
                <w:tab w:val="left" w:pos="240"/>
                <w:tab w:val="left" w:pos="720"/>
                <w:tab w:val="left" w:pos="1440"/>
              </w:tabs>
              <w:spacing w:before="163"/>
              <w:jc w:val="right"/>
              <w:rPr>
                <w:sz w:val="22"/>
                <w:szCs w:val="22"/>
              </w:rPr>
            </w:pPr>
            <w:r w:rsidRPr="001764DB">
              <w:rPr>
                <w:sz w:val="22"/>
                <w:szCs w:val="22"/>
              </w:rPr>
              <w:t>1</w:t>
            </w:r>
          </w:p>
        </w:tc>
      </w:tr>
      <w:tr w:rsidR="000F29A7" w:rsidRPr="001764DB" w:rsidTr="009D67A6">
        <w:trPr>
          <w:cantSplit/>
          <w:trHeight w:val="463"/>
        </w:trPr>
        <w:tc>
          <w:tcPr>
            <w:tcW w:w="2880" w:type="dxa"/>
            <w:vAlign w:val="bottom"/>
          </w:tcPr>
          <w:p w:rsidR="000F29A7" w:rsidRPr="001764DB" w:rsidRDefault="000F29A7" w:rsidP="00CB5F40">
            <w:pPr>
              <w:tabs>
                <w:tab w:val="left" w:pos="-1440"/>
                <w:tab w:val="left" w:pos="-720"/>
                <w:tab w:val="left" w:pos="0"/>
                <w:tab w:val="left" w:pos="240"/>
                <w:tab w:val="left" w:pos="720"/>
                <w:tab w:val="left" w:pos="1440"/>
              </w:tabs>
              <w:spacing w:after="24"/>
              <w:rPr>
                <w:sz w:val="22"/>
                <w:szCs w:val="22"/>
              </w:rPr>
            </w:pPr>
            <w:r w:rsidRPr="001764DB">
              <w:rPr>
                <w:sz w:val="22"/>
                <w:szCs w:val="22"/>
              </w:rPr>
              <w:t>Advertising (</w:t>
            </w:r>
            <w:r w:rsidR="004A6138" w:rsidRPr="001764DB">
              <w:rPr>
                <w:sz w:val="22"/>
                <w:szCs w:val="22"/>
              </w:rPr>
              <w:t>§ </w:t>
            </w:r>
            <w:r w:rsidRPr="001764DB">
              <w:rPr>
                <w:sz w:val="22"/>
                <w:szCs w:val="22"/>
              </w:rPr>
              <w:t>213.7)</w:t>
            </w:r>
          </w:p>
        </w:tc>
        <w:tc>
          <w:tcPr>
            <w:tcW w:w="1619" w:type="dxa"/>
            <w:vAlign w:val="bottom"/>
          </w:tcPr>
          <w:p w:rsidR="000F29A7" w:rsidRPr="001764DB" w:rsidRDefault="00033671" w:rsidP="00CB5F40">
            <w:pPr>
              <w:tabs>
                <w:tab w:val="left" w:pos="-1440"/>
                <w:tab w:val="left" w:pos="-720"/>
                <w:tab w:val="left" w:pos="0"/>
                <w:tab w:val="left" w:pos="240"/>
                <w:tab w:val="left" w:pos="720"/>
              </w:tabs>
              <w:spacing w:after="24"/>
              <w:jc w:val="center"/>
              <w:rPr>
                <w:sz w:val="22"/>
                <w:szCs w:val="22"/>
              </w:rPr>
            </w:pPr>
            <w:r w:rsidRPr="001764DB">
              <w:rPr>
                <w:sz w:val="22"/>
                <w:szCs w:val="22"/>
              </w:rPr>
              <w:t>4</w:t>
            </w:r>
          </w:p>
        </w:tc>
        <w:tc>
          <w:tcPr>
            <w:tcW w:w="1620" w:type="dxa"/>
            <w:vAlign w:val="bottom"/>
          </w:tcPr>
          <w:p w:rsidR="000F29A7" w:rsidRPr="001764DB" w:rsidRDefault="000F29A7" w:rsidP="00CB5F40">
            <w:pPr>
              <w:tabs>
                <w:tab w:val="left" w:pos="-1440"/>
                <w:tab w:val="left" w:pos="-720"/>
                <w:tab w:val="left" w:pos="0"/>
                <w:tab w:val="left" w:pos="240"/>
                <w:tab w:val="left" w:pos="720"/>
                <w:tab w:val="left" w:pos="1440"/>
              </w:tabs>
              <w:spacing w:after="24"/>
              <w:jc w:val="center"/>
              <w:rPr>
                <w:sz w:val="22"/>
                <w:szCs w:val="22"/>
              </w:rPr>
            </w:pPr>
            <w:r w:rsidRPr="001764DB">
              <w:rPr>
                <w:sz w:val="22"/>
                <w:szCs w:val="22"/>
              </w:rPr>
              <w:t>4</w:t>
            </w:r>
          </w:p>
        </w:tc>
        <w:tc>
          <w:tcPr>
            <w:tcW w:w="1619" w:type="dxa"/>
            <w:vAlign w:val="bottom"/>
          </w:tcPr>
          <w:p w:rsidR="000F29A7" w:rsidRPr="001764DB" w:rsidRDefault="000F29A7" w:rsidP="00CB5F40">
            <w:pPr>
              <w:tabs>
                <w:tab w:val="left" w:pos="-1440"/>
                <w:tab w:val="left" w:pos="-720"/>
                <w:tab w:val="left" w:pos="0"/>
                <w:tab w:val="left" w:pos="240"/>
                <w:tab w:val="left" w:pos="720"/>
                <w:tab w:val="left" w:pos="1440"/>
                <w:tab w:val="left" w:pos="2160"/>
              </w:tabs>
              <w:spacing w:after="24"/>
              <w:jc w:val="center"/>
              <w:rPr>
                <w:sz w:val="22"/>
                <w:szCs w:val="22"/>
              </w:rPr>
            </w:pPr>
            <w:r w:rsidRPr="001764DB">
              <w:rPr>
                <w:sz w:val="22"/>
                <w:szCs w:val="22"/>
              </w:rPr>
              <w:t>25 minutes</w:t>
            </w:r>
          </w:p>
        </w:tc>
        <w:tc>
          <w:tcPr>
            <w:tcW w:w="1620" w:type="dxa"/>
            <w:vAlign w:val="bottom"/>
          </w:tcPr>
          <w:p w:rsidR="000F29A7" w:rsidRPr="001764DB" w:rsidRDefault="00DB725B" w:rsidP="00CB5F40">
            <w:pPr>
              <w:tabs>
                <w:tab w:val="left" w:pos="-1440"/>
                <w:tab w:val="left" w:pos="-720"/>
                <w:tab w:val="left" w:pos="0"/>
                <w:tab w:val="left" w:pos="240"/>
                <w:tab w:val="left" w:pos="720"/>
                <w:tab w:val="left" w:pos="1440"/>
              </w:tabs>
              <w:spacing w:after="24"/>
              <w:jc w:val="right"/>
              <w:rPr>
                <w:sz w:val="22"/>
                <w:szCs w:val="22"/>
                <w:u w:val="single"/>
              </w:rPr>
            </w:pPr>
            <w:r w:rsidRPr="001764DB">
              <w:rPr>
                <w:sz w:val="22"/>
                <w:szCs w:val="22"/>
                <w:u w:val="single"/>
              </w:rPr>
              <w:t>7</w:t>
            </w:r>
          </w:p>
        </w:tc>
      </w:tr>
      <w:tr w:rsidR="00171147" w:rsidRPr="001764DB" w:rsidTr="009D67A6">
        <w:trPr>
          <w:cantSplit/>
          <w:trHeight w:val="463"/>
        </w:trPr>
        <w:tc>
          <w:tcPr>
            <w:tcW w:w="2880" w:type="dxa"/>
            <w:vAlign w:val="bottom"/>
          </w:tcPr>
          <w:p w:rsidR="00171147" w:rsidRPr="001764DB" w:rsidRDefault="00857B42" w:rsidP="00857B42">
            <w:pPr>
              <w:tabs>
                <w:tab w:val="left" w:pos="-1440"/>
                <w:tab w:val="left" w:pos="-720"/>
                <w:tab w:val="left" w:pos="0"/>
                <w:tab w:val="left" w:pos="240"/>
                <w:tab w:val="left" w:pos="720"/>
                <w:tab w:val="left" w:pos="1440"/>
              </w:tabs>
              <w:spacing w:after="24"/>
              <w:jc w:val="right"/>
              <w:rPr>
                <w:sz w:val="22"/>
                <w:szCs w:val="22"/>
              </w:rPr>
            </w:pPr>
            <w:r w:rsidRPr="001764DB">
              <w:rPr>
                <w:i/>
                <w:sz w:val="22"/>
                <w:szCs w:val="22"/>
              </w:rPr>
              <w:t>Total</w:t>
            </w:r>
          </w:p>
        </w:tc>
        <w:tc>
          <w:tcPr>
            <w:tcW w:w="1619" w:type="dxa"/>
            <w:vAlign w:val="bottom"/>
          </w:tcPr>
          <w:p w:rsidR="00171147" w:rsidRPr="001764DB" w:rsidRDefault="00171147" w:rsidP="00CB5F40">
            <w:pPr>
              <w:tabs>
                <w:tab w:val="left" w:pos="-1440"/>
                <w:tab w:val="left" w:pos="-720"/>
                <w:tab w:val="left" w:pos="0"/>
                <w:tab w:val="left" w:pos="240"/>
                <w:tab w:val="left" w:pos="720"/>
              </w:tabs>
              <w:spacing w:after="24"/>
              <w:jc w:val="center"/>
              <w:rPr>
                <w:sz w:val="22"/>
                <w:szCs w:val="22"/>
              </w:rPr>
            </w:pPr>
          </w:p>
        </w:tc>
        <w:tc>
          <w:tcPr>
            <w:tcW w:w="1620" w:type="dxa"/>
            <w:vAlign w:val="bottom"/>
          </w:tcPr>
          <w:p w:rsidR="00171147" w:rsidRPr="001764DB" w:rsidRDefault="00171147" w:rsidP="00CB5F40">
            <w:pPr>
              <w:tabs>
                <w:tab w:val="left" w:pos="-1440"/>
                <w:tab w:val="left" w:pos="-720"/>
                <w:tab w:val="left" w:pos="0"/>
                <w:tab w:val="left" w:pos="240"/>
                <w:tab w:val="left" w:pos="720"/>
                <w:tab w:val="left" w:pos="1440"/>
              </w:tabs>
              <w:spacing w:after="24"/>
              <w:jc w:val="center"/>
              <w:rPr>
                <w:sz w:val="22"/>
                <w:szCs w:val="22"/>
              </w:rPr>
            </w:pPr>
          </w:p>
        </w:tc>
        <w:tc>
          <w:tcPr>
            <w:tcW w:w="1619" w:type="dxa"/>
            <w:vAlign w:val="bottom"/>
          </w:tcPr>
          <w:p w:rsidR="00171147" w:rsidRPr="001764DB" w:rsidRDefault="00171147" w:rsidP="00CB5F40">
            <w:pPr>
              <w:tabs>
                <w:tab w:val="left" w:pos="-1440"/>
                <w:tab w:val="left" w:pos="-720"/>
                <w:tab w:val="left" w:pos="0"/>
                <w:tab w:val="left" w:pos="240"/>
                <w:tab w:val="left" w:pos="720"/>
                <w:tab w:val="left" w:pos="1440"/>
                <w:tab w:val="left" w:pos="2160"/>
              </w:tabs>
              <w:spacing w:after="24"/>
              <w:jc w:val="center"/>
              <w:rPr>
                <w:sz w:val="22"/>
                <w:szCs w:val="22"/>
              </w:rPr>
            </w:pPr>
          </w:p>
        </w:tc>
        <w:tc>
          <w:tcPr>
            <w:tcW w:w="1620" w:type="dxa"/>
            <w:vAlign w:val="bottom"/>
          </w:tcPr>
          <w:p w:rsidR="00171147" w:rsidRPr="001764DB" w:rsidRDefault="00337F45" w:rsidP="00CB5F40">
            <w:pPr>
              <w:tabs>
                <w:tab w:val="left" w:pos="-1440"/>
                <w:tab w:val="left" w:pos="-720"/>
                <w:tab w:val="left" w:pos="0"/>
                <w:tab w:val="left" w:pos="240"/>
                <w:tab w:val="left" w:pos="720"/>
                <w:tab w:val="left" w:pos="1440"/>
              </w:tabs>
              <w:spacing w:after="24"/>
              <w:jc w:val="right"/>
              <w:rPr>
                <w:sz w:val="22"/>
                <w:szCs w:val="22"/>
              </w:rPr>
            </w:pPr>
            <w:r w:rsidRPr="001764DB">
              <w:rPr>
                <w:sz w:val="22"/>
                <w:szCs w:val="22"/>
              </w:rPr>
              <w:t>8</w:t>
            </w:r>
          </w:p>
        </w:tc>
      </w:tr>
      <w:tr w:rsidR="00337F45" w:rsidRPr="001764DB" w:rsidTr="009D67A6">
        <w:trPr>
          <w:cantSplit/>
          <w:trHeight w:val="463"/>
        </w:trPr>
        <w:tc>
          <w:tcPr>
            <w:tcW w:w="2880" w:type="dxa"/>
            <w:vAlign w:val="bottom"/>
          </w:tcPr>
          <w:p w:rsidR="00337F45" w:rsidRPr="001764DB" w:rsidRDefault="00337F45" w:rsidP="00CB5F40">
            <w:pPr>
              <w:tabs>
                <w:tab w:val="left" w:pos="-1440"/>
                <w:tab w:val="left" w:pos="-720"/>
                <w:tab w:val="left" w:pos="0"/>
                <w:tab w:val="left" w:pos="240"/>
                <w:tab w:val="left" w:pos="720"/>
                <w:tab w:val="left" w:pos="1440"/>
              </w:tabs>
              <w:spacing w:after="24"/>
              <w:rPr>
                <w:b/>
                <w:i/>
                <w:sz w:val="22"/>
                <w:szCs w:val="22"/>
              </w:rPr>
            </w:pPr>
            <w:r w:rsidRPr="001764DB">
              <w:rPr>
                <w:b/>
                <w:i/>
                <w:sz w:val="22"/>
                <w:szCs w:val="22"/>
              </w:rPr>
              <w:t>Proposed</w:t>
            </w:r>
          </w:p>
        </w:tc>
        <w:tc>
          <w:tcPr>
            <w:tcW w:w="1619" w:type="dxa"/>
            <w:vAlign w:val="bottom"/>
          </w:tcPr>
          <w:p w:rsidR="00337F45" w:rsidRPr="001764DB" w:rsidRDefault="00337F45" w:rsidP="00CB5F40">
            <w:pPr>
              <w:tabs>
                <w:tab w:val="left" w:pos="-1440"/>
                <w:tab w:val="left" w:pos="-720"/>
                <w:tab w:val="left" w:pos="0"/>
                <w:tab w:val="left" w:pos="240"/>
                <w:tab w:val="left" w:pos="720"/>
              </w:tabs>
              <w:spacing w:after="24"/>
              <w:jc w:val="center"/>
              <w:rPr>
                <w:b/>
                <w:sz w:val="22"/>
                <w:szCs w:val="22"/>
              </w:rPr>
            </w:pPr>
          </w:p>
        </w:tc>
        <w:tc>
          <w:tcPr>
            <w:tcW w:w="1620" w:type="dxa"/>
            <w:vAlign w:val="bottom"/>
          </w:tcPr>
          <w:p w:rsidR="00337F45" w:rsidRPr="001764DB" w:rsidRDefault="00337F45" w:rsidP="00CB5F40">
            <w:pPr>
              <w:tabs>
                <w:tab w:val="left" w:pos="-1440"/>
                <w:tab w:val="left" w:pos="-720"/>
                <w:tab w:val="left" w:pos="0"/>
                <w:tab w:val="left" w:pos="240"/>
                <w:tab w:val="left" w:pos="720"/>
                <w:tab w:val="left" w:pos="1440"/>
              </w:tabs>
              <w:spacing w:after="24"/>
              <w:jc w:val="center"/>
              <w:rPr>
                <w:b/>
                <w:sz w:val="22"/>
                <w:szCs w:val="22"/>
              </w:rPr>
            </w:pPr>
          </w:p>
        </w:tc>
        <w:tc>
          <w:tcPr>
            <w:tcW w:w="1619" w:type="dxa"/>
            <w:vAlign w:val="bottom"/>
          </w:tcPr>
          <w:p w:rsidR="00337F45" w:rsidRPr="001764DB" w:rsidRDefault="00337F45" w:rsidP="00CB5F40">
            <w:pPr>
              <w:tabs>
                <w:tab w:val="left" w:pos="-1440"/>
                <w:tab w:val="left" w:pos="-720"/>
                <w:tab w:val="left" w:pos="0"/>
                <w:tab w:val="left" w:pos="240"/>
                <w:tab w:val="left" w:pos="720"/>
                <w:tab w:val="left" w:pos="1440"/>
                <w:tab w:val="left" w:pos="2160"/>
              </w:tabs>
              <w:spacing w:after="24"/>
              <w:jc w:val="center"/>
              <w:rPr>
                <w:b/>
                <w:sz w:val="22"/>
                <w:szCs w:val="22"/>
              </w:rPr>
            </w:pPr>
          </w:p>
        </w:tc>
        <w:tc>
          <w:tcPr>
            <w:tcW w:w="1620" w:type="dxa"/>
            <w:vAlign w:val="bottom"/>
          </w:tcPr>
          <w:p w:rsidR="00337F45" w:rsidRPr="001764DB" w:rsidRDefault="00337F45" w:rsidP="00CB5F40">
            <w:pPr>
              <w:tabs>
                <w:tab w:val="left" w:pos="-1440"/>
                <w:tab w:val="left" w:pos="-720"/>
                <w:tab w:val="left" w:pos="0"/>
                <w:tab w:val="left" w:pos="240"/>
                <w:tab w:val="left" w:pos="720"/>
                <w:tab w:val="left" w:pos="1440"/>
              </w:tabs>
              <w:spacing w:after="24"/>
              <w:jc w:val="right"/>
              <w:rPr>
                <w:b/>
                <w:sz w:val="22"/>
                <w:szCs w:val="22"/>
                <w:u w:val="single"/>
              </w:rPr>
            </w:pPr>
          </w:p>
        </w:tc>
      </w:tr>
      <w:tr w:rsidR="00DE2B48" w:rsidRPr="001764DB" w:rsidTr="009D67A6">
        <w:trPr>
          <w:cantSplit/>
          <w:trHeight w:val="463"/>
        </w:trPr>
        <w:tc>
          <w:tcPr>
            <w:tcW w:w="2880" w:type="dxa"/>
            <w:vAlign w:val="bottom"/>
          </w:tcPr>
          <w:p w:rsidR="00DE2B48" w:rsidRPr="001764DB" w:rsidRDefault="00DE2B48" w:rsidP="004F0F04">
            <w:pPr>
              <w:tabs>
                <w:tab w:val="left" w:pos="-1440"/>
                <w:tab w:val="left" w:pos="-720"/>
                <w:tab w:val="left" w:pos="0"/>
                <w:tab w:val="left" w:pos="240"/>
                <w:tab w:val="left" w:pos="720"/>
                <w:tab w:val="left" w:pos="1440"/>
              </w:tabs>
              <w:spacing w:before="163"/>
              <w:rPr>
                <w:b/>
                <w:sz w:val="22"/>
                <w:szCs w:val="22"/>
              </w:rPr>
            </w:pPr>
            <w:r w:rsidRPr="001764DB">
              <w:rPr>
                <w:b/>
                <w:sz w:val="22"/>
                <w:szCs w:val="22"/>
              </w:rPr>
              <w:t>Disclosures (§ 213.4)</w:t>
            </w:r>
            <w:r w:rsidRPr="001764DB">
              <w:rPr>
                <w:b/>
                <w:i/>
                <w:sz w:val="22"/>
                <w:szCs w:val="22"/>
                <w:vertAlign w:val="superscript"/>
              </w:rPr>
              <w:t xml:space="preserve"> </w:t>
            </w:r>
          </w:p>
        </w:tc>
        <w:tc>
          <w:tcPr>
            <w:tcW w:w="1619" w:type="dxa"/>
            <w:vAlign w:val="bottom"/>
          </w:tcPr>
          <w:p w:rsidR="00DE2B48" w:rsidRPr="001764DB" w:rsidRDefault="00DE2B48" w:rsidP="004F0F04">
            <w:pPr>
              <w:tabs>
                <w:tab w:val="left" w:pos="-1440"/>
                <w:tab w:val="left" w:pos="-720"/>
                <w:tab w:val="left" w:pos="0"/>
                <w:tab w:val="left" w:pos="240"/>
                <w:tab w:val="left" w:pos="720"/>
              </w:tabs>
              <w:spacing w:before="163"/>
              <w:jc w:val="center"/>
              <w:rPr>
                <w:b/>
                <w:sz w:val="22"/>
                <w:szCs w:val="22"/>
              </w:rPr>
            </w:pPr>
            <w:r w:rsidRPr="001764DB">
              <w:rPr>
                <w:b/>
                <w:sz w:val="22"/>
                <w:szCs w:val="22"/>
              </w:rPr>
              <w:t>4</w:t>
            </w:r>
          </w:p>
        </w:tc>
        <w:tc>
          <w:tcPr>
            <w:tcW w:w="1620" w:type="dxa"/>
            <w:vAlign w:val="bottom"/>
          </w:tcPr>
          <w:p w:rsidR="00DE2B48" w:rsidRPr="001764DB" w:rsidRDefault="00DE2B48" w:rsidP="004F0F04">
            <w:pPr>
              <w:tabs>
                <w:tab w:val="left" w:pos="-1440"/>
                <w:tab w:val="left" w:pos="-720"/>
                <w:tab w:val="left" w:pos="0"/>
                <w:tab w:val="left" w:pos="240"/>
                <w:tab w:val="left" w:pos="720"/>
                <w:tab w:val="left" w:pos="1440"/>
              </w:tabs>
              <w:spacing w:before="163"/>
              <w:jc w:val="center"/>
              <w:rPr>
                <w:b/>
                <w:sz w:val="22"/>
                <w:szCs w:val="22"/>
              </w:rPr>
            </w:pPr>
            <w:r w:rsidRPr="001764DB">
              <w:rPr>
                <w:b/>
                <w:sz w:val="22"/>
                <w:szCs w:val="22"/>
              </w:rPr>
              <w:t>4</w:t>
            </w:r>
          </w:p>
        </w:tc>
        <w:tc>
          <w:tcPr>
            <w:tcW w:w="1619" w:type="dxa"/>
            <w:vAlign w:val="bottom"/>
          </w:tcPr>
          <w:p w:rsidR="00DE2B48" w:rsidRPr="001764DB" w:rsidRDefault="001764DB" w:rsidP="001764DB">
            <w:pPr>
              <w:tabs>
                <w:tab w:val="left" w:pos="-1440"/>
                <w:tab w:val="left" w:pos="-720"/>
                <w:tab w:val="left" w:pos="0"/>
                <w:tab w:val="left" w:pos="240"/>
                <w:tab w:val="left" w:pos="720"/>
                <w:tab w:val="left" w:pos="1440"/>
                <w:tab w:val="left" w:pos="2160"/>
              </w:tabs>
              <w:spacing w:before="163"/>
              <w:jc w:val="center"/>
              <w:rPr>
                <w:b/>
                <w:sz w:val="22"/>
                <w:szCs w:val="22"/>
              </w:rPr>
            </w:pPr>
            <w:r w:rsidRPr="001764DB">
              <w:rPr>
                <w:b/>
                <w:sz w:val="22"/>
                <w:szCs w:val="22"/>
              </w:rPr>
              <w:t>2.08 hours</w:t>
            </w:r>
          </w:p>
        </w:tc>
        <w:tc>
          <w:tcPr>
            <w:tcW w:w="1620" w:type="dxa"/>
            <w:vAlign w:val="bottom"/>
          </w:tcPr>
          <w:p w:rsidR="00DE2B48" w:rsidRPr="001764DB" w:rsidRDefault="00857B42" w:rsidP="004F0F04">
            <w:pPr>
              <w:tabs>
                <w:tab w:val="left" w:pos="-1440"/>
                <w:tab w:val="left" w:pos="-720"/>
                <w:tab w:val="left" w:pos="0"/>
                <w:tab w:val="left" w:pos="240"/>
                <w:tab w:val="left" w:pos="720"/>
                <w:tab w:val="left" w:pos="1440"/>
              </w:tabs>
              <w:spacing w:before="163"/>
              <w:jc w:val="right"/>
              <w:rPr>
                <w:b/>
                <w:sz w:val="22"/>
                <w:szCs w:val="22"/>
              </w:rPr>
            </w:pPr>
            <w:r w:rsidRPr="001764DB">
              <w:rPr>
                <w:b/>
                <w:sz w:val="22"/>
                <w:szCs w:val="22"/>
              </w:rPr>
              <w:t>33</w:t>
            </w:r>
          </w:p>
        </w:tc>
      </w:tr>
      <w:tr w:rsidR="00DE2B48" w:rsidRPr="001764DB" w:rsidTr="009D67A6">
        <w:trPr>
          <w:cantSplit/>
          <w:trHeight w:val="463"/>
        </w:trPr>
        <w:tc>
          <w:tcPr>
            <w:tcW w:w="2880" w:type="dxa"/>
            <w:vAlign w:val="bottom"/>
          </w:tcPr>
          <w:p w:rsidR="00DE2B48" w:rsidRPr="001764DB" w:rsidRDefault="00DE2B48" w:rsidP="004F0F04">
            <w:pPr>
              <w:tabs>
                <w:tab w:val="left" w:pos="-1440"/>
                <w:tab w:val="left" w:pos="-720"/>
                <w:tab w:val="left" w:pos="0"/>
                <w:tab w:val="left" w:pos="240"/>
                <w:tab w:val="left" w:pos="720"/>
                <w:tab w:val="left" w:pos="1440"/>
              </w:tabs>
              <w:spacing w:after="24"/>
              <w:rPr>
                <w:sz w:val="22"/>
                <w:szCs w:val="22"/>
              </w:rPr>
            </w:pPr>
            <w:r w:rsidRPr="001764DB">
              <w:rPr>
                <w:sz w:val="22"/>
                <w:szCs w:val="22"/>
              </w:rPr>
              <w:t>Advertising (§ 213.7)</w:t>
            </w:r>
          </w:p>
        </w:tc>
        <w:tc>
          <w:tcPr>
            <w:tcW w:w="1619" w:type="dxa"/>
            <w:vAlign w:val="bottom"/>
          </w:tcPr>
          <w:p w:rsidR="00DE2B48" w:rsidRPr="001764DB" w:rsidRDefault="00DE2B48" w:rsidP="004F0F04">
            <w:pPr>
              <w:tabs>
                <w:tab w:val="left" w:pos="-1440"/>
                <w:tab w:val="left" w:pos="-720"/>
                <w:tab w:val="left" w:pos="0"/>
                <w:tab w:val="left" w:pos="240"/>
                <w:tab w:val="left" w:pos="720"/>
              </w:tabs>
              <w:spacing w:after="24"/>
              <w:jc w:val="center"/>
              <w:rPr>
                <w:sz w:val="22"/>
                <w:szCs w:val="22"/>
              </w:rPr>
            </w:pPr>
            <w:r w:rsidRPr="001764DB">
              <w:rPr>
                <w:sz w:val="22"/>
                <w:szCs w:val="22"/>
              </w:rPr>
              <w:t>4</w:t>
            </w:r>
          </w:p>
        </w:tc>
        <w:tc>
          <w:tcPr>
            <w:tcW w:w="1620" w:type="dxa"/>
            <w:vAlign w:val="bottom"/>
          </w:tcPr>
          <w:p w:rsidR="00DE2B48" w:rsidRPr="001764DB" w:rsidRDefault="00DE2B48" w:rsidP="004F0F04">
            <w:pPr>
              <w:tabs>
                <w:tab w:val="left" w:pos="-1440"/>
                <w:tab w:val="left" w:pos="-720"/>
                <w:tab w:val="left" w:pos="0"/>
                <w:tab w:val="left" w:pos="240"/>
                <w:tab w:val="left" w:pos="720"/>
                <w:tab w:val="left" w:pos="1440"/>
              </w:tabs>
              <w:spacing w:after="24"/>
              <w:jc w:val="center"/>
              <w:rPr>
                <w:sz w:val="22"/>
                <w:szCs w:val="22"/>
              </w:rPr>
            </w:pPr>
            <w:r w:rsidRPr="001764DB">
              <w:rPr>
                <w:sz w:val="22"/>
                <w:szCs w:val="22"/>
              </w:rPr>
              <w:t>4</w:t>
            </w:r>
          </w:p>
        </w:tc>
        <w:tc>
          <w:tcPr>
            <w:tcW w:w="1619" w:type="dxa"/>
            <w:vAlign w:val="bottom"/>
          </w:tcPr>
          <w:p w:rsidR="00DE2B48" w:rsidRPr="001764DB" w:rsidRDefault="00DE2B48" w:rsidP="004F0F04">
            <w:pPr>
              <w:tabs>
                <w:tab w:val="left" w:pos="-1440"/>
                <w:tab w:val="left" w:pos="-720"/>
                <w:tab w:val="left" w:pos="0"/>
                <w:tab w:val="left" w:pos="240"/>
                <w:tab w:val="left" w:pos="720"/>
                <w:tab w:val="left" w:pos="1440"/>
                <w:tab w:val="left" w:pos="2160"/>
              </w:tabs>
              <w:spacing w:after="24"/>
              <w:jc w:val="center"/>
              <w:rPr>
                <w:sz w:val="22"/>
                <w:szCs w:val="22"/>
              </w:rPr>
            </w:pPr>
            <w:r w:rsidRPr="001764DB">
              <w:rPr>
                <w:sz w:val="22"/>
                <w:szCs w:val="22"/>
              </w:rPr>
              <w:t>25 minutes</w:t>
            </w:r>
          </w:p>
        </w:tc>
        <w:tc>
          <w:tcPr>
            <w:tcW w:w="1620" w:type="dxa"/>
            <w:vAlign w:val="bottom"/>
          </w:tcPr>
          <w:p w:rsidR="00DE2B48" w:rsidRPr="001764DB" w:rsidRDefault="00DE2B48" w:rsidP="004F0F04">
            <w:pPr>
              <w:tabs>
                <w:tab w:val="left" w:pos="-1440"/>
                <w:tab w:val="left" w:pos="-720"/>
                <w:tab w:val="left" w:pos="0"/>
                <w:tab w:val="left" w:pos="240"/>
                <w:tab w:val="left" w:pos="720"/>
                <w:tab w:val="left" w:pos="1440"/>
              </w:tabs>
              <w:spacing w:after="24"/>
              <w:jc w:val="right"/>
              <w:rPr>
                <w:sz w:val="22"/>
                <w:szCs w:val="22"/>
              </w:rPr>
            </w:pPr>
            <w:r w:rsidRPr="001764DB">
              <w:rPr>
                <w:sz w:val="22"/>
                <w:szCs w:val="22"/>
              </w:rPr>
              <w:t>7</w:t>
            </w:r>
          </w:p>
        </w:tc>
      </w:tr>
      <w:tr w:rsidR="00DE2B48" w:rsidRPr="001764DB" w:rsidTr="009D67A6">
        <w:trPr>
          <w:cantSplit/>
          <w:trHeight w:val="463"/>
        </w:trPr>
        <w:tc>
          <w:tcPr>
            <w:tcW w:w="2880" w:type="dxa"/>
            <w:vAlign w:val="bottom"/>
          </w:tcPr>
          <w:p w:rsidR="00DE2B48" w:rsidRPr="001764DB" w:rsidRDefault="003F1E59" w:rsidP="003F1E59">
            <w:pPr>
              <w:tabs>
                <w:tab w:val="left" w:pos="-1440"/>
                <w:tab w:val="left" w:pos="-720"/>
                <w:tab w:val="left" w:pos="0"/>
                <w:tab w:val="left" w:pos="240"/>
                <w:tab w:val="left" w:pos="720"/>
                <w:tab w:val="left" w:pos="1440"/>
              </w:tabs>
              <w:spacing w:after="24"/>
              <w:rPr>
                <w:b/>
                <w:sz w:val="22"/>
                <w:szCs w:val="22"/>
              </w:rPr>
            </w:pPr>
            <w:r w:rsidRPr="001764DB">
              <w:rPr>
                <w:b/>
                <w:sz w:val="22"/>
                <w:szCs w:val="22"/>
              </w:rPr>
              <w:t>One-time change (R-1400)</w:t>
            </w:r>
          </w:p>
        </w:tc>
        <w:tc>
          <w:tcPr>
            <w:tcW w:w="1619" w:type="dxa"/>
            <w:vAlign w:val="bottom"/>
          </w:tcPr>
          <w:p w:rsidR="00DE2B48" w:rsidRPr="001764DB" w:rsidRDefault="003F1E59" w:rsidP="00CB5F40">
            <w:pPr>
              <w:tabs>
                <w:tab w:val="left" w:pos="-1440"/>
                <w:tab w:val="left" w:pos="-720"/>
                <w:tab w:val="left" w:pos="0"/>
                <w:tab w:val="left" w:pos="240"/>
                <w:tab w:val="left" w:pos="720"/>
              </w:tabs>
              <w:spacing w:after="24"/>
              <w:jc w:val="center"/>
              <w:rPr>
                <w:b/>
                <w:sz w:val="22"/>
                <w:szCs w:val="22"/>
              </w:rPr>
            </w:pPr>
            <w:r w:rsidRPr="001764DB">
              <w:rPr>
                <w:b/>
                <w:sz w:val="22"/>
                <w:szCs w:val="22"/>
              </w:rPr>
              <w:t>4</w:t>
            </w:r>
          </w:p>
        </w:tc>
        <w:tc>
          <w:tcPr>
            <w:tcW w:w="1620" w:type="dxa"/>
            <w:vAlign w:val="bottom"/>
          </w:tcPr>
          <w:p w:rsidR="00DE2B48" w:rsidRPr="001764DB" w:rsidRDefault="003F1E59" w:rsidP="00CB5F40">
            <w:pPr>
              <w:tabs>
                <w:tab w:val="left" w:pos="-1440"/>
                <w:tab w:val="left" w:pos="-720"/>
                <w:tab w:val="left" w:pos="0"/>
                <w:tab w:val="left" w:pos="240"/>
                <w:tab w:val="left" w:pos="720"/>
                <w:tab w:val="left" w:pos="1440"/>
              </w:tabs>
              <w:spacing w:after="24"/>
              <w:jc w:val="center"/>
              <w:rPr>
                <w:b/>
                <w:sz w:val="22"/>
                <w:szCs w:val="22"/>
              </w:rPr>
            </w:pPr>
            <w:r w:rsidRPr="001764DB">
              <w:rPr>
                <w:b/>
                <w:sz w:val="22"/>
                <w:szCs w:val="22"/>
              </w:rPr>
              <w:t>1</w:t>
            </w:r>
          </w:p>
        </w:tc>
        <w:tc>
          <w:tcPr>
            <w:tcW w:w="1619" w:type="dxa"/>
            <w:vAlign w:val="bottom"/>
          </w:tcPr>
          <w:p w:rsidR="00DE2B48" w:rsidRPr="001764DB" w:rsidRDefault="003F1E59" w:rsidP="00CB5F40">
            <w:pPr>
              <w:tabs>
                <w:tab w:val="left" w:pos="-1440"/>
                <w:tab w:val="left" w:pos="-720"/>
                <w:tab w:val="left" w:pos="0"/>
                <w:tab w:val="left" w:pos="240"/>
                <w:tab w:val="left" w:pos="720"/>
                <w:tab w:val="left" w:pos="1440"/>
                <w:tab w:val="left" w:pos="2160"/>
              </w:tabs>
              <w:spacing w:after="24"/>
              <w:jc w:val="center"/>
              <w:rPr>
                <w:b/>
                <w:sz w:val="22"/>
                <w:szCs w:val="22"/>
              </w:rPr>
            </w:pPr>
            <w:r w:rsidRPr="001764DB">
              <w:rPr>
                <w:b/>
                <w:sz w:val="22"/>
                <w:szCs w:val="22"/>
              </w:rPr>
              <w:t>40 hours</w:t>
            </w:r>
          </w:p>
        </w:tc>
        <w:tc>
          <w:tcPr>
            <w:tcW w:w="1620" w:type="dxa"/>
            <w:vAlign w:val="bottom"/>
          </w:tcPr>
          <w:p w:rsidR="00DE2B48" w:rsidRPr="001764DB" w:rsidRDefault="003F1E59" w:rsidP="00CB5F40">
            <w:pPr>
              <w:tabs>
                <w:tab w:val="left" w:pos="-1440"/>
                <w:tab w:val="left" w:pos="-720"/>
                <w:tab w:val="left" w:pos="0"/>
                <w:tab w:val="left" w:pos="240"/>
                <w:tab w:val="left" w:pos="720"/>
                <w:tab w:val="left" w:pos="1440"/>
              </w:tabs>
              <w:spacing w:after="24"/>
              <w:jc w:val="right"/>
              <w:rPr>
                <w:b/>
                <w:sz w:val="22"/>
                <w:szCs w:val="22"/>
              </w:rPr>
            </w:pPr>
            <w:r w:rsidRPr="001764DB">
              <w:rPr>
                <w:b/>
                <w:sz w:val="22"/>
                <w:szCs w:val="22"/>
              </w:rPr>
              <w:t>160</w:t>
            </w:r>
          </w:p>
        </w:tc>
      </w:tr>
      <w:tr w:rsidR="00DE2B48" w:rsidRPr="001764DB" w:rsidTr="009D67A6">
        <w:trPr>
          <w:cantSplit/>
          <w:trHeight w:val="463"/>
        </w:trPr>
        <w:tc>
          <w:tcPr>
            <w:tcW w:w="2880" w:type="dxa"/>
            <w:vAlign w:val="bottom"/>
          </w:tcPr>
          <w:p w:rsidR="00DE2B48" w:rsidRPr="001764DB" w:rsidRDefault="00857B42" w:rsidP="00857B42">
            <w:pPr>
              <w:tabs>
                <w:tab w:val="left" w:pos="-1440"/>
                <w:tab w:val="left" w:pos="-720"/>
                <w:tab w:val="left" w:pos="0"/>
                <w:tab w:val="left" w:pos="240"/>
                <w:tab w:val="left" w:pos="720"/>
                <w:tab w:val="left" w:pos="1440"/>
              </w:tabs>
              <w:spacing w:after="24"/>
              <w:jc w:val="right"/>
              <w:rPr>
                <w:b/>
                <w:sz w:val="22"/>
                <w:szCs w:val="22"/>
              </w:rPr>
            </w:pPr>
            <w:r w:rsidRPr="001764DB">
              <w:rPr>
                <w:b/>
                <w:i/>
                <w:sz w:val="22"/>
                <w:szCs w:val="22"/>
              </w:rPr>
              <w:t>Total</w:t>
            </w:r>
          </w:p>
        </w:tc>
        <w:tc>
          <w:tcPr>
            <w:tcW w:w="1619" w:type="dxa"/>
            <w:vAlign w:val="bottom"/>
          </w:tcPr>
          <w:p w:rsidR="00DE2B48" w:rsidRPr="001764DB" w:rsidRDefault="00DE2B48" w:rsidP="00CB5F40">
            <w:pPr>
              <w:tabs>
                <w:tab w:val="left" w:pos="-1440"/>
                <w:tab w:val="left" w:pos="-720"/>
                <w:tab w:val="left" w:pos="0"/>
                <w:tab w:val="left" w:pos="240"/>
                <w:tab w:val="left" w:pos="720"/>
              </w:tabs>
              <w:spacing w:after="24"/>
              <w:jc w:val="center"/>
              <w:rPr>
                <w:b/>
                <w:sz w:val="22"/>
                <w:szCs w:val="22"/>
              </w:rPr>
            </w:pPr>
          </w:p>
        </w:tc>
        <w:tc>
          <w:tcPr>
            <w:tcW w:w="1620" w:type="dxa"/>
            <w:vAlign w:val="bottom"/>
          </w:tcPr>
          <w:p w:rsidR="00DE2B48" w:rsidRPr="001764DB" w:rsidRDefault="00DE2B48" w:rsidP="00CB5F40">
            <w:pPr>
              <w:tabs>
                <w:tab w:val="left" w:pos="-1440"/>
                <w:tab w:val="left" w:pos="-720"/>
                <w:tab w:val="left" w:pos="0"/>
                <w:tab w:val="left" w:pos="240"/>
                <w:tab w:val="left" w:pos="720"/>
                <w:tab w:val="left" w:pos="1440"/>
              </w:tabs>
              <w:spacing w:after="24"/>
              <w:jc w:val="center"/>
              <w:rPr>
                <w:b/>
                <w:sz w:val="22"/>
                <w:szCs w:val="22"/>
              </w:rPr>
            </w:pPr>
          </w:p>
        </w:tc>
        <w:tc>
          <w:tcPr>
            <w:tcW w:w="1619" w:type="dxa"/>
            <w:vAlign w:val="bottom"/>
          </w:tcPr>
          <w:p w:rsidR="00DE2B48" w:rsidRPr="001764DB" w:rsidRDefault="00DE2B48" w:rsidP="00CB5F40">
            <w:pPr>
              <w:tabs>
                <w:tab w:val="left" w:pos="-1440"/>
                <w:tab w:val="left" w:pos="-720"/>
                <w:tab w:val="left" w:pos="0"/>
                <w:tab w:val="left" w:pos="240"/>
                <w:tab w:val="left" w:pos="720"/>
                <w:tab w:val="left" w:pos="1440"/>
                <w:tab w:val="left" w:pos="2160"/>
              </w:tabs>
              <w:spacing w:after="24"/>
              <w:jc w:val="center"/>
              <w:rPr>
                <w:b/>
                <w:sz w:val="22"/>
                <w:szCs w:val="22"/>
              </w:rPr>
            </w:pPr>
          </w:p>
        </w:tc>
        <w:tc>
          <w:tcPr>
            <w:tcW w:w="1620" w:type="dxa"/>
            <w:vAlign w:val="bottom"/>
          </w:tcPr>
          <w:p w:rsidR="00DE2B48" w:rsidRPr="001764DB" w:rsidRDefault="00857B42" w:rsidP="00CB5F40">
            <w:pPr>
              <w:tabs>
                <w:tab w:val="left" w:pos="-1440"/>
                <w:tab w:val="left" w:pos="-720"/>
                <w:tab w:val="left" w:pos="0"/>
                <w:tab w:val="left" w:pos="240"/>
                <w:tab w:val="left" w:pos="720"/>
                <w:tab w:val="left" w:pos="1440"/>
              </w:tabs>
              <w:spacing w:after="24"/>
              <w:jc w:val="right"/>
              <w:rPr>
                <w:b/>
                <w:sz w:val="22"/>
                <w:szCs w:val="22"/>
                <w:u w:val="single"/>
              </w:rPr>
            </w:pPr>
            <w:r w:rsidRPr="001764DB">
              <w:rPr>
                <w:b/>
                <w:sz w:val="22"/>
                <w:szCs w:val="22"/>
                <w:u w:val="single"/>
              </w:rPr>
              <w:t>200</w:t>
            </w:r>
          </w:p>
        </w:tc>
      </w:tr>
      <w:tr w:rsidR="000F29A7" w:rsidRPr="001764DB" w:rsidTr="009D67A6">
        <w:trPr>
          <w:cantSplit/>
          <w:trHeight w:val="463"/>
        </w:trPr>
        <w:tc>
          <w:tcPr>
            <w:tcW w:w="2880" w:type="dxa"/>
          </w:tcPr>
          <w:p w:rsidR="000F29A7" w:rsidRPr="001764DB" w:rsidRDefault="00857B42" w:rsidP="00CB5F40">
            <w:pPr>
              <w:tabs>
                <w:tab w:val="left" w:pos="-1440"/>
                <w:tab w:val="left" w:pos="-720"/>
                <w:tab w:val="left" w:pos="0"/>
                <w:tab w:val="left" w:pos="240"/>
                <w:tab w:val="left" w:pos="720"/>
                <w:tab w:val="left" w:pos="1440"/>
              </w:tabs>
              <w:spacing w:before="163" w:after="24"/>
              <w:jc w:val="right"/>
              <w:rPr>
                <w:b/>
                <w:i/>
                <w:sz w:val="22"/>
                <w:szCs w:val="22"/>
              </w:rPr>
            </w:pPr>
            <w:r w:rsidRPr="001764DB">
              <w:rPr>
                <w:b/>
                <w:i/>
                <w:sz w:val="22"/>
                <w:szCs w:val="22"/>
              </w:rPr>
              <w:t>Change</w:t>
            </w:r>
          </w:p>
        </w:tc>
        <w:tc>
          <w:tcPr>
            <w:tcW w:w="1619" w:type="dxa"/>
          </w:tcPr>
          <w:p w:rsidR="000F29A7" w:rsidRPr="001764DB" w:rsidRDefault="000F29A7" w:rsidP="00CB5F40">
            <w:pPr>
              <w:tabs>
                <w:tab w:val="left" w:pos="-1440"/>
                <w:tab w:val="left" w:pos="-720"/>
                <w:tab w:val="left" w:pos="0"/>
                <w:tab w:val="left" w:pos="240"/>
                <w:tab w:val="left" w:pos="720"/>
              </w:tabs>
              <w:spacing w:before="163" w:after="24"/>
              <w:rPr>
                <w:b/>
                <w:sz w:val="22"/>
                <w:szCs w:val="22"/>
              </w:rPr>
            </w:pPr>
          </w:p>
        </w:tc>
        <w:tc>
          <w:tcPr>
            <w:tcW w:w="1620" w:type="dxa"/>
          </w:tcPr>
          <w:p w:rsidR="000F29A7" w:rsidRPr="001764DB" w:rsidRDefault="000F29A7" w:rsidP="00CB5F40">
            <w:pPr>
              <w:tabs>
                <w:tab w:val="left" w:pos="-1440"/>
                <w:tab w:val="left" w:pos="-720"/>
                <w:tab w:val="left" w:pos="0"/>
                <w:tab w:val="left" w:pos="240"/>
                <w:tab w:val="left" w:pos="720"/>
                <w:tab w:val="left" w:pos="1440"/>
              </w:tabs>
              <w:spacing w:before="163" w:after="24"/>
              <w:rPr>
                <w:b/>
                <w:sz w:val="22"/>
                <w:szCs w:val="22"/>
              </w:rPr>
            </w:pPr>
          </w:p>
        </w:tc>
        <w:tc>
          <w:tcPr>
            <w:tcW w:w="1619" w:type="dxa"/>
          </w:tcPr>
          <w:p w:rsidR="000F29A7" w:rsidRPr="001764DB" w:rsidRDefault="000F29A7" w:rsidP="00CB5F40">
            <w:pPr>
              <w:tabs>
                <w:tab w:val="left" w:pos="-1440"/>
                <w:tab w:val="left" w:pos="-720"/>
                <w:tab w:val="left" w:pos="0"/>
                <w:tab w:val="left" w:pos="240"/>
                <w:tab w:val="left" w:pos="720"/>
                <w:tab w:val="left" w:pos="1440"/>
                <w:tab w:val="left" w:pos="2160"/>
              </w:tabs>
              <w:spacing w:before="163" w:after="24"/>
              <w:jc w:val="center"/>
              <w:rPr>
                <w:b/>
                <w:sz w:val="22"/>
                <w:szCs w:val="22"/>
              </w:rPr>
            </w:pPr>
          </w:p>
        </w:tc>
        <w:tc>
          <w:tcPr>
            <w:tcW w:w="1620" w:type="dxa"/>
            <w:vAlign w:val="bottom"/>
          </w:tcPr>
          <w:p w:rsidR="000F29A7" w:rsidRPr="001764DB" w:rsidRDefault="00857B42" w:rsidP="00CB5F40">
            <w:pPr>
              <w:tabs>
                <w:tab w:val="left" w:pos="-1440"/>
                <w:tab w:val="left" w:pos="-720"/>
                <w:tab w:val="left" w:pos="0"/>
                <w:tab w:val="left" w:pos="240"/>
                <w:tab w:val="left" w:pos="720"/>
                <w:tab w:val="left" w:pos="1440"/>
              </w:tabs>
              <w:spacing w:before="163" w:after="24"/>
              <w:jc w:val="right"/>
              <w:rPr>
                <w:b/>
                <w:sz w:val="22"/>
                <w:szCs w:val="22"/>
              </w:rPr>
            </w:pPr>
            <w:r w:rsidRPr="001764DB">
              <w:rPr>
                <w:b/>
                <w:sz w:val="22"/>
                <w:szCs w:val="22"/>
              </w:rPr>
              <w:t>192</w:t>
            </w:r>
          </w:p>
        </w:tc>
      </w:tr>
    </w:tbl>
    <w:p w:rsidR="00F07B11" w:rsidRPr="001764DB" w:rsidRDefault="00F07B11" w:rsidP="000F29A7">
      <w:pPr>
        <w:jc w:val="both"/>
      </w:pPr>
    </w:p>
    <w:p w:rsidR="0027051D" w:rsidRPr="001764DB" w:rsidRDefault="00A71C6D" w:rsidP="00A71C6D">
      <w:pPr>
        <w:rPr>
          <w:rFonts w:ascii="Times" w:hAnsi="Times"/>
        </w:rPr>
      </w:pPr>
      <w:r w:rsidRPr="001764DB">
        <w:t xml:space="preserve">With the new requirements, the total estimated annual cost to respondents </w:t>
      </w:r>
      <w:r w:rsidR="00D97306" w:rsidRPr="001764DB">
        <w:t xml:space="preserve">will </w:t>
      </w:r>
      <w:r w:rsidRPr="001764DB">
        <w:t>increase by $</w:t>
      </w:r>
      <w:r w:rsidR="008334DF" w:rsidRPr="001764DB">
        <w:t>8,189</w:t>
      </w:r>
      <w:r w:rsidRPr="001764DB">
        <w:t xml:space="preserve"> from $</w:t>
      </w:r>
      <w:r w:rsidR="008334DF" w:rsidRPr="001764DB">
        <w:t>341</w:t>
      </w:r>
      <w:r w:rsidRPr="001764DB">
        <w:t xml:space="preserve"> to $</w:t>
      </w:r>
      <w:r w:rsidR="008334DF" w:rsidRPr="001764DB">
        <w:t>8,530</w:t>
      </w:r>
      <w:r w:rsidRPr="001764DB">
        <w:t>.</w:t>
      </w:r>
      <w:r w:rsidR="000F29A7" w:rsidRPr="001764DB">
        <w:rPr>
          <w:rStyle w:val="FootnoteReference"/>
        </w:rPr>
        <w:footnoteReference w:id="9"/>
      </w:r>
    </w:p>
    <w:p w:rsidR="000F29A7" w:rsidRPr="001764DB" w:rsidRDefault="000F29A7" w:rsidP="0027051D">
      <w:pPr>
        <w:rPr>
          <w:b/>
        </w:rPr>
      </w:pPr>
    </w:p>
    <w:p w:rsidR="000F29A7" w:rsidRPr="001764DB" w:rsidRDefault="000F29A7" w:rsidP="0013326D">
      <w:pPr>
        <w:keepNext/>
        <w:jc w:val="both"/>
      </w:pPr>
      <w:r w:rsidRPr="001764DB">
        <w:rPr>
          <w:b/>
        </w:rPr>
        <w:t>Estimate of Cost to the Federal Reserve System</w:t>
      </w:r>
    </w:p>
    <w:p w:rsidR="000F29A7" w:rsidRDefault="000F29A7" w:rsidP="000F29A7">
      <w:pPr>
        <w:jc w:val="both"/>
        <w:rPr>
          <w:color w:val="000000"/>
        </w:rPr>
      </w:pPr>
    </w:p>
    <w:p w:rsidR="000F29A7" w:rsidRDefault="000F29A7" w:rsidP="00AA5295">
      <w:pPr>
        <w:rPr>
          <w:color w:val="000000"/>
        </w:rPr>
      </w:pPr>
      <w:r>
        <w:rPr>
          <w:color w:val="000000"/>
        </w:rPr>
        <w:tab/>
        <w:t>Since the Federal Reserve does not collect any information, the cost to the Federal Reserve System is negligible.</w:t>
      </w:r>
    </w:p>
    <w:p w:rsidR="000F29A7" w:rsidRDefault="0027051D" w:rsidP="0027051D">
      <w:pPr>
        <w:rPr>
          <w:b/>
        </w:rPr>
      </w:pPr>
      <w:r w:rsidRPr="000B455D">
        <w:rPr>
          <w:b/>
        </w:rPr>
        <w:tab/>
      </w:r>
    </w:p>
    <w:p w:rsidR="0027051D" w:rsidRPr="000B455D" w:rsidRDefault="0027051D" w:rsidP="0027051D">
      <w:pPr>
        <w:rPr>
          <w:b/>
        </w:rPr>
      </w:pPr>
      <w:r>
        <w:rPr>
          <w:b/>
        </w:rPr>
        <w:t xml:space="preserve">Financial </w:t>
      </w:r>
      <w:r w:rsidRPr="000B455D">
        <w:rPr>
          <w:b/>
        </w:rPr>
        <w:t>Industry Burden Averages</w:t>
      </w:r>
    </w:p>
    <w:p w:rsidR="0027051D" w:rsidRPr="000B455D" w:rsidRDefault="0027051D" w:rsidP="0027051D"/>
    <w:p w:rsidR="00F07B11" w:rsidRPr="00D846B6" w:rsidRDefault="0027051D" w:rsidP="00535FDD">
      <w:r w:rsidRPr="000B455D">
        <w:tab/>
      </w:r>
      <w:r w:rsidRPr="00D846B6">
        <w:t>The other federal financial agencies are responsible for estimating and reporting to OMB the total paperwork burden for the institutions for which they have administrative enforcement authority.</w:t>
      </w:r>
      <w:r w:rsidRPr="00D846B6">
        <w:rPr>
          <w:rStyle w:val="FootnoteReference"/>
        </w:rPr>
        <w:footnoteReference w:id="10"/>
      </w:r>
      <w:r w:rsidRPr="00D846B6">
        <w:t xml:space="preserve">  They may, but are not required to, use the Federal Reserve’s burden estimates.  </w:t>
      </w:r>
      <w:r w:rsidR="00C60791" w:rsidRPr="00D846B6">
        <w:lastRenderedPageBreak/>
        <w:t>T</w:t>
      </w:r>
      <w:r w:rsidR="00D959E9" w:rsidRPr="00D846B6">
        <w:t xml:space="preserve">here </w:t>
      </w:r>
      <w:r w:rsidR="00C60791" w:rsidRPr="00D846B6">
        <w:t>are</w:t>
      </w:r>
      <w:r w:rsidR="00D959E9" w:rsidRPr="00D846B6">
        <w:t xml:space="preserve"> approximately </w:t>
      </w:r>
      <w:r w:rsidR="003839E5" w:rsidRPr="00D846B6">
        <w:t>1</w:t>
      </w:r>
      <w:r w:rsidR="00C60791" w:rsidRPr="00D846B6">
        <w:t>6</w:t>
      </w:r>
      <w:r w:rsidR="003839E5" w:rsidRPr="00D846B6">
        <w:t>,</w:t>
      </w:r>
      <w:r w:rsidR="00C60791" w:rsidRPr="00D846B6">
        <w:t>200</w:t>
      </w:r>
      <w:r w:rsidR="00D959E9" w:rsidRPr="00D846B6">
        <w:t xml:space="preserve"> depository </w:t>
      </w:r>
      <w:r w:rsidR="0034273D" w:rsidRPr="00D846B6">
        <w:t>institutions</w:t>
      </w:r>
      <w:r w:rsidR="00670517" w:rsidRPr="00D846B6">
        <w:t xml:space="preserve"> of which</w:t>
      </w:r>
      <w:r w:rsidR="003839E5" w:rsidRPr="00D846B6">
        <w:t xml:space="preserve"> </w:t>
      </w:r>
      <w:r w:rsidR="0034273D" w:rsidRPr="00D846B6">
        <w:t xml:space="preserve">the Federal Reserve estimates that </w:t>
      </w:r>
      <w:r w:rsidR="007E505A">
        <w:t>58</w:t>
      </w:r>
      <w:r w:rsidR="00694CEC" w:rsidRPr="00D846B6">
        <w:t xml:space="preserve"> </w:t>
      </w:r>
      <w:r w:rsidR="0034273D" w:rsidRPr="00D846B6">
        <w:t>depository institutions</w:t>
      </w:r>
      <w:r w:rsidR="003404EC" w:rsidRPr="00D846B6">
        <w:rPr>
          <w:rStyle w:val="FootnoteReference"/>
        </w:rPr>
        <w:footnoteReference w:id="11"/>
      </w:r>
      <w:r w:rsidR="0034273D" w:rsidRPr="00D846B6" w:rsidDel="00C20221">
        <w:t xml:space="preserve"> </w:t>
      </w:r>
      <w:r w:rsidR="0034273D" w:rsidRPr="00D846B6">
        <w:t>would be</w:t>
      </w:r>
      <w:r w:rsidR="00D959E9" w:rsidRPr="00D846B6">
        <w:t xml:space="preserve"> affected by this collection of information </w:t>
      </w:r>
      <w:r w:rsidR="00695CF9" w:rsidRPr="00D846B6">
        <w:t>and considered</w:t>
      </w:r>
      <w:r w:rsidR="00D959E9" w:rsidRPr="00D846B6">
        <w:t xml:space="preserve"> respondents for purposes of the PRA.  </w:t>
      </w:r>
      <w:r w:rsidRPr="00D846B6">
        <w:t xml:space="preserve">Using the Federal Reserve’s method, the total </w:t>
      </w:r>
      <w:r w:rsidRPr="001764DB">
        <w:t xml:space="preserve">estimated annual burden for all financial institutions </w:t>
      </w:r>
      <w:r w:rsidR="004F39AB" w:rsidRPr="001764DB">
        <w:t xml:space="preserve">subject to Regulation M </w:t>
      </w:r>
      <w:r w:rsidRPr="001764DB">
        <w:t xml:space="preserve">would be approximately </w:t>
      </w:r>
      <w:r w:rsidR="001105F6" w:rsidRPr="001764DB">
        <w:t>116</w:t>
      </w:r>
      <w:r w:rsidR="003E3F21" w:rsidRPr="001764DB">
        <w:t xml:space="preserve"> </w:t>
      </w:r>
      <w:r w:rsidRPr="001764DB">
        <w:t xml:space="preserve">hours.  </w:t>
      </w:r>
      <w:r w:rsidR="000C23F5" w:rsidRPr="001764DB">
        <w:t xml:space="preserve">The proposed rule would impose a one-time increase in the estimated annual burden for the estimated </w:t>
      </w:r>
      <w:r w:rsidR="001105F6" w:rsidRPr="001764DB">
        <w:t>58</w:t>
      </w:r>
      <w:r w:rsidR="000C23F5" w:rsidRPr="001764DB">
        <w:t xml:space="preserve"> institutions thought to engage in consumer leasing by </w:t>
      </w:r>
      <w:r w:rsidR="001105F6" w:rsidRPr="001764DB">
        <w:t>2</w:t>
      </w:r>
      <w:r w:rsidR="000C23F5" w:rsidRPr="001764DB">
        <w:t>,</w:t>
      </w:r>
      <w:r w:rsidR="001105F6" w:rsidRPr="001764DB">
        <w:t>320</w:t>
      </w:r>
      <w:r w:rsidR="000C23F5" w:rsidRPr="001764DB">
        <w:t xml:space="preserve"> hours. On a continuing basis the proposed rule would impose an increase in the estimated annual burden by </w:t>
      </w:r>
      <w:r w:rsidR="001105F6" w:rsidRPr="001764DB">
        <w:t>464</w:t>
      </w:r>
      <w:r w:rsidR="000C23F5" w:rsidRPr="001764DB">
        <w:t xml:space="preserve"> hours.  The total annual burden is estimated to increase by </w:t>
      </w:r>
      <w:r w:rsidR="001105F6" w:rsidRPr="001764DB">
        <w:t>2</w:t>
      </w:r>
      <w:r w:rsidR="000C23F5" w:rsidRPr="001764DB">
        <w:t>,</w:t>
      </w:r>
      <w:r w:rsidR="001105F6" w:rsidRPr="001764DB">
        <w:t>784</w:t>
      </w:r>
      <w:r w:rsidR="000C23F5" w:rsidRPr="001764DB">
        <w:t xml:space="preserve"> hours from </w:t>
      </w:r>
      <w:r w:rsidR="001105F6" w:rsidRPr="001764DB">
        <w:t>116</w:t>
      </w:r>
      <w:r w:rsidR="00D846B6" w:rsidRPr="001764DB">
        <w:t xml:space="preserve"> </w:t>
      </w:r>
      <w:r w:rsidR="000C23F5" w:rsidRPr="001764DB">
        <w:t>to</w:t>
      </w:r>
      <w:r w:rsidR="00D846B6" w:rsidRPr="001764DB">
        <w:t xml:space="preserve"> </w:t>
      </w:r>
      <w:r w:rsidR="001105F6" w:rsidRPr="001764DB">
        <w:t>2</w:t>
      </w:r>
      <w:r w:rsidR="00D846B6" w:rsidRPr="001764DB">
        <w:t>,</w:t>
      </w:r>
      <w:r w:rsidR="001105F6" w:rsidRPr="001764DB">
        <w:t>900</w:t>
      </w:r>
      <w:r w:rsidR="000C23F5" w:rsidRPr="001764DB">
        <w:t xml:space="preserve"> hours.  </w:t>
      </w:r>
      <w:r w:rsidRPr="001764DB">
        <w:t xml:space="preserve">The above estimates represent an average across all respondents and reflect variations between institutions based on their size, complexity, and practices.  </w:t>
      </w:r>
      <w:r w:rsidR="00AA5295" w:rsidRPr="001764DB">
        <w:t xml:space="preserve">In addition, </w:t>
      </w:r>
      <w:r w:rsidR="00AA5295" w:rsidRPr="001764DB">
        <w:rPr>
          <w:bCs/>
        </w:rPr>
        <w:t>other</w:t>
      </w:r>
      <w:r w:rsidRPr="00D846B6">
        <w:rPr>
          <w:bCs/>
        </w:rPr>
        <w:t xml:space="preserve"> institutions</w:t>
      </w:r>
      <w:r w:rsidR="00AA5295" w:rsidRPr="00D846B6">
        <w:rPr>
          <w:bCs/>
        </w:rPr>
        <w:t xml:space="preserve"> covered by Regulation M</w:t>
      </w:r>
      <w:r w:rsidRPr="00D846B6">
        <w:t>, such as retailers</w:t>
      </w:r>
      <w:r w:rsidR="00436DE8" w:rsidRPr="00D846B6">
        <w:t xml:space="preserve"> and</w:t>
      </w:r>
      <w:r w:rsidRPr="00D846B6">
        <w:t xml:space="preserve"> finance companies potentially are affected by this collection of information, and thus are </w:t>
      </w:r>
      <w:r w:rsidR="00AA5295" w:rsidRPr="00D846B6">
        <w:t xml:space="preserve">also </w:t>
      </w:r>
      <w:r w:rsidRPr="00D846B6">
        <w:t>respondents for purposes of the PRA</w:t>
      </w:r>
      <w:r w:rsidR="0013362A" w:rsidRPr="00D846B6">
        <w:t>.</w:t>
      </w:r>
    </w:p>
    <w:sectPr w:rsidR="00F07B11" w:rsidRPr="00D846B6" w:rsidSect="008F70BE">
      <w:footerReference w:type="even" r:id="rId7"/>
      <w:footerReference w:type="default" r:id="rId8"/>
      <w:type w:val="continuous"/>
      <w:pgSz w:w="12240" w:h="15840"/>
      <w:pgMar w:top="1440" w:right="1440" w:bottom="108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1A" w:rsidRDefault="00D72A1A">
      <w:r>
        <w:separator/>
      </w:r>
    </w:p>
  </w:endnote>
  <w:endnote w:type="continuationSeparator" w:id="0">
    <w:p w:rsidR="00D72A1A" w:rsidRDefault="00D72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1A" w:rsidRDefault="00D72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2A1A" w:rsidRDefault="00D72A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1A" w:rsidRDefault="00D72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4DF">
      <w:rPr>
        <w:rStyle w:val="PageNumber"/>
        <w:noProof/>
      </w:rPr>
      <w:t>5</w:t>
    </w:r>
    <w:r>
      <w:rPr>
        <w:rStyle w:val="PageNumber"/>
      </w:rPr>
      <w:fldChar w:fldCharType="end"/>
    </w:r>
  </w:p>
  <w:p w:rsidR="00D72A1A" w:rsidRDefault="00D72A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1A" w:rsidRDefault="00D72A1A">
      <w:r>
        <w:separator/>
      </w:r>
    </w:p>
  </w:footnote>
  <w:footnote w:type="continuationSeparator" w:id="0">
    <w:p w:rsidR="00D72A1A" w:rsidRDefault="00D72A1A">
      <w:r>
        <w:continuationSeparator/>
      </w:r>
    </w:p>
  </w:footnote>
  <w:footnote w:id="1">
    <w:p w:rsidR="00D72A1A" w:rsidRPr="0022770C" w:rsidRDefault="00D72A1A">
      <w:pPr>
        <w:pStyle w:val="FootnoteText"/>
        <w:rPr>
          <w:color w:val="000000"/>
        </w:rPr>
      </w:pPr>
      <w:r w:rsidRPr="0022770C">
        <w:rPr>
          <w:rStyle w:val="FootnoteReference"/>
        </w:rPr>
        <w:footnoteRef/>
      </w:r>
      <w:r w:rsidRPr="0022770C">
        <w:t xml:space="preserve">  </w:t>
      </w:r>
      <w:r w:rsidRPr="0022770C">
        <w:rPr>
          <w:color w:val="000000"/>
        </w:rPr>
        <w:t xml:space="preserve">The CLA was enacted in 1976 as an </w:t>
      </w:r>
      <w:r w:rsidRPr="0022770C">
        <w:t xml:space="preserve">amendment to the Truth in Lending Act and </w:t>
      </w:r>
      <w:r w:rsidRPr="0022770C">
        <w:rPr>
          <w:color w:val="000000"/>
        </w:rPr>
        <w:t xml:space="preserve">is codified at 15 U.S.C. </w:t>
      </w:r>
      <w:r>
        <w:rPr>
          <w:color w:val="000000"/>
        </w:rPr>
        <w:t>§</w:t>
      </w:r>
      <w:r w:rsidRPr="0022770C">
        <w:rPr>
          <w:color w:val="000000"/>
        </w:rPr>
        <w:t xml:space="preserve">§ 1667-1667f.  </w:t>
      </w:r>
      <w:r w:rsidRPr="0022770C">
        <w:t xml:space="preserve">Regulation M is located at </w:t>
      </w:r>
      <w:r w:rsidRPr="0022770C">
        <w:rPr>
          <w:color w:val="000000"/>
        </w:rPr>
        <w:t>12 C.F.R. Part 213.</w:t>
      </w:r>
    </w:p>
  </w:footnote>
  <w:footnote w:id="2">
    <w:p w:rsidR="00D72A1A" w:rsidRPr="0022770C" w:rsidRDefault="00D72A1A" w:rsidP="007661A9">
      <w:pPr>
        <w:rPr>
          <w:sz w:val="20"/>
        </w:rPr>
      </w:pPr>
      <w:r w:rsidRPr="0022770C">
        <w:rPr>
          <w:rStyle w:val="FootnoteReference"/>
          <w:sz w:val="20"/>
        </w:rPr>
        <w:footnoteRef/>
      </w:r>
      <w:r w:rsidRPr="0022770C">
        <w:rPr>
          <w:sz w:val="20"/>
        </w:rPr>
        <w:t xml:space="preserve">  </w:t>
      </w:r>
      <w:proofErr w:type="gramStart"/>
      <w:r w:rsidRPr="0022770C">
        <w:rPr>
          <w:sz w:val="20"/>
        </w:rPr>
        <w:t xml:space="preserve">44 U.S.C. § 3501 </w:t>
      </w:r>
      <w:r w:rsidRPr="0022770C">
        <w:rPr>
          <w:sz w:val="20"/>
          <w:u w:val="single"/>
        </w:rPr>
        <w:t>et</w:t>
      </w:r>
      <w:r w:rsidRPr="0022770C">
        <w:rPr>
          <w:sz w:val="20"/>
        </w:rPr>
        <w:t xml:space="preserve"> </w:t>
      </w:r>
      <w:r w:rsidRPr="0022770C">
        <w:rPr>
          <w:sz w:val="20"/>
          <w:u w:val="single"/>
        </w:rPr>
        <w:t>seq</w:t>
      </w:r>
      <w:r w:rsidRPr="0022770C">
        <w:rPr>
          <w:sz w:val="20"/>
        </w:rPr>
        <w:t>.</w:t>
      </w:r>
      <w:proofErr w:type="gramEnd"/>
    </w:p>
  </w:footnote>
  <w:footnote w:id="3">
    <w:p w:rsidR="00D72A1A" w:rsidRPr="0022770C" w:rsidRDefault="00D72A1A" w:rsidP="00E34333">
      <w:pPr>
        <w:pStyle w:val="NormalWeb"/>
        <w:rPr>
          <w:sz w:val="20"/>
          <w:szCs w:val="20"/>
        </w:rPr>
      </w:pPr>
      <w:r w:rsidRPr="0022770C">
        <w:rPr>
          <w:rStyle w:val="FootnoteReference"/>
          <w:sz w:val="20"/>
          <w:szCs w:val="20"/>
        </w:rPr>
        <w:footnoteRef/>
      </w:r>
      <w:r w:rsidRPr="0022770C">
        <w:rPr>
          <w:sz w:val="20"/>
          <w:szCs w:val="20"/>
        </w:rPr>
        <w:t xml:space="preserve">  Appendix B – Federal Enforcement Agencies – of Regulation M defines the Federal Reserve-supervised institutions as: State member banks, branches and agencies of foreign banks (other than federal branches, federal agencies, and insured state branches of foreign banks), commercial lending companies owned or controlled by foreign banks, and organizations operating under </w:t>
      </w:r>
      <w:r>
        <w:rPr>
          <w:sz w:val="20"/>
          <w:szCs w:val="20"/>
        </w:rPr>
        <w:t>S</w:t>
      </w:r>
      <w:r w:rsidRPr="0022770C">
        <w:rPr>
          <w:sz w:val="20"/>
          <w:szCs w:val="20"/>
        </w:rPr>
        <w:t>ection 25 or 25A of the Federal Reserve Act.</w:t>
      </w:r>
    </w:p>
  </w:footnote>
  <w:footnote w:id="4">
    <w:p w:rsidR="00D72A1A" w:rsidRPr="0022770C" w:rsidRDefault="00D72A1A">
      <w:pPr>
        <w:pStyle w:val="FootnoteText"/>
      </w:pPr>
      <w:r w:rsidRPr="0022770C">
        <w:rPr>
          <w:rStyle w:val="FootnoteReference"/>
        </w:rPr>
        <w:footnoteRef/>
      </w:r>
      <w:r w:rsidRPr="0022770C">
        <w:t xml:space="preserve">  61 FR 52246 (October 7, 1996).</w:t>
      </w:r>
    </w:p>
  </w:footnote>
  <w:footnote w:id="5">
    <w:p w:rsidR="00D72A1A" w:rsidRPr="0022770C" w:rsidRDefault="00D72A1A">
      <w:pPr>
        <w:pStyle w:val="FootnoteText"/>
      </w:pPr>
      <w:r w:rsidRPr="0022770C">
        <w:rPr>
          <w:rStyle w:val="FootnoteReference"/>
        </w:rPr>
        <w:footnoteRef/>
      </w:r>
      <w:r w:rsidRPr="0022770C">
        <w:t xml:space="preserve">  </w:t>
      </w:r>
      <w:proofErr w:type="gramStart"/>
      <w:r w:rsidRPr="0022770C">
        <w:t>Pub.</w:t>
      </w:r>
      <w:proofErr w:type="gramEnd"/>
      <w:r w:rsidRPr="0022770C">
        <w:t xml:space="preserve"> L. 104-208, 110 Stat. 3009.</w:t>
      </w:r>
    </w:p>
  </w:footnote>
  <w:footnote w:id="6">
    <w:p w:rsidR="00D72A1A" w:rsidRPr="0022770C" w:rsidRDefault="00D72A1A">
      <w:pPr>
        <w:pStyle w:val="FootnoteText"/>
      </w:pPr>
      <w:r w:rsidRPr="0022770C">
        <w:rPr>
          <w:rStyle w:val="FootnoteReference"/>
        </w:rPr>
        <w:footnoteRef/>
      </w:r>
      <w:r w:rsidRPr="0022770C">
        <w:t xml:space="preserve">  62 FR 15368 (April 1, 1997). </w:t>
      </w:r>
    </w:p>
  </w:footnote>
  <w:footnote w:id="7">
    <w:p w:rsidR="00D72A1A" w:rsidRPr="0022770C" w:rsidRDefault="00D72A1A">
      <w:pPr>
        <w:pStyle w:val="FootnoteText"/>
      </w:pPr>
      <w:r w:rsidRPr="0022770C">
        <w:rPr>
          <w:rStyle w:val="FootnoteReference"/>
        </w:rPr>
        <w:footnoteRef/>
      </w:r>
      <w:r w:rsidRPr="0022770C">
        <w:t xml:space="preserve">  63 FR 52109 (September 29, 1998). </w:t>
      </w:r>
    </w:p>
  </w:footnote>
  <w:footnote w:id="8">
    <w:p w:rsidR="00D72A1A" w:rsidRPr="001B1431" w:rsidRDefault="00D72A1A" w:rsidP="001B1431">
      <w:pPr>
        <w:autoSpaceDE w:val="0"/>
        <w:autoSpaceDN w:val="0"/>
        <w:adjustRightInd w:val="0"/>
        <w:rPr>
          <w:sz w:val="20"/>
        </w:rPr>
      </w:pPr>
      <w:r w:rsidRPr="001B1431">
        <w:rPr>
          <w:rStyle w:val="FootnoteReference"/>
          <w:sz w:val="20"/>
        </w:rPr>
        <w:footnoteRef/>
      </w:r>
      <w:r w:rsidRPr="001B1431">
        <w:rPr>
          <w:sz w:val="20"/>
        </w:rPr>
        <w:t xml:space="preserve"> </w:t>
      </w:r>
      <w:r>
        <w:rPr>
          <w:sz w:val="20"/>
        </w:rPr>
        <w:t xml:space="preserve"> </w:t>
      </w:r>
      <w:r w:rsidRPr="001B1431">
        <w:rPr>
          <w:sz w:val="20"/>
        </w:rPr>
        <w:t xml:space="preserve">Federal Financial Institutions Examination Council Consolidated Reports of Condition and Income (Call Reports) (FFIEC 031 &amp; 041; OMB No. 7100-0036), Schedule RC-C, data item 10.a - </w:t>
      </w:r>
      <w:r w:rsidRPr="001B1431">
        <w:rPr>
          <w:snapToGrid/>
          <w:sz w:val="20"/>
        </w:rPr>
        <w:t>Leases to individuals for household, family, and other personal expenditures</w:t>
      </w:r>
    </w:p>
  </w:footnote>
  <w:footnote w:id="9">
    <w:p w:rsidR="00D72A1A" w:rsidRPr="00690351" w:rsidRDefault="00D72A1A" w:rsidP="000F29A7">
      <w:pPr>
        <w:pStyle w:val="FootnoteText"/>
      </w:pPr>
      <w:r w:rsidRPr="00690351">
        <w:rPr>
          <w:rStyle w:val="FootnoteReference"/>
        </w:rPr>
        <w:footnoteRef/>
      </w:r>
      <w:r w:rsidRPr="00690351">
        <w:t xml:space="preserve">  </w:t>
      </w:r>
      <w:r w:rsidRPr="00A71C6D">
        <w:t xml:space="preserve">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t>
      </w:r>
      <w:hyperlink r:id="rId1" w:history="1">
        <w:r w:rsidRPr="00623FFD">
          <w:rPr>
            <w:rStyle w:val="Hyperlink"/>
          </w:rPr>
          <w:t>www.bls.gov/news.release/ocwage.nr0.htm</w:t>
        </w:r>
      </w:hyperlink>
      <w:r>
        <w:t xml:space="preserve">  </w:t>
      </w:r>
      <w:r w:rsidRPr="00A71C6D">
        <w:t xml:space="preserve">Occupations are defined using the BLS Occupational Classification System,  </w:t>
      </w:r>
      <w:hyperlink r:id="rId2" w:history="1">
        <w:r w:rsidRPr="00365BEF">
          <w:rPr>
            <w:rStyle w:val="Hyperlink"/>
          </w:rPr>
          <w:t>www.bls.gov/soc/</w:t>
        </w:r>
      </w:hyperlink>
      <w:r>
        <w:t xml:space="preserve"> </w:t>
      </w:r>
      <w:r w:rsidRPr="00A71C6D">
        <w:t xml:space="preserve"> </w:t>
      </w:r>
      <w:r>
        <w:t xml:space="preserve"> </w:t>
      </w:r>
      <w:r w:rsidRPr="00965876">
        <w:t xml:space="preserve">  </w:t>
      </w:r>
    </w:p>
  </w:footnote>
  <w:footnote w:id="10">
    <w:p w:rsidR="00D72A1A" w:rsidRPr="00690351" w:rsidRDefault="00D72A1A" w:rsidP="0027051D">
      <w:pPr>
        <w:pStyle w:val="FootnoteText"/>
      </w:pPr>
      <w:r w:rsidRPr="00690351">
        <w:rPr>
          <w:rStyle w:val="FootnoteReference"/>
        </w:rPr>
        <w:footnoteRef/>
      </w:r>
      <w:r w:rsidRPr="00690351">
        <w:t xml:space="preserve">  Appendix B – Federal Enforcement Agencies – of Regulation M lists those federal agencies that enforce the regulation for particular classes of business.  The federal financial agencies</w:t>
      </w:r>
      <w:r>
        <w:t xml:space="preserve"> other than the Federal Reserve</w:t>
      </w:r>
      <w:r w:rsidRPr="00690351">
        <w:t xml:space="preserve"> include: the Office of the Comptroller of the Currency</w:t>
      </w:r>
      <w:r>
        <w:t xml:space="preserve"> (OCC)</w:t>
      </w:r>
      <w:r w:rsidRPr="00690351">
        <w:t xml:space="preserve">, </w:t>
      </w:r>
      <w:r>
        <w:t xml:space="preserve">the </w:t>
      </w:r>
      <w:r w:rsidRPr="00690351">
        <w:t>Federal Deposit Insurance Corporation</w:t>
      </w:r>
      <w:r>
        <w:t xml:space="preserve"> (FDIC)</w:t>
      </w:r>
      <w:r w:rsidRPr="00690351">
        <w:t xml:space="preserve">, </w:t>
      </w:r>
      <w:r>
        <w:t xml:space="preserve">the </w:t>
      </w:r>
      <w:r w:rsidRPr="00690351">
        <w:t>Office of Thrift Supervision</w:t>
      </w:r>
      <w:r>
        <w:t xml:space="preserve"> (OTS)</w:t>
      </w:r>
      <w:r w:rsidRPr="00690351">
        <w:t xml:space="preserve">, and </w:t>
      </w:r>
      <w:r>
        <w:t xml:space="preserve">the </w:t>
      </w:r>
      <w:r w:rsidRPr="00690351">
        <w:t>National Credit Union Administration</w:t>
      </w:r>
      <w:r>
        <w:t xml:space="preserve"> (NCUA)</w:t>
      </w:r>
      <w:r w:rsidRPr="00690351">
        <w:t xml:space="preserve">.  The federal non-financial agencies include: </w:t>
      </w:r>
      <w:r>
        <w:t xml:space="preserve">the </w:t>
      </w:r>
      <w:r w:rsidRPr="00690351">
        <w:t xml:space="preserve">Department of Transportation, </w:t>
      </w:r>
      <w:r>
        <w:t xml:space="preserve">the Grain Inspection, </w:t>
      </w:r>
      <w:r w:rsidRPr="00690351">
        <w:t>Packers</w:t>
      </w:r>
      <w:r>
        <w:t>,</w:t>
      </w:r>
      <w:r w:rsidRPr="00690351">
        <w:t xml:space="preserve"> and Stockyards Administration</w:t>
      </w:r>
      <w:r>
        <w:t xml:space="preserve"> (Department of Agriculture)</w:t>
      </w:r>
      <w:r w:rsidRPr="00690351">
        <w:t xml:space="preserve">, </w:t>
      </w:r>
      <w:r>
        <w:t xml:space="preserve">the </w:t>
      </w:r>
      <w:r w:rsidRPr="00690351">
        <w:t xml:space="preserve">Farm Credit Administration, and </w:t>
      </w:r>
      <w:r>
        <w:t xml:space="preserve">the </w:t>
      </w:r>
      <w:r w:rsidRPr="00690351">
        <w:t>Federal Trade Commission.</w:t>
      </w:r>
    </w:p>
  </w:footnote>
  <w:footnote w:id="11">
    <w:p w:rsidR="00D72A1A" w:rsidRDefault="00D72A1A">
      <w:pPr>
        <w:pStyle w:val="FootnoteText"/>
      </w:pPr>
      <w:r>
        <w:rPr>
          <w:rStyle w:val="FootnoteReference"/>
        </w:rPr>
        <w:footnoteRef/>
      </w:r>
      <w:r>
        <w:t xml:space="preserve">  Estimate is based on September 30, 2010, consumer lease data filed by depository institutions in their reports of condition and income: the commercial bank Call Report; (FFIEC 031 &amp; 041) (Federal Reserve OMB No. 7100-0036), (OCC OMB No. 1557-0081), and (FDIC OMB No. 3064-0052); the thrift institution Thrift Financial Report (TFR; form 1313) (OTS OMB No. 1500-0023); and the credit union NCUA Call Reports (form 5300) (NCUA OMB No. 3133-0004).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2338F"/>
    <w:multiLevelType w:val="hybridMultilevel"/>
    <w:tmpl w:val="B1DCC460"/>
    <w:lvl w:ilvl="0" w:tplc="FFFFFFFF">
      <w:start w:val="1"/>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F97C6A"/>
    <w:multiLevelType w:val="hybridMultilevel"/>
    <w:tmpl w:val="9C62C81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AC4147B"/>
    <w:multiLevelType w:val="hybridMultilevel"/>
    <w:tmpl w:val="C736F6BE"/>
    <w:lvl w:ilvl="0" w:tplc="FFFFFFFF">
      <w:start w:val="1"/>
      <w:numFmt w:val="decimal"/>
      <w:lvlText w:val="(%1)"/>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F411F"/>
    <w:rsid w:val="00010793"/>
    <w:rsid w:val="00025E93"/>
    <w:rsid w:val="00033671"/>
    <w:rsid w:val="000372A8"/>
    <w:rsid w:val="00040700"/>
    <w:rsid w:val="000500A3"/>
    <w:rsid w:val="00050928"/>
    <w:rsid w:val="00064EB7"/>
    <w:rsid w:val="0007214B"/>
    <w:rsid w:val="0007613B"/>
    <w:rsid w:val="000860CE"/>
    <w:rsid w:val="000872BF"/>
    <w:rsid w:val="000953A6"/>
    <w:rsid w:val="000A738D"/>
    <w:rsid w:val="000B3682"/>
    <w:rsid w:val="000B455D"/>
    <w:rsid w:val="000C23F5"/>
    <w:rsid w:val="000C4300"/>
    <w:rsid w:val="000D024D"/>
    <w:rsid w:val="000D434E"/>
    <w:rsid w:val="000E28CD"/>
    <w:rsid w:val="000E3DFF"/>
    <w:rsid w:val="000F22E4"/>
    <w:rsid w:val="000F29A7"/>
    <w:rsid w:val="000F411F"/>
    <w:rsid w:val="000F5C7A"/>
    <w:rsid w:val="001105F6"/>
    <w:rsid w:val="0013063A"/>
    <w:rsid w:val="0013147C"/>
    <w:rsid w:val="0013326D"/>
    <w:rsid w:val="0013362A"/>
    <w:rsid w:val="0014116B"/>
    <w:rsid w:val="00145315"/>
    <w:rsid w:val="00152ABA"/>
    <w:rsid w:val="00154B92"/>
    <w:rsid w:val="0015554F"/>
    <w:rsid w:val="00155BE7"/>
    <w:rsid w:val="00162BD5"/>
    <w:rsid w:val="00171147"/>
    <w:rsid w:val="001764DB"/>
    <w:rsid w:val="001937E8"/>
    <w:rsid w:val="001A08FD"/>
    <w:rsid w:val="001A38E3"/>
    <w:rsid w:val="001B1431"/>
    <w:rsid w:val="001B1BF6"/>
    <w:rsid w:val="001C5ECA"/>
    <w:rsid w:val="00201748"/>
    <w:rsid w:val="002068AE"/>
    <w:rsid w:val="00221D36"/>
    <w:rsid w:val="0022770C"/>
    <w:rsid w:val="00234F4F"/>
    <w:rsid w:val="00243D7F"/>
    <w:rsid w:val="00244737"/>
    <w:rsid w:val="0027051D"/>
    <w:rsid w:val="002705F0"/>
    <w:rsid w:val="002772EF"/>
    <w:rsid w:val="00280F6D"/>
    <w:rsid w:val="002835A3"/>
    <w:rsid w:val="002B4206"/>
    <w:rsid w:val="002C6AB5"/>
    <w:rsid w:val="002D43A8"/>
    <w:rsid w:val="002D77BC"/>
    <w:rsid w:val="0031309F"/>
    <w:rsid w:val="003272DF"/>
    <w:rsid w:val="00337F45"/>
    <w:rsid w:val="003404EC"/>
    <w:rsid w:val="0034273D"/>
    <w:rsid w:val="00344CD8"/>
    <w:rsid w:val="003519E3"/>
    <w:rsid w:val="00351A8A"/>
    <w:rsid w:val="0035558C"/>
    <w:rsid w:val="003600B1"/>
    <w:rsid w:val="003839E5"/>
    <w:rsid w:val="003A5C12"/>
    <w:rsid w:val="003B24DE"/>
    <w:rsid w:val="003B6556"/>
    <w:rsid w:val="003D04FC"/>
    <w:rsid w:val="003D2694"/>
    <w:rsid w:val="003D2B1C"/>
    <w:rsid w:val="003D3D54"/>
    <w:rsid w:val="003D702C"/>
    <w:rsid w:val="003E3F21"/>
    <w:rsid w:val="003F1E59"/>
    <w:rsid w:val="003F451F"/>
    <w:rsid w:val="0040154D"/>
    <w:rsid w:val="0041442D"/>
    <w:rsid w:val="004164EB"/>
    <w:rsid w:val="00420F65"/>
    <w:rsid w:val="004279C2"/>
    <w:rsid w:val="00436DE8"/>
    <w:rsid w:val="004461D9"/>
    <w:rsid w:val="004465EE"/>
    <w:rsid w:val="0049201E"/>
    <w:rsid w:val="004A6138"/>
    <w:rsid w:val="004D1E5B"/>
    <w:rsid w:val="004F041E"/>
    <w:rsid w:val="004F0F04"/>
    <w:rsid w:val="004F21B0"/>
    <w:rsid w:val="004F39AB"/>
    <w:rsid w:val="0050395B"/>
    <w:rsid w:val="005159BC"/>
    <w:rsid w:val="00535FDD"/>
    <w:rsid w:val="0054625D"/>
    <w:rsid w:val="005709DF"/>
    <w:rsid w:val="0057420D"/>
    <w:rsid w:val="00577E62"/>
    <w:rsid w:val="005A2F89"/>
    <w:rsid w:val="005C269F"/>
    <w:rsid w:val="005E4835"/>
    <w:rsid w:val="00603A55"/>
    <w:rsid w:val="00611107"/>
    <w:rsid w:val="0061786E"/>
    <w:rsid w:val="00631361"/>
    <w:rsid w:val="00643D39"/>
    <w:rsid w:val="00646B2C"/>
    <w:rsid w:val="00661DAC"/>
    <w:rsid w:val="00667574"/>
    <w:rsid w:val="00670517"/>
    <w:rsid w:val="00670D70"/>
    <w:rsid w:val="00676F0D"/>
    <w:rsid w:val="00690351"/>
    <w:rsid w:val="00694CEC"/>
    <w:rsid w:val="00695CF9"/>
    <w:rsid w:val="006C0218"/>
    <w:rsid w:val="006C2E4C"/>
    <w:rsid w:val="006C4AEF"/>
    <w:rsid w:val="006C5E03"/>
    <w:rsid w:val="006D556E"/>
    <w:rsid w:val="006F5A82"/>
    <w:rsid w:val="006F7BB5"/>
    <w:rsid w:val="00703482"/>
    <w:rsid w:val="00722409"/>
    <w:rsid w:val="00724F60"/>
    <w:rsid w:val="00752804"/>
    <w:rsid w:val="007661A9"/>
    <w:rsid w:val="00766B2B"/>
    <w:rsid w:val="0077116E"/>
    <w:rsid w:val="007737EF"/>
    <w:rsid w:val="00774BB3"/>
    <w:rsid w:val="007A0EA3"/>
    <w:rsid w:val="007A68BC"/>
    <w:rsid w:val="007D4A6A"/>
    <w:rsid w:val="007D5CA7"/>
    <w:rsid w:val="007E0BFF"/>
    <w:rsid w:val="007E505A"/>
    <w:rsid w:val="007F18F5"/>
    <w:rsid w:val="00811A76"/>
    <w:rsid w:val="00813887"/>
    <w:rsid w:val="00821B40"/>
    <w:rsid w:val="00824691"/>
    <w:rsid w:val="008334DF"/>
    <w:rsid w:val="00857B42"/>
    <w:rsid w:val="00866B3A"/>
    <w:rsid w:val="00870C47"/>
    <w:rsid w:val="00887BDB"/>
    <w:rsid w:val="00891C89"/>
    <w:rsid w:val="00891D8D"/>
    <w:rsid w:val="00893C41"/>
    <w:rsid w:val="008A689A"/>
    <w:rsid w:val="008C38B8"/>
    <w:rsid w:val="008C6658"/>
    <w:rsid w:val="008C7D69"/>
    <w:rsid w:val="008E2F0D"/>
    <w:rsid w:val="008E6177"/>
    <w:rsid w:val="008F70BE"/>
    <w:rsid w:val="008F720A"/>
    <w:rsid w:val="00903621"/>
    <w:rsid w:val="00904B47"/>
    <w:rsid w:val="0095186B"/>
    <w:rsid w:val="009576C9"/>
    <w:rsid w:val="00965876"/>
    <w:rsid w:val="00967936"/>
    <w:rsid w:val="00972C87"/>
    <w:rsid w:val="00981E1A"/>
    <w:rsid w:val="009A3E0A"/>
    <w:rsid w:val="009B7BC3"/>
    <w:rsid w:val="009C2E4F"/>
    <w:rsid w:val="009C55CE"/>
    <w:rsid w:val="009D67A6"/>
    <w:rsid w:val="009E39EF"/>
    <w:rsid w:val="009F072C"/>
    <w:rsid w:val="009F299E"/>
    <w:rsid w:val="00A02884"/>
    <w:rsid w:val="00A22C0B"/>
    <w:rsid w:val="00A2748B"/>
    <w:rsid w:val="00A46FF5"/>
    <w:rsid w:val="00A5035B"/>
    <w:rsid w:val="00A53E75"/>
    <w:rsid w:val="00A55114"/>
    <w:rsid w:val="00A56FE1"/>
    <w:rsid w:val="00A625F3"/>
    <w:rsid w:val="00A71C6D"/>
    <w:rsid w:val="00A72012"/>
    <w:rsid w:val="00A82794"/>
    <w:rsid w:val="00A92E20"/>
    <w:rsid w:val="00A93578"/>
    <w:rsid w:val="00AA2E82"/>
    <w:rsid w:val="00AA5295"/>
    <w:rsid w:val="00AB6531"/>
    <w:rsid w:val="00AC4AAB"/>
    <w:rsid w:val="00AD3338"/>
    <w:rsid w:val="00AE6F57"/>
    <w:rsid w:val="00AF757F"/>
    <w:rsid w:val="00B2094D"/>
    <w:rsid w:val="00B22A48"/>
    <w:rsid w:val="00B33B8E"/>
    <w:rsid w:val="00B40A0B"/>
    <w:rsid w:val="00B55970"/>
    <w:rsid w:val="00B64C16"/>
    <w:rsid w:val="00B84732"/>
    <w:rsid w:val="00BB0837"/>
    <w:rsid w:val="00BB0898"/>
    <w:rsid w:val="00BB1B96"/>
    <w:rsid w:val="00BB5EC5"/>
    <w:rsid w:val="00BD5524"/>
    <w:rsid w:val="00BE3C68"/>
    <w:rsid w:val="00BE5079"/>
    <w:rsid w:val="00BF09F5"/>
    <w:rsid w:val="00BF7447"/>
    <w:rsid w:val="00C075EF"/>
    <w:rsid w:val="00C13332"/>
    <w:rsid w:val="00C20221"/>
    <w:rsid w:val="00C3386C"/>
    <w:rsid w:val="00C3638D"/>
    <w:rsid w:val="00C5094D"/>
    <w:rsid w:val="00C60791"/>
    <w:rsid w:val="00C6192D"/>
    <w:rsid w:val="00C64757"/>
    <w:rsid w:val="00C701FB"/>
    <w:rsid w:val="00C81768"/>
    <w:rsid w:val="00C91027"/>
    <w:rsid w:val="00CA3BE8"/>
    <w:rsid w:val="00CA52CF"/>
    <w:rsid w:val="00CB5F40"/>
    <w:rsid w:val="00CC0ACD"/>
    <w:rsid w:val="00CC2D49"/>
    <w:rsid w:val="00CC4FCF"/>
    <w:rsid w:val="00CD0E19"/>
    <w:rsid w:val="00CD197C"/>
    <w:rsid w:val="00D0425E"/>
    <w:rsid w:val="00D05C7B"/>
    <w:rsid w:val="00D448FE"/>
    <w:rsid w:val="00D45658"/>
    <w:rsid w:val="00D646C1"/>
    <w:rsid w:val="00D72A1A"/>
    <w:rsid w:val="00D7634D"/>
    <w:rsid w:val="00D77716"/>
    <w:rsid w:val="00D77EAA"/>
    <w:rsid w:val="00D846B6"/>
    <w:rsid w:val="00D87A9F"/>
    <w:rsid w:val="00D959E9"/>
    <w:rsid w:val="00D97306"/>
    <w:rsid w:val="00DA20AF"/>
    <w:rsid w:val="00DB48CB"/>
    <w:rsid w:val="00DB5FE3"/>
    <w:rsid w:val="00DB71C0"/>
    <w:rsid w:val="00DB725B"/>
    <w:rsid w:val="00DB7FAB"/>
    <w:rsid w:val="00DC2517"/>
    <w:rsid w:val="00DE2B48"/>
    <w:rsid w:val="00DE5674"/>
    <w:rsid w:val="00E34333"/>
    <w:rsid w:val="00E4225E"/>
    <w:rsid w:val="00E57669"/>
    <w:rsid w:val="00E623EB"/>
    <w:rsid w:val="00E73AB6"/>
    <w:rsid w:val="00E84DDF"/>
    <w:rsid w:val="00E97F93"/>
    <w:rsid w:val="00EA0A3D"/>
    <w:rsid w:val="00EB209D"/>
    <w:rsid w:val="00EB6EF2"/>
    <w:rsid w:val="00EF646A"/>
    <w:rsid w:val="00F02269"/>
    <w:rsid w:val="00F07B11"/>
    <w:rsid w:val="00F1325C"/>
    <w:rsid w:val="00F134D5"/>
    <w:rsid w:val="00F154BD"/>
    <w:rsid w:val="00F15631"/>
    <w:rsid w:val="00F23201"/>
    <w:rsid w:val="00F5311A"/>
    <w:rsid w:val="00F61806"/>
    <w:rsid w:val="00F64C54"/>
    <w:rsid w:val="00F844DF"/>
    <w:rsid w:val="00F910EB"/>
    <w:rsid w:val="00F9540C"/>
    <w:rsid w:val="00FA2E24"/>
    <w:rsid w:val="00FC6F3F"/>
    <w:rsid w:val="00FD69D7"/>
    <w:rsid w:val="00FE29FF"/>
    <w:rsid w:val="00FE5EAD"/>
    <w:rsid w:val="00FE65D8"/>
    <w:rsid w:val="00FE7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BD"/>
    <w:rPr>
      <w:snapToGrid w:val="0"/>
      <w:sz w:val="24"/>
    </w:rPr>
  </w:style>
  <w:style w:type="paragraph" w:styleId="Heading1">
    <w:name w:val="heading 1"/>
    <w:basedOn w:val="Normal"/>
    <w:next w:val="Normal"/>
    <w:qFormat/>
    <w:rsid w:val="00F154BD"/>
    <w:pPr>
      <w:keepNext/>
      <w:outlineLvl w:val="0"/>
    </w:pPr>
    <w:rPr>
      <w:rFonts w:ascii="Times" w:hAnsi="Times"/>
      <w:b/>
      <w:bCs/>
      <w:color w:val="000000"/>
      <w:szCs w:val="24"/>
    </w:rPr>
  </w:style>
  <w:style w:type="paragraph" w:styleId="Heading2">
    <w:name w:val="heading 2"/>
    <w:basedOn w:val="Normal"/>
    <w:next w:val="Normal"/>
    <w:qFormat/>
    <w:rsid w:val="00F154BD"/>
    <w:pPr>
      <w:keepNext/>
      <w:jc w:val="both"/>
      <w:outlineLvl w:val="1"/>
    </w:pPr>
    <w:rPr>
      <w:b/>
      <w:bCs/>
    </w:rPr>
  </w:style>
  <w:style w:type="paragraph" w:styleId="Heading3">
    <w:name w:val="heading 3"/>
    <w:basedOn w:val="Normal"/>
    <w:next w:val="Normal"/>
    <w:qFormat/>
    <w:rsid w:val="00F154BD"/>
    <w:pPr>
      <w:keepNext/>
      <w:jc w:val="both"/>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54BD"/>
    <w:pPr>
      <w:jc w:val="both"/>
    </w:pPr>
    <w:rPr>
      <w:rFonts w:ascii="Times" w:hAnsi="Times"/>
      <w:color w:val="000000"/>
      <w:szCs w:val="24"/>
    </w:rPr>
  </w:style>
  <w:style w:type="paragraph" w:styleId="FootnoteText">
    <w:name w:val="footnote text"/>
    <w:basedOn w:val="Normal"/>
    <w:semiHidden/>
    <w:rsid w:val="00F154BD"/>
    <w:rPr>
      <w:sz w:val="20"/>
    </w:rPr>
  </w:style>
  <w:style w:type="character" w:styleId="FootnoteReference">
    <w:name w:val="footnote reference"/>
    <w:basedOn w:val="DefaultParagraphFont"/>
    <w:semiHidden/>
    <w:rsid w:val="00F154BD"/>
    <w:rPr>
      <w:vertAlign w:val="superscript"/>
    </w:rPr>
  </w:style>
  <w:style w:type="paragraph" w:styleId="Footer">
    <w:name w:val="footer"/>
    <w:basedOn w:val="Normal"/>
    <w:rsid w:val="00F154BD"/>
    <w:pPr>
      <w:tabs>
        <w:tab w:val="center" w:pos="4320"/>
        <w:tab w:val="right" w:pos="8640"/>
      </w:tabs>
    </w:pPr>
    <w:rPr>
      <w:snapToGrid/>
    </w:rPr>
  </w:style>
  <w:style w:type="character" w:styleId="PageNumber">
    <w:name w:val="page number"/>
    <w:basedOn w:val="DefaultParagraphFont"/>
    <w:rsid w:val="00F154BD"/>
  </w:style>
  <w:style w:type="paragraph" w:styleId="BodyTextIndent3">
    <w:name w:val="Body Text Indent 3"/>
    <w:basedOn w:val="Normal"/>
    <w:rsid w:val="00724F60"/>
    <w:pPr>
      <w:ind w:firstLine="720"/>
      <w:jc w:val="both"/>
    </w:pPr>
  </w:style>
  <w:style w:type="paragraph" w:styleId="Header">
    <w:name w:val="header"/>
    <w:basedOn w:val="Normal"/>
    <w:link w:val="HeaderChar"/>
    <w:uiPriority w:val="99"/>
    <w:rsid w:val="00CD0E19"/>
    <w:pPr>
      <w:tabs>
        <w:tab w:val="center" w:pos="4320"/>
        <w:tab w:val="right" w:pos="8640"/>
      </w:tabs>
    </w:pPr>
  </w:style>
  <w:style w:type="character" w:styleId="CommentReference">
    <w:name w:val="annotation reference"/>
    <w:basedOn w:val="DefaultParagraphFont"/>
    <w:semiHidden/>
    <w:rsid w:val="00155BE7"/>
    <w:rPr>
      <w:sz w:val="16"/>
      <w:szCs w:val="16"/>
    </w:rPr>
  </w:style>
  <w:style w:type="paragraph" w:styleId="CommentText">
    <w:name w:val="annotation text"/>
    <w:basedOn w:val="Normal"/>
    <w:semiHidden/>
    <w:rsid w:val="00155BE7"/>
    <w:rPr>
      <w:sz w:val="20"/>
    </w:rPr>
  </w:style>
  <w:style w:type="paragraph" w:styleId="CommentSubject">
    <w:name w:val="annotation subject"/>
    <w:basedOn w:val="CommentText"/>
    <w:next w:val="CommentText"/>
    <w:semiHidden/>
    <w:rsid w:val="00155BE7"/>
    <w:rPr>
      <w:b/>
      <w:bCs/>
    </w:rPr>
  </w:style>
  <w:style w:type="paragraph" w:styleId="BalloonText">
    <w:name w:val="Balloon Text"/>
    <w:basedOn w:val="Normal"/>
    <w:semiHidden/>
    <w:rsid w:val="00155BE7"/>
    <w:rPr>
      <w:rFonts w:ascii="Tahoma" w:hAnsi="Tahoma" w:cs="Tahoma"/>
      <w:sz w:val="16"/>
      <w:szCs w:val="16"/>
    </w:rPr>
  </w:style>
  <w:style w:type="paragraph" w:styleId="NormalWeb">
    <w:name w:val="Normal (Web)"/>
    <w:basedOn w:val="Normal"/>
    <w:rsid w:val="0061786E"/>
    <w:pPr>
      <w:spacing w:before="100" w:beforeAutospacing="1" w:after="100" w:afterAutospacing="1"/>
    </w:pPr>
    <w:rPr>
      <w:snapToGrid/>
      <w:szCs w:val="24"/>
    </w:rPr>
  </w:style>
  <w:style w:type="character" w:styleId="Hyperlink">
    <w:name w:val="Hyperlink"/>
    <w:basedOn w:val="DefaultParagraphFont"/>
    <w:rsid w:val="00CC4FCF"/>
    <w:rPr>
      <w:color w:val="0000FF"/>
      <w:u w:val="single"/>
    </w:rPr>
  </w:style>
  <w:style w:type="character" w:customStyle="1" w:styleId="HeaderChar">
    <w:name w:val="Header Char"/>
    <w:basedOn w:val="DefaultParagraphFont"/>
    <w:link w:val="Header"/>
    <w:uiPriority w:val="99"/>
    <w:rsid w:val="00D0425E"/>
    <w:rPr>
      <w:snapToGrid w:val="0"/>
      <w:sz w:val="24"/>
    </w:rPr>
  </w:style>
  <w:style w:type="character" w:styleId="FollowedHyperlink">
    <w:name w:val="FollowedHyperlink"/>
    <w:basedOn w:val="DefaultParagraphFont"/>
    <w:uiPriority w:val="99"/>
    <w:semiHidden/>
    <w:unhideWhenUsed/>
    <w:rsid w:val="0024473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2233</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14886</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m1jas00</cp:lastModifiedBy>
  <cp:revision>2</cp:revision>
  <cp:lastPrinted>2011-04-05T14:36:00Z</cp:lastPrinted>
  <dcterms:created xsi:type="dcterms:W3CDTF">2011-04-05T15:01:00Z</dcterms:created>
  <dcterms:modified xsi:type="dcterms:W3CDTF">2011-04-05T15:01:00Z</dcterms:modified>
</cp:coreProperties>
</file>