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26A" w:rsidRPr="009A226A" w:rsidRDefault="009A226A" w:rsidP="009A226A">
      <w:pPr>
        <w:jc w:val="center"/>
        <w:rPr>
          <w:b/>
        </w:rPr>
      </w:pPr>
      <w:r w:rsidRPr="009A226A">
        <w:rPr>
          <w:b/>
        </w:rPr>
        <w:t>SUPPORTING STATEMENT FOR RULES UNDER THE</w:t>
      </w:r>
    </w:p>
    <w:p w:rsidR="0051519D" w:rsidRDefault="0051519D" w:rsidP="009A226A">
      <w:pPr>
        <w:jc w:val="center"/>
        <w:rPr>
          <w:b/>
        </w:rPr>
      </w:pPr>
      <w:r>
        <w:rPr>
          <w:b/>
        </w:rPr>
        <w:t>SECURITIES ACT OF 1933,</w:t>
      </w:r>
    </w:p>
    <w:p w:rsidR="00DB4683" w:rsidRDefault="009A226A" w:rsidP="009A226A">
      <w:pPr>
        <w:jc w:val="center"/>
        <w:rPr>
          <w:b/>
        </w:rPr>
      </w:pPr>
      <w:r w:rsidRPr="009A226A">
        <w:rPr>
          <w:b/>
        </w:rPr>
        <w:t>SECURIT</w:t>
      </w:r>
      <w:r w:rsidR="008B20CB">
        <w:rPr>
          <w:b/>
        </w:rPr>
        <w:t>I</w:t>
      </w:r>
      <w:r w:rsidRPr="009A226A">
        <w:rPr>
          <w:b/>
        </w:rPr>
        <w:t>ES EXCHANGE ACT OF 1934</w:t>
      </w:r>
    </w:p>
    <w:p w:rsidR="008B20CB" w:rsidRDefault="008B20CB" w:rsidP="009A226A">
      <w:pPr>
        <w:jc w:val="center"/>
        <w:rPr>
          <w:b/>
        </w:rPr>
      </w:pPr>
      <w:r>
        <w:rPr>
          <w:b/>
        </w:rPr>
        <w:t xml:space="preserve">DODD-FRANK WALL STREET REFORM AND </w:t>
      </w:r>
    </w:p>
    <w:p w:rsidR="008B20CB" w:rsidRPr="009A226A" w:rsidRDefault="008B20CB" w:rsidP="009A226A">
      <w:pPr>
        <w:jc w:val="center"/>
        <w:rPr>
          <w:b/>
        </w:rPr>
      </w:pPr>
      <w:r>
        <w:rPr>
          <w:b/>
        </w:rPr>
        <w:t xml:space="preserve">CONSUMER PROTECTION ACT </w:t>
      </w:r>
    </w:p>
    <w:p w:rsidR="009A226A" w:rsidRDefault="009A226A" w:rsidP="006577BC"/>
    <w:p w:rsidR="009A226A" w:rsidRDefault="009A226A" w:rsidP="006577BC">
      <w:r>
        <w:tab/>
        <w:t xml:space="preserve">This supporting statement is part of a submission under the Paperwork Reduction Act of 1995, 44 U.S.C. §3501, </w:t>
      </w:r>
      <w:r w:rsidRPr="009A226A">
        <w:rPr>
          <w:u w:val="single"/>
        </w:rPr>
        <w:t>et seq</w:t>
      </w:r>
      <w:r>
        <w:t xml:space="preserve">. </w:t>
      </w:r>
    </w:p>
    <w:p w:rsidR="009A226A" w:rsidRDefault="009A226A" w:rsidP="006577BC"/>
    <w:p w:rsidR="009A226A" w:rsidRPr="009A226A" w:rsidRDefault="009A226A" w:rsidP="009A226A">
      <w:pPr>
        <w:pStyle w:val="ListParagraph"/>
        <w:numPr>
          <w:ilvl w:val="0"/>
          <w:numId w:val="3"/>
        </w:numPr>
        <w:rPr>
          <w:b/>
        </w:rPr>
      </w:pPr>
      <w:r w:rsidRPr="009A226A">
        <w:rPr>
          <w:b/>
        </w:rPr>
        <w:t>JUSTIFICATION</w:t>
      </w:r>
    </w:p>
    <w:p w:rsidR="009A226A" w:rsidRDefault="009A226A" w:rsidP="009A226A">
      <w:pPr>
        <w:pStyle w:val="ListParagraph"/>
        <w:ind w:left="405"/>
      </w:pPr>
    </w:p>
    <w:p w:rsidR="009A226A" w:rsidRPr="009A226A" w:rsidRDefault="009A226A" w:rsidP="009A226A">
      <w:pPr>
        <w:pStyle w:val="ListParagraph"/>
        <w:numPr>
          <w:ilvl w:val="0"/>
          <w:numId w:val="4"/>
        </w:numPr>
        <w:rPr>
          <w:b/>
        </w:rPr>
      </w:pPr>
      <w:r w:rsidRPr="009A226A">
        <w:rPr>
          <w:b/>
        </w:rPr>
        <w:t xml:space="preserve">NECESSITY OF INFORMATION COLLECTION </w:t>
      </w:r>
    </w:p>
    <w:p w:rsidR="009A226A" w:rsidRDefault="009A226A" w:rsidP="009A226A">
      <w:pPr>
        <w:pStyle w:val="ListParagraph"/>
        <w:ind w:left="765"/>
      </w:pPr>
    </w:p>
    <w:p w:rsidR="0003073E" w:rsidRDefault="0067165B" w:rsidP="0003073E">
      <w:pPr>
        <w:tabs>
          <w:tab w:val="left" w:pos="720"/>
        </w:tabs>
      </w:pPr>
      <w:r>
        <w:tab/>
      </w:r>
      <w:r w:rsidR="0003073E">
        <w:t>In Release No. 33-9175,</w:t>
      </w:r>
      <w:r w:rsidR="0003073E">
        <w:rPr>
          <w:rStyle w:val="FootnoteReference"/>
        </w:rPr>
        <w:footnoteReference w:id="1"/>
      </w:r>
      <w:r w:rsidR="0003073E">
        <w:t xml:space="preserve"> the Securities and Exchange Commission (the “Commission”) adopted amendments to certain rules and form requirements to implement Section 943 of the Dodd-Frank Wall Street Reform and Consumer Protection Act (“the Act”) relating to asset-backed securities (“ABS”).  The amendments are designed to implement the requirements of Section 943 of the Act by providing investors with information regarding the use of representations and warranties in the ABS markets.</w:t>
      </w:r>
      <w:r w:rsidR="0003073E">
        <w:rPr>
          <w:rStyle w:val="FootnoteReference"/>
        </w:rPr>
        <w:footnoteReference w:id="2"/>
      </w:r>
      <w:r w:rsidR="0003073E">
        <w:t xml:space="preserve">  </w:t>
      </w:r>
    </w:p>
    <w:p w:rsidR="0003073E" w:rsidRDefault="0003073E" w:rsidP="0003073E">
      <w:pPr>
        <w:tabs>
          <w:tab w:val="left" w:pos="720"/>
        </w:tabs>
      </w:pPr>
    </w:p>
    <w:p w:rsidR="0003073E" w:rsidRDefault="0003073E" w:rsidP="0003073E">
      <w:pPr>
        <w:tabs>
          <w:tab w:val="left" w:pos="720"/>
        </w:tabs>
      </w:pPr>
      <w:r>
        <w:tab/>
        <w:t xml:space="preserve">The amendments contain “collection of information” requirements within the meaning of the Paperwork Reduction Act of 1995.  The titles for the collections of information contained by the amendments are:  </w:t>
      </w:r>
    </w:p>
    <w:p w:rsidR="0003073E" w:rsidRDefault="0003073E" w:rsidP="0003073E">
      <w:pPr>
        <w:tabs>
          <w:tab w:val="left" w:pos="720"/>
        </w:tabs>
      </w:pPr>
    </w:p>
    <w:p w:rsidR="0003073E" w:rsidRDefault="0003073E" w:rsidP="0003073E">
      <w:pPr>
        <w:pStyle w:val="ListParagraph"/>
        <w:numPr>
          <w:ilvl w:val="0"/>
          <w:numId w:val="6"/>
        </w:numPr>
        <w:tabs>
          <w:tab w:val="left" w:pos="720"/>
        </w:tabs>
      </w:pPr>
      <w:r>
        <w:t xml:space="preserve">“Form ABS-15G” (a new collection of information); </w:t>
      </w:r>
    </w:p>
    <w:p w:rsidR="0003073E" w:rsidRDefault="0003073E" w:rsidP="0003073E">
      <w:pPr>
        <w:pStyle w:val="ListParagraph"/>
        <w:numPr>
          <w:ilvl w:val="0"/>
          <w:numId w:val="6"/>
        </w:numPr>
        <w:tabs>
          <w:tab w:val="left" w:pos="720"/>
        </w:tabs>
      </w:pPr>
      <w:r>
        <w:t>“Regulation S-K” (OMB Control No. 3235-0071); and</w:t>
      </w:r>
    </w:p>
    <w:p w:rsidR="0003073E" w:rsidRDefault="0003073E" w:rsidP="0003073E">
      <w:pPr>
        <w:pStyle w:val="ListParagraph"/>
        <w:numPr>
          <w:ilvl w:val="0"/>
          <w:numId w:val="6"/>
        </w:numPr>
        <w:tabs>
          <w:tab w:val="left" w:pos="720"/>
        </w:tabs>
      </w:pPr>
      <w:r>
        <w:t>“Rule 17g-7” (a new collection of information).</w:t>
      </w:r>
      <w:r>
        <w:rPr>
          <w:rStyle w:val="FootnoteReference"/>
        </w:rPr>
        <w:footnoteReference w:id="3"/>
      </w:r>
    </w:p>
    <w:p w:rsidR="0003073E" w:rsidRDefault="0003073E" w:rsidP="0003073E">
      <w:pPr>
        <w:tabs>
          <w:tab w:val="left" w:pos="720"/>
        </w:tabs>
      </w:pPr>
    </w:p>
    <w:p w:rsidR="0003073E" w:rsidRDefault="0003073E" w:rsidP="0003073E">
      <w:pPr>
        <w:tabs>
          <w:tab w:val="left" w:pos="720"/>
        </w:tabs>
      </w:pPr>
      <w:r>
        <w:tab/>
        <w:t xml:space="preserve">“Form ABS-15G” and “Rule 17g-7” are new collections of information created by the new rules.  Form ABS-15G will contain disclosures required by </w:t>
      </w:r>
      <w:r w:rsidR="00AC624F">
        <w:t>new</w:t>
      </w:r>
      <w:r>
        <w:t xml:space="preserve"> Rule 15Ga-1 that would require securitizers to provide disclosure regarding fulfilled and unfulfilled repurchase requests with respect to asset-backed securities, as required by the Act (“Exchange Act-ABS”).</w:t>
      </w:r>
      <w:r w:rsidR="001F3295">
        <w:rPr>
          <w:rStyle w:val="FootnoteReference"/>
        </w:rPr>
        <w:footnoteReference w:id="4"/>
      </w:r>
      <w:r>
        <w:t xml:space="preserve">  Rule 17g-7 will require nationally recognized statistical rating organizations (“NRSROs”) to provide disclosure regarding the representations, warranties and enforcement mechanisms available to investors in any report accompanying a credit rating issued by an NRSRO in connection with an Exchange Act-ABS transaction. </w:t>
      </w:r>
    </w:p>
    <w:p w:rsidR="005B063C" w:rsidRDefault="001B54AD" w:rsidP="0003073E">
      <w:pPr>
        <w:tabs>
          <w:tab w:val="left" w:pos="720"/>
        </w:tabs>
      </w:pPr>
      <w:r>
        <w:lastRenderedPageBreak/>
        <w:t xml:space="preserve"> </w:t>
      </w:r>
    </w:p>
    <w:p w:rsidR="005B063C" w:rsidRDefault="005B063C" w:rsidP="001B54AD">
      <w:pPr>
        <w:tabs>
          <w:tab w:val="left" w:pos="720"/>
        </w:tabs>
      </w:pPr>
    </w:p>
    <w:p w:rsidR="009A226A" w:rsidRPr="00B431DC" w:rsidRDefault="00C10733" w:rsidP="009A226A">
      <w:pPr>
        <w:pStyle w:val="ListParagraph"/>
        <w:numPr>
          <w:ilvl w:val="0"/>
          <w:numId w:val="4"/>
        </w:numPr>
        <w:rPr>
          <w:b/>
        </w:rPr>
      </w:pPr>
      <w:r w:rsidRPr="00B431DC">
        <w:rPr>
          <w:b/>
        </w:rPr>
        <w:t>PURPOSE</w:t>
      </w:r>
      <w:r w:rsidR="00600DAD">
        <w:rPr>
          <w:b/>
        </w:rPr>
        <w:t>S</w:t>
      </w:r>
      <w:r w:rsidRPr="00B431DC">
        <w:rPr>
          <w:b/>
        </w:rPr>
        <w:t xml:space="preserve"> </w:t>
      </w:r>
      <w:r w:rsidR="000A5F6E">
        <w:rPr>
          <w:b/>
        </w:rPr>
        <w:t xml:space="preserve">AND USE OF THE </w:t>
      </w:r>
      <w:r w:rsidRPr="00B431DC">
        <w:rPr>
          <w:b/>
        </w:rPr>
        <w:t>INFORMATION COLLECTION</w:t>
      </w:r>
    </w:p>
    <w:p w:rsidR="00C10733" w:rsidRDefault="00C10733" w:rsidP="00C10733">
      <w:pPr>
        <w:pStyle w:val="ListParagraph"/>
        <w:ind w:left="765"/>
      </w:pPr>
    </w:p>
    <w:p w:rsidR="00B431DC" w:rsidRDefault="00433220" w:rsidP="00433220">
      <w:pPr>
        <w:ind w:firstLine="720"/>
      </w:pPr>
      <w:r>
        <w:t xml:space="preserve">The purpose of the </w:t>
      </w:r>
      <w:r w:rsidR="00AC624F">
        <w:t>new</w:t>
      </w:r>
      <w:r>
        <w:t xml:space="preserve"> collections of information is to </w:t>
      </w:r>
      <w:r w:rsidR="001B54AD">
        <w:t xml:space="preserve">implement the disclosure requirements of Section 943 of the Act to </w:t>
      </w:r>
      <w:r w:rsidR="00840A68">
        <w:t xml:space="preserve">provide </w:t>
      </w:r>
      <w:r w:rsidR="001B54AD">
        <w:t>information regarding the use of representations and warranties in the ABS markets</w:t>
      </w:r>
      <w:r w:rsidR="00840A68">
        <w:t xml:space="preserve"> </w:t>
      </w:r>
    </w:p>
    <w:p w:rsidR="00C10733" w:rsidRDefault="00C10733" w:rsidP="00C10733">
      <w:pPr>
        <w:pStyle w:val="ListParagraph"/>
        <w:ind w:left="765"/>
      </w:pPr>
    </w:p>
    <w:p w:rsidR="00C10733" w:rsidRPr="00B431DC" w:rsidRDefault="000A5F6E" w:rsidP="009A226A">
      <w:pPr>
        <w:pStyle w:val="ListParagraph"/>
        <w:numPr>
          <w:ilvl w:val="0"/>
          <w:numId w:val="4"/>
        </w:numPr>
        <w:rPr>
          <w:b/>
        </w:rPr>
      </w:pPr>
      <w:r>
        <w:rPr>
          <w:b/>
        </w:rPr>
        <w:t>CONSIDERATION GIVEN TO INFORMATION TECHNOLOGY</w:t>
      </w:r>
    </w:p>
    <w:p w:rsidR="00C10733" w:rsidRDefault="00C10733" w:rsidP="00C10733">
      <w:pPr>
        <w:pStyle w:val="ListParagraph"/>
      </w:pPr>
    </w:p>
    <w:p w:rsidR="00433220" w:rsidRDefault="009574BD" w:rsidP="00433220">
      <w:pPr>
        <w:ind w:firstLine="720"/>
      </w:pPr>
      <w:r>
        <w:t>Rule 17g-7 disclosure</w:t>
      </w:r>
      <w:r w:rsidR="00433220">
        <w:t xml:space="preserve"> is not required to be filed with the Commission.  </w:t>
      </w:r>
    </w:p>
    <w:p w:rsidR="00C10733" w:rsidRDefault="00C10733" w:rsidP="00C10733"/>
    <w:p w:rsidR="00C10733" w:rsidRPr="00B431DC" w:rsidRDefault="00C10733" w:rsidP="009A226A">
      <w:pPr>
        <w:pStyle w:val="ListParagraph"/>
        <w:numPr>
          <w:ilvl w:val="0"/>
          <w:numId w:val="4"/>
        </w:numPr>
        <w:rPr>
          <w:b/>
        </w:rPr>
      </w:pPr>
      <w:r w:rsidRPr="00B431DC">
        <w:rPr>
          <w:b/>
        </w:rPr>
        <w:t>DUPLICATION</w:t>
      </w:r>
    </w:p>
    <w:p w:rsidR="00C10733" w:rsidRDefault="00C10733" w:rsidP="00C10733">
      <w:pPr>
        <w:pStyle w:val="ListParagraph"/>
      </w:pPr>
    </w:p>
    <w:p w:rsidR="00C10733" w:rsidRDefault="00433220" w:rsidP="00365414">
      <w:pPr>
        <w:ind w:firstLine="720"/>
      </w:pPr>
      <w:r>
        <w:t xml:space="preserve">We are not aware of any </w:t>
      </w:r>
      <w:r w:rsidR="00365414">
        <w:t xml:space="preserve">rules that conflict with or substantially duplicate the </w:t>
      </w:r>
      <w:r w:rsidR="00AC624F">
        <w:t>new</w:t>
      </w:r>
      <w:r w:rsidR="00365414">
        <w:t xml:space="preserve"> rules.</w:t>
      </w:r>
    </w:p>
    <w:p w:rsidR="00B431DC" w:rsidRDefault="00B431DC" w:rsidP="00C10733">
      <w:pPr>
        <w:pStyle w:val="ListParagraph"/>
      </w:pPr>
    </w:p>
    <w:p w:rsidR="00C10733" w:rsidRPr="00B431DC" w:rsidRDefault="000A5F6E" w:rsidP="009A226A">
      <w:pPr>
        <w:pStyle w:val="ListParagraph"/>
        <w:numPr>
          <w:ilvl w:val="0"/>
          <w:numId w:val="4"/>
        </w:numPr>
        <w:rPr>
          <w:b/>
        </w:rPr>
      </w:pPr>
      <w:r>
        <w:rPr>
          <w:b/>
        </w:rPr>
        <w:t>EFFECT ON SMALL ENTITIES</w:t>
      </w:r>
    </w:p>
    <w:p w:rsidR="00C10733" w:rsidRDefault="00C10733" w:rsidP="00C10733">
      <w:pPr>
        <w:pStyle w:val="ListParagraph"/>
      </w:pPr>
    </w:p>
    <w:p w:rsidR="00B431DC" w:rsidRDefault="00365414" w:rsidP="00365414">
      <w:pPr>
        <w:ind w:firstLine="720"/>
      </w:pPr>
      <w:r>
        <w:t xml:space="preserve">The amendments would not impact a significant number of small entities.  Rules in the Securities Act and Exchange Act define an issuer, other than an investment company, to be a “small business” or a “small organization” if it had total assets of $5 million or less on the last day of its most recent fiscal year.  </w:t>
      </w:r>
      <w:r w:rsidR="0003073E">
        <w:t>C</w:t>
      </w:r>
      <w:r w:rsidR="00633864">
        <w:t xml:space="preserve">urrently there are two NRSROs that are classified as “small” entities.  </w:t>
      </w:r>
      <w:r w:rsidR="00603120" w:rsidRPr="005C4CB8">
        <w:t xml:space="preserve">As noted above, we are not prescribing how an NRSRO must fulfill its responsibility to compare the terms of a deal to those of similar securities.  </w:t>
      </w:r>
    </w:p>
    <w:p w:rsidR="00C10733" w:rsidRDefault="00C10733" w:rsidP="00C10733">
      <w:pPr>
        <w:pStyle w:val="ListParagraph"/>
      </w:pPr>
    </w:p>
    <w:p w:rsidR="00C10733" w:rsidRPr="000A5F6E" w:rsidRDefault="00C10733" w:rsidP="00C10733">
      <w:pPr>
        <w:pStyle w:val="ListParagraph"/>
        <w:numPr>
          <w:ilvl w:val="0"/>
          <w:numId w:val="4"/>
        </w:numPr>
      </w:pPr>
      <w:r w:rsidRPr="000A5F6E">
        <w:rPr>
          <w:b/>
        </w:rPr>
        <w:t>CO</w:t>
      </w:r>
      <w:r w:rsidR="00B431DC" w:rsidRPr="000A5F6E">
        <w:rPr>
          <w:b/>
        </w:rPr>
        <w:t xml:space="preserve">NSEQUENCES OF </w:t>
      </w:r>
      <w:r w:rsidR="000A5F6E" w:rsidRPr="000A5F6E">
        <w:rPr>
          <w:b/>
        </w:rPr>
        <w:t>NOT CONDUCTING COLLECTION</w:t>
      </w:r>
    </w:p>
    <w:p w:rsidR="000A5F6E" w:rsidRDefault="000A5F6E" w:rsidP="000A5F6E">
      <w:pPr>
        <w:pStyle w:val="ListParagraph"/>
        <w:ind w:left="765"/>
      </w:pPr>
    </w:p>
    <w:p w:rsidR="00B431DC" w:rsidRDefault="00433D07" w:rsidP="00B1765F">
      <w:pPr>
        <w:ind w:firstLine="720"/>
      </w:pPr>
      <w:r>
        <w:t xml:space="preserve">The objectives of offering disclosure requirements under the Securities Act and the ongoing disclosure requirements under the Exchange Act could not be met with less frequent collection of this information for asset-backed securities. </w:t>
      </w:r>
    </w:p>
    <w:p w:rsidR="00C10733" w:rsidRDefault="00C10733" w:rsidP="00C10733">
      <w:pPr>
        <w:pStyle w:val="ListParagraph"/>
      </w:pPr>
    </w:p>
    <w:p w:rsidR="00C10733" w:rsidRDefault="000A5F6E" w:rsidP="00C96762">
      <w:pPr>
        <w:pStyle w:val="ListParagraph"/>
        <w:numPr>
          <w:ilvl w:val="0"/>
          <w:numId w:val="4"/>
        </w:numPr>
        <w:rPr>
          <w:b/>
        </w:rPr>
      </w:pPr>
      <w:r>
        <w:rPr>
          <w:b/>
        </w:rPr>
        <w:t>I</w:t>
      </w:r>
      <w:r w:rsidR="00C96762">
        <w:rPr>
          <w:b/>
        </w:rPr>
        <w:t>NCONSISTENCIES WITH GUIDELINES IN 5 CFR 1320.5(d)(2)</w:t>
      </w:r>
    </w:p>
    <w:p w:rsidR="00433220" w:rsidRDefault="00433220" w:rsidP="00C96762">
      <w:pPr>
        <w:ind w:left="405"/>
      </w:pPr>
    </w:p>
    <w:p w:rsidR="00B431DC" w:rsidRDefault="00C96762" w:rsidP="00433220">
      <w:pPr>
        <w:ind w:left="405" w:firstLine="315"/>
      </w:pPr>
      <w:r w:rsidRPr="00C96762">
        <w:t>None.</w:t>
      </w:r>
    </w:p>
    <w:p w:rsidR="00C10733" w:rsidRDefault="00C10733" w:rsidP="00C10733">
      <w:pPr>
        <w:pStyle w:val="ListParagraph"/>
      </w:pPr>
    </w:p>
    <w:p w:rsidR="00C10733" w:rsidRPr="00B918C1" w:rsidRDefault="00C10733" w:rsidP="009A226A">
      <w:pPr>
        <w:pStyle w:val="ListParagraph"/>
        <w:numPr>
          <w:ilvl w:val="0"/>
          <w:numId w:val="4"/>
        </w:numPr>
        <w:rPr>
          <w:b/>
        </w:rPr>
      </w:pPr>
      <w:r w:rsidRPr="00B918C1">
        <w:rPr>
          <w:b/>
        </w:rPr>
        <w:t>CONSULT</w:t>
      </w:r>
      <w:r w:rsidR="000A5F6E">
        <w:rPr>
          <w:b/>
        </w:rPr>
        <w:t>ATION</w:t>
      </w:r>
      <w:r w:rsidR="00600DAD">
        <w:rPr>
          <w:b/>
        </w:rPr>
        <w:t>S</w:t>
      </w:r>
      <w:r w:rsidRPr="00B918C1">
        <w:rPr>
          <w:b/>
        </w:rPr>
        <w:t xml:space="preserve"> OUTSIDE THE AGENCY</w:t>
      </w:r>
    </w:p>
    <w:p w:rsidR="00B918C1" w:rsidRDefault="00B918C1" w:rsidP="00B918C1"/>
    <w:p w:rsidR="00C10733" w:rsidRDefault="00AC624F" w:rsidP="00AC624F">
      <w:pPr>
        <w:ind w:firstLine="405"/>
        <w:rPr>
          <w:color w:val="000000"/>
          <w:szCs w:val="24"/>
        </w:rPr>
      </w:pPr>
      <w:r>
        <w:t>In the Proposing Release, the Commission solicited comment on the new “collection of information” requirements and associated paperwork burdens.</w:t>
      </w:r>
      <w:r>
        <w:rPr>
          <w:rStyle w:val="FootnoteReference"/>
        </w:rPr>
        <w:footnoteReference w:id="5"/>
      </w:r>
      <w:r>
        <w:t xml:space="preserve">  </w:t>
      </w:r>
      <w:r w:rsidRPr="00AC624F">
        <w:rPr>
          <w:color w:val="000000"/>
          <w:szCs w:val="24"/>
        </w:rPr>
        <w:t xml:space="preserve">We received one comment letter addressing our PRA burden estimates for Rule 17g-7, as proposed.  The commentator </w:t>
      </w:r>
      <w:r w:rsidRPr="00AC624F">
        <w:rPr>
          <w:color w:val="000000"/>
          <w:szCs w:val="24"/>
        </w:rPr>
        <w:lastRenderedPageBreak/>
        <w:t>argued that our PRA estimate of 10 hours underestimated the time that NRSROs would need to gather all of the information to conduct the comparisons required by the rule and requested an adequate transition period in order to prepare to comply with the rule.</w:t>
      </w:r>
      <w:r>
        <w:rPr>
          <w:rStyle w:val="FootnoteReference"/>
          <w:color w:val="000000"/>
          <w:szCs w:val="24"/>
        </w:rPr>
        <w:footnoteReference w:id="6"/>
      </w:r>
      <w:r w:rsidRPr="00AC624F">
        <w:rPr>
          <w:color w:val="000000"/>
          <w:szCs w:val="24"/>
        </w:rPr>
        <w:t xml:space="preserve">  The comment letter, however, did not acknowledge the additional burden estimates that we provided for in the Proposing Release.  In addition to the estimated 10 hours per transaction to compare the terms of the current transaction to the benchmarks, cited by the commentator, we also estimated an initial burden of 3,000 hours to set up systems to establish benchmarks and an additional 3,000 hours per year to revise the various benchmarks.  Because we believe these estimates adequately estimate the burden imposed by Rule 17g-7, we are not revising our estimates with respect to Rule 17g-7.</w:t>
      </w:r>
      <w:r w:rsidR="004F2C5E">
        <w:rPr>
          <w:color w:val="000000"/>
          <w:szCs w:val="24"/>
        </w:rPr>
        <w:t xml:space="preserve">  The public can review comments at </w:t>
      </w:r>
      <w:hyperlink r:id="rId8" w:history="1">
        <w:r w:rsidR="004F2C5E">
          <w:rPr>
            <w:rStyle w:val="Hyperlink"/>
            <w:noProof/>
          </w:rPr>
          <w:t>http://www.sec.gov/comments/s7-24-10/s72410.shtml</w:t>
        </w:r>
      </w:hyperlink>
      <w:r w:rsidR="004F2C5E">
        <w:rPr>
          <w:noProof/>
        </w:rPr>
        <w:t>.</w:t>
      </w:r>
    </w:p>
    <w:p w:rsidR="00AC624F" w:rsidRDefault="00AC624F" w:rsidP="00AC624F">
      <w:pPr>
        <w:ind w:firstLine="405"/>
      </w:pPr>
    </w:p>
    <w:p w:rsidR="00C10733" w:rsidRPr="00B918C1" w:rsidRDefault="00C10733" w:rsidP="009A226A">
      <w:pPr>
        <w:pStyle w:val="ListParagraph"/>
        <w:numPr>
          <w:ilvl w:val="0"/>
          <w:numId w:val="4"/>
        </w:numPr>
        <w:rPr>
          <w:b/>
        </w:rPr>
      </w:pPr>
      <w:r w:rsidRPr="00B918C1">
        <w:rPr>
          <w:b/>
        </w:rPr>
        <w:t>PAYMENT OR GIFT</w:t>
      </w:r>
    </w:p>
    <w:p w:rsidR="00C10733" w:rsidRDefault="00C10733" w:rsidP="00B918C1"/>
    <w:p w:rsidR="00B918C1" w:rsidRDefault="00B918C1" w:rsidP="00433220">
      <w:pPr>
        <w:ind w:left="405" w:firstLine="315"/>
      </w:pPr>
      <w:r>
        <w:t>Not applicable.</w:t>
      </w:r>
    </w:p>
    <w:p w:rsidR="00B431DC" w:rsidRDefault="00B431DC" w:rsidP="00C10733">
      <w:pPr>
        <w:pStyle w:val="ListParagraph"/>
      </w:pPr>
    </w:p>
    <w:p w:rsidR="00C10733" w:rsidRPr="00B918C1" w:rsidRDefault="00C10733" w:rsidP="009A226A">
      <w:pPr>
        <w:pStyle w:val="ListParagraph"/>
        <w:numPr>
          <w:ilvl w:val="0"/>
          <w:numId w:val="4"/>
        </w:numPr>
        <w:rPr>
          <w:b/>
        </w:rPr>
      </w:pPr>
      <w:r w:rsidRPr="00B918C1">
        <w:rPr>
          <w:b/>
        </w:rPr>
        <w:t>ASSURANCE OF CONFIDENTIALITY</w:t>
      </w:r>
    </w:p>
    <w:p w:rsidR="00C10733" w:rsidRDefault="00C10733" w:rsidP="00C10733">
      <w:pPr>
        <w:pStyle w:val="ListParagraph"/>
      </w:pPr>
    </w:p>
    <w:p w:rsidR="00B431DC" w:rsidRDefault="009D6298" w:rsidP="00433220">
      <w:pPr>
        <w:ind w:firstLine="720"/>
      </w:pPr>
      <w:r>
        <w:t xml:space="preserve">Rule 17g-7 </w:t>
      </w:r>
      <w:r w:rsidR="009C4A9D">
        <w:t>disclosure</w:t>
      </w:r>
      <w:r w:rsidR="000D774A">
        <w:t xml:space="preserve"> is</w:t>
      </w:r>
      <w:r w:rsidR="00C461A5">
        <w:t xml:space="preserve"> not filed with the Commission; such disclosure would </w:t>
      </w:r>
      <w:r w:rsidR="000D774A">
        <w:t xml:space="preserve">be provided </w:t>
      </w:r>
      <w:r>
        <w:t xml:space="preserve">in any report accompanying a credit rating by an NRSRO in connection with an </w:t>
      </w:r>
      <w:r w:rsidR="006D6D7D">
        <w:t>Exchange Act-ABS</w:t>
      </w:r>
      <w:r>
        <w:t xml:space="preserve"> transaction.  </w:t>
      </w:r>
    </w:p>
    <w:p w:rsidR="00B918C1" w:rsidRDefault="00B918C1" w:rsidP="00C10733">
      <w:pPr>
        <w:pStyle w:val="ListParagraph"/>
      </w:pPr>
    </w:p>
    <w:p w:rsidR="00C10733" w:rsidRPr="00B918C1" w:rsidRDefault="00C10733" w:rsidP="009A226A">
      <w:pPr>
        <w:pStyle w:val="ListParagraph"/>
        <w:numPr>
          <w:ilvl w:val="0"/>
          <w:numId w:val="4"/>
        </w:numPr>
        <w:rPr>
          <w:b/>
        </w:rPr>
      </w:pPr>
      <w:r w:rsidRPr="00B918C1">
        <w:rPr>
          <w:b/>
        </w:rPr>
        <w:t>SENSITIVE QUESTIONS</w:t>
      </w:r>
    </w:p>
    <w:p w:rsidR="00B918C1" w:rsidRDefault="00B918C1" w:rsidP="00B918C1"/>
    <w:p w:rsidR="00B918C1" w:rsidRDefault="00B918C1" w:rsidP="00433220">
      <w:pPr>
        <w:ind w:left="405" w:firstLine="315"/>
      </w:pPr>
      <w:r>
        <w:t>Not applicable.</w:t>
      </w:r>
    </w:p>
    <w:p w:rsidR="00B431DC" w:rsidRDefault="00B431DC" w:rsidP="00C10733">
      <w:pPr>
        <w:pStyle w:val="ListParagraph"/>
      </w:pPr>
    </w:p>
    <w:p w:rsidR="00C10733" w:rsidRPr="00B918C1" w:rsidRDefault="00C10733" w:rsidP="009A226A">
      <w:pPr>
        <w:pStyle w:val="ListParagraph"/>
        <w:numPr>
          <w:ilvl w:val="0"/>
          <w:numId w:val="4"/>
        </w:numPr>
        <w:rPr>
          <w:b/>
        </w:rPr>
      </w:pPr>
      <w:r w:rsidRPr="00B918C1">
        <w:rPr>
          <w:b/>
        </w:rPr>
        <w:t xml:space="preserve"> AND 13. BURDEN </w:t>
      </w:r>
      <w:r w:rsidR="000A5F6E">
        <w:rPr>
          <w:b/>
        </w:rPr>
        <w:t>OF INFORMATION COLLECTION AND</w:t>
      </w:r>
      <w:r w:rsidR="00E35B5C">
        <w:rPr>
          <w:b/>
        </w:rPr>
        <w:t xml:space="preserve"> </w:t>
      </w:r>
      <w:r w:rsidRPr="00B918C1">
        <w:rPr>
          <w:b/>
        </w:rPr>
        <w:t xml:space="preserve">COSTS </w:t>
      </w:r>
      <w:r w:rsidR="000A5F6E">
        <w:rPr>
          <w:b/>
        </w:rPr>
        <w:t>TO RESPONDENTS</w:t>
      </w:r>
    </w:p>
    <w:p w:rsidR="00C10733" w:rsidRDefault="00C10733" w:rsidP="00C10733">
      <w:pPr>
        <w:pStyle w:val="ListParagraph"/>
      </w:pPr>
    </w:p>
    <w:p w:rsidR="00C10733" w:rsidRDefault="00B34770" w:rsidP="00153FF5">
      <w:pPr>
        <w:ind w:firstLine="720"/>
      </w:pPr>
      <w:r>
        <w:t xml:space="preserve">The paperwork burden estimates associated with the </w:t>
      </w:r>
      <w:r w:rsidR="00AC624F">
        <w:t>amendments</w:t>
      </w:r>
      <w:r>
        <w:t xml:space="preserve"> include the burdens attributable to </w:t>
      </w:r>
      <w:r w:rsidR="00A47074">
        <w:t xml:space="preserve">collecting, </w:t>
      </w:r>
      <w:r>
        <w:t xml:space="preserve">preparing, reviewing and retaining records.  </w:t>
      </w:r>
      <w:r w:rsidR="00A47074">
        <w:t xml:space="preserve"> </w:t>
      </w:r>
      <w:r>
        <w:t xml:space="preserve">  </w:t>
      </w:r>
    </w:p>
    <w:p w:rsidR="00B34770" w:rsidRDefault="00B34770" w:rsidP="00B34770">
      <w:pPr>
        <w:ind w:firstLine="405"/>
      </w:pPr>
    </w:p>
    <w:p w:rsidR="00721C3E" w:rsidRDefault="00721C3E" w:rsidP="00721C3E">
      <w:pPr>
        <w:ind w:firstLine="720"/>
      </w:pPr>
      <w:r w:rsidRPr="00721C3E">
        <w:t>Our PRA burden estimates for the proposed amendments are based on information that we receive on entities assigned to Standard Industrial Classification Code 6189, the code used with respect to asset-backed securities, as well as information from outside data sources.</w:t>
      </w:r>
      <w:r w:rsidRPr="00721C3E">
        <w:rPr>
          <w:vertAlign w:val="superscript"/>
        </w:rPr>
        <w:footnoteReference w:id="7"/>
      </w:r>
      <w:r w:rsidRPr="00721C3E">
        <w:t xml:space="preserve">  When possible, we base our estimates on an average of the data that we have available for years 2004, 2005, 2006, 2007, 2008, and 2009.  </w:t>
      </w:r>
    </w:p>
    <w:p w:rsidR="00DF5306" w:rsidRDefault="00DF5306">
      <w:pPr>
        <w:rPr>
          <w:b/>
        </w:rPr>
      </w:pPr>
    </w:p>
    <w:p w:rsidR="00721C3E" w:rsidRDefault="00573DF9" w:rsidP="00721C3E">
      <w:pPr>
        <w:numPr>
          <w:ilvl w:val="0"/>
          <w:numId w:val="10"/>
        </w:numPr>
        <w:rPr>
          <w:b/>
        </w:rPr>
      </w:pPr>
      <w:r>
        <w:rPr>
          <w:b/>
        </w:rPr>
        <w:lastRenderedPageBreak/>
        <w:t>Rule 17g-7</w:t>
      </w:r>
    </w:p>
    <w:p w:rsidR="00090902" w:rsidRPr="00721C3E" w:rsidRDefault="00090902" w:rsidP="00090902">
      <w:pPr>
        <w:ind w:left="2160"/>
        <w:rPr>
          <w:b/>
        </w:rPr>
      </w:pPr>
    </w:p>
    <w:p w:rsidR="00AC624F" w:rsidRDefault="00AC624F" w:rsidP="00AC624F">
      <w:pPr>
        <w:autoSpaceDE w:val="0"/>
        <w:autoSpaceDN w:val="0"/>
        <w:adjustRightInd w:val="0"/>
        <w:ind w:firstLine="720"/>
        <w:rPr>
          <w:color w:val="000000"/>
          <w:szCs w:val="24"/>
        </w:rPr>
      </w:pPr>
      <w:r>
        <w:rPr>
          <w:color w:val="000000"/>
          <w:szCs w:val="24"/>
        </w:rPr>
        <w:t xml:space="preserve">This new collection of information relates to new disclosure requirements for NRSROs.  Under new Rule 17g-7, an NRSRO is required to disclose, in any report accompanying a credit rating </w:t>
      </w:r>
      <w:r>
        <w:t>in an asset-backed securities offering,</w:t>
      </w:r>
      <w:r>
        <w:rPr>
          <w:color w:val="000000"/>
          <w:szCs w:val="24"/>
        </w:rPr>
        <w:t xml:space="preserve"> the representations, warranties and enforcement mechanisms available to investors and describe how they differ from those in issuances of similar securities.  The following summarizes the burden estimates for Rule 17g-7 that we provided in the Proposing Release.  W</w:t>
      </w:r>
      <w:r w:rsidRPr="008E5E2A">
        <w:rPr>
          <w:color w:val="000000"/>
          <w:szCs w:val="24"/>
        </w:rPr>
        <w:t>e estimate</w:t>
      </w:r>
      <w:r>
        <w:rPr>
          <w:color w:val="000000"/>
          <w:szCs w:val="24"/>
        </w:rPr>
        <w:t>d</w:t>
      </w:r>
      <w:r w:rsidRPr="008E5E2A">
        <w:rPr>
          <w:color w:val="000000"/>
          <w:szCs w:val="24"/>
        </w:rPr>
        <w:t xml:space="preserve"> it would take </w:t>
      </w:r>
      <w:r w:rsidRPr="004C6217">
        <w:rPr>
          <w:color w:val="000000"/>
          <w:szCs w:val="24"/>
        </w:rPr>
        <w:t>1</w:t>
      </w:r>
      <w:r w:rsidRPr="008E5E2A">
        <w:rPr>
          <w:color w:val="000000"/>
          <w:szCs w:val="24"/>
        </w:rPr>
        <w:t xml:space="preserve"> hour</w:t>
      </w:r>
      <w:r>
        <w:rPr>
          <w:color w:val="000000"/>
          <w:szCs w:val="24"/>
        </w:rPr>
        <w:t xml:space="preserve"> per ABS transaction to review the relevant disclosures prepared by an issuer, which an NRSRO would presumably have reviewed as part of the rating process, and convert those disclosures into a format suitable for inclusion in any report to be issued by an NRSRO.  We noted our expectation that an NRSRO would incur an initial setup cost to collect, maintain and analyze previous issuances to establish benchmarks as well as an ongoing cost to review the benchmarks to ensure that they remain appropriate.  We estimated that the initial review and set up system cost will take </w:t>
      </w:r>
      <w:r w:rsidRPr="004C6217">
        <w:rPr>
          <w:color w:val="000000"/>
          <w:szCs w:val="24"/>
        </w:rPr>
        <w:t>100</w:t>
      </w:r>
      <w:r w:rsidRPr="00AB39A0">
        <w:rPr>
          <w:color w:val="000000"/>
          <w:szCs w:val="24"/>
        </w:rPr>
        <w:t xml:space="preserve"> hours and that NRSROs will spend an additional </w:t>
      </w:r>
      <w:r w:rsidRPr="004C6217">
        <w:rPr>
          <w:color w:val="000000"/>
          <w:szCs w:val="24"/>
        </w:rPr>
        <w:t>100</w:t>
      </w:r>
      <w:r>
        <w:rPr>
          <w:color w:val="000000"/>
          <w:szCs w:val="24"/>
        </w:rPr>
        <w:t xml:space="preserve"> hours per year revising the various benchmarks.  Therefore, we estimated it would take a total of 3,000 hours</w:t>
      </w:r>
      <w:r>
        <w:rPr>
          <w:rStyle w:val="FootnoteReference"/>
          <w:color w:val="000000"/>
          <w:szCs w:val="24"/>
        </w:rPr>
        <w:footnoteReference w:id="8"/>
      </w:r>
      <w:r>
        <w:rPr>
          <w:color w:val="000000"/>
          <w:szCs w:val="24"/>
        </w:rPr>
        <w:t xml:space="preserve"> for NRSROs to set up systems and an additional 3,000 hours per year revising various benchmarks.</w:t>
      </w:r>
      <w:r>
        <w:rPr>
          <w:rStyle w:val="FootnoteReference"/>
          <w:color w:val="000000"/>
          <w:szCs w:val="24"/>
        </w:rPr>
        <w:footnoteReference w:id="9"/>
      </w:r>
    </w:p>
    <w:p w:rsidR="00AC624F" w:rsidRDefault="00AC624F" w:rsidP="00AC624F">
      <w:pPr>
        <w:autoSpaceDE w:val="0"/>
        <w:autoSpaceDN w:val="0"/>
        <w:adjustRightInd w:val="0"/>
        <w:ind w:firstLine="720"/>
        <w:rPr>
          <w:color w:val="000000"/>
          <w:szCs w:val="24"/>
        </w:rPr>
      </w:pPr>
    </w:p>
    <w:p w:rsidR="00721C3E" w:rsidRDefault="00AC624F" w:rsidP="00AC624F">
      <w:pPr>
        <w:ind w:firstLine="720"/>
        <w:rPr>
          <w:color w:val="000000"/>
          <w:szCs w:val="24"/>
        </w:rPr>
      </w:pPr>
      <w:r>
        <w:rPr>
          <w:color w:val="000000"/>
          <w:szCs w:val="24"/>
        </w:rPr>
        <w:t xml:space="preserve">On a deal-by-deal basis, we estimated it would take </w:t>
      </w:r>
      <w:r w:rsidR="00022C3F">
        <w:rPr>
          <w:color w:val="000000"/>
          <w:szCs w:val="24"/>
        </w:rPr>
        <w:t xml:space="preserve">an </w:t>
      </w:r>
      <w:r>
        <w:rPr>
          <w:color w:val="000000"/>
          <w:szCs w:val="24"/>
        </w:rPr>
        <w:t>NRSRO 10 hours per ABS transaction to compare the terms of the current deal to those of similar securities.  Because NRSROs would need to provide the disclosures in connection with the issuance of a credit rating on a particular offering of ABS, we based our estimates on an annual average of 2,067 ABS offerings.</w:t>
      </w:r>
      <w:r>
        <w:rPr>
          <w:rStyle w:val="FootnoteReference"/>
          <w:color w:val="000000"/>
          <w:szCs w:val="24"/>
        </w:rPr>
        <w:footnoteReference w:id="10"/>
      </w:r>
      <w:r>
        <w:rPr>
          <w:color w:val="000000"/>
          <w:szCs w:val="24"/>
        </w:rPr>
        <w:t xml:space="preserve">  We also </w:t>
      </w:r>
      <w:r w:rsidRPr="00C73C17">
        <w:rPr>
          <w:color w:val="000000"/>
          <w:szCs w:val="24"/>
        </w:rPr>
        <w:t>assign</w:t>
      </w:r>
      <w:r>
        <w:rPr>
          <w:color w:val="000000"/>
          <w:szCs w:val="24"/>
        </w:rPr>
        <w:t>ed</w:t>
      </w:r>
      <w:r w:rsidRPr="00C73C17">
        <w:rPr>
          <w:color w:val="000000"/>
          <w:szCs w:val="24"/>
        </w:rPr>
        <w:t xml:space="preserve"> </w:t>
      </w:r>
      <w:r>
        <w:rPr>
          <w:color w:val="000000"/>
          <w:szCs w:val="24"/>
        </w:rPr>
        <w:t>four</w:t>
      </w:r>
      <w:r w:rsidRPr="00B85E53">
        <w:rPr>
          <w:color w:val="000000"/>
          <w:szCs w:val="24"/>
        </w:rPr>
        <w:t xml:space="preserve"> to the number</w:t>
      </w:r>
      <w:r w:rsidRPr="00C73C17">
        <w:rPr>
          <w:color w:val="000000"/>
          <w:szCs w:val="24"/>
        </w:rPr>
        <w:t xml:space="preserve"> of credit ratings per issuance of ABS</w:t>
      </w:r>
      <w:r w:rsidRPr="00B85E53">
        <w:rPr>
          <w:color w:val="000000"/>
          <w:szCs w:val="24"/>
        </w:rPr>
        <w:t>, based on an average of two NRSROs</w:t>
      </w:r>
      <w:r>
        <w:rPr>
          <w:color w:val="000000"/>
          <w:szCs w:val="24"/>
        </w:rPr>
        <w:t xml:space="preserve"> preparing two reports (pre-sale and final) for each transaction.  Therefore, we estimated that it would take </w:t>
      </w:r>
      <w:r w:rsidRPr="00435255">
        <w:rPr>
          <w:color w:val="000000"/>
          <w:szCs w:val="24"/>
        </w:rPr>
        <w:t xml:space="preserve">a total of </w:t>
      </w:r>
      <w:r w:rsidRPr="004C6217">
        <w:rPr>
          <w:color w:val="000000"/>
          <w:szCs w:val="24"/>
        </w:rPr>
        <w:t>9</w:t>
      </w:r>
      <w:r>
        <w:rPr>
          <w:color w:val="000000"/>
          <w:szCs w:val="24"/>
        </w:rPr>
        <w:t>0</w:t>
      </w:r>
      <w:r w:rsidRPr="004C6217">
        <w:rPr>
          <w:color w:val="000000"/>
          <w:szCs w:val="24"/>
        </w:rPr>
        <w:t>,948</w:t>
      </w:r>
      <w:r>
        <w:rPr>
          <w:color w:val="000000"/>
          <w:szCs w:val="24"/>
        </w:rPr>
        <w:t xml:space="preserve"> hours, annually, for NRSROs to provide the new Rule 17g-7 disclosures.</w:t>
      </w:r>
      <w:r>
        <w:rPr>
          <w:rStyle w:val="FootnoteReference"/>
          <w:color w:val="000000"/>
          <w:szCs w:val="24"/>
        </w:rPr>
        <w:footnoteReference w:id="11"/>
      </w:r>
      <w:r>
        <w:rPr>
          <w:color w:val="000000"/>
          <w:szCs w:val="24"/>
        </w:rPr>
        <w:t xml:space="preserve">  As noted above, we received one comment letter regarding our PRA estimate for Rule 17g-7,</w:t>
      </w:r>
      <w:r>
        <w:rPr>
          <w:rStyle w:val="FootnoteReference"/>
          <w:color w:val="000000"/>
          <w:szCs w:val="24"/>
        </w:rPr>
        <w:footnoteReference w:id="12"/>
      </w:r>
      <w:r>
        <w:rPr>
          <w:color w:val="000000"/>
          <w:szCs w:val="24"/>
        </w:rPr>
        <w:t xml:space="preserve"> and as we discuss above, we are not adjusting our PRA estimates with respect to Rule 17g-7.</w:t>
      </w:r>
    </w:p>
    <w:p w:rsidR="00AC624F" w:rsidRPr="00721C3E" w:rsidRDefault="00AC624F" w:rsidP="00AC624F">
      <w:pPr>
        <w:ind w:firstLine="720"/>
        <w:rPr>
          <w:b/>
        </w:rPr>
      </w:pPr>
    </w:p>
    <w:p w:rsidR="00721C3E" w:rsidRPr="00721C3E" w:rsidRDefault="00721C3E" w:rsidP="00721C3E">
      <w:pPr>
        <w:numPr>
          <w:ilvl w:val="0"/>
          <w:numId w:val="10"/>
        </w:numPr>
        <w:rPr>
          <w:b/>
        </w:rPr>
      </w:pPr>
      <w:r w:rsidRPr="00721C3E">
        <w:rPr>
          <w:b/>
        </w:rPr>
        <w:t>Summary of Changes to Annual Burden Compliance in Collection of Information</w:t>
      </w:r>
    </w:p>
    <w:p w:rsidR="00721C3E" w:rsidRPr="00721C3E" w:rsidRDefault="00721C3E" w:rsidP="00721C3E">
      <w:pPr>
        <w:ind w:firstLine="720"/>
      </w:pPr>
    </w:p>
    <w:p w:rsidR="0051519D" w:rsidRDefault="0051519D" w:rsidP="0051519D">
      <w:pPr>
        <w:autoSpaceDE w:val="0"/>
        <w:autoSpaceDN w:val="0"/>
        <w:adjustRightInd w:val="0"/>
        <w:ind w:firstLine="720"/>
        <w:rPr>
          <w:color w:val="000000"/>
          <w:szCs w:val="24"/>
        </w:rPr>
      </w:pPr>
      <w:r>
        <w:rPr>
          <w:color w:val="000000"/>
          <w:szCs w:val="24"/>
        </w:rPr>
        <w:t>The t</w:t>
      </w:r>
      <w:r w:rsidRPr="00F4786E">
        <w:rPr>
          <w:color w:val="000000"/>
          <w:szCs w:val="24"/>
        </w:rPr>
        <w:t xml:space="preserve">able </w:t>
      </w:r>
      <w:r>
        <w:rPr>
          <w:color w:val="000000"/>
          <w:szCs w:val="24"/>
        </w:rPr>
        <w:t>below</w:t>
      </w:r>
      <w:r w:rsidRPr="00F4786E">
        <w:rPr>
          <w:color w:val="000000"/>
          <w:szCs w:val="24"/>
        </w:rPr>
        <w:t xml:space="preserve"> illustrates the annual compliance burden </w:t>
      </w:r>
      <w:r>
        <w:rPr>
          <w:color w:val="000000"/>
          <w:szCs w:val="24"/>
        </w:rPr>
        <w:t>of</w:t>
      </w:r>
      <w:r w:rsidRPr="00F4786E">
        <w:rPr>
          <w:color w:val="000000"/>
          <w:szCs w:val="24"/>
        </w:rPr>
        <w:t xml:space="preserve"> the collection of information in hours and costs for </w:t>
      </w:r>
      <w:r>
        <w:rPr>
          <w:color w:val="000000"/>
          <w:szCs w:val="24"/>
        </w:rPr>
        <w:t>the new proposed disclosure requirements for NRSROs</w:t>
      </w:r>
      <w:r w:rsidRPr="00F4786E">
        <w:rPr>
          <w:color w:val="000000"/>
          <w:szCs w:val="24"/>
        </w:rPr>
        <w:t xml:space="preserve">.  </w:t>
      </w:r>
    </w:p>
    <w:p w:rsidR="00856039" w:rsidRDefault="00856039" w:rsidP="0051519D">
      <w:pPr>
        <w:autoSpaceDE w:val="0"/>
        <w:autoSpaceDN w:val="0"/>
        <w:adjustRightInd w:val="0"/>
        <w:ind w:firstLine="720"/>
        <w:rPr>
          <w:color w:val="000000"/>
          <w:szCs w:val="24"/>
        </w:rPr>
      </w:pPr>
    </w:p>
    <w:tbl>
      <w:tblPr>
        <w:tblW w:w="10481" w:type="dxa"/>
        <w:tblInd w:w="-743" w:type="dxa"/>
        <w:tblBorders>
          <w:top w:val="nil"/>
          <w:left w:val="nil"/>
          <w:bottom w:val="nil"/>
          <w:right w:val="nil"/>
        </w:tblBorders>
        <w:tblLayout w:type="fixed"/>
        <w:tblLook w:val="0000"/>
      </w:tblPr>
      <w:tblGrid>
        <w:gridCol w:w="941"/>
        <w:gridCol w:w="990"/>
        <w:gridCol w:w="990"/>
        <w:gridCol w:w="900"/>
        <w:gridCol w:w="1080"/>
        <w:gridCol w:w="1170"/>
        <w:gridCol w:w="1440"/>
        <w:gridCol w:w="1440"/>
        <w:gridCol w:w="1530"/>
      </w:tblGrid>
      <w:tr w:rsidR="0051519D" w:rsidRPr="00F4786E" w:rsidTr="0051519D">
        <w:trPr>
          <w:trHeight w:val="378"/>
        </w:trPr>
        <w:tc>
          <w:tcPr>
            <w:tcW w:w="941" w:type="dxa"/>
            <w:tcBorders>
              <w:top w:val="single" w:sz="6" w:space="0" w:color="000000"/>
              <w:left w:val="single" w:sz="4" w:space="0" w:color="000000"/>
              <w:bottom w:val="single" w:sz="4" w:space="0" w:color="000000"/>
              <w:right w:val="single" w:sz="4" w:space="0" w:color="000000"/>
            </w:tcBorders>
            <w:vAlign w:val="center"/>
          </w:tcPr>
          <w:p w:rsidR="0051519D" w:rsidRPr="00F4786E" w:rsidRDefault="0051519D" w:rsidP="0051519D">
            <w:pPr>
              <w:autoSpaceDE w:val="0"/>
              <w:autoSpaceDN w:val="0"/>
              <w:adjustRightInd w:val="0"/>
              <w:jc w:val="center"/>
              <w:rPr>
                <w:color w:val="000000"/>
                <w:sz w:val="16"/>
                <w:szCs w:val="16"/>
              </w:rPr>
            </w:pPr>
            <w:r w:rsidRPr="00F4786E">
              <w:rPr>
                <w:b/>
                <w:bCs/>
                <w:color w:val="000000"/>
                <w:sz w:val="16"/>
                <w:szCs w:val="16"/>
              </w:rPr>
              <w:t xml:space="preserve">Form </w:t>
            </w:r>
          </w:p>
        </w:tc>
        <w:tc>
          <w:tcPr>
            <w:tcW w:w="990" w:type="dxa"/>
            <w:tcBorders>
              <w:top w:val="single" w:sz="6"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16"/>
                <w:szCs w:val="16"/>
              </w:rPr>
            </w:pPr>
            <w:r w:rsidRPr="00F4786E">
              <w:rPr>
                <w:b/>
                <w:bCs/>
                <w:color w:val="000000"/>
                <w:sz w:val="16"/>
                <w:szCs w:val="16"/>
              </w:rPr>
              <w:t xml:space="preserve">Current Annual Responses </w:t>
            </w:r>
          </w:p>
        </w:tc>
        <w:tc>
          <w:tcPr>
            <w:tcW w:w="990" w:type="dxa"/>
            <w:tcBorders>
              <w:top w:val="single" w:sz="6"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16"/>
                <w:szCs w:val="16"/>
              </w:rPr>
            </w:pPr>
            <w:r w:rsidRPr="00F4786E">
              <w:rPr>
                <w:b/>
                <w:bCs/>
                <w:color w:val="000000"/>
                <w:sz w:val="16"/>
                <w:szCs w:val="16"/>
              </w:rPr>
              <w:t xml:space="preserve">Proposed Annual Responses </w:t>
            </w:r>
          </w:p>
        </w:tc>
        <w:tc>
          <w:tcPr>
            <w:tcW w:w="900" w:type="dxa"/>
            <w:tcBorders>
              <w:top w:val="single" w:sz="6"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16"/>
                <w:szCs w:val="16"/>
              </w:rPr>
            </w:pPr>
            <w:r w:rsidRPr="00F4786E">
              <w:rPr>
                <w:b/>
                <w:bCs/>
                <w:color w:val="000000"/>
                <w:sz w:val="16"/>
                <w:szCs w:val="16"/>
              </w:rPr>
              <w:t xml:space="preserve">Current Burden Hours </w:t>
            </w:r>
          </w:p>
        </w:tc>
        <w:tc>
          <w:tcPr>
            <w:tcW w:w="1080" w:type="dxa"/>
            <w:tcBorders>
              <w:top w:val="single" w:sz="6"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16"/>
                <w:szCs w:val="16"/>
              </w:rPr>
            </w:pPr>
            <w:r w:rsidRPr="00F4786E">
              <w:rPr>
                <w:b/>
                <w:bCs/>
                <w:color w:val="000000"/>
                <w:sz w:val="16"/>
                <w:szCs w:val="16"/>
              </w:rPr>
              <w:t xml:space="preserve">Decrease or Increase in Burden Hours </w:t>
            </w:r>
          </w:p>
        </w:tc>
        <w:tc>
          <w:tcPr>
            <w:tcW w:w="1170" w:type="dxa"/>
            <w:tcBorders>
              <w:top w:val="single" w:sz="6" w:space="0" w:color="000000"/>
              <w:left w:val="single" w:sz="4" w:space="0" w:color="000000"/>
              <w:bottom w:val="single" w:sz="4" w:space="0" w:color="000000"/>
              <w:right w:val="single" w:sz="4" w:space="0" w:color="000000"/>
            </w:tcBorders>
            <w:vAlign w:val="center"/>
          </w:tcPr>
          <w:p w:rsidR="0051519D" w:rsidRPr="00F4786E" w:rsidRDefault="0051519D" w:rsidP="0051519D">
            <w:pPr>
              <w:autoSpaceDE w:val="0"/>
              <w:autoSpaceDN w:val="0"/>
              <w:adjustRightInd w:val="0"/>
              <w:jc w:val="center"/>
              <w:rPr>
                <w:color w:val="000000"/>
                <w:sz w:val="16"/>
                <w:szCs w:val="16"/>
              </w:rPr>
            </w:pPr>
            <w:r w:rsidRPr="00F4786E">
              <w:rPr>
                <w:b/>
                <w:bCs/>
                <w:color w:val="000000"/>
                <w:sz w:val="16"/>
                <w:szCs w:val="16"/>
              </w:rPr>
              <w:t xml:space="preserve">Proposed Burden Hours </w:t>
            </w:r>
          </w:p>
        </w:tc>
        <w:tc>
          <w:tcPr>
            <w:tcW w:w="1440" w:type="dxa"/>
            <w:tcBorders>
              <w:top w:val="single" w:sz="6"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16"/>
                <w:szCs w:val="16"/>
              </w:rPr>
            </w:pPr>
            <w:r w:rsidRPr="00F4786E">
              <w:rPr>
                <w:b/>
                <w:bCs/>
                <w:color w:val="000000"/>
                <w:sz w:val="16"/>
                <w:szCs w:val="16"/>
              </w:rPr>
              <w:t xml:space="preserve">Current Professional Costs </w:t>
            </w:r>
          </w:p>
        </w:tc>
        <w:tc>
          <w:tcPr>
            <w:tcW w:w="1440" w:type="dxa"/>
            <w:tcBorders>
              <w:top w:val="single" w:sz="6"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16"/>
                <w:szCs w:val="16"/>
              </w:rPr>
            </w:pPr>
            <w:r w:rsidRPr="00F4786E">
              <w:rPr>
                <w:b/>
                <w:bCs/>
                <w:color w:val="000000"/>
                <w:sz w:val="16"/>
                <w:szCs w:val="16"/>
              </w:rPr>
              <w:t xml:space="preserve">Decrease or Increase in Professional Costs </w:t>
            </w:r>
          </w:p>
        </w:tc>
        <w:tc>
          <w:tcPr>
            <w:tcW w:w="1530" w:type="dxa"/>
            <w:tcBorders>
              <w:top w:val="single" w:sz="6"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16"/>
                <w:szCs w:val="16"/>
              </w:rPr>
            </w:pPr>
            <w:r w:rsidRPr="00F4786E">
              <w:rPr>
                <w:b/>
                <w:bCs/>
                <w:color w:val="000000"/>
                <w:sz w:val="16"/>
                <w:szCs w:val="16"/>
              </w:rPr>
              <w:t xml:space="preserve">Proposed Professional Costs </w:t>
            </w:r>
          </w:p>
        </w:tc>
      </w:tr>
      <w:tr w:rsidR="0051519D" w:rsidRPr="00F4786E" w:rsidTr="0051519D">
        <w:trPr>
          <w:trHeight w:val="235"/>
        </w:trPr>
        <w:tc>
          <w:tcPr>
            <w:tcW w:w="941" w:type="dxa"/>
            <w:tcBorders>
              <w:top w:val="single" w:sz="4" w:space="0" w:color="000000"/>
              <w:left w:val="single" w:sz="4" w:space="0" w:color="000000"/>
              <w:bottom w:val="single" w:sz="4" w:space="0" w:color="000000"/>
              <w:right w:val="single" w:sz="4" w:space="0" w:color="000000"/>
            </w:tcBorders>
          </w:tcPr>
          <w:p w:rsidR="0051519D" w:rsidRPr="00F4786E" w:rsidRDefault="00AC624F" w:rsidP="0051519D">
            <w:pPr>
              <w:autoSpaceDE w:val="0"/>
              <w:autoSpaceDN w:val="0"/>
              <w:adjustRightInd w:val="0"/>
              <w:jc w:val="center"/>
              <w:rPr>
                <w:color w:val="000000"/>
                <w:sz w:val="20"/>
              </w:rPr>
            </w:pPr>
            <w:r>
              <w:rPr>
                <w:b/>
                <w:bCs/>
                <w:color w:val="000000"/>
                <w:sz w:val="20"/>
              </w:rPr>
              <w:t xml:space="preserve">Rule </w:t>
            </w:r>
            <w:r w:rsidR="0051519D">
              <w:rPr>
                <w:b/>
                <w:bCs/>
                <w:color w:val="000000"/>
                <w:sz w:val="20"/>
              </w:rPr>
              <w:t>17g-7</w:t>
            </w:r>
            <w:r w:rsidR="0051519D" w:rsidRPr="00F4786E">
              <w:rPr>
                <w:b/>
                <w:bCs/>
                <w:color w:val="000000"/>
                <w:sz w:val="20"/>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20"/>
              </w:rPr>
            </w:pPr>
            <w:r>
              <w:rPr>
                <w:color w:val="000000"/>
                <w:sz w:val="20"/>
              </w:rPr>
              <w:t>-</w:t>
            </w:r>
          </w:p>
        </w:tc>
        <w:tc>
          <w:tcPr>
            <w:tcW w:w="990" w:type="dxa"/>
            <w:tcBorders>
              <w:top w:val="single" w:sz="4"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20"/>
              </w:rPr>
            </w:pPr>
            <w:r>
              <w:rPr>
                <w:color w:val="000000"/>
                <w:sz w:val="20"/>
              </w:rPr>
              <w:t>8,268</w:t>
            </w:r>
          </w:p>
        </w:tc>
        <w:tc>
          <w:tcPr>
            <w:tcW w:w="900" w:type="dxa"/>
            <w:tcBorders>
              <w:top w:val="single" w:sz="4"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20"/>
              </w:rPr>
            </w:pPr>
            <w:r>
              <w:rPr>
                <w:color w:val="000000"/>
                <w:sz w:val="20"/>
              </w:rPr>
              <w:t>-</w:t>
            </w:r>
          </w:p>
        </w:tc>
        <w:tc>
          <w:tcPr>
            <w:tcW w:w="1080" w:type="dxa"/>
            <w:tcBorders>
              <w:top w:val="single" w:sz="4"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20"/>
              </w:rPr>
            </w:pPr>
            <w:r>
              <w:rPr>
                <w:color w:val="000000"/>
                <w:sz w:val="20"/>
              </w:rPr>
              <w:t>96,948</w:t>
            </w:r>
          </w:p>
        </w:tc>
        <w:tc>
          <w:tcPr>
            <w:tcW w:w="1170" w:type="dxa"/>
            <w:tcBorders>
              <w:top w:val="single" w:sz="4"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20"/>
              </w:rPr>
            </w:pPr>
            <w:r>
              <w:rPr>
                <w:color w:val="000000"/>
                <w:sz w:val="20"/>
              </w:rPr>
              <w:t>96,948</w:t>
            </w:r>
          </w:p>
        </w:tc>
        <w:tc>
          <w:tcPr>
            <w:tcW w:w="1440" w:type="dxa"/>
            <w:tcBorders>
              <w:top w:val="single" w:sz="4"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20"/>
              </w:rPr>
            </w:pPr>
          </w:p>
        </w:tc>
        <w:tc>
          <w:tcPr>
            <w:tcW w:w="1440" w:type="dxa"/>
            <w:tcBorders>
              <w:top w:val="single" w:sz="4"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20"/>
              </w:rPr>
            </w:pPr>
            <w:r>
              <w:rPr>
                <w:color w:val="000000"/>
                <w:sz w:val="20"/>
              </w:rPr>
              <w:t>-</w:t>
            </w:r>
          </w:p>
        </w:tc>
        <w:tc>
          <w:tcPr>
            <w:tcW w:w="1530" w:type="dxa"/>
            <w:tcBorders>
              <w:top w:val="single" w:sz="4" w:space="0" w:color="000000"/>
              <w:left w:val="single" w:sz="4" w:space="0" w:color="000000"/>
              <w:bottom w:val="single" w:sz="4" w:space="0" w:color="000000"/>
              <w:right w:val="single" w:sz="4" w:space="0" w:color="000000"/>
            </w:tcBorders>
          </w:tcPr>
          <w:p w:rsidR="0051519D" w:rsidRPr="00F4786E" w:rsidRDefault="0051519D" w:rsidP="0051519D">
            <w:pPr>
              <w:autoSpaceDE w:val="0"/>
              <w:autoSpaceDN w:val="0"/>
              <w:adjustRightInd w:val="0"/>
              <w:jc w:val="center"/>
              <w:rPr>
                <w:color w:val="000000"/>
                <w:sz w:val="20"/>
              </w:rPr>
            </w:pPr>
            <w:r>
              <w:rPr>
                <w:color w:val="000000"/>
                <w:sz w:val="20"/>
              </w:rPr>
              <w:t>-</w:t>
            </w:r>
          </w:p>
        </w:tc>
      </w:tr>
    </w:tbl>
    <w:p w:rsidR="00390B6B" w:rsidRDefault="00390B6B" w:rsidP="00390B6B">
      <w:pPr>
        <w:ind w:firstLine="720"/>
      </w:pPr>
    </w:p>
    <w:p w:rsidR="00C10733" w:rsidRPr="00B918C1" w:rsidRDefault="00C10733" w:rsidP="00C10733">
      <w:pPr>
        <w:pStyle w:val="ListParagraph"/>
        <w:numPr>
          <w:ilvl w:val="0"/>
          <w:numId w:val="7"/>
        </w:numPr>
        <w:rPr>
          <w:b/>
        </w:rPr>
      </w:pPr>
      <w:r w:rsidRPr="00B918C1">
        <w:rPr>
          <w:b/>
        </w:rPr>
        <w:t>FEDERAL GOVERNMENT</w:t>
      </w:r>
      <w:r w:rsidR="000A5F6E">
        <w:rPr>
          <w:b/>
        </w:rPr>
        <w:t xml:space="preserve"> COSTS</w:t>
      </w:r>
    </w:p>
    <w:p w:rsidR="00C10733" w:rsidRDefault="00C10733" w:rsidP="00C10733">
      <w:pPr>
        <w:ind w:left="405"/>
      </w:pPr>
    </w:p>
    <w:p w:rsidR="00C10733" w:rsidRDefault="000D774A" w:rsidP="0012168B">
      <w:pPr>
        <w:ind w:firstLine="720"/>
      </w:pPr>
      <w:r>
        <w:t xml:space="preserve">We estimate </w:t>
      </w:r>
      <w:r w:rsidR="0012342E">
        <w:t>that the</w:t>
      </w:r>
      <w:r>
        <w:t xml:space="preserve"> cost </w:t>
      </w:r>
      <w:r w:rsidR="0012342E">
        <w:t xml:space="preserve">of preparing the amendments </w:t>
      </w:r>
      <w:r w:rsidR="00BF1AA3">
        <w:t>will be</w:t>
      </w:r>
      <w:r w:rsidR="0012342E">
        <w:t xml:space="preserve"> approximately $100,000.</w:t>
      </w:r>
    </w:p>
    <w:p w:rsidR="00C10733" w:rsidRDefault="00C10733" w:rsidP="00C10733">
      <w:pPr>
        <w:pStyle w:val="ListParagraph"/>
        <w:ind w:left="765"/>
      </w:pPr>
    </w:p>
    <w:p w:rsidR="00C10733" w:rsidRPr="00B431DC" w:rsidRDefault="00C10733" w:rsidP="00C10733">
      <w:pPr>
        <w:pStyle w:val="ListParagraph"/>
        <w:numPr>
          <w:ilvl w:val="0"/>
          <w:numId w:val="7"/>
        </w:numPr>
        <w:rPr>
          <w:b/>
        </w:rPr>
      </w:pPr>
      <w:r w:rsidRPr="00B431DC">
        <w:rPr>
          <w:b/>
        </w:rPr>
        <w:t>CHANGES IN BURDEN</w:t>
      </w:r>
    </w:p>
    <w:p w:rsidR="00C10733" w:rsidRDefault="00C10733" w:rsidP="00C10733"/>
    <w:p w:rsidR="00983C5B" w:rsidRDefault="00983C5B" w:rsidP="00AC624F">
      <w:pPr>
        <w:autoSpaceDE w:val="0"/>
        <w:autoSpaceDN w:val="0"/>
        <w:adjustRightInd w:val="0"/>
        <w:ind w:firstLine="720"/>
        <w:rPr>
          <w:szCs w:val="24"/>
        </w:rPr>
      </w:pPr>
      <w:r>
        <w:rPr>
          <w:szCs w:val="24"/>
        </w:rPr>
        <w:t xml:space="preserve">The </w:t>
      </w:r>
      <w:r w:rsidR="00AC624F">
        <w:rPr>
          <w:szCs w:val="24"/>
        </w:rPr>
        <w:t>amendments in Release No. 33-9175</w:t>
      </w:r>
      <w:r>
        <w:rPr>
          <w:szCs w:val="24"/>
        </w:rPr>
        <w:t xml:space="preserve"> implement the requirements of Section 943 of the Dodd-Frank Wall Street Reform and Consumer Protection Act.  </w:t>
      </w:r>
      <w:r>
        <w:t>The new burden of Rule 17g-7 is necessary to implement Section 943(1) which requires nationally recognized statistical rating organizations to provide disclosures on the use of representations, warranties and enforcement mechanisms in the market for asset-backed securities.  Rule 17g-7 would result in an increase of 96,948 burden hours.</w:t>
      </w:r>
    </w:p>
    <w:p w:rsidR="00C10733" w:rsidRDefault="00C10733" w:rsidP="00C10733"/>
    <w:p w:rsidR="00C10733" w:rsidRPr="00B431DC" w:rsidRDefault="00C10733" w:rsidP="00C10733">
      <w:pPr>
        <w:pStyle w:val="ListParagraph"/>
        <w:numPr>
          <w:ilvl w:val="0"/>
          <w:numId w:val="7"/>
        </w:numPr>
        <w:rPr>
          <w:b/>
        </w:rPr>
      </w:pPr>
      <w:r w:rsidRPr="00B431DC">
        <w:rPr>
          <w:b/>
        </w:rPr>
        <w:t>INFORMATION COLLECTION P</w:t>
      </w:r>
      <w:r w:rsidR="00B431DC">
        <w:rPr>
          <w:b/>
        </w:rPr>
        <w:t>LANNED FOR STATISTICAL PURPOSES</w:t>
      </w:r>
    </w:p>
    <w:p w:rsidR="00C10733" w:rsidRDefault="00C10733" w:rsidP="00C10733"/>
    <w:p w:rsidR="00C10733" w:rsidRDefault="00C10733" w:rsidP="00433220">
      <w:pPr>
        <w:ind w:left="405" w:firstLine="315"/>
      </w:pPr>
      <w:r>
        <w:t>Not applicable.</w:t>
      </w:r>
    </w:p>
    <w:p w:rsidR="00C10733" w:rsidRDefault="00C10733" w:rsidP="00C10733"/>
    <w:p w:rsidR="00C10733" w:rsidRPr="00B431DC" w:rsidRDefault="00C10733" w:rsidP="00C10733">
      <w:pPr>
        <w:pStyle w:val="ListParagraph"/>
        <w:numPr>
          <w:ilvl w:val="0"/>
          <w:numId w:val="7"/>
        </w:numPr>
        <w:rPr>
          <w:b/>
        </w:rPr>
      </w:pPr>
      <w:r w:rsidRPr="00B431DC">
        <w:rPr>
          <w:b/>
        </w:rPr>
        <w:t>DISPLAY</w:t>
      </w:r>
      <w:r w:rsidR="005D0A42">
        <w:rPr>
          <w:b/>
        </w:rPr>
        <w:t xml:space="preserve"> OF OMB APPROVAL</w:t>
      </w:r>
      <w:r w:rsidR="000A5F6E">
        <w:rPr>
          <w:b/>
        </w:rPr>
        <w:t xml:space="preserve"> DATE</w:t>
      </w:r>
    </w:p>
    <w:p w:rsidR="00C10733" w:rsidRDefault="00C10733" w:rsidP="00C10733"/>
    <w:p w:rsidR="00C10733" w:rsidRDefault="00203F3D" w:rsidP="00433220">
      <w:pPr>
        <w:ind w:left="405" w:firstLine="315"/>
      </w:pPr>
      <w:r>
        <w:t>Not applicable.</w:t>
      </w:r>
    </w:p>
    <w:p w:rsidR="00C10733" w:rsidRDefault="00C10733" w:rsidP="00C10733"/>
    <w:p w:rsidR="00C10733" w:rsidRPr="00B431DC" w:rsidRDefault="00C10733" w:rsidP="00C10733">
      <w:pPr>
        <w:pStyle w:val="ListParagraph"/>
        <w:numPr>
          <w:ilvl w:val="0"/>
          <w:numId w:val="7"/>
        </w:numPr>
        <w:rPr>
          <w:b/>
        </w:rPr>
      </w:pPr>
      <w:r w:rsidRPr="00B431DC">
        <w:rPr>
          <w:b/>
        </w:rPr>
        <w:t>EXCEPTIONS TO CERTIFICATION</w:t>
      </w:r>
      <w:r w:rsidR="000A5F6E">
        <w:rPr>
          <w:b/>
        </w:rPr>
        <w:t xml:space="preserve"> FOR PAPERWORK REDUCTION ACT SUBMISSIONS</w:t>
      </w:r>
    </w:p>
    <w:p w:rsidR="009A226A" w:rsidRDefault="009A226A" w:rsidP="00C10733">
      <w:pPr>
        <w:ind w:left="405"/>
      </w:pPr>
    </w:p>
    <w:p w:rsidR="00C10733" w:rsidRDefault="00C10733" w:rsidP="00433220">
      <w:pPr>
        <w:ind w:left="405" w:firstLine="315"/>
      </w:pPr>
      <w:r>
        <w:t>Not applicable.</w:t>
      </w:r>
    </w:p>
    <w:p w:rsidR="00C10733" w:rsidRDefault="00C10733" w:rsidP="009A226A">
      <w:pPr>
        <w:pStyle w:val="ListParagraph"/>
        <w:ind w:left="765"/>
      </w:pPr>
    </w:p>
    <w:p w:rsidR="009A226A" w:rsidRPr="00B431DC" w:rsidRDefault="00C10733" w:rsidP="009A226A">
      <w:pPr>
        <w:pStyle w:val="ListParagraph"/>
        <w:numPr>
          <w:ilvl w:val="0"/>
          <w:numId w:val="3"/>
        </w:numPr>
        <w:rPr>
          <w:b/>
        </w:rPr>
      </w:pPr>
      <w:r w:rsidRPr="00B431DC">
        <w:rPr>
          <w:b/>
        </w:rPr>
        <w:t>COLLECTION OF INFORMATION EMPLOYING STATISTICAL METHODS</w:t>
      </w:r>
    </w:p>
    <w:p w:rsidR="00C10733" w:rsidRDefault="00C10733" w:rsidP="00C10733">
      <w:pPr>
        <w:pStyle w:val="ListParagraph"/>
        <w:ind w:left="405"/>
      </w:pPr>
    </w:p>
    <w:p w:rsidR="00DB4683" w:rsidRDefault="00C10733" w:rsidP="00DF5306">
      <w:pPr>
        <w:pStyle w:val="ListParagraph"/>
        <w:ind w:left="405" w:firstLine="315"/>
      </w:pPr>
      <w:r>
        <w:t>Not applicable.</w:t>
      </w:r>
    </w:p>
    <w:p w:rsidR="00DB4683" w:rsidRPr="006B5B55" w:rsidRDefault="00DB4683" w:rsidP="006B5B55"/>
    <w:sectPr w:rsidR="00DB4683" w:rsidRPr="006B5B55" w:rsidSect="00C11121">
      <w:footerReference w:type="default" r:id="rId9"/>
      <w:pgSz w:w="12240" w:h="15840" w:code="1"/>
      <w:pgMar w:top="1440" w:right="1440" w:bottom="720" w:left="1800" w:header="1440" w:footer="1440" w:gutter="0"/>
      <w:paperSrc w:first="11" w:other="2"/>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73E" w:rsidRDefault="0003073E">
      <w:r>
        <w:separator/>
      </w:r>
    </w:p>
  </w:endnote>
  <w:endnote w:type="continuationSeparator" w:id="0">
    <w:p w:rsidR="0003073E" w:rsidRDefault="000307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748751"/>
      <w:docPartObj>
        <w:docPartGallery w:val="Page Numbers (Bottom of Page)"/>
        <w:docPartUnique/>
      </w:docPartObj>
    </w:sdtPr>
    <w:sdtContent>
      <w:p w:rsidR="0003073E" w:rsidRDefault="00015D6E">
        <w:pPr>
          <w:pStyle w:val="Footer"/>
          <w:jc w:val="center"/>
        </w:pPr>
        <w:fldSimple w:instr=" PAGE   \* MERGEFORMAT ">
          <w:r w:rsidR="00286F12">
            <w:rPr>
              <w:noProof/>
            </w:rPr>
            <w:t>3</w:t>
          </w:r>
        </w:fldSimple>
      </w:p>
    </w:sdtContent>
  </w:sdt>
  <w:p w:rsidR="0003073E" w:rsidRDefault="000307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73E" w:rsidRDefault="0003073E">
      <w:r>
        <w:separator/>
      </w:r>
    </w:p>
  </w:footnote>
  <w:footnote w:type="continuationSeparator" w:id="0">
    <w:p w:rsidR="0003073E" w:rsidRDefault="0003073E">
      <w:r>
        <w:continuationSeparator/>
      </w:r>
    </w:p>
  </w:footnote>
  <w:footnote w:id="1">
    <w:p w:rsidR="0003073E" w:rsidRDefault="0003073E" w:rsidP="0003073E">
      <w:pPr>
        <w:pStyle w:val="FootnoteText"/>
        <w:spacing w:after="120"/>
      </w:pPr>
      <w:r>
        <w:rPr>
          <w:rStyle w:val="FootnoteReference"/>
        </w:rPr>
        <w:footnoteRef/>
      </w:r>
      <w:r>
        <w:t xml:space="preserve"> </w:t>
      </w:r>
      <w:r>
        <w:tab/>
      </w:r>
      <w:r>
        <w:rPr>
          <w:u w:val="single"/>
        </w:rPr>
        <w:t>Disclosure for Asset-Backed Securities Required by Section 943 of the Dodd-Frank Wall Street Reform and Consumer Protection Act of 2010</w:t>
      </w:r>
      <w:r>
        <w:t>, Release No. 33-9175 (January 26, 2011) [</w:t>
      </w:r>
      <w:r w:rsidR="001F3295">
        <w:t>76</w:t>
      </w:r>
      <w:r>
        <w:t xml:space="preserve"> FR </w:t>
      </w:r>
      <w:r w:rsidR="001F3295">
        <w:t>4489</w:t>
      </w:r>
      <w:r>
        <w:t>].</w:t>
      </w:r>
    </w:p>
  </w:footnote>
  <w:footnote w:id="2">
    <w:p w:rsidR="0003073E" w:rsidRDefault="0003073E" w:rsidP="0003073E">
      <w:pPr>
        <w:pStyle w:val="FootnoteText"/>
        <w:spacing w:after="120"/>
      </w:pPr>
      <w:r>
        <w:rPr>
          <w:rStyle w:val="FootnoteReference"/>
        </w:rPr>
        <w:footnoteRef/>
      </w:r>
      <w:r>
        <w:t xml:space="preserve"> </w:t>
      </w:r>
      <w:r>
        <w:tab/>
      </w:r>
      <w:r w:rsidRPr="00D43ACC">
        <w:rPr>
          <w:u w:val="single"/>
        </w:rPr>
        <w:t>See</w:t>
      </w:r>
      <w:r>
        <w:t xml:space="preserve"> Section I. of Release No. 33-9175.  </w:t>
      </w:r>
    </w:p>
  </w:footnote>
  <w:footnote w:id="3">
    <w:p w:rsidR="0003073E" w:rsidRDefault="0003073E" w:rsidP="0003073E">
      <w:pPr>
        <w:pStyle w:val="FootnoteText"/>
        <w:spacing w:after="120"/>
      </w:pPr>
      <w:r>
        <w:rPr>
          <w:rStyle w:val="FootnoteReference"/>
        </w:rPr>
        <w:footnoteRef/>
      </w:r>
      <w:r>
        <w:t xml:space="preserve"> </w:t>
      </w:r>
      <w:r>
        <w:tab/>
        <w:t xml:space="preserve">As noted in Section IV. of Release No. 33-9175 and also </w:t>
      </w:r>
      <w:r w:rsidRPr="00EF6D82">
        <w:t>below (#12 and #13),</w:t>
      </w:r>
      <w:r>
        <w:t xml:space="preserve"> we believe that the proposed amendments would not change the burden hours and costs associated with Regulation S-K.</w:t>
      </w:r>
    </w:p>
  </w:footnote>
  <w:footnote w:id="4">
    <w:p w:rsidR="001F3295" w:rsidRDefault="001F3295">
      <w:pPr>
        <w:pStyle w:val="FootnoteText"/>
      </w:pPr>
      <w:r>
        <w:rPr>
          <w:rStyle w:val="FootnoteReference"/>
        </w:rPr>
        <w:footnoteRef/>
      </w:r>
      <w:r>
        <w:t xml:space="preserve"> </w:t>
      </w:r>
      <w:r>
        <w:tab/>
      </w:r>
      <w:r w:rsidRPr="00C12F3A">
        <w:t xml:space="preserve">The burden hours and cost burden for </w:t>
      </w:r>
      <w:r>
        <w:t>Form ABS-15G</w:t>
      </w:r>
      <w:r w:rsidRPr="00C12F3A">
        <w:t xml:space="preserve"> is being addressed in a separate supporting stat</w:t>
      </w:r>
      <w:r>
        <w:t>ement to OMB for final approval.</w:t>
      </w:r>
    </w:p>
  </w:footnote>
  <w:footnote w:id="5">
    <w:p w:rsidR="00AC624F" w:rsidRDefault="00AC624F" w:rsidP="00AC624F">
      <w:pPr>
        <w:pStyle w:val="FootnoteText"/>
      </w:pPr>
      <w:r>
        <w:rPr>
          <w:rStyle w:val="FootnoteReference"/>
        </w:rPr>
        <w:footnoteRef/>
      </w:r>
      <w:r>
        <w:t xml:space="preserve"> </w:t>
      </w:r>
      <w:r>
        <w:tab/>
      </w:r>
      <w:r>
        <w:rPr>
          <w:u w:val="single"/>
        </w:rPr>
        <w:t>Disclosure for Asset-Backed Securities Required by Section 943 of the Dodd-Frank Wall Street Reform and Consumer Protection Act</w:t>
      </w:r>
      <w:r>
        <w:t>, Release No. 33-9148 (October 4, 2010) [75 FR 6278] (the “Proposing Release”).</w:t>
      </w:r>
    </w:p>
  </w:footnote>
  <w:footnote w:id="6">
    <w:p w:rsidR="00AC624F" w:rsidRDefault="00AC624F" w:rsidP="00AC624F">
      <w:pPr>
        <w:pStyle w:val="FootnoteText"/>
        <w:spacing w:after="120"/>
      </w:pPr>
      <w:r>
        <w:rPr>
          <w:rStyle w:val="FootnoteReference"/>
        </w:rPr>
        <w:footnoteRef/>
      </w:r>
      <w:r>
        <w:t xml:space="preserve"> </w:t>
      </w:r>
      <w:r>
        <w:tab/>
      </w:r>
      <w:r w:rsidRPr="0066051C">
        <w:rPr>
          <w:u w:val="words"/>
        </w:rPr>
        <w:t>See</w:t>
      </w:r>
      <w:r>
        <w:t xml:space="preserve"> letter from Fitch.  The public comments we received are available on our website at </w:t>
      </w:r>
      <w:hyperlink r:id="rId1" w:history="1">
        <w:r w:rsidRPr="004059D9">
          <w:rPr>
            <w:rStyle w:val="Hyperlink"/>
          </w:rPr>
          <w:t>http://sec.gov/comments/s7-24-10/s72410.shtml</w:t>
        </w:r>
      </w:hyperlink>
      <w:r>
        <w:t>.</w:t>
      </w:r>
    </w:p>
  </w:footnote>
  <w:footnote w:id="7">
    <w:p w:rsidR="0003073E" w:rsidRDefault="0003073E" w:rsidP="009C4A9D">
      <w:pPr>
        <w:pStyle w:val="FootnoteText"/>
        <w:spacing w:after="120"/>
      </w:pPr>
      <w:r>
        <w:rPr>
          <w:rStyle w:val="FootnoteReference"/>
        </w:rPr>
        <w:footnoteRef/>
      </w:r>
      <w:r>
        <w:t xml:space="preserve"> </w:t>
      </w:r>
      <w:r>
        <w:tab/>
        <w:t xml:space="preserve">We rely on two outside sources of ABS issuance data.  We use the ABS issuance data from Asset-Backed Alert on the initial terms of offerings, and we supplement that data with information from Securities Data Corporation (SDC).  </w:t>
      </w:r>
    </w:p>
  </w:footnote>
  <w:footnote w:id="8">
    <w:p w:rsidR="00AC624F" w:rsidRDefault="00AC624F" w:rsidP="00AC624F">
      <w:pPr>
        <w:pStyle w:val="FootnoteText"/>
        <w:spacing w:after="120"/>
      </w:pPr>
      <w:r>
        <w:rPr>
          <w:rStyle w:val="FootnoteReference"/>
        </w:rPr>
        <w:footnoteRef/>
      </w:r>
      <w:r>
        <w:t xml:space="preserve"> </w:t>
      </w:r>
      <w:r>
        <w:tab/>
        <w:t>100 hours X 30 NRSROs.</w:t>
      </w:r>
    </w:p>
  </w:footnote>
  <w:footnote w:id="9">
    <w:p w:rsidR="00AC624F" w:rsidRDefault="00AC624F" w:rsidP="00AC624F">
      <w:pPr>
        <w:pStyle w:val="FootnoteText"/>
        <w:spacing w:after="120"/>
      </w:pPr>
      <w:r>
        <w:rPr>
          <w:rStyle w:val="FootnoteReference"/>
        </w:rPr>
        <w:footnoteRef/>
      </w:r>
      <w:r>
        <w:t xml:space="preserve"> </w:t>
      </w:r>
      <w:r>
        <w:tab/>
        <w:t>100 hours X 30 NRSROs.</w:t>
      </w:r>
    </w:p>
  </w:footnote>
  <w:footnote w:id="10">
    <w:p w:rsidR="00AC624F" w:rsidRDefault="00AC624F" w:rsidP="00AC624F">
      <w:pPr>
        <w:pStyle w:val="FootnoteText"/>
        <w:spacing w:after="120"/>
      </w:pPr>
      <w:r>
        <w:rPr>
          <w:rStyle w:val="FootnoteReference"/>
        </w:rPr>
        <w:footnoteRef/>
      </w:r>
      <w:r>
        <w:t xml:space="preserve"> </w:t>
      </w:r>
      <w:r>
        <w:tab/>
      </w:r>
      <w:r>
        <w:rPr>
          <w:color w:val="000000"/>
          <w:szCs w:val="24"/>
        </w:rPr>
        <w:t>The annual average number of registered offerings was 958 and</w:t>
      </w:r>
      <w:r w:rsidRPr="0066155D">
        <w:rPr>
          <w:color w:val="000000"/>
          <w:szCs w:val="24"/>
        </w:rPr>
        <w:t xml:space="preserve"> the annual average number of</w:t>
      </w:r>
      <w:r>
        <w:rPr>
          <w:color w:val="000000"/>
          <w:szCs w:val="24"/>
        </w:rPr>
        <w:t xml:space="preserve"> </w:t>
      </w:r>
      <w:r w:rsidRPr="0066155D">
        <w:rPr>
          <w:color w:val="000000"/>
          <w:szCs w:val="24"/>
        </w:rPr>
        <w:t>Rule 144A ABS offerings was 716</w:t>
      </w:r>
      <w:r>
        <w:rPr>
          <w:color w:val="000000"/>
          <w:szCs w:val="24"/>
        </w:rPr>
        <w:t xml:space="preserve"> for an estimated annual average of 1,674 over the period 2004-2009.  </w:t>
      </w:r>
      <w:r w:rsidRPr="0066051C">
        <w:rPr>
          <w:u w:val="words"/>
        </w:rPr>
        <w:t>See</w:t>
      </w:r>
      <w:r>
        <w:t xml:space="preserve"> Section X. of </w:t>
      </w:r>
      <w:r w:rsidR="00DF5306">
        <w:t>Asset Backed Securities, SEC Release No. 33-9117 (Apr. 7, 2010) [75 FR 23328] (</w:t>
      </w:r>
      <w:r>
        <w:t xml:space="preserve">the </w:t>
      </w:r>
      <w:r w:rsidR="00DF5306">
        <w:t>“</w:t>
      </w:r>
      <w:r>
        <w:t>2010 ABS Proposing Release</w:t>
      </w:r>
      <w:r w:rsidR="00DF5306">
        <w:t>”)</w:t>
      </w:r>
      <w:r>
        <w:t xml:space="preserve">. </w:t>
      </w:r>
      <w:r w:rsidR="00DF5306">
        <w:t xml:space="preserve"> </w:t>
      </w:r>
      <w:r>
        <w:t>We also add 393 to estimate for offerings under other exemptions that were not within the scope of the 2010 ABS Proposing Release.  Thus, in total we use an estimated annual average number of 2,067 ABS offerings for the basis of our PRA burden estimates.</w:t>
      </w:r>
    </w:p>
  </w:footnote>
  <w:footnote w:id="11">
    <w:p w:rsidR="00AC624F" w:rsidRDefault="00AC624F" w:rsidP="00AC624F">
      <w:pPr>
        <w:pStyle w:val="FootnoteText"/>
        <w:spacing w:after="120"/>
      </w:pPr>
      <w:r>
        <w:rPr>
          <w:rStyle w:val="FootnoteReference"/>
        </w:rPr>
        <w:footnoteRef/>
      </w:r>
      <w:r>
        <w:t xml:space="preserve"> </w:t>
      </w:r>
      <w:r>
        <w:tab/>
        <w:t>4 reports X 2,067 ABS offerings X 11 hours (1 hour to review disclosures + 10 hours to compare and prepare).</w:t>
      </w:r>
    </w:p>
  </w:footnote>
  <w:footnote w:id="12">
    <w:p w:rsidR="00AC624F" w:rsidRDefault="00AC624F" w:rsidP="00AC624F">
      <w:pPr>
        <w:pStyle w:val="FootnoteText"/>
        <w:spacing w:after="120"/>
      </w:pPr>
      <w:r>
        <w:rPr>
          <w:rStyle w:val="FootnoteReference"/>
        </w:rPr>
        <w:footnoteRef/>
      </w:r>
      <w:r>
        <w:t xml:space="preserve"> </w:t>
      </w:r>
      <w:r>
        <w:tab/>
      </w:r>
      <w:r w:rsidRPr="0066051C">
        <w:rPr>
          <w:u w:val="words"/>
        </w:rPr>
        <w:t>See</w:t>
      </w:r>
      <w:r>
        <w:t xml:space="preserve"> letter from Fitch.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62D7"/>
    <w:multiLevelType w:val="hybridMultilevel"/>
    <w:tmpl w:val="3F16BF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E8380A"/>
    <w:multiLevelType w:val="hybridMultilevel"/>
    <w:tmpl w:val="FE9E9880"/>
    <w:lvl w:ilvl="0" w:tplc="1E760D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58627B6"/>
    <w:multiLevelType w:val="hybridMultilevel"/>
    <w:tmpl w:val="6D0E2B4C"/>
    <w:lvl w:ilvl="0" w:tplc="03621B26">
      <w:start w:val="14"/>
      <w:numFmt w:val="decimal"/>
      <w:lvlText w:val="%1."/>
      <w:lvlJc w:val="left"/>
      <w:pPr>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547A6"/>
    <w:multiLevelType w:val="hybridMultilevel"/>
    <w:tmpl w:val="1DE08F5E"/>
    <w:lvl w:ilvl="0" w:tplc="1D548558">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1DB31571"/>
    <w:multiLevelType w:val="hybridMultilevel"/>
    <w:tmpl w:val="6F268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06E3900"/>
    <w:multiLevelType w:val="hybridMultilevel"/>
    <w:tmpl w:val="588E93CE"/>
    <w:lvl w:ilvl="0" w:tplc="E356FE88">
      <w:start w:val="1"/>
      <w:numFmt w:val="decimal"/>
      <w:pStyle w:val="Heading1"/>
      <w:lvlText w:val="%1."/>
      <w:lvlJc w:val="left"/>
      <w:pPr>
        <w:tabs>
          <w:tab w:val="num" w:pos="720"/>
        </w:tabs>
        <w:ind w:left="720" w:hanging="360"/>
      </w:pPr>
      <w:rPr>
        <w:rFonts w:hint="default"/>
      </w:rPr>
    </w:lvl>
    <w:lvl w:ilvl="1" w:tplc="6C78C0E2" w:tentative="1">
      <w:start w:val="1"/>
      <w:numFmt w:val="lowerLetter"/>
      <w:lvlText w:val="%2."/>
      <w:lvlJc w:val="left"/>
      <w:pPr>
        <w:tabs>
          <w:tab w:val="num" w:pos="1440"/>
        </w:tabs>
        <w:ind w:left="1440" w:hanging="360"/>
      </w:pPr>
    </w:lvl>
    <w:lvl w:ilvl="2" w:tplc="5AB8AFC6" w:tentative="1">
      <w:start w:val="1"/>
      <w:numFmt w:val="lowerRoman"/>
      <w:lvlText w:val="%3."/>
      <w:lvlJc w:val="right"/>
      <w:pPr>
        <w:tabs>
          <w:tab w:val="num" w:pos="2160"/>
        </w:tabs>
        <w:ind w:left="2160" w:hanging="180"/>
      </w:pPr>
    </w:lvl>
    <w:lvl w:ilvl="3" w:tplc="DD84AD3E" w:tentative="1">
      <w:start w:val="1"/>
      <w:numFmt w:val="decimal"/>
      <w:lvlText w:val="%4."/>
      <w:lvlJc w:val="left"/>
      <w:pPr>
        <w:tabs>
          <w:tab w:val="num" w:pos="2880"/>
        </w:tabs>
        <w:ind w:left="2880" w:hanging="360"/>
      </w:pPr>
    </w:lvl>
    <w:lvl w:ilvl="4" w:tplc="91725F36" w:tentative="1">
      <w:start w:val="1"/>
      <w:numFmt w:val="lowerLetter"/>
      <w:lvlText w:val="%5."/>
      <w:lvlJc w:val="left"/>
      <w:pPr>
        <w:tabs>
          <w:tab w:val="num" w:pos="3600"/>
        </w:tabs>
        <w:ind w:left="3600" w:hanging="360"/>
      </w:pPr>
    </w:lvl>
    <w:lvl w:ilvl="5" w:tplc="FC249E48" w:tentative="1">
      <w:start w:val="1"/>
      <w:numFmt w:val="lowerRoman"/>
      <w:lvlText w:val="%6."/>
      <w:lvlJc w:val="right"/>
      <w:pPr>
        <w:tabs>
          <w:tab w:val="num" w:pos="4320"/>
        </w:tabs>
        <w:ind w:left="4320" w:hanging="180"/>
      </w:pPr>
    </w:lvl>
    <w:lvl w:ilvl="6" w:tplc="BAC463C4" w:tentative="1">
      <w:start w:val="1"/>
      <w:numFmt w:val="decimal"/>
      <w:lvlText w:val="%7."/>
      <w:lvlJc w:val="left"/>
      <w:pPr>
        <w:tabs>
          <w:tab w:val="num" w:pos="5040"/>
        </w:tabs>
        <w:ind w:left="5040" w:hanging="360"/>
      </w:pPr>
    </w:lvl>
    <w:lvl w:ilvl="7" w:tplc="E564EA22" w:tentative="1">
      <w:start w:val="1"/>
      <w:numFmt w:val="lowerLetter"/>
      <w:lvlText w:val="%8."/>
      <w:lvlJc w:val="left"/>
      <w:pPr>
        <w:tabs>
          <w:tab w:val="num" w:pos="5760"/>
        </w:tabs>
        <w:ind w:left="5760" w:hanging="360"/>
      </w:pPr>
    </w:lvl>
    <w:lvl w:ilvl="8" w:tplc="DB26D74C" w:tentative="1">
      <w:start w:val="1"/>
      <w:numFmt w:val="lowerRoman"/>
      <w:lvlText w:val="%9."/>
      <w:lvlJc w:val="right"/>
      <w:pPr>
        <w:tabs>
          <w:tab w:val="num" w:pos="6480"/>
        </w:tabs>
        <w:ind w:left="6480" w:hanging="180"/>
      </w:pPr>
    </w:lvl>
  </w:abstractNum>
  <w:abstractNum w:abstractNumId="6">
    <w:nsid w:val="3A3B2E67"/>
    <w:multiLevelType w:val="hybridMultilevel"/>
    <w:tmpl w:val="53205782"/>
    <w:lvl w:ilvl="0" w:tplc="9B48932A">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5DEE4A63"/>
    <w:multiLevelType w:val="hybridMultilevel"/>
    <w:tmpl w:val="700024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7F6B71FF"/>
    <w:multiLevelType w:val="hybridMultilevel"/>
    <w:tmpl w:val="CF3E34F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A143D"/>
    <w:multiLevelType w:val="hybridMultilevel"/>
    <w:tmpl w:val="8626F78A"/>
    <w:lvl w:ilvl="0" w:tplc="33A4AAD0">
      <w:numFmt w:val="bullet"/>
      <w:lvlText w:val=""/>
      <w:lvlJc w:val="left"/>
      <w:pPr>
        <w:tabs>
          <w:tab w:val="num" w:pos="720"/>
        </w:tabs>
        <w:ind w:left="720" w:hanging="360"/>
      </w:pPr>
      <w:rPr>
        <w:rFonts w:ascii="Wingdings" w:eastAsia="Times New Roman" w:hAnsi="Wingdings"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6"/>
  </w:num>
  <w:num w:numId="4">
    <w:abstractNumId w:val="3"/>
  </w:num>
  <w:num w:numId="5">
    <w:abstractNumId w:val="4"/>
  </w:num>
  <w:num w:numId="6">
    <w:abstractNumId w:val="0"/>
  </w:num>
  <w:num w:numId="7">
    <w:abstractNumId w:val="2"/>
  </w:num>
  <w:num w:numId="8">
    <w:abstractNumId w:val="8"/>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A226A"/>
    <w:rsid w:val="00003179"/>
    <w:rsid w:val="00011960"/>
    <w:rsid w:val="00015D6E"/>
    <w:rsid w:val="00017834"/>
    <w:rsid w:val="00021CC3"/>
    <w:rsid w:val="00022C3F"/>
    <w:rsid w:val="0003073E"/>
    <w:rsid w:val="00031AD5"/>
    <w:rsid w:val="00036B62"/>
    <w:rsid w:val="00037D47"/>
    <w:rsid w:val="000521F8"/>
    <w:rsid w:val="00076516"/>
    <w:rsid w:val="00090902"/>
    <w:rsid w:val="000914DE"/>
    <w:rsid w:val="000A5F6E"/>
    <w:rsid w:val="000A64B0"/>
    <w:rsid w:val="000A6E84"/>
    <w:rsid w:val="000B60CF"/>
    <w:rsid w:val="000C1568"/>
    <w:rsid w:val="000C77BC"/>
    <w:rsid w:val="000D774A"/>
    <w:rsid w:val="000E2534"/>
    <w:rsid w:val="000E277D"/>
    <w:rsid w:val="000E4157"/>
    <w:rsid w:val="000F0067"/>
    <w:rsid w:val="000F31B3"/>
    <w:rsid w:val="000F3F63"/>
    <w:rsid w:val="00112AA7"/>
    <w:rsid w:val="0012168B"/>
    <w:rsid w:val="00121B05"/>
    <w:rsid w:val="0012342E"/>
    <w:rsid w:val="00125035"/>
    <w:rsid w:val="00132D69"/>
    <w:rsid w:val="001405EF"/>
    <w:rsid w:val="001433F7"/>
    <w:rsid w:val="00153FF5"/>
    <w:rsid w:val="001676E9"/>
    <w:rsid w:val="0016793B"/>
    <w:rsid w:val="00174465"/>
    <w:rsid w:val="001821A9"/>
    <w:rsid w:val="0018729D"/>
    <w:rsid w:val="001B54AD"/>
    <w:rsid w:val="001C32BD"/>
    <w:rsid w:val="001C77A2"/>
    <w:rsid w:val="001D7137"/>
    <w:rsid w:val="001E32B4"/>
    <w:rsid w:val="001F28B5"/>
    <w:rsid w:val="001F3295"/>
    <w:rsid w:val="001F7D40"/>
    <w:rsid w:val="00203032"/>
    <w:rsid w:val="002034D6"/>
    <w:rsid w:val="00203F3D"/>
    <w:rsid w:val="002222FE"/>
    <w:rsid w:val="00236098"/>
    <w:rsid w:val="00277185"/>
    <w:rsid w:val="00286F12"/>
    <w:rsid w:val="00286F44"/>
    <w:rsid w:val="00287722"/>
    <w:rsid w:val="002B2738"/>
    <w:rsid w:val="002C2F7E"/>
    <w:rsid w:val="002C6AE2"/>
    <w:rsid w:val="002E4347"/>
    <w:rsid w:val="002F5703"/>
    <w:rsid w:val="002F7613"/>
    <w:rsid w:val="00312D7F"/>
    <w:rsid w:val="00313DBB"/>
    <w:rsid w:val="0032426F"/>
    <w:rsid w:val="00325523"/>
    <w:rsid w:val="00330BD4"/>
    <w:rsid w:val="00342B88"/>
    <w:rsid w:val="00347108"/>
    <w:rsid w:val="0035721E"/>
    <w:rsid w:val="00365414"/>
    <w:rsid w:val="00373D19"/>
    <w:rsid w:val="00390B6B"/>
    <w:rsid w:val="003A6F5E"/>
    <w:rsid w:val="003B042A"/>
    <w:rsid w:val="003B7D5D"/>
    <w:rsid w:val="003C6140"/>
    <w:rsid w:val="003D1E3E"/>
    <w:rsid w:val="003D257D"/>
    <w:rsid w:val="003D5D1A"/>
    <w:rsid w:val="003E17E9"/>
    <w:rsid w:val="003F07A7"/>
    <w:rsid w:val="003F3FC8"/>
    <w:rsid w:val="00411037"/>
    <w:rsid w:val="00415502"/>
    <w:rsid w:val="00425EC0"/>
    <w:rsid w:val="00433220"/>
    <w:rsid w:val="00433D07"/>
    <w:rsid w:val="00442B56"/>
    <w:rsid w:val="00443A99"/>
    <w:rsid w:val="004510C5"/>
    <w:rsid w:val="00497955"/>
    <w:rsid w:val="004A3E36"/>
    <w:rsid w:val="004D1EB2"/>
    <w:rsid w:val="004E045D"/>
    <w:rsid w:val="004E5FA3"/>
    <w:rsid w:val="004F24D4"/>
    <w:rsid w:val="004F2C5E"/>
    <w:rsid w:val="004F67BD"/>
    <w:rsid w:val="00512E70"/>
    <w:rsid w:val="00515187"/>
    <w:rsid w:val="0051519D"/>
    <w:rsid w:val="005475B3"/>
    <w:rsid w:val="00565B8F"/>
    <w:rsid w:val="00565D96"/>
    <w:rsid w:val="00573DF9"/>
    <w:rsid w:val="005844E1"/>
    <w:rsid w:val="00584AE1"/>
    <w:rsid w:val="0059299E"/>
    <w:rsid w:val="005A198F"/>
    <w:rsid w:val="005A50EA"/>
    <w:rsid w:val="005B063C"/>
    <w:rsid w:val="005C4CB8"/>
    <w:rsid w:val="005D0A42"/>
    <w:rsid w:val="005D3B15"/>
    <w:rsid w:val="005E3174"/>
    <w:rsid w:val="005E41BA"/>
    <w:rsid w:val="00600DAD"/>
    <w:rsid w:val="00603120"/>
    <w:rsid w:val="00633864"/>
    <w:rsid w:val="00634715"/>
    <w:rsid w:val="006577BC"/>
    <w:rsid w:val="006634FB"/>
    <w:rsid w:val="00665416"/>
    <w:rsid w:val="0067165B"/>
    <w:rsid w:val="00672C33"/>
    <w:rsid w:val="006A5A9D"/>
    <w:rsid w:val="006B382B"/>
    <w:rsid w:val="006B5B55"/>
    <w:rsid w:val="006B79F4"/>
    <w:rsid w:val="006D6D7D"/>
    <w:rsid w:val="006E08B8"/>
    <w:rsid w:val="006E7053"/>
    <w:rsid w:val="006F7A4D"/>
    <w:rsid w:val="00704F31"/>
    <w:rsid w:val="0070540C"/>
    <w:rsid w:val="00721C3E"/>
    <w:rsid w:val="00733C5E"/>
    <w:rsid w:val="00734782"/>
    <w:rsid w:val="007362D3"/>
    <w:rsid w:val="00736472"/>
    <w:rsid w:val="007402E3"/>
    <w:rsid w:val="00746955"/>
    <w:rsid w:val="00754505"/>
    <w:rsid w:val="007B6554"/>
    <w:rsid w:val="007C2809"/>
    <w:rsid w:val="007C7D55"/>
    <w:rsid w:val="007E6A43"/>
    <w:rsid w:val="007F18F1"/>
    <w:rsid w:val="007F6928"/>
    <w:rsid w:val="00804FE5"/>
    <w:rsid w:val="00824591"/>
    <w:rsid w:val="00840A68"/>
    <w:rsid w:val="00852188"/>
    <w:rsid w:val="00856039"/>
    <w:rsid w:val="008838DE"/>
    <w:rsid w:val="00883F0A"/>
    <w:rsid w:val="00885A45"/>
    <w:rsid w:val="008A0EDD"/>
    <w:rsid w:val="008B20CB"/>
    <w:rsid w:val="008B3FC1"/>
    <w:rsid w:val="008C1A6B"/>
    <w:rsid w:val="008C2235"/>
    <w:rsid w:val="008C71FC"/>
    <w:rsid w:val="008E4485"/>
    <w:rsid w:val="008F106C"/>
    <w:rsid w:val="008F65F1"/>
    <w:rsid w:val="009053D1"/>
    <w:rsid w:val="00910D63"/>
    <w:rsid w:val="00912E20"/>
    <w:rsid w:val="00917E5F"/>
    <w:rsid w:val="00933176"/>
    <w:rsid w:val="009574BD"/>
    <w:rsid w:val="009623D5"/>
    <w:rsid w:val="0096447E"/>
    <w:rsid w:val="00967677"/>
    <w:rsid w:val="00983C5B"/>
    <w:rsid w:val="009862F7"/>
    <w:rsid w:val="009A0F9C"/>
    <w:rsid w:val="009A226A"/>
    <w:rsid w:val="009A4F95"/>
    <w:rsid w:val="009B35C2"/>
    <w:rsid w:val="009C4A9D"/>
    <w:rsid w:val="009D514E"/>
    <w:rsid w:val="009D6298"/>
    <w:rsid w:val="009E15A1"/>
    <w:rsid w:val="009F2F11"/>
    <w:rsid w:val="009F3315"/>
    <w:rsid w:val="00A02811"/>
    <w:rsid w:val="00A126BB"/>
    <w:rsid w:val="00A3691F"/>
    <w:rsid w:val="00A37678"/>
    <w:rsid w:val="00A47074"/>
    <w:rsid w:val="00A543BB"/>
    <w:rsid w:val="00A94C5D"/>
    <w:rsid w:val="00AB11C6"/>
    <w:rsid w:val="00AC1862"/>
    <w:rsid w:val="00AC624F"/>
    <w:rsid w:val="00AC70AF"/>
    <w:rsid w:val="00AD3E8A"/>
    <w:rsid w:val="00AD5812"/>
    <w:rsid w:val="00AE5370"/>
    <w:rsid w:val="00AF1132"/>
    <w:rsid w:val="00B140AC"/>
    <w:rsid w:val="00B15421"/>
    <w:rsid w:val="00B1765F"/>
    <w:rsid w:val="00B34770"/>
    <w:rsid w:val="00B36389"/>
    <w:rsid w:val="00B431DC"/>
    <w:rsid w:val="00B57DCE"/>
    <w:rsid w:val="00B6459D"/>
    <w:rsid w:val="00B6564B"/>
    <w:rsid w:val="00B77E14"/>
    <w:rsid w:val="00B864F6"/>
    <w:rsid w:val="00B86502"/>
    <w:rsid w:val="00B86DD1"/>
    <w:rsid w:val="00B918C1"/>
    <w:rsid w:val="00BD5136"/>
    <w:rsid w:val="00BF1AA3"/>
    <w:rsid w:val="00C10733"/>
    <w:rsid w:val="00C11121"/>
    <w:rsid w:val="00C20A2F"/>
    <w:rsid w:val="00C36127"/>
    <w:rsid w:val="00C461A5"/>
    <w:rsid w:val="00C71EE9"/>
    <w:rsid w:val="00C7668D"/>
    <w:rsid w:val="00C96762"/>
    <w:rsid w:val="00CA3C8C"/>
    <w:rsid w:val="00CB348B"/>
    <w:rsid w:val="00CC5BB6"/>
    <w:rsid w:val="00CD1035"/>
    <w:rsid w:val="00D27A68"/>
    <w:rsid w:val="00D3149E"/>
    <w:rsid w:val="00D33BA8"/>
    <w:rsid w:val="00D4180C"/>
    <w:rsid w:val="00D43ACC"/>
    <w:rsid w:val="00D442D8"/>
    <w:rsid w:val="00D44321"/>
    <w:rsid w:val="00D6626D"/>
    <w:rsid w:val="00D74D3A"/>
    <w:rsid w:val="00D836CD"/>
    <w:rsid w:val="00D914F7"/>
    <w:rsid w:val="00D936BC"/>
    <w:rsid w:val="00D964B4"/>
    <w:rsid w:val="00D96927"/>
    <w:rsid w:val="00DA5149"/>
    <w:rsid w:val="00DB4683"/>
    <w:rsid w:val="00DC2054"/>
    <w:rsid w:val="00DD19BE"/>
    <w:rsid w:val="00DF077F"/>
    <w:rsid w:val="00DF5306"/>
    <w:rsid w:val="00E028AC"/>
    <w:rsid w:val="00E06F60"/>
    <w:rsid w:val="00E331D7"/>
    <w:rsid w:val="00E35B5C"/>
    <w:rsid w:val="00E41663"/>
    <w:rsid w:val="00E45F4C"/>
    <w:rsid w:val="00E47F87"/>
    <w:rsid w:val="00E56ADD"/>
    <w:rsid w:val="00E66585"/>
    <w:rsid w:val="00E82C19"/>
    <w:rsid w:val="00E92176"/>
    <w:rsid w:val="00ED368B"/>
    <w:rsid w:val="00EF6D82"/>
    <w:rsid w:val="00F0199A"/>
    <w:rsid w:val="00F224FF"/>
    <w:rsid w:val="00F225C9"/>
    <w:rsid w:val="00F33389"/>
    <w:rsid w:val="00F346F2"/>
    <w:rsid w:val="00F367B5"/>
    <w:rsid w:val="00F44010"/>
    <w:rsid w:val="00F65ABB"/>
    <w:rsid w:val="00F775CA"/>
    <w:rsid w:val="00FA488B"/>
    <w:rsid w:val="00FB6894"/>
    <w:rsid w:val="00FE5730"/>
    <w:rsid w:val="00FF219F"/>
    <w:rsid w:val="00FF2C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U)"/>
    <w:qFormat/>
    <w:rsid w:val="003D1E3E"/>
    <w:rPr>
      <w:sz w:val="24"/>
    </w:rPr>
  </w:style>
  <w:style w:type="paragraph" w:styleId="Heading1">
    <w:name w:val="heading 1"/>
    <w:basedOn w:val="Normal"/>
    <w:next w:val="Normal"/>
    <w:link w:val="Heading1Char"/>
    <w:qFormat/>
    <w:rsid w:val="003D1E3E"/>
    <w:pPr>
      <w:keepNext/>
      <w:numPr>
        <w:numId w:val="1"/>
      </w:numPr>
      <w:spacing w:before="240" w:after="60"/>
      <w:outlineLvl w:val="0"/>
    </w:pPr>
    <w:rPr>
      <w:rFonts w:cs="Arial"/>
      <w:bCs/>
      <w:kern w:val="32"/>
      <w:szCs w:val="32"/>
    </w:rPr>
  </w:style>
  <w:style w:type="paragraph" w:styleId="Heading2">
    <w:name w:val="heading 2"/>
    <w:basedOn w:val="Normal"/>
    <w:next w:val="Normal"/>
    <w:qFormat/>
    <w:rsid w:val="002E4347"/>
    <w:pPr>
      <w:keepNext/>
      <w:overflowPunct w:val="0"/>
      <w:autoSpaceDE w:val="0"/>
      <w:autoSpaceDN w:val="0"/>
      <w:adjustRightInd w:val="0"/>
      <w:spacing w:before="240" w:after="60"/>
      <w:ind w:left="1440" w:hanging="720"/>
      <w:textAlignment w:val="baseline"/>
      <w:outlineLvl w:val="1"/>
    </w:pPr>
    <w:rPr>
      <w:rFonts w:ascii="Arial" w:hAnsi="Arial"/>
      <w:b/>
      <w:i/>
    </w:rPr>
  </w:style>
  <w:style w:type="paragraph" w:styleId="Heading3">
    <w:name w:val="heading 3"/>
    <w:basedOn w:val="Normal"/>
    <w:next w:val="Normal"/>
    <w:qFormat/>
    <w:rsid w:val="002E4347"/>
    <w:pPr>
      <w:keepNext/>
      <w:overflowPunct w:val="0"/>
      <w:autoSpaceDE w:val="0"/>
      <w:autoSpaceDN w:val="0"/>
      <w:adjustRightInd w:val="0"/>
      <w:spacing w:before="240" w:after="60"/>
      <w:ind w:left="2160" w:hanging="720"/>
      <w:textAlignment w:val="baseline"/>
      <w:outlineLvl w:val="2"/>
    </w:pPr>
    <w:rPr>
      <w:b/>
    </w:rPr>
  </w:style>
  <w:style w:type="paragraph" w:styleId="Heading4">
    <w:name w:val="heading 4"/>
    <w:basedOn w:val="Normal"/>
    <w:next w:val="Normal"/>
    <w:qFormat/>
    <w:rsid w:val="002E4347"/>
    <w:pPr>
      <w:keepNext/>
      <w:overflowPunct w:val="0"/>
      <w:autoSpaceDE w:val="0"/>
      <w:autoSpaceDN w:val="0"/>
      <w:adjustRightInd w:val="0"/>
      <w:spacing w:before="240" w:after="60"/>
      <w:ind w:left="2880" w:hanging="720"/>
      <w:textAlignment w:val="baseline"/>
      <w:outlineLvl w:val="3"/>
    </w:pPr>
    <w:rPr>
      <w:b/>
      <w:i/>
    </w:rPr>
  </w:style>
  <w:style w:type="paragraph" w:styleId="Heading5">
    <w:name w:val="heading 5"/>
    <w:basedOn w:val="Normal"/>
    <w:next w:val="Normal"/>
    <w:qFormat/>
    <w:rsid w:val="002E4347"/>
    <w:pPr>
      <w:overflowPunct w:val="0"/>
      <w:autoSpaceDE w:val="0"/>
      <w:autoSpaceDN w:val="0"/>
      <w:adjustRightInd w:val="0"/>
      <w:spacing w:before="240" w:after="60"/>
      <w:ind w:left="3600" w:hanging="720"/>
      <w:textAlignment w:val="baseline"/>
      <w:outlineLvl w:val="4"/>
    </w:pPr>
    <w:rPr>
      <w:rFonts w:ascii="Arial" w:hAnsi="Arial"/>
      <w:sz w:val="22"/>
    </w:rPr>
  </w:style>
  <w:style w:type="paragraph" w:styleId="Heading6">
    <w:name w:val="heading 6"/>
    <w:basedOn w:val="Normal"/>
    <w:next w:val="Normal"/>
    <w:qFormat/>
    <w:rsid w:val="002E4347"/>
    <w:pPr>
      <w:overflowPunct w:val="0"/>
      <w:autoSpaceDE w:val="0"/>
      <w:autoSpaceDN w:val="0"/>
      <w:adjustRightInd w:val="0"/>
      <w:spacing w:before="240" w:after="60"/>
      <w:ind w:left="4320" w:hanging="720"/>
      <w:textAlignment w:val="baseline"/>
      <w:outlineLvl w:val="5"/>
    </w:pPr>
    <w:rPr>
      <w:rFonts w:ascii="Arial" w:hAnsi="Arial"/>
      <w:i/>
      <w:sz w:val="22"/>
    </w:rPr>
  </w:style>
  <w:style w:type="paragraph" w:styleId="Heading7">
    <w:name w:val="heading 7"/>
    <w:basedOn w:val="Normal"/>
    <w:next w:val="Normal"/>
    <w:qFormat/>
    <w:rsid w:val="002E4347"/>
    <w:pPr>
      <w:overflowPunct w:val="0"/>
      <w:autoSpaceDE w:val="0"/>
      <w:autoSpaceDN w:val="0"/>
      <w:adjustRightInd w:val="0"/>
      <w:spacing w:before="240" w:after="60"/>
      <w:ind w:left="5040" w:hanging="720"/>
      <w:textAlignment w:val="baseline"/>
      <w:outlineLvl w:val="6"/>
    </w:pPr>
    <w:rPr>
      <w:rFonts w:ascii="Arial" w:hAnsi="Arial"/>
      <w:sz w:val="20"/>
    </w:rPr>
  </w:style>
  <w:style w:type="paragraph" w:styleId="Heading8">
    <w:name w:val="heading 8"/>
    <w:basedOn w:val="Normal"/>
    <w:next w:val="Normal"/>
    <w:qFormat/>
    <w:rsid w:val="002E4347"/>
    <w:pPr>
      <w:overflowPunct w:val="0"/>
      <w:autoSpaceDE w:val="0"/>
      <w:autoSpaceDN w:val="0"/>
      <w:adjustRightInd w:val="0"/>
      <w:spacing w:before="240" w:after="60"/>
      <w:ind w:left="5760" w:hanging="720"/>
      <w:textAlignment w:val="baseline"/>
      <w:outlineLvl w:val="7"/>
    </w:pPr>
    <w:rPr>
      <w:rFonts w:ascii="Arial" w:hAnsi="Arial"/>
      <w:i/>
      <w:sz w:val="20"/>
    </w:rPr>
  </w:style>
  <w:style w:type="paragraph" w:styleId="Heading9">
    <w:name w:val="heading 9"/>
    <w:basedOn w:val="Normal"/>
    <w:next w:val="Normal"/>
    <w:qFormat/>
    <w:rsid w:val="002E4347"/>
    <w:pPr>
      <w:overflowPunct w:val="0"/>
      <w:autoSpaceDE w:val="0"/>
      <w:autoSpaceDN w:val="0"/>
      <w:adjustRightInd w:val="0"/>
      <w:spacing w:before="240" w:after="60"/>
      <w:ind w:left="6480" w:hanging="720"/>
      <w:textAlignment w:val="baseline"/>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D1E3E"/>
    <w:pPr>
      <w:overflowPunct w:val="0"/>
      <w:autoSpaceDE w:val="0"/>
      <w:autoSpaceDN w:val="0"/>
      <w:adjustRightInd w:val="0"/>
      <w:textAlignment w:val="baseline"/>
    </w:pPr>
    <w:rPr>
      <w:rFonts w:ascii="Courier New" w:hAnsi="Courier New"/>
    </w:rPr>
  </w:style>
  <w:style w:type="paragraph" w:styleId="BodyText">
    <w:name w:val="Body Text"/>
    <w:basedOn w:val="Normal"/>
    <w:rsid w:val="003D1E3E"/>
    <w:pPr>
      <w:autoSpaceDE w:val="0"/>
      <w:autoSpaceDN w:val="0"/>
      <w:adjustRightInd w:val="0"/>
    </w:pPr>
    <w:rPr>
      <w:color w:val="000000"/>
      <w:szCs w:val="24"/>
    </w:rPr>
  </w:style>
  <w:style w:type="paragraph" w:styleId="HTMLPreformatted">
    <w:name w:val="HTML Preformatted"/>
    <w:basedOn w:val="Normal"/>
    <w:rsid w:val="00443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sid w:val="00B15421"/>
    <w:rPr>
      <w:rFonts w:ascii="Tahoma" w:hAnsi="Tahoma" w:cs="Tahoma"/>
      <w:sz w:val="16"/>
      <w:szCs w:val="16"/>
    </w:rPr>
  </w:style>
  <w:style w:type="paragraph" w:styleId="Footer">
    <w:name w:val="footer"/>
    <w:basedOn w:val="Normal"/>
    <w:link w:val="FooterChar"/>
    <w:uiPriority w:val="99"/>
    <w:rsid w:val="002E4347"/>
    <w:pPr>
      <w:tabs>
        <w:tab w:val="center" w:pos="4320"/>
        <w:tab w:val="right" w:pos="8640"/>
      </w:tabs>
      <w:overflowPunct w:val="0"/>
      <w:autoSpaceDE w:val="0"/>
      <w:autoSpaceDN w:val="0"/>
      <w:adjustRightInd w:val="0"/>
      <w:textAlignment w:val="baseline"/>
    </w:pPr>
  </w:style>
  <w:style w:type="paragraph" w:customStyle="1" w:styleId="N">
    <w:name w:val="( N )"/>
    <w:basedOn w:val="Heading1"/>
    <w:link w:val="NChar"/>
    <w:qFormat/>
    <w:rsid w:val="006B5B55"/>
    <w:pPr>
      <w:tabs>
        <w:tab w:val="clear" w:pos="720"/>
      </w:tabs>
      <w:overflowPunct w:val="0"/>
      <w:autoSpaceDE w:val="0"/>
      <w:autoSpaceDN w:val="0"/>
      <w:adjustRightInd w:val="0"/>
      <w:spacing w:before="120" w:after="120"/>
      <w:ind w:hanging="720"/>
      <w:textAlignment w:val="baseline"/>
    </w:pPr>
  </w:style>
  <w:style w:type="character" w:styleId="Emphasis">
    <w:name w:val="Emphasis"/>
    <w:basedOn w:val="DefaultParagraphFont"/>
    <w:qFormat/>
    <w:rsid w:val="006B5B55"/>
    <w:rPr>
      <w:i/>
      <w:iCs/>
    </w:rPr>
  </w:style>
  <w:style w:type="character" w:customStyle="1" w:styleId="Heading1Char">
    <w:name w:val="Heading 1 Char"/>
    <w:basedOn w:val="DefaultParagraphFont"/>
    <w:link w:val="Heading1"/>
    <w:rsid w:val="006B5B55"/>
    <w:rPr>
      <w:rFonts w:cs="Arial"/>
      <w:bCs/>
      <w:kern w:val="32"/>
      <w:sz w:val="24"/>
      <w:szCs w:val="32"/>
    </w:rPr>
  </w:style>
  <w:style w:type="character" w:customStyle="1" w:styleId="NChar">
    <w:name w:val="( N ) Char"/>
    <w:basedOn w:val="Heading1Char"/>
    <w:link w:val="N"/>
    <w:rsid w:val="006B5B55"/>
  </w:style>
  <w:style w:type="paragraph" w:styleId="ListParagraph">
    <w:name w:val="List Paragraph"/>
    <w:basedOn w:val="Normal"/>
    <w:uiPriority w:val="34"/>
    <w:qFormat/>
    <w:rsid w:val="009A226A"/>
    <w:pPr>
      <w:ind w:left="720"/>
      <w:contextualSpacing/>
    </w:pPr>
  </w:style>
  <w:style w:type="paragraph" w:styleId="FootnoteText">
    <w:name w:val="footnote text"/>
    <w:aliases w:val="fn,Footnote Text Char Char,Footnote Text Char Char Char,Footnote Text Char Char Char Char Char Char Char Char Char Char Char Char Char Char Char Char Char,Footnote Text Char1 Char Char,Footnote Text Char Char Char Char"/>
    <w:basedOn w:val="Normal"/>
    <w:link w:val="FootnoteTextChar"/>
    <w:rsid w:val="00DD19BE"/>
    <w:rPr>
      <w:sz w:val="20"/>
    </w:rPr>
  </w:style>
  <w:style w:type="character" w:customStyle="1" w:styleId="FootnoteTextChar">
    <w:name w:val="Footnote Text Char"/>
    <w:aliases w:val="fn Char,Footnote Text Char Char Char1,Footnote Text Char Char Char Char1,Footnote Text Char Char Char Char Char Char Char Char Char Char Char Char Char Char Char Char Char Char,Footnote Text Char1 Char Char Char"/>
    <w:basedOn w:val="DefaultParagraphFont"/>
    <w:link w:val="FootnoteText"/>
    <w:rsid w:val="00DD19BE"/>
  </w:style>
  <w:style w:type="character" w:styleId="FootnoteReference">
    <w:name w:val="footnote reference"/>
    <w:basedOn w:val="DefaultParagraphFont"/>
    <w:rsid w:val="00DD19BE"/>
    <w:rPr>
      <w:vertAlign w:val="superscript"/>
    </w:rPr>
  </w:style>
  <w:style w:type="paragraph" w:styleId="Header">
    <w:name w:val="header"/>
    <w:basedOn w:val="Normal"/>
    <w:link w:val="HeaderChar"/>
    <w:rsid w:val="00E45F4C"/>
    <w:pPr>
      <w:tabs>
        <w:tab w:val="center" w:pos="4680"/>
        <w:tab w:val="right" w:pos="9360"/>
      </w:tabs>
    </w:pPr>
  </w:style>
  <w:style w:type="character" w:customStyle="1" w:styleId="HeaderChar">
    <w:name w:val="Header Char"/>
    <w:basedOn w:val="DefaultParagraphFont"/>
    <w:link w:val="Header"/>
    <w:rsid w:val="00E45F4C"/>
    <w:rPr>
      <w:sz w:val="24"/>
    </w:rPr>
  </w:style>
  <w:style w:type="character" w:customStyle="1" w:styleId="FooterChar">
    <w:name w:val="Footer Char"/>
    <w:basedOn w:val="DefaultParagraphFont"/>
    <w:link w:val="Footer"/>
    <w:uiPriority w:val="99"/>
    <w:rsid w:val="00E45F4C"/>
    <w:rPr>
      <w:sz w:val="24"/>
    </w:rPr>
  </w:style>
  <w:style w:type="table" w:styleId="TableGrid">
    <w:name w:val="Table Grid"/>
    <w:basedOn w:val="TableNormal"/>
    <w:rsid w:val="00E331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entText">
    <w:name w:val="annotation text"/>
    <w:basedOn w:val="Normal"/>
    <w:link w:val="CommentTextChar"/>
    <w:rsid w:val="00390B6B"/>
    <w:rPr>
      <w:sz w:val="20"/>
    </w:rPr>
  </w:style>
  <w:style w:type="character" w:customStyle="1" w:styleId="CommentTextChar">
    <w:name w:val="Comment Text Char"/>
    <w:basedOn w:val="DefaultParagraphFont"/>
    <w:link w:val="CommentText"/>
    <w:rsid w:val="00390B6B"/>
  </w:style>
  <w:style w:type="paragraph" w:styleId="CommentSubject">
    <w:name w:val="annotation subject"/>
    <w:basedOn w:val="CommentText"/>
    <w:next w:val="CommentText"/>
    <w:link w:val="CommentSubjectChar"/>
    <w:rsid w:val="00390B6B"/>
    <w:rPr>
      <w:b/>
      <w:bCs/>
    </w:rPr>
  </w:style>
  <w:style w:type="character" w:customStyle="1" w:styleId="CommentSubjectChar">
    <w:name w:val="Comment Subject Char"/>
    <w:basedOn w:val="CommentTextChar"/>
    <w:link w:val="CommentSubject"/>
    <w:rsid w:val="00390B6B"/>
    <w:rPr>
      <w:b/>
      <w:bCs/>
    </w:rPr>
  </w:style>
  <w:style w:type="paragraph" w:customStyle="1" w:styleId="Default">
    <w:name w:val="Default"/>
    <w:rsid w:val="00EF6D82"/>
    <w:pPr>
      <w:widowControl w:val="0"/>
      <w:autoSpaceDE w:val="0"/>
      <w:autoSpaceDN w:val="0"/>
      <w:adjustRightInd w:val="0"/>
    </w:pPr>
    <w:rPr>
      <w:color w:val="000000"/>
      <w:sz w:val="24"/>
      <w:szCs w:val="24"/>
    </w:rPr>
  </w:style>
  <w:style w:type="character" w:customStyle="1" w:styleId="FootnoteTextChar1">
    <w:name w:val="Footnote Text Char1"/>
    <w:aliases w:val="fn Char1,Footnote Text Char Char Char2,Footnote Text Char Char Char Char2,Footnote Text Char Char Char Char Char Char Char Char Char Char Char Char Char Char Char Char Char Char1,Footnote Text Char1 Char Char Char1"/>
    <w:locked/>
    <w:rsid w:val="00AC624F"/>
    <w:rPr>
      <w:rFonts w:cs="Times New Roman"/>
    </w:rPr>
  </w:style>
  <w:style w:type="character" w:styleId="Hyperlink">
    <w:name w:val="Hyperlink"/>
    <w:rsid w:val="00AC624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68204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gov/comments/s7-24-10/s72410.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c.gov/comments/s7-24-10/s72410.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891E0-C508-4C2F-B95D-A6F207E1B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1390</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U.S. Securities and Exchange Commission</Company>
  <LinksUpToDate>false</LinksUpToDate>
  <CharactersWithSpaces>9151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hsuk</dc:creator>
  <cp:keywords/>
  <dc:description/>
  <cp:lastModifiedBy>crawleyp</cp:lastModifiedBy>
  <cp:revision>13</cp:revision>
  <cp:lastPrinted>2011-01-27T23:14:00Z</cp:lastPrinted>
  <dcterms:created xsi:type="dcterms:W3CDTF">2011-01-27T18:16:00Z</dcterms:created>
  <dcterms:modified xsi:type="dcterms:W3CDTF">2011-01-28T15:25:00Z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gFAAXJDLFUo5N7u9fihV3MibOOXXImCBx0wA5N/Blsq4K/vfjQok56xDoTYCqUnpUIFYRyzZNBu2B3oO
OpnW//TDO25+238mYt3lNDPBpBAfLflDxLGSGerTyqeGg9zLkcealqRVTPwGXmYoBJyieGw0aTK5
+KeYQwXxR4rfz3ZisaTphwHKscd6BVLVzXFUhiB5n250AXbkG0gxBJwWUgqs5uGt/2owgZTGg6sZ
VPJAAc7LZyayNBXaa</vt:lpwstr>
  </property>
  <property fmtid="{D5CDD505-2E9C-101B-9397-08002B2CF9AE}" pid="3" name="MAIL_MSG_ID2">
    <vt:lpwstr>iFVUugbnix3hjxkz1ZQKj9BYA1VqD1SRwI6G8hegdbsuauzNSGuWJTg5hTo
vY4hFxuCVu1BrnhlMynIzCe8jP/9CNeR5aihEQ==</vt:lpwstr>
  </property>
  <property fmtid="{D5CDD505-2E9C-101B-9397-08002B2CF9AE}" pid="4" name="RESPONSE_SENDER_NAME">
    <vt:lpwstr>4AAA9mrMv1QjWAvFN0ZbblSn7Cty9V5gvfhaTwnxAI2RPmZA0LoZe2mfXQ==</vt:lpwstr>
  </property>
  <property fmtid="{D5CDD505-2E9C-101B-9397-08002B2CF9AE}" pid="5" name="EMAIL_OWNER_ADDRESS">
    <vt:lpwstr>sAAAGYoQX4c3X/I0X77w18bwoZkO8h1X9taokbefkesvrfY=</vt:lpwstr>
  </property>
</Properties>
</file>