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5F5" w:rsidRDefault="00E235F5">
      <w:pPr>
        <w:jc w:val="center"/>
      </w:pPr>
      <w:r>
        <w:rPr>
          <w:rFonts w:ascii="Helvetica" w:hAnsi="Helvetica"/>
          <w:b/>
          <w:sz w:val="28"/>
        </w:rPr>
        <w:t>Paperwork Reduction Act Submission</w:t>
      </w:r>
    </w:p>
    <w:p w:rsidR="00E235F5" w:rsidRDefault="00E235F5">
      <w:pPr>
        <w:pBdr>
          <w:top w:val="single" w:sz="6" w:space="4" w:color="auto"/>
        </w:pBdr>
        <w:spacing w:after="120"/>
        <w:ind w:left="-120"/>
        <w:jc w:val="both"/>
        <w:rPr>
          <w:sz w:val="18"/>
        </w:rPr>
      </w:pPr>
      <w:r>
        <w:rPr>
          <w:sz w:val="18"/>
        </w:rPr>
        <w:t xml:space="preserve">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w:t>
      </w:r>
      <w:smartTag w:uri="urn:schemas-microsoft-com:office:smarttags" w:element="address">
        <w:smartTag w:uri="urn:schemas-microsoft-com:office:smarttags" w:element="Street">
          <w:r>
            <w:rPr>
              <w:sz w:val="18"/>
            </w:rPr>
            <w:t>725 Seventeenth St. NW</w:t>
          </w:r>
        </w:smartTag>
        <w:r>
          <w:rPr>
            <w:sz w:val="18"/>
          </w:rPr>
          <w:t xml:space="preserve">,  Washington, </w:t>
        </w:r>
        <w:smartTag w:uri="urn:schemas-microsoft-com:office:smarttags" w:element="State">
          <w:r>
            <w:rPr>
              <w:sz w:val="18"/>
            </w:rPr>
            <w:t>DC</w:t>
          </w:r>
        </w:smartTag>
        <w:r>
          <w:rPr>
            <w:sz w:val="18"/>
          </w:rPr>
          <w:t xml:space="preserve">  </w:t>
        </w:r>
        <w:smartTag w:uri="urn:schemas-microsoft-com:office:smarttags" w:element="PostalCode">
          <w:r>
            <w:rPr>
              <w:sz w:val="18"/>
            </w:rPr>
            <w:t>20503</w:t>
          </w:r>
        </w:smartTag>
      </w:smartTag>
      <w:r>
        <w:rPr>
          <w:sz w:val="18"/>
        </w:rPr>
        <w:t>.</w:t>
      </w:r>
    </w:p>
    <w:tbl>
      <w:tblPr>
        <w:tblW w:w="0" w:type="auto"/>
        <w:tblLayout w:type="fixed"/>
        <w:tblLook w:val="0000"/>
      </w:tblPr>
      <w:tblGrid>
        <w:gridCol w:w="5508"/>
        <w:gridCol w:w="1920"/>
        <w:gridCol w:w="1800"/>
        <w:gridCol w:w="1788"/>
      </w:tblGrid>
      <w:tr w:rsidR="00E235F5">
        <w:tc>
          <w:tcPr>
            <w:tcW w:w="7428" w:type="dxa"/>
            <w:gridSpan w:val="2"/>
            <w:tcBorders>
              <w:top w:val="single" w:sz="6" w:space="0" w:color="auto"/>
            </w:tcBorders>
          </w:tcPr>
          <w:p w:rsidR="00E235F5" w:rsidRDefault="00E235F5">
            <w:pPr>
              <w:ind w:left="-120"/>
              <w:rPr>
                <w:rFonts w:ascii="Helvetica" w:hAnsi="Helvetica"/>
                <w:sz w:val="14"/>
              </w:rPr>
            </w:pPr>
            <w:r>
              <w:rPr>
                <w:rFonts w:ascii="Helvetica" w:hAnsi="Helvetica"/>
                <w:sz w:val="14"/>
              </w:rPr>
              <w:t>1. Agency/Subagency Originating Request:</w:t>
            </w:r>
          </w:p>
          <w:p w:rsidR="00E235F5" w:rsidRDefault="00E235F5">
            <w:pPr>
              <w:ind w:left="120"/>
              <w:rPr>
                <w:rFonts w:ascii="Helvetica" w:hAnsi="Helvetica"/>
                <w:b/>
                <w:sz w:val="18"/>
              </w:rPr>
            </w:pPr>
            <w:smartTag w:uri="urn:schemas-microsoft-com:office:smarttags" w:element="country-region">
              <w:smartTag w:uri="urn:schemas-microsoft-com:office:smarttags" w:element="place">
                <w:r>
                  <w:rPr>
                    <w:rFonts w:ascii="Helvetica" w:hAnsi="Helvetica"/>
                    <w:b/>
                    <w:sz w:val="18"/>
                  </w:rPr>
                  <w:t>U.S.</w:t>
                </w:r>
              </w:smartTag>
            </w:smartTag>
            <w:r>
              <w:rPr>
                <w:rFonts w:ascii="Helvetica" w:hAnsi="Helvetica"/>
                <w:b/>
                <w:sz w:val="18"/>
              </w:rPr>
              <w:t xml:space="preserve"> Department of Housing and Urban Development</w:t>
            </w:r>
          </w:p>
          <w:p w:rsidR="00E235F5" w:rsidRDefault="00A32C87">
            <w:pPr>
              <w:spacing w:before="40" w:after="40"/>
              <w:ind w:left="120"/>
              <w:rPr>
                <w:rFonts w:ascii="Helvetica" w:hAnsi="Helvetica"/>
                <w:sz w:val="18"/>
              </w:rPr>
            </w:pPr>
            <w:r>
              <w:rPr>
                <w:rFonts w:ascii="Helvetica" w:hAnsi="Helvetica"/>
                <w:sz w:val="18"/>
              </w:rPr>
              <w:fldChar w:fldCharType="begin">
                <w:ffData>
                  <w:name w:val="Text1"/>
                  <w:enabled/>
                  <w:calcOnExit w:val="0"/>
                  <w:textInput/>
                </w:ffData>
              </w:fldChar>
            </w:r>
            <w:bookmarkStart w:id="0" w:name="Text1"/>
            <w:r w:rsidR="00E235F5">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sidR="00E235F5">
              <w:rPr>
                <w:rFonts w:ascii="Helvetica" w:hAnsi="Helvetica"/>
                <w:noProof/>
                <w:sz w:val="18"/>
              </w:rPr>
              <w:t> </w:t>
            </w:r>
            <w:r w:rsidR="00E235F5">
              <w:rPr>
                <w:rFonts w:ascii="Helvetica" w:hAnsi="Helvetica"/>
                <w:noProof/>
                <w:sz w:val="18"/>
              </w:rPr>
              <w:t> </w:t>
            </w:r>
            <w:r w:rsidR="00E235F5">
              <w:rPr>
                <w:rFonts w:ascii="Helvetica" w:hAnsi="Helvetica"/>
                <w:noProof/>
                <w:sz w:val="18"/>
              </w:rPr>
              <w:t> </w:t>
            </w:r>
            <w:r w:rsidR="00E235F5">
              <w:rPr>
                <w:rFonts w:ascii="Helvetica" w:hAnsi="Helvetica"/>
                <w:noProof/>
                <w:sz w:val="18"/>
              </w:rPr>
              <w:t> </w:t>
            </w:r>
            <w:r w:rsidR="00E235F5">
              <w:rPr>
                <w:rFonts w:ascii="Helvetica" w:hAnsi="Helvetica"/>
                <w:noProof/>
                <w:sz w:val="18"/>
              </w:rPr>
              <w:t> </w:t>
            </w:r>
            <w:r>
              <w:rPr>
                <w:rFonts w:ascii="Helvetica" w:hAnsi="Helvetica"/>
                <w:sz w:val="18"/>
              </w:rPr>
              <w:fldChar w:fldCharType="end"/>
            </w:r>
            <w:bookmarkEnd w:id="0"/>
          </w:p>
          <w:p w:rsidR="00E235F5" w:rsidRDefault="00E235F5">
            <w:pPr>
              <w:spacing w:before="40" w:after="40"/>
              <w:ind w:left="120"/>
              <w:rPr>
                <w:rFonts w:ascii="Helvetica" w:hAnsi="Helvetica"/>
                <w:sz w:val="16"/>
              </w:rPr>
            </w:pPr>
            <w:r>
              <w:rPr>
                <w:rFonts w:ascii="Helvetica" w:hAnsi="Helvetica"/>
                <w:sz w:val="16"/>
              </w:rPr>
              <w:t>Office of Public and Indian Housing, Office of Field Operations</w:t>
            </w:r>
          </w:p>
        </w:tc>
        <w:tc>
          <w:tcPr>
            <w:tcW w:w="1800" w:type="dxa"/>
            <w:tcBorders>
              <w:top w:val="single" w:sz="6" w:space="0" w:color="auto"/>
              <w:left w:val="single" w:sz="6" w:space="0" w:color="auto"/>
            </w:tcBorders>
          </w:tcPr>
          <w:p w:rsidR="00E235F5" w:rsidRDefault="00E235F5">
            <w:pPr>
              <w:rPr>
                <w:rFonts w:ascii="Helvetica" w:hAnsi="Helvetica"/>
                <w:sz w:val="16"/>
              </w:rPr>
            </w:pPr>
            <w:r>
              <w:rPr>
                <w:rFonts w:ascii="Helvetica" w:hAnsi="Helvetica"/>
                <w:sz w:val="16"/>
              </w:rPr>
              <w:t xml:space="preserve">2. </w:t>
            </w:r>
            <w:r>
              <w:rPr>
                <w:rFonts w:ascii="Helvetica" w:hAnsi="Helvetica"/>
                <w:sz w:val="14"/>
              </w:rPr>
              <w:t>OMB Control Number:</w:t>
            </w:r>
          </w:p>
          <w:p w:rsidR="00E235F5" w:rsidRDefault="00E235F5">
            <w:pPr>
              <w:spacing w:before="40" w:after="40"/>
              <w:ind w:left="132"/>
              <w:rPr>
                <w:rFonts w:ascii="Helvetica" w:hAnsi="Helvetica"/>
                <w:sz w:val="16"/>
              </w:rPr>
            </w:pPr>
            <w:r>
              <w:rPr>
                <w:rFonts w:ascii="Helvetica" w:hAnsi="Helvetica"/>
                <w:sz w:val="16"/>
              </w:rPr>
              <w:t xml:space="preserve">a. </w:t>
            </w:r>
          </w:p>
          <w:p w:rsidR="00E235F5" w:rsidRDefault="00E235F5">
            <w:pPr>
              <w:ind w:left="-120"/>
              <w:rPr>
                <w:rFonts w:ascii="Helvetica" w:hAnsi="Helvetica"/>
                <w:sz w:val="16"/>
              </w:rPr>
            </w:pPr>
            <w:r>
              <w:rPr>
                <w:rFonts w:ascii="Helvetica" w:hAnsi="Helvetica"/>
                <w:sz w:val="16"/>
              </w:rPr>
              <w:t xml:space="preserve">      2577-0237</w:t>
            </w:r>
          </w:p>
        </w:tc>
        <w:tc>
          <w:tcPr>
            <w:tcW w:w="1788" w:type="dxa"/>
            <w:tcBorders>
              <w:top w:val="single" w:sz="6" w:space="0" w:color="auto"/>
            </w:tcBorders>
          </w:tcPr>
          <w:p w:rsidR="00E235F5" w:rsidRDefault="00E235F5">
            <w:pPr>
              <w:spacing w:before="120"/>
              <w:ind w:left="-120"/>
              <w:rPr>
                <w:rFonts w:ascii="Helvetica" w:hAnsi="Helvetica"/>
                <w:sz w:val="18"/>
              </w:rPr>
            </w:pPr>
            <w:r>
              <w:rPr>
                <w:rFonts w:ascii="Helvetica" w:hAnsi="Helvetica"/>
                <w:sz w:val="16"/>
              </w:rPr>
              <w:t xml:space="preserve">b. </w:t>
            </w:r>
          </w:p>
          <w:p w:rsidR="00E235F5" w:rsidRDefault="00E235F5">
            <w:pPr>
              <w:spacing w:before="40" w:after="40"/>
              <w:ind w:left="372"/>
              <w:rPr>
                <w:rFonts w:ascii="Helvetica" w:hAnsi="Helvetica"/>
                <w:sz w:val="16"/>
              </w:rPr>
            </w:pPr>
            <w:r>
              <w:rPr>
                <w:rFonts w:ascii="Helvetica" w:hAnsi="Helvetica"/>
                <w:sz w:val="16"/>
              </w:rPr>
              <w:t xml:space="preserve"> </w:t>
            </w:r>
            <w:r w:rsidR="00A32C87">
              <w:rPr>
                <w:rFonts w:ascii="Helvetica" w:hAnsi="Helvetica"/>
                <w:b/>
                <w:sz w:val="18"/>
              </w:rPr>
              <w:fldChar w:fldCharType="begin">
                <w:ffData>
                  <w:name w:val="Text3"/>
                  <w:enabled/>
                  <w:calcOnExit w:val="0"/>
                  <w:textInput/>
                </w:ffData>
              </w:fldChar>
            </w:r>
            <w:bookmarkStart w:id="1" w:name="Text3"/>
            <w:r>
              <w:rPr>
                <w:rFonts w:ascii="Helvetica" w:hAnsi="Helvetica"/>
                <w:b/>
                <w:sz w:val="18"/>
              </w:rPr>
              <w:instrText xml:space="preserve"> FORMTEXT </w:instrText>
            </w:r>
            <w:r w:rsidR="00A32C87">
              <w:rPr>
                <w:rFonts w:ascii="Helvetica" w:hAnsi="Helvetica"/>
                <w:b/>
                <w:sz w:val="18"/>
              </w:rPr>
            </w:r>
            <w:r w:rsidR="00A32C87">
              <w:rPr>
                <w:rFonts w:ascii="Helvetica" w:hAnsi="Helvetica"/>
                <w:b/>
                <w:sz w:val="18"/>
              </w:rPr>
              <w:fldChar w:fldCharType="separate"/>
            </w:r>
            <w:r>
              <w:rPr>
                <w:rFonts w:ascii="Helvetica" w:hAnsi="Helvetica"/>
                <w:b/>
                <w:noProof/>
                <w:sz w:val="18"/>
              </w:rPr>
              <w:t> </w:t>
            </w:r>
            <w:r>
              <w:rPr>
                <w:rFonts w:ascii="Helvetica" w:hAnsi="Helvetica"/>
                <w:b/>
                <w:noProof/>
                <w:sz w:val="18"/>
              </w:rPr>
              <w:t> </w:t>
            </w:r>
            <w:r>
              <w:rPr>
                <w:rFonts w:ascii="Helvetica" w:hAnsi="Helvetica"/>
                <w:b/>
                <w:noProof/>
                <w:sz w:val="18"/>
              </w:rPr>
              <w:t> </w:t>
            </w:r>
            <w:r>
              <w:rPr>
                <w:rFonts w:ascii="Helvetica" w:hAnsi="Helvetica"/>
                <w:b/>
                <w:noProof/>
                <w:sz w:val="18"/>
              </w:rPr>
              <w:t> </w:t>
            </w:r>
            <w:r>
              <w:rPr>
                <w:rFonts w:ascii="Helvetica" w:hAnsi="Helvetica"/>
                <w:b/>
                <w:noProof/>
                <w:sz w:val="18"/>
              </w:rPr>
              <w:t> </w:t>
            </w:r>
            <w:r w:rsidR="00A32C87">
              <w:rPr>
                <w:rFonts w:ascii="Helvetica" w:hAnsi="Helvetica"/>
                <w:b/>
                <w:sz w:val="18"/>
              </w:rPr>
              <w:fldChar w:fldCharType="end"/>
            </w:r>
            <w:bookmarkEnd w:id="1"/>
          </w:p>
        </w:tc>
      </w:tr>
      <w:tr w:rsidR="00E235F5">
        <w:tc>
          <w:tcPr>
            <w:tcW w:w="5508" w:type="dxa"/>
            <w:tcBorders>
              <w:top w:val="single" w:sz="6" w:space="0" w:color="auto"/>
            </w:tcBorders>
          </w:tcPr>
          <w:p w:rsidR="00E235F5" w:rsidRDefault="00E235F5">
            <w:pPr>
              <w:tabs>
                <w:tab w:val="left" w:pos="240"/>
              </w:tabs>
              <w:ind w:left="-120"/>
              <w:rPr>
                <w:rFonts w:ascii="Helvetica" w:hAnsi="Helvetica"/>
                <w:sz w:val="14"/>
              </w:rPr>
            </w:pPr>
            <w:r>
              <w:rPr>
                <w:rFonts w:ascii="Helvetica" w:hAnsi="Helvetica"/>
                <w:sz w:val="16"/>
              </w:rPr>
              <w:t>3.</w:t>
            </w:r>
            <w:r>
              <w:rPr>
                <w:rFonts w:ascii="Helvetica" w:hAnsi="Helvetica"/>
                <w:sz w:val="16"/>
              </w:rPr>
              <w:tab/>
            </w:r>
            <w:r>
              <w:rPr>
                <w:rFonts w:ascii="Helvetica" w:hAnsi="Helvetica"/>
                <w:sz w:val="14"/>
              </w:rPr>
              <w:t>Type of information collection: (check one)</w:t>
            </w:r>
          </w:p>
          <w:p w:rsidR="00E235F5" w:rsidRDefault="00A32C87">
            <w:pPr>
              <w:numPr>
                <w:ilvl w:val="0"/>
                <w:numId w:val="1"/>
              </w:numPr>
              <w:tabs>
                <w:tab w:val="left" w:pos="240"/>
                <w:tab w:val="left" w:pos="480"/>
              </w:tabs>
              <w:ind w:right="2532"/>
              <w:rPr>
                <w:rFonts w:ascii="Helvetica" w:hAnsi="Helvetica"/>
                <w:sz w:val="16"/>
              </w:rPr>
            </w:pPr>
            <w:r>
              <w:rPr>
                <w:rFonts w:ascii="Helvetica" w:hAnsi="Helvetica"/>
                <w:b/>
              </w:rPr>
              <w:fldChar w:fldCharType="begin">
                <w:ffData>
                  <w:name w:val="Check4"/>
                  <w:enabled/>
                  <w:calcOnExit w:val="0"/>
                  <w:checkBox>
                    <w:sizeAuto/>
                    <w:default w:val="0"/>
                  </w:checkBox>
                </w:ffData>
              </w:fldChar>
            </w:r>
            <w:bookmarkStart w:id="2" w:name="Check4"/>
            <w:r w:rsidR="00E235F5">
              <w:rPr>
                <w:rFonts w:ascii="Helvetica" w:hAnsi="Helvetica"/>
                <w:b/>
              </w:rPr>
              <w:instrText xml:space="preserve"> FORMCHECKBOX </w:instrText>
            </w:r>
            <w:r>
              <w:rPr>
                <w:rFonts w:ascii="Helvetica" w:hAnsi="Helvetica"/>
                <w:b/>
              </w:rPr>
            </w:r>
            <w:r>
              <w:rPr>
                <w:rFonts w:ascii="Helvetica" w:hAnsi="Helvetica"/>
                <w:b/>
              </w:rPr>
              <w:fldChar w:fldCharType="end"/>
            </w:r>
            <w:bookmarkEnd w:id="2"/>
            <w:r w:rsidR="00E235F5">
              <w:rPr>
                <w:rFonts w:ascii="Helvetica" w:hAnsi="Helvetica"/>
                <w:sz w:val="16"/>
              </w:rPr>
              <w:t xml:space="preserve"> New Collection </w:t>
            </w:r>
          </w:p>
          <w:p w:rsidR="00E235F5" w:rsidRDefault="00A32C87">
            <w:pPr>
              <w:numPr>
                <w:ilvl w:val="0"/>
                <w:numId w:val="1"/>
              </w:numPr>
              <w:tabs>
                <w:tab w:val="left" w:pos="480"/>
                <w:tab w:val="left" w:pos="720"/>
              </w:tabs>
              <w:rPr>
                <w:rFonts w:ascii="Helvetica" w:hAnsi="Helvetica"/>
                <w:sz w:val="16"/>
              </w:rPr>
            </w:pPr>
            <w:r>
              <w:rPr>
                <w:rFonts w:ascii="Helvetica" w:hAnsi="Helvetica"/>
                <w:b/>
              </w:rPr>
              <w:fldChar w:fldCharType="begin">
                <w:ffData>
                  <w:name w:val="Check3"/>
                  <w:enabled/>
                  <w:calcOnExit w:val="0"/>
                  <w:checkBox>
                    <w:sizeAuto/>
                    <w:default w:val="0"/>
                  </w:checkBox>
                </w:ffData>
              </w:fldChar>
            </w:r>
            <w:bookmarkStart w:id="3" w:name="Check3"/>
            <w:r w:rsidR="00E235F5">
              <w:rPr>
                <w:rFonts w:ascii="Helvetica" w:hAnsi="Helvetica"/>
                <w:b/>
              </w:rPr>
              <w:instrText xml:space="preserve"> FORMCHECKBOX </w:instrText>
            </w:r>
            <w:r>
              <w:rPr>
                <w:rFonts w:ascii="Helvetica" w:hAnsi="Helvetica"/>
                <w:b/>
              </w:rPr>
            </w:r>
            <w:r>
              <w:rPr>
                <w:rFonts w:ascii="Helvetica" w:hAnsi="Helvetica"/>
                <w:b/>
              </w:rPr>
              <w:fldChar w:fldCharType="end"/>
            </w:r>
            <w:bookmarkEnd w:id="3"/>
            <w:r w:rsidR="00E235F5">
              <w:rPr>
                <w:rFonts w:ascii="Helvetica" w:hAnsi="Helvetica"/>
                <w:sz w:val="16"/>
              </w:rPr>
              <w:t xml:space="preserve"> Revision of a currently approved collection</w:t>
            </w:r>
          </w:p>
          <w:p w:rsidR="00E235F5" w:rsidRDefault="00E235F5">
            <w:pPr>
              <w:numPr>
                <w:ilvl w:val="0"/>
                <w:numId w:val="1"/>
              </w:numPr>
              <w:tabs>
                <w:tab w:val="left" w:pos="480"/>
                <w:tab w:val="left" w:pos="720"/>
              </w:tabs>
              <w:rPr>
                <w:rFonts w:ascii="Helvetica" w:hAnsi="Helvetica"/>
                <w:sz w:val="16"/>
              </w:rPr>
            </w:pPr>
            <w:r>
              <w:rPr>
                <w:rFonts w:ascii="Helvetica" w:hAnsi="Helvetica"/>
                <w:b/>
              </w:rPr>
              <w:t>x</w:t>
            </w:r>
            <w:r>
              <w:rPr>
                <w:rFonts w:ascii="Helvetica" w:hAnsi="Helvetica"/>
                <w:sz w:val="16"/>
              </w:rPr>
              <w:t xml:space="preserve">  </w:t>
            </w:r>
            <w:r>
              <w:rPr>
                <w:rFonts w:ascii="Helvetica" w:hAnsi="Helvetica"/>
                <w:b/>
                <w:bCs/>
                <w:sz w:val="16"/>
              </w:rPr>
              <w:t>Extension of a currently approved collection</w:t>
            </w:r>
          </w:p>
          <w:p w:rsidR="00E235F5" w:rsidRDefault="00A32C87">
            <w:pPr>
              <w:numPr>
                <w:ilvl w:val="0"/>
                <w:numId w:val="1"/>
              </w:numPr>
              <w:tabs>
                <w:tab w:val="left" w:pos="480"/>
                <w:tab w:val="left" w:pos="720"/>
              </w:tabs>
              <w:rPr>
                <w:rFonts w:ascii="Helvetica" w:hAnsi="Helvetica"/>
                <w:sz w:val="16"/>
              </w:rPr>
            </w:pPr>
            <w:r>
              <w:rPr>
                <w:rFonts w:ascii="Helvetica" w:hAnsi="Helvetica"/>
                <w:b/>
              </w:rPr>
              <w:fldChar w:fldCharType="begin">
                <w:ffData>
                  <w:name w:val="Check5"/>
                  <w:enabled/>
                  <w:calcOnExit w:val="0"/>
                  <w:checkBox>
                    <w:sizeAuto/>
                    <w:default w:val="0"/>
                  </w:checkBox>
                </w:ffData>
              </w:fldChar>
            </w:r>
            <w:bookmarkStart w:id="4" w:name="Check5"/>
            <w:r w:rsidR="00E235F5">
              <w:rPr>
                <w:rFonts w:ascii="Helvetica" w:hAnsi="Helvetica"/>
                <w:b/>
              </w:rPr>
              <w:instrText xml:space="preserve"> FORMCHECKBOX </w:instrText>
            </w:r>
            <w:r>
              <w:rPr>
                <w:rFonts w:ascii="Helvetica" w:hAnsi="Helvetica"/>
                <w:b/>
              </w:rPr>
            </w:r>
            <w:r>
              <w:rPr>
                <w:rFonts w:ascii="Helvetica" w:hAnsi="Helvetica"/>
                <w:b/>
              </w:rPr>
              <w:fldChar w:fldCharType="end"/>
            </w:r>
            <w:bookmarkEnd w:id="4"/>
            <w:r w:rsidR="00E235F5">
              <w:rPr>
                <w:rFonts w:ascii="Helvetica" w:hAnsi="Helvetica"/>
                <w:sz w:val="16"/>
              </w:rPr>
              <w:t xml:space="preserve"> Reinstatement, </w:t>
            </w:r>
            <w:r w:rsidR="00E235F5">
              <w:rPr>
                <w:rFonts w:ascii="Helvetica" w:hAnsi="Helvetica"/>
                <w:b/>
                <w:sz w:val="16"/>
              </w:rPr>
              <w:t>without change</w:t>
            </w:r>
            <w:r w:rsidR="00E235F5">
              <w:rPr>
                <w:rFonts w:ascii="Helvetica" w:hAnsi="Helvetica"/>
                <w:sz w:val="16"/>
              </w:rPr>
              <w:t xml:space="preserve">, of previously approved </w:t>
            </w:r>
          </w:p>
          <w:p w:rsidR="00E235F5" w:rsidRDefault="00E235F5">
            <w:pPr>
              <w:numPr>
                <w:ilvl w:val="12"/>
                <w:numId w:val="0"/>
              </w:numPr>
              <w:tabs>
                <w:tab w:val="left" w:pos="480"/>
                <w:tab w:val="left" w:pos="720"/>
              </w:tabs>
              <w:ind w:left="480" w:hanging="240"/>
              <w:rPr>
                <w:rFonts w:ascii="Helvetica" w:hAnsi="Helvetica"/>
                <w:sz w:val="16"/>
              </w:rPr>
            </w:pPr>
            <w:r>
              <w:rPr>
                <w:rFonts w:ascii="Helvetica" w:hAnsi="Helvetica"/>
                <w:sz w:val="16"/>
              </w:rPr>
              <w:tab/>
              <w:t>collection for which approval has expired</w:t>
            </w:r>
          </w:p>
          <w:p w:rsidR="00E235F5" w:rsidRDefault="00A32C87">
            <w:pPr>
              <w:numPr>
                <w:ilvl w:val="0"/>
                <w:numId w:val="1"/>
              </w:numPr>
              <w:tabs>
                <w:tab w:val="left" w:pos="480"/>
                <w:tab w:val="left" w:pos="720"/>
              </w:tabs>
              <w:rPr>
                <w:rFonts w:ascii="Helvetica" w:hAnsi="Helvetica"/>
                <w:sz w:val="16"/>
              </w:rPr>
            </w:pPr>
            <w:r>
              <w:rPr>
                <w:rFonts w:ascii="Helvetica" w:hAnsi="Helvetica"/>
                <w:b/>
              </w:rPr>
              <w:fldChar w:fldCharType="begin">
                <w:ffData>
                  <w:name w:val="Check5"/>
                  <w:enabled/>
                  <w:calcOnExit w:val="0"/>
                  <w:checkBox>
                    <w:sizeAuto/>
                    <w:default w:val="0"/>
                  </w:checkBox>
                </w:ffData>
              </w:fldChar>
            </w:r>
            <w:r w:rsidR="00E235F5">
              <w:rPr>
                <w:rFonts w:ascii="Helvetica" w:hAnsi="Helvetica"/>
                <w:b/>
              </w:rPr>
              <w:instrText xml:space="preserve"> FORMCHECKBOX </w:instrText>
            </w:r>
            <w:r>
              <w:rPr>
                <w:rFonts w:ascii="Helvetica" w:hAnsi="Helvetica"/>
                <w:b/>
              </w:rPr>
            </w:r>
            <w:r>
              <w:rPr>
                <w:rFonts w:ascii="Helvetica" w:hAnsi="Helvetica"/>
                <w:b/>
              </w:rPr>
              <w:fldChar w:fldCharType="end"/>
            </w:r>
            <w:r w:rsidR="00E235F5">
              <w:rPr>
                <w:rFonts w:ascii="Helvetica" w:hAnsi="Helvetica"/>
                <w:sz w:val="16"/>
              </w:rPr>
              <w:t xml:space="preserve"> Reinstatement, </w:t>
            </w:r>
            <w:r w:rsidR="00E235F5">
              <w:rPr>
                <w:rFonts w:ascii="Helvetica" w:hAnsi="Helvetica"/>
                <w:b/>
                <w:sz w:val="16"/>
              </w:rPr>
              <w:t>with change</w:t>
            </w:r>
            <w:r w:rsidR="00E235F5">
              <w:rPr>
                <w:rFonts w:ascii="Helvetica" w:hAnsi="Helvetica"/>
                <w:sz w:val="16"/>
              </w:rPr>
              <w:t xml:space="preserve">, of previously approved collection </w:t>
            </w:r>
          </w:p>
          <w:p w:rsidR="00E235F5" w:rsidRDefault="00E235F5">
            <w:pPr>
              <w:numPr>
                <w:ilvl w:val="12"/>
                <w:numId w:val="0"/>
              </w:numPr>
              <w:tabs>
                <w:tab w:val="left" w:pos="480"/>
                <w:tab w:val="left" w:pos="720"/>
              </w:tabs>
              <w:ind w:left="480" w:hanging="240"/>
              <w:rPr>
                <w:rFonts w:ascii="Helvetica" w:hAnsi="Helvetica"/>
                <w:sz w:val="16"/>
              </w:rPr>
            </w:pPr>
            <w:r>
              <w:rPr>
                <w:rFonts w:ascii="Helvetica" w:hAnsi="Helvetica"/>
                <w:sz w:val="16"/>
              </w:rPr>
              <w:tab/>
              <w:t>for which approval has expired</w:t>
            </w:r>
          </w:p>
          <w:p w:rsidR="00E235F5" w:rsidRDefault="00A32C87">
            <w:pPr>
              <w:numPr>
                <w:ilvl w:val="0"/>
                <w:numId w:val="1"/>
              </w:numPr>
              <w:tabs>
                <w:tab w:val="left" w:pos="480"/>
                <w:tab w:val="left" w:pos="720"/>
              </w:tabs>
              <w:rPr>
                <w:rFonts w:ascii="Helvetica" w:hAnsi="Helvetica"/>
                <w:sz w:val="16"/>
              </w:rPr>
            </w:pPr>
            <w:r>
              <w:rPr>
                <w:rFonts w:ascii="Helvetica" w:hAnsi="Helvetica"/>
                <w:b/>
              </w:rPr>
              <w:fldChar w:fldCharType="begin">
                <w:ffData>
                  <w:name w:val="Check7"/>
                  <w:enabled/>
                  <w:calcOnExit w:val="0"/>
                  <w:checkBox>
                    <w:sizeAuto/>
                    <w:default w:val="0"/>
                  </w:checkBox>
                </w:ffData>
              </w:fldChar>
            </w:r>
            <w:bookmarkStart w:id="5" w:name="Check7"/>
            <w:r w:rsidR="00E235F5">
              <w:rPr>
                <w:rFonts w:ascii="Helvetica" w:hAnsi="Helvetica"/>
                <w:b/>
              </w:rPr>
              <w:instrText xml:space="preserve"> FORMCHECKBOX </w:instrText>
            </w:r>
            <w:r>
              <w:rPr>
                <w:rFonts w:ascii="Helvetica" w:hAnsi="Helvetica"/>
                <w:b/>
              </w:rPr>
            </w:r>
            <w:r>
              <w:rPr>
                <w:rFonts w:ascii="Helvetica" w:hAnsi="Helvetica"/>
                <w:b/>
              </w:rPr>
              <w:fldChar w:fldCharType="end"/>
            </w:r>
            <w:bookmarkEnd w:id="5"/>
            <w:r w:rsidR="00E235F5">
              <w:rPr>
                <w:rFonts w:ascii="Helvetica" w:hAnsi="Helvetica"/>
                <w:sz w:val="16"/>
              </w:rPr>
              <w:t xml:space="preserve"> Existing collection in use without an OMB control number</w:t>
            </w:r>
          </w:p>
          <w:p w:rsidR="00E235F5" w:rsidRDefault="00E235F5">
            <w:pPr>
              <w:numPr>
                <w:ilvl w:val="12"/>
                <w:numId w:val="0"/>
              </w:numPr>
              <w:tabs>
                <w:tab w:val="left" w:pos="480"/>
                <w:tab w:val="left" w:pos="720"/>
              </w:tabs>
              <w:spacing w:before="60" w:after="60"/>
              <w:rPr>
                <w:rFonts w:ascii="Helvetica" w:hAnsi="Helvetica"/>
                <w:sz w:val="16"/>
              </w:rPr>
            </w:pPr>
            <w:r>
              <w:rPr>
                <w:rFonts w:ascii="Helvetica" w:hAnsi="Helvetica"/>
                <w:sz w:val="16"/>
              </w:rPr>
              <w:t>For b-f, note item A2 of Supporting Statement instructions.</w:t>
            </w:r>
          </w:p>
        </w:tc>
        <w:tc>
          <w:tcPr>
            <w:tcW w:w="5508" w:type="dxa"/>
            <w:gridSpan w:val="3"/>
            <w:tcBorders>
              <w:top w:val="single" w:sz="6" w:space="0" w:color="auto"/>
              <w:left w:val="single" w:sz="6" w:space="0" w:color="auto"/>
            </w:tcBorders>
          </w:tcPr>
          <w:p w:rsidR="00E235F5" w:rsidRDefault="00E235F5">
            <w:pPr>
              <w:numPr>
                <w:ilvl w:val="12"/>
                <w:numId w:val="0"/>
              </w:numPr>
              <w:tabs>
                <w:tab w:val="left" w:pos="252"/>
                <w:tab w:val="left" w:pos="492"/>
              </w:tabs>
              <w:ind w:left="-240"/>
              <w:rPr>
                <w:rFonts w:ascii="Helvetica" w:hAnsi="Helvetica"/>
                <w:sz w:val="14"/>
              </w:rPr>
            </w:pPr>
            <w:r>
              <w:rPr>
                <w:rFonts w:ascii="Helvetica" w:hAnsi="Helvetica"/>
                <w:sz w:val="16"/>
              </w:rPr>
              <w:t>4.</w:t>
            </w:r>
            <w:r>
              <w:rPr>
                <w:rFonts w:ascii="Helvetica" w:hAnsi="Helvetica"/>
                <w:sz w:val="16"/>
              </w:rPr>
              <w:tab/>
            </w:r>
            <w:r>
              <w:rPr>
                <w:rFonts w:ascii="Helvetica" w:hAnsi="Helvetica"/>
                <w:sz w:val="14"/>
              </w:rPr>
              <w:t>Type of review requested: (check one)</w:t>
            </w:r>
          </w:p>
          <w:p w:rsidR="00E235F5" w:rsidRDefault="00E235F5">
            <w:pPr>
              <w:numPr>
                <w:ilvl w:val="0"/>
                <w:numId w:val="2"/>
              </w:numPr>
              <w:tabs>
                <w:tab w:val="left" w:pos="492"/>
                <w:tab w:val="left" w:pos="732"/>
              </w:tabs>
              <w:rPr>
                <w:rFonts w:ascii="Helvetica" w:hAnsi="Helvetica"/>
                <w:sz w:val="16"/>
              </w:rPr>
            </w:pPr>
            <w:r>
              <w:rPr>
                <w:rFonts w:ascii="Helvetica" w:hAnsi="Helvetica"/>
                <w:b/>
                <w:sz w:val="18"/>
              </w:rPr>
              <w:t>x</w:t>
            </w:r>
            <w:r>
              <w:rPr>
                <w:rFonts w:ascii="Helvetica" w:hAnsi="Helvetica"/>
                <w:sz w:val="16"/>
              </w:rPr>
              <w:t xml:space="preserve"> Regular</w:t>
            </w:r>
          </w:p>
          <w:p w:rsidR="00E235F5" w:rsidRDefault="00A32C87">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9"/>
                  <w:enabled/>
                  <w:calcOnExit w:val="0"/>
                  <w:checkBox>
                    <w:sizeAuto/>
                    <w:default w:val="0"/>
                  </w:checkBox>
                </w:ffData>
              </w:fldChar>
            </w:r>
            <w:bookmarkStart w:id="6" w:name="Check9"/>
            <w:r w:rsidR="00E235F5">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6"/>
            <w:r w:rsidR="00E235F5">
              <w:rPr>
                <w:rFonts w:ascii="Helvetica" w:hAnsi="Helvetica"/>
                <w:sz w:val="16"/>
              </w:rPr>
              <w:t xml:space="preserve"> Emergency - Approval requested by  </w:t>
            </w:r>
            <w:r>
              <w:rPr>
                <w:rFonts w:ascii="Helvetica" w:hAnsi="Helvetica"/>
                <w:sz w:val="18"/>
              </w:rPr>
              <w:fldChar w:fldCharType="begin">
                <w:ffData>
                  <w:name w:val="Text4"/>
                  <w:enabled/>
                  <w:calcOnExit w:val="0"/>
                  <w:textInput>
                    <w:type w:val="date"/>
                    <w:format w:val="M/d/yyyy"/>
                  </w:textInput>
                </w:ffData>
              </w:fldChar>
            </w:r>
            <w:bookmarkStart w:id="7" w:name="Text4"/>
            <w:r w:rsidR="00E235F5">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sidR="00E235F5">
              <w:rPr>
                <w:rFonts w:ascii="Helvetica" w:hAnsi="Helvetica"/>
                <w:noProof/>
                <w:sz w:val="18"/>
              </w:rPr>
              <w:t> </w:t>
            </w:r>
            <w:r w:rsidR="00E235F5">
              <w:rPr>
                <w:rFonts w:ascii="Helvetica" w:hAnsi="Helvetica"/>
                <w:noProof/>
                <w:sz w:val="18"/>
              </w:rPr>
              <w:t> </w:t>
            </w:r>
            <w:r w:rsidR="00E235F5">
              <w:rPr>
                <w:rFonts w:ascii="Helvetica" w:hAnsi="Helvetica"/>
                <w:noProof/>
                <w:sz w:val="18"/>
              </w:rPr>
              <w:t> </w:t>
            </w:r>
            <w:r w:rsidR="00E235F5">
              <w:rPr>
                <w:rFonts w:ascii="Helvetica" w:hAnsi="Helvetica"/>
                <w:noProof/>
                <w:sz w:val="18"/>
              </w:rPr>
              <w:t> </w:t>
            </w:r>
            <w:r w:rsidR="00E235F5">
              <w:rPr>
                <w:rFonts w:ascii="Helvetica" w:hAnsi="Helvetica"/>
                <w:noProof/>
                <w:sz w:val="18"/>
              </w:rPr>
              <w:t> </w:t>
            </w:r>
            <w:r>
              <w:rPr>
                <w:rFonts w:ascii="Helvetica" w:hAnsi="Helvetica"/>
                <w:sz w:val="18"/>
              </w:rPr>
              <w:fldChar w:fldCharType="end"/>
            </w:r>
            <w:bookmarkEnd w:id="7"/>
          </w:p>
          <w:p w:rsidR="00E235F5" w:rsidRDefault="00A32C87">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bookmarkStart w:id="8" w:name="Check10"/>
            <w:r w:rsidR="00E235F5">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8"/>
            <w:r w:rsidR="00E235F5">
              <w:rPr>
                <w:rFonts w:ascii="Helvetica" w:hAnsi="Helvetica"/>
                <w:sz w:val="18"/>
              </w:rPr>
              <w:t xml:space="preserve"> </w:t>
            </w:r>
            <w:r w:rsidR="00E235F5">
              <w:rPr>
                <w:rFonts w:ascii="Helvetica" w:hAnsi="Helvetica"/>
                <w:sz w:val="16"/>
              </w:rPr>
              <w:t>Delegated</w:t>
            </w:r>
          </w:p>
          <w:p w:rsidR="00E235F5" w:rsidRDefault="00E235F5">
            <w:pPr>
              <w:tabs>
                <w:tab w:val="left" w:pos="240"/>
              </w:tabs>
              <w:spacing w:before="120" w:line="160" w:lineRule="exact"/>
              <w:ind w:left="252" w:hanging="240"/>
              <w:rPr>
                <w:rFonts w:ascii="Helvetica" w:hAnsi="Helvetica"/>
                <w:sz w:val="16"/>
              </w:rPr>
            </w:pPr>
            <w:r>
              <w:rPr>
                <w:rFonts w:ascii="Helvetica" w:hAnsi="Helvetica"/>
                <w:sz w:val="16"/>
              </w:rPr>
              <w:t>5.</w:t>
            </w:r>
            <w:r>
              <w:rPr>
                <w:rFonts w:ascii="Helvetica" w:hAnsi="Helvetica"/>
                <w:sz w:val="16"/>
              </w:rPr>
              <w:tab/>
            </w:r>
            <w:r>
              <w:rPr>
                <w:rFonts w:ascii="Helvetica" w:hAnsi="Helvetica"/>
                <w:sz w:val="14"/>
              </w:rPr>
              <w:t>Small entities: Will this information collection have a significant economic impact on a substantial number of small entities?</w:t>
            </w:r>
            <w:r>
              <w:rPr>
                <w:rFonts w:ascii="Helvetica" w:hAnsi="Helvetica"/>
                <w:sz w:val="16"/>
              </w:rPr>
              <w:t xml:space="preserve">  </w:t>
            </w:r>
          </w:p>
          <w:p w:rsidR="00E235F5" w:rsidRDefault="00A32C87">
            <w:pPr>
              <w:tabs>
                <w:tab w:val="left" w:pos="240"/>
              </w:tabs>
              <w:ind w:left="252"/>
              <w:rPr>
                <w:rFonts w:ascii="Helvetica" w:hAnsi="Helvetica"/>
                <w:sz w:val="18"/>
              </w:rPr>
            </w:pPr>
            <w:r>
              <w:rPr>
                <w:rFonts w:ascii="Helvetica" w:hAnsi="Helvetica"/>
                <w:b/>
                <w:sz w:val="18"/>
              </w:rPr>
              <w:fldChar w:fldCharType="begin">
                <w:ffData>
                  <w:name w:val="Check13"/>
                  <w:enabled/>
                  <w:calcOnExit w:val="0"/>
                  <w:checkBox>
                    <w:sizeAuto/>
                    <w:default w:val="0"/>
                  </w:checkBox>
                </w:ffData>
              </w:fldChar>
            </w:r>
            <w:bookmarkStart w:id="9" w:name="Check13"/>
            <w:r w:rsidR="00E235F5">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9"/>
            <w:r w:rsidR="00E235F5">
              <w:rPr>
                <w:rFonts w:ascii="Helvetica" w:hAnsi="Helvetica"/>
                <w:sz w:val="18"/>
              </w:rPr>
              <w:t xml:space="preserve"> Yes   </w:t>
            </w:r>
            <w:r w:rsidR="00E235F5">
              <w:rPr>
                <w:rFonts w:ascii="Helvetica" w:hAnsi="Helvetica"/>
                <w:b/>
                <w:sz w:val="18"/>
              </w:rPr>
              <w:t>x</w:t>
            </w:r>
            <w:r w:rsidR="00E235F5">
              <w:rPr>
                <w:rFonts w:ascii="Helvetica" w:hAnsi="Helvetica"/>
                <w:sz w:val="18"/>
              </w:rPr>
              <w:t xml:space="preserve"> No</w:t>
            </w:r>
          </w:p>
          <w:p w:rsidR="00E235F5" w:rsidRDefault="00E235F5">
            <w:pPr>
              <w:tabs>
                <w:tab w:val="left" w:pos="240"/>
              </w:tabs>
              <w:spacing w:before="120"/>
              <w:rPr>
                <w:rFonts w:ascii="Helvetica" w:hAnsi="Helvetica"/>
                <w:sz w:val="16"/>
              </w:rPr>
            </w:pPr>
            <w:r>
              <w:rPr>
                <w:rFonts w:ascii="Helvetica" w:hAnsi="Helvetica"/>
                <w:sz w:val="16"/>
              </w:rPr>
              <w:t>6.</w:t>
            </w:r>
            <w:r>
              <w:rPr>
                <w:rFonts w:ascii="Helvetica" w:hAnsi="Helvetica"/>
                <w:sz w:val="16"/>
              </w:rPr>
              <w:tab/>
            </w:r>
            <w:r>
              <w:rPr>
                <w:rFonts w:ascii="Helvetica" w:hAnsi="Helvetica"/>
                <w:sz w:val="14"/>
              </w:rPr>
              <w:t>Requested expiration date:</w:t>
            </w:r>
          </w:p>
          <w:p w:rsidR="00E235F5" w:rsidRDefault="00E235F5">
            <w:pPr>
              <w:tabs>
                <w:tab w:val="left" w:pos="240"/>
                <w:tab w:val="left" w:pos="3132"/>
              </w:tabs>
              <w:ind w:left="252"/>
              <w:rPr>
                <w:rFonts w:ascii="Helvetica" w:hAnsi="Helvetica"/>
                <w:sz w:val="16"/>
              </w:rPr>
            </w:pPr>
            <w:r>
              <w:rPr>
                <w:rFonts w:ascii="Helvetica" w:hAnsi="Helvetica"/>
                <w:sz w:val="16"/>
              </w:rPr>
              <w:t xml:space="preserve">a. </w:t>
            </w:r>
            <w:r>
              <w:rPr>
                <w:rFonts w:ascii="Helvetica" w:hAnsi="Helvetica"/>
                <w:b/>
                <w:sz w:val="18"/>
              </w:rPr>
              <w:t>x</w:t>
            </w:r>
            <w:r>
              <w:rPr>
                <w:rFonts w:ascii="Helvetica" w:hAnsi="Helvetica"/>
                <w:sz w:val="16"/>
              </w:rPr>
              <w:t xml:space="preserve"> Three years form approval date  </w:t>
            </w:r>
            <w:r>
              <w:rPr>
                <w:rFonts w:ascii="Helvetica" w:hAnsi="Helvetica"/>
                <w:sz w:val="16"/>
              </w:rPr>
              <w:tab/>
              <w:t xml:space="preserve">b. </w:t>
            </w:r>
            <w:r w:rsidR="00A32C87">
              <w:rPr>
                <w:rFonts w:ascii="Helvetica" w:hAnsi="Helvetica"/>
                <w:b/>
                <w:sz w:val="18"/>
              </w:rPr>
              <w:fldChar w:fldCharType="begin">
                <w:ffData>
                  <w:name w:val="Check15"/>
                  <w:enabled/>
                  <w:calcOnExit w:val="0"/>
                  <w:checkBox>
                    <w:sizeAuto/>
                    <w:default w:val="0"/>
                  </w:checkBox>
                </w:ffData>
              </w:fldChar>
            </w:r>
            <w:bookmarkStart w:id="10" w:name="Check15"/>
            <w:r>
              <w:rPr>
                <w:rFonts w:ascii="Helvetica" w:hAnsi="Helvetica"/>
                <w:b/>
                <w:sz w:val="18"/>
              </w:rPr>
              <w:instrText xml:space="preserve"> FORMCHECKBOX </w:instrText>
            </w:r>
            <w:r w:rsidR="00A32C87">
              <w:rPr>
                <w:rFonts w:ascii="Helvetica" w:hAnsi="Helvetica"/>
                <w:b/>
                <w:sz w:val="18"/>
              </w:rPr>
            </w:r>
            <w:r w:rsidR="00A32C87">
              <w:rPr>
                <w:rFonts w:ascii="Helvetica" w:hAnsi="Helvetica"/>
                <w:b/>
                <w:sz w:val="18"/>
              </w:rPr>
              <w:fldChar w:fldCharType="end"/>
            </w:r>
            <w:bookmarkEnd w:id="10"/>
            <w:r>
              <w:rPr>
                <w:rFonts w:ascii="Helvetica" w:hAnsi="Helvetica"/>
                <w:sz w:val="16"/>
              </w:rPr>
              <w:t xml:space="preserve"> Other (specify)</w:t>
            </w:r>
          </w:p>
          <w:p w:rsidR="00E235F5" w:rsidRDefault="00E235F5">
            <w:pPr>
              <w:tabs>
                <w:tab w:val="left" w:pos="3252"/>
              </w:tabs>
              <w:spacing w:after="60"/>
              <w:rPr>
                <w:rFonts w:ascii="Helvetica" w:hAnsi="Helvetica"/>
                <w:sz w:val="16"/>
              </w:rPr>
            </w:pPr>
            <w:r>
              <w:rPr>
                <w:rFonts w:ascii="Helvetica" w:hAnsi="Helvetica"/>
                <w:sz w:val="18"/>
              </w:rPr>
              <w:tab/>
              <w:t xml:space="preserve"> </w:t>
            </w:r>
            <w:r w:rsidR="00A32C87">
              <w:rPr>
                <w:rFonts w:ascii="Helvetica" w:hAnsi="Helvetica"/>
                <w:sz w:val="18"/>
              </w:rPr>
              <w:fldChar w:fldCharType="begin">
                <w:ffData>
                  <w:name w:val="Text5"/>
                  <w:enabled/>
                  <w:calcOnExit w:val="0"/>
                  <w:textInput/>
                </w:ffData>
              </w:fldChar>
            </w:r>
            <w:bookmarkStart w:id="11" w:name="Text5"/>
            <w:r>
              <w:rPr>
                <w:rFonts w:ascii="Helvetica" w:hAnsi="Helvetica"/>
                <w:sz w:val="18"/>
              </w:rPr>
              <w:instrText xml:space="preserve"> FORMTEXT </w:instrText>
            </w:r>
            <w:r w:rsidR="00A32C87">
              <w:rPr>
                <w:rFonts w:ascii="Helvetica" w:hAnsi="Helvetica"/>
                <w:sz w:val="18"/>
              </w:rPr>
            </w:r>
            <w:r w:rsidR="00A32C87">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A32C87">
              <w:rPr>
                <w:rFonts w:ascii="Helvetica" w:hAnsi="Helvetica"/>
                <w:sz w:val="18"/>
              </w:rPr>
              <w:fldChar w:fldCharType="end"/>
            </w:r>
            <w:bookmarkEnd w:id="11"/>
          </w:p>
        </w:tc>
      </w:tr>
    </w:tbl>
    <w:p w:rsidR="00E235F5" w:rsidRDefault="00E235F5">
      <w:pPr>
        <w:pBdr>
          <w:top w:val="single" w:sz="6" w:space="0" w:color="auto"/>
        </w:pBdr>
        <w:tabs>
          <w:tab w:val="left" w:pos="240"/>
        </w:tabs>
        <w:ind w:left="-120" w:right="-120"/>
        <w:rPr>
          <w:rFonts w:ascii="Helvetica" w:hAnsi="Helvetica"/>
          <w:sz w:val="16"/>
        </w:rPr>
      </w:pPr>
      <w:r>
        <w:rPr>
          <w:rFonts w:ascii="Helvetica" w:hAnsi="Helvetica"/>
          <w:sz w:val="16"/>
        </w:rPr>
        <w:t xml:space="preserve">7. </w:t>
      </w:r>
      <w:r>
        <w:rPr>
          <w:rFonts w:ascii="Helvetica" w:hAnsi="Helvetica"/>
          <w:sz w:val="14"/>
        </w:rPr>
        <w:t xml:space="preserve">Title: </w:t>
      </w:r>
      <w:r>
        <w:rPr>
          <w:rFonts w:ascii="Helvetica" w:hAnsi="Helvetica"/>
          <w:sz w:val="18"/>
        </w:rPr>
        <w:t>Public Housing Assessment System (PHAS) Memorandum of Agreement (MOA), MOA Monthly Report, and Improvement Plan (IP)</w:t>
      </w:r>
      <w:r>
        <w:rPr>
          <w:rFonts w:ascii="Helvetica" w:hAnsi="Helvetica"/>
          <w:sz w:val="14"/>
        </w:rPr>
        <w:t xml:space="preserve"> </w:t>
      </w:r>
    </w:p>
    <w:p w:rsidR="00E235F5" w:rsidRDefault="00E235F5">
      <w:pPr>
        <w:tabs>
          <w:tab w:val="left" w:pos="240"/>
        </w:tabs>
        <w:spacing w:after="40"/>
        <w:ind w:left="120" w:right="-120"/>
        <w:rPr>
          <w:rFonts w:ascii="Helvetica" w:hAnsi="Helvetica"/>
          <w:sz w:val="18"/>
        </w:rPr>
      </w:pPr>
    </w:p>
    <w:p w:rsidR="00E235F5" w:rsidRDefault="00E235F5">
      <w:pPr>
        <w:tabs>
          <w:tab w:val="left" w:pos="240"/>
        </w:tabs>
        <w:spacing w:after="40"/>
        <w:ind w:left="120" w:right="-120"/>
        <w:rPr>
          <w:rFonts w:ascii="Helvetica" w:hAnsi="Helvetica"/>
          <w:sz w:val="18"/>
        </w:rPr>
      </w:pPr>
    </w:p>
    <w:p w:rsidR="00E235F5" w:rsidRDefault="00E235F5">
      <w:pPr>
        <w:pBdr>
          <w:top w:val="single" w:sz="6" w:space="0" w:color="auto"/>
        </w:pBdr>
        <w:tabs>
          <w:tab w:val="left" w:pos="240"/>
        </w:tabs>
        <w:spacing w:line="180" w:lineRule="exact"/>
        <w:ind w:left="-120" w:right="-120"/>
        <w:rPr>
          <w:rFonts w:ascii="Helvetica" w:hAnsi="Helvetica"/>
          <w:sz w:val="14"/>
        </w:rPr>
      </w:pPr>
      <w:r>
        <w:rPr>
          <w:rFonts w:ascii="Helvetica" w:hAnsi="Helvetica"/>
          <w:sz w:val="16"/>
        </w:rPr>
        <w:t xml:space="preserve">8. </w:t>
      </w:r>
      <w:r>
        <w:rPr>
          <w:rFonts w:ascii="Helvetica" w:hAnsi="Helvetica"/>
          <w:sz w:val="14"/>
        </w:rPr>
        <w:t>Agency form number(s):  (if applicable)</w:t>
      </w:r>
    </w:p>
    <w:p w:rsidR="00E235F5" w:rsidRDefault="00E235F5">
      <w:pPr>
        <w:spacing w:after="40"/>
        <w:ind w:left="120" w:right="-120"/>
        <w:rPr>
          <w:rFonts w:ascii="Helvetica" w:hAnsi="Helvetica"/>
          <w:sz w:val="18"/>
        </w:rPr>
      </w:pPr>
      <w:r>
        <w:rPr>
          <w:rFonts w:ascii="Helvetica" w:hAnsi="Helvetica"/>
          <w:sz w:val="18"/>
        </w:rPr>
        <w:t>Forms HUD-53336-A, 53336-B</w:t>
      </w:r>
      <w:r w:rsidR="00206E73">
        <w:rPr>
          <w:rFonts w:ascii="Helvetica" w:hAnsi="Helvetica"/>
          <w:sz w:val="18"/>
        </w:rPr>
        <w:t>i</w:t>
      </w:r>
      <w:r>
        <w:rPr>
          <w:rFonts w:ascii="Helvetica" w:hAnsi="Helvetica"/>
          <w:sz w:val="18"/>
        </w:rPr>
        <w:t xml:space="preserve">, </w:t>
      </w:r>
      <w:r w:rsidR="00206E73">
        <w:rPr>
          <w:rFonts w:ascii="Helvetica" w:hAnsi="Helvetica"/>
          <w:sz w:val="18"/>
        </w:rPr>
        <w:t xml:space="preserve">53336-B, </w:t>
      </w:r>
      <w:r>
        <w:rPr>
          <w:rFonts w:ascii="Helvetica" w:hAnsi="Helvetica"/>
          <w:sz w:val="18"/>
        </w:rPr>
        <w:t xml:space="preserve">53337, </w:t>
      </w:r>
      <w:r w:rsidR="00206E73">
        <w:rPr>
          <w:rFonts w:ascii="Helvetica" w:hAnsi="Helvetica"/>
          <w:sz w:val="18"/>
        </w:rPr>
        <w:t xml:space="preserve">53337i </w:t>
      </w:r>
      <w:r>
        <w:rPr>
          <w:rFonts w:ascii="Helvetica" w:hAnsi="Helvetica"/>
          <w:sz w:val="18"/>
        </w:rPr>
        <w:t xml:space="preserve">and 53338  </w:t>
      </w:r>
    </w:p>
    <w:p w:rsidR="00E235F5" w:rsidRDefault="00E235F5">
      <w:pPr>
        <w:pBdr>
          <w:top w:val="single" w:sz="6" w:space="0" w:color="auto"/>
        </w:pBdr>
        <w:tabs>
          <w:tab w:val="left" w:pos="240"/>
        </w:tabs>
        <w:ind w:left="-120" w:right="-120"/>
        <w:rPr>
          <w:rFonts w:ascii="Helvetica" w:hAnsi="Helvetica"/>
          <w:sz w:val="14"/>
        </w:rPr>
      </w:pPr>
      <w:r>
        <w:rPr>
          <w:rFonts w:ascii="Helvetica" w:hAnsi="Helvetica"/>
          <w:sz w:val="16"/>
        </w:rPr>
        <w:t xml:space="preserve">9. </w:t>
      </w:r>
      <w:r>
        <w:rPr>
          <w:rFonts w:ascii="Helvetica" w:hAnsi="Helvetica"/>
          <w:sz w:val="14"/>
        </w:rPr>
        <w:t>Keywords:</w:t>
      </w:r>
    </w:p>
    <w:p w:rsidR="00E235F5" w:rsidRDefault="00E235F5">
      <w:pPr>
        <w:spacing w:after="40"/>
        <w:ind w:left="120" w:right="-120"/>
        <w:rPr>
          <w:rFonts w:ascii="Helvetica" w:hAnsi="Helvetica"/>
          <w:sz w:val="18"/>
        </w:rPr>
      </w:pPr>
      <w:r>
        <w:rPr>
          <w:rFonts w:ascii="Helvetica" w:hAnsi="Helvetica"/>
          <w:sz w:val="18"/>
        </w:rPr>
        <w:t>‘Housing, public housing, housing management’</w:t>
      </w:r>
      <w:r>
        <w:rPr>
          <w:rFonts w:ascii="Helvetica" w:hAnsi="Helvetica"/>
          <w:sz w:val="18"/>
        </w:rPr>
        <w:tab/>
      </w:r>
      <w:r>
        <w:rPr>
          <w:rFonts w:ascii="Helvetica" w:hAnsi="Helvetica"/>
          <w:sz w:val="18"/>
        </w:rPr>
        <w:tab/>
      </w:r>
      <w:r>
        <w:rPr>
          <w:rFonts w:ascii="Helvetica" w:hAnsi="Helvetica"/>
          <w:sz w:val="18"/>
        </w:rPr>
        <w:tab/>
      </w:r>
    </w:p>
    <w:p w:rsidR="00E235F5" w:rsidRDefault="00E235F5">
      <w:pPr>
        <w:pBdr>
          <w:top w:val="single" w:sz="6" w:space="0" w:color="auto"/>
        </w:pBdr>
        <w:tabs>
          <w:tab w:val="left" w:pos="240"/>
        </w:tabs>
        <w:ind w:left="-120" w:right="-120"/>
        <w:rPr>
          <w:rFonts w:ascii="Helvetica" w:hAnsi="Helvetica"/>
          <w:sz w:val="14"/>
        </w:rPr>
      </w:pPr>
      <w:r>
        <w:rPr>
          <w:rFonts w:ascii="Helvetica" w:hAnsi="Helvetica"/>
          <w:sz w:val="16"/>
        </w:rPr>
        <w:t xml:space="preserve">10. </w:t>
      </w:r>
      <w:r>
        <w:rPr>
          <w:rFonts w:ascii="Helvetica" w:hAnsi="Helvetica"/>
          <w:sz w:val="14"/>
        </w:rPr>
        <w:t xml:space="preserve">Abstract:  </w:t>
      </w:r>
      <w:r>
        <w:rPr>
          <w:rFonts w:ascii="Helvetica" w:hAnsi="Helvetica"/>
          <w:sz w:val="16"/>
        </w:rPr>
        <w:t>A Public Housing Agency (PHA) which is designated Troubled or substandard under the Public Housing Assessment System (PHAS) must enter into a Memorandum of Agreement (MOA) with HUD to outline its planned improvements.  Similarly, a PHA which is a standard performer, but receives a total PHAS score of less than 70% but not less than 60% is required to submit an Improvement Plan (IP).  These plans are designed to address deficiencies in a PHA’s operations found through the PHAS assessment process (management, financial, physical, or resident related) and any other deficiencies identified by HUD through independent assessments or other methods.</w:t>
      </w:r>
    </w:p>
    <w:tbl>
      <w:tblPr>
        <w:tblW w:w="0" w:type="auto"/>
        <w:tblLayout w:type="fixed"/>
        <w:tblLook w:val="0000"/>
      </w:tblPr>
      <w:tblGrid>
        <w:gridCol w:w="4908"/>
        <w:gridCol w:w="720"/>
        <w:gridCol w:w="5388"/>
      </w:tblGrid>
      <w:tr w:rsidR="00E235F5">
        <w:trPr>
          <w:trHeight w:val="1129"/>
        </w:trPr>
        <w:tc>
          <w:tcPr>
            <w:tcW w:w="5628" w:type="dxa"/>
            <w:gridSpan w:val="2"/>
            <w:tcBorders>
              <w:top w:val="single" w:sz="6" w:space="0" w:color="auto"/>
              <w:right w:val="single" w:sz="6" w:space="0" w:color="auto"/>
            </w:tcBorders>
          </w:tcPr>
          <w:p w:rsidR="00E235F5" w:rsidRDefault="00E235F5">
            <w:pPr>
              <w:tabs>
                <w:tab w:val="left" w:pos="240"/>
              </w:tabs>
              <w:ind w:left="-120"/>
              <w:rPr>
                <w:rFonts w:ascii="Helvetica" w:hAnsi="Helvetica"/>
                <w:sz w:val="14"/>
              </w:rPr>
            </w:pPr>
            <w:r>
              <w:rPr>
                <w:rFonts w:ascii="Helvetica" w:hAnsi="Helvetica"/>
                <w:sz w:val="16"/>
              </w:rPr>
              <w:lastRenderedPageBreak/>
              <w:t xml:space="preserve">11. </w:t>
            </w:r>
            <w:r>
              <w:rPr>
                <w:rFonts w:ascii="Helvetica" w:hAnsi="Helvetica"/>
                <w:sz w:val="14"/>
              </w:rPr>
              <w:t>Affected public:  (mark primary with “P” and all others that apply with “X”)</w:t>
            </w:r>
          </w:p>
          <w:p w:rsidR="00E235F5" w:rsidRDefault="00E235F5">
            <w:pPr>
              <w:tabs>
                <w:tab w:val="left" w:pos="240"/>
                <w:tab w:val="left" w:pos="480"/>
                <w:tab w:val="left" w:pos="2640"/>
                <w:tab w:val="left" w:pos="3000"/>
              </w:tabs>
              <w:ind w:left="120" w:right="-108"/>
              <w:rPr>
                <w:rFonts w:ascii="Helvetica" w:hAnsi="Helvetica"/>
                <w:sz w:val="16"/>
              </w:rPr>
            </w:pPr>
            <w:r>
              <w:rPr>
                <w:rFonts w:ascii="Helvetica" w:hAnsi="Helvetica"/>
                <w:sz w:val="16"/>
              </w:rPr>
              <w:t xml:space="preserve">a. </w:t>
            </w:r>
            <w:r w:rsidR="00A32C87">
              <w:rPr>
                <w:rFonts w:ascii="Helvetica" w:hAnsi="Helvetica"/>
                <w:b/>
                <w:sz w:val="18"/>
              </w:rPr>
              <w:fldChar w:fldCharType="begin">
                <w:ffData>
                  <w:name w:val="Text17"/>
                  <w:enabled/>
                  <w:calcOnExit w:val="0"/>
                  <w:textInput>
                    <w:maxLength w:val="1"/>
                  </w:textInput>
                </w:ffData>
              </w:fldChar>
            </w:r>
            <w:bookmarkStart w:id="12" w:name="Text17"/>
            <w:r>
              <w:rPr>
                <w:rFonts w:ascii="Helvetica" w:hAnsi="Helvetica"/>
                <w:b/>
                <w:sz w:val="18"/>
              </w:rPr>
              <w:instrText xml:space="preserve"> FORMTEXT </w:instrText>
            </w:r>
            <w:r w:rsidR="00A32C87">
              <w:rPr>
                <w:rFonts w:ascii="Helvetica" w:hAnsi="Helvetica"/>
                <w:b/>
                <w:sz w:val="18"/>
              </w:rPr>
            </w:r>
            <w:r w:rsidR="00A32C87">
              <w:rPr>
                <w:rFonts w:ascii="Helvetica" w:hAnsi="Helvetica"/>
                <w:b/>
                <w:sz w:val="18"/>
              </w:rPr>
              <w:fldChar w:fldCharType="separate"/>
            </w:r>
            <w:r>
              <w:rPr>
                <w:rFonts w:ascii="Helvetica" w:hAnsi="Helvetica"/>
                <w:b/>
                <w:noProof/>
                <w:sz w:val="18"/>
              </w:rPr>
              <w:t> </w:t>
            </w:r>
            <w:r w:rsidR="00A32C87">
              <w:rPr>
                <w:rFonts w:ascii="Helvetica" w:hAnsi="Helvetica"/>
                <w:b/>
                <w:sz w:val="18"/>
              </w:rPr>
              <w:fldChar w:fldCharType="end"/>
            </w:r>
            <w:bookmarkEnd w:id="12"/>
            <w:r>
              <w:rPr>
                <w:rFonts w:ascii="Helvetica" w:hAnsi="Helvetica"/>
                <w:b/>
                <w:sz w:val="18"/>
              </w:rPr>
              <w:tab/>
            </w:r>
            <w:r>
              <w:rPr>
                <w:rFonts w:ascii="Helvetica" w:hAnsi="Helvetica"/>
                <w:sz w:val="16"/>
              </w:rPr>
              <w:t>Individuals or households</w:t>
            </w:r>
            <w:r>
              <w:rPr>
                <w:rFonts w:ascii="Helvetica" w:hAnsi="Helvetica"/>
                <w:sz w:val="16"/>
              </w:rPr>
              <w:tab/>
              <w:t xml:space="preserve">e. </w:t>
            </w:r>
            <w:r w:rsidR="00A32C87">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A32C87">
              <w:rPr>
                <w:rFonts w:ascii="Helvetica" w:hAnsi="Helvetica"/>
                <w:b/>
                <w:sz w:val="18"/>
              </w:rPr>
            </w:r>
            <w:r w:rsidR="00A32C87">
              <w:rPr>
                <w:rFonts w:ascii="Helvetica" w:hAnsi="Helvetica"/>
                <w:b/>
                <w:sz w:val="18"/>
              </w:rPr>
              <w:fldChar w:fldCharType="separate"/>
            </w:r>
            <w:r>
              <w:rPr>
                <w:rFonts w:ascii="Helvetica" w:hAnsi="Helvetica"/>
                <w:b/>
                <w:noProof/>
                <w:sz w:val="18"/>
              </w:rPr>
              <w:t> </w:t>
            </w:r>
            <w:r w:rsidR="00A32C87">
              <w:rPr>
                <w:rFonts w:ascii="Helvetica" w:hAnsi="Helvetica"/>
                <w:b/>
                <w:sz w:val="18"/>
              </w:rPr>
              <w:fldChar w:fldCharType="end"/>
            </w:r>
            <w:r>
              <w:rPr>
                <w:rFonts w:ascii="Helvetica" w:hAnsi="Helvetica"/>
                <w:b/>
                <w:sz w:val="18"/>
              </w:rPr>
              <w:tab/>
            </w:r>
            <w:r>
              <w:rPr>
                <w:rFonts w:ascii="Helvetica" w:hAnsi="Helvetica"/>
                <w:sz w:val="16"/>
              </w:rPr>
              <w:t>Farms</w:t>
            </w:r>
          </w:p>
          <w:p w:rsidR="00E235F5" w:rsidRDefault="00E235F5">
            <w:pPr>
              <w:pBdr>
                <w:between w:val="single" w:sz="6" w:space="1" w:color="auto"/>
              </w:pBdr>
              <w:tabs>
                <w:tab w:val="left" w:pos="240"/>
                <w:tab w:val="left" w:pos="480"/>
                <w:tab w:val="left" w:pos="2640"/>
                <w:tab w:val="left" w:pos="3000"/>
              </w:tabs>
              <w:ind w:left="120" w:right="-108"/>
              <w:rPr>
                <w:rFonts w:ascii="Helvetica" w:hAnsi="Helvetica"/>
                <w:sz w:val="16"/>
              </w:rPr>
            </w:pPr>
            <w:r>
              <w:rPr>
                <w:rFonts w:ascii="Helvetica" w:hAnsi="Helvetica"/>
                <w:sz w:val="16"/>
              </w:rPr>
              <w:t xml:space="preserve">b. </w:t>
            </w:r>
            <w:r w:rsidR="00A32C87">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A32C87">
              <w:rPr>
                <w:rFonts w:ascii="Helvetica" w:hAnsi="Helvetica"/>
                <w:b/>
                <w:sz w:val="18"/>
              </w:rPr>
            </w:r>
            <w:r w:rsidR="00A32C87">
              <w:rPr>
                <w:rFonts w:ascii="Helvetica" w:hAnsi="Helvetica"/>
                <w:b/>
                <w:sz w:val="18"/>
              </w:rPr>
              <w:fldChar w:fldCharType="separate"/>
            </w:r>
            <w:r>
              <w:rPr>
                <w:rFonts w:ascii="Helvetica" w:hAnsi="Helvetica"/>
                <w:b/>
                <w:noProof/>
                <w:sz w:val="18"/>
              </w:rPr>
              <w:t> </w:t>
            </w:r>
            <w:r w:rsidR="00A32C87">
              <w:rPr>
                <w:rFonts w:ascii="Helvetica" w:hAnsi="Helvetica"/>
                <w:b/>
                <w:sz w:val="18"/>
              </w:rPr>
              <w:fldChar w:fldCharType="end"/>
            </w:r>
            <w:r>
              <w:rPr>
                <w:rFonts w:ascii="Helvetica" w:hAnsi="Helvetica"/>
                <w:b/>
                <w:sz w:val="18"/>
              </w:rPr>
              <w:tab/>
            </w:r>
            <w:r>
              <w:rPr>
                <w:rFonts w:ascii="Helvetica" w:hAnsi="Helvetica"/>
                <w:sz w:val="16"/>
              </w:rPr>
              <w:t>Business or other for-profit</w:t>
            </w:r>
            <w:r>
              <w:rPr>
                <w:rFonts w:ascii="Helvetica" w:hAnsi="Helvetica"/>
                <w:sz w:val="16"/>
              </w:rPr>
              <w:tab/>
              <w:t xml:space="preserve">f.  </w:t>
            </w:r>
            <w:r w:rsidR="00A32C87">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A32C87">
              <w:rPr>
                <w:rFonts w:ascii="Helvetica" w:hAnsi="Helvetica"/>
                <w:b/>
                <w:sz w:val="18"/>
              </w:rPr>
            </w:r>
            <w:r w:rsidR="00A32C87">
              <w:rPr>
                <w:rFonts w:ascii="Helvetica" w:hAnsi="Helvetica"/>
                <w:b/>
                <w:sz w:val="18"/>
              </w:rPr>
              <w:fldChar w:fldCharType="separate"/>
            </w:r>
            <w:r>
              <w:rPr>
                <w:rFonts w:ascii="Helvetica" w:hAnsi="Helvetica"/>
                <w:b/>
                <w:noProof/>
                <w:sz w:val="18"/>
              </w:rPr>
              <w:t> </w:t>
            </w:r>
            <w:r w:rsidR="00A32C87">
              <w:rPr>
                <w:rFonts w:ascii="Helvetica" w:hAnsi="Helvetica"/>
                <w:b/>
                <w:sz w:val="18"/>
              </w:rPr>
              <w:fldChar w:fldCharType="end"/>
            </w:r>
            <w:r>
              <w:rPr>
                <w:rFonts w:ascii="Helvetica" w:hAnsi="Helvetica"/>
                <w:b/>
                <w:sz w:val="18"/>
              </w:rPr>
              <w:tab/>
            </w:r>
            <w:r>
              <w:rPr>
                <w:rFonts w:ascii="Helvetica" w:hAnsi="Helvetica"/>
                <w:sz w:val="16"/>
              </w:rPr>
              <w:t>Federal Government</w:t>
            </w:r>
          </w:p>
          <w:p w:rsidR="00E235F5" w:rsidRDefault="00E235F5">
            <w:pPr>
              <w:tabs>
                <w:tab w:val="left" w:pos="240"/>
                <w:tab w:val="left" w:pos="480"/>
                <w:tab w:val="left" w:pos="2640"/>
                <w:tab w:val="left" w:pos="3000"/>
              </w:tabs>
              <w:ind w:left="120" w:right="-108"/>
              <w:rPr>
                <w:rFonts w:ascii="Helvetica" w:hAnsi="Helvetica"/>
                <w:sz w:val="16"/>
              </w:rPr>
            </w:pPr>
            <w:r>
              <w:rPr>
                <w:rFonts w:ascii="Helvetica" w:hAnsi="Helvetica"/>
                <w:sz w:val="16"/>
              </w:rPr>
              <w:t xml:space="preserve">c. </w:t>
            </w:r>
            <w:r w:rsidR="00A32C87">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A32C87">
              <w:rPr>
                <w:rFonts w:ascii="Helvetica" w:hAnsi="Helvetica"/>
                <w:b/>
                <w:sz w:val="18"/>
              </w:rPr>
            </w:r>
            <w:r w:rsidR="00A32C87">
              <w:rPr>
                <w:rFonts w:ascii="Helvetica" w:hAnsi="Helvetica"/>
                <w:b/>
                <w:sz w:val="18"/>
              </w:rPr>
              <w:fldChar w:fldCharType="separate"/>
            </w:r>
            <w:r>
              <w:rPr>
                <w:rFonts w:ascii="Helvetica" w:hAnsi="Helvetica"/>
                <w:b/>
                <w:noProof/>
                <w:sz w:val="18"/>
              </w:rPr>
              <w:t> </w:t>
            </w:r>
            <w:r w:rsidR="00A32C87">
              <w:rPr>
                <w:rFonts w:ascii="Helvetica" w:hAnsi="Helvetica"/>
                <w:b/>
                <w:sz w:val="18"/>
              </w:rPr>
              <w:fldChar w:fldCharType="end"/>
            </w:r>
            <w:r>
              <w:rPr>
                <w:rFonts w:ascii="Helvetica" w:hAnsi="Helvetica"/>
                <w:b/>
                <w:sz w:val="18"/>
              </w:rPr>
              <w:tab/>
            </w:r>
            <w:r>
              <w:rPr>
                <w:rFonts w:ascii="Helvetica" w:hAnsi="Helvetica"/>
                <w:sz w:val="16"/>
              </w:rPr>
              <w:t>Not-for-profit institutions</w:t>
            </w:r>
            <w:r>
              <w:rPr>
                <w:rFonts w:ascii="Helvetica" w:hAnsi="Helvetica"/>
                <w:sz w:val="16"/>
              </w:rPr>
              <w:tab/>
              <w:t xml:space="preserve">g. </w:t>
            </w:r>
            <w:r>
              <w:rPr>
                <w:rFonts w:ascii="Helvetica" w:hAnsi="Helvetica"/>
                <w:b/>
                <w:sz w:val="18"/>
              </w:rPr>
              <w:t>P</w:t>
            </w:r>
            <w:r>
              <w:rPr>
                <w:rFonts w:ascii="Helvetica" w:hAnsi="Helvetica"/>
                <w:b/>
                <w:sz w:val="18"/>
              </w:rPr>
              <w:tab/>
            </w:r>
            <w:r>
              <w:rPr>
                <w:rFonts w:ascii="Helvetica" w:hAnsi="Helvetica"/>
                <w:sz w:val="16"/>
              </w:rPr>
              <w:t>State, Local or Tribal Government</w:t>
            </w:r>
          </w:p>
        </w:tc>
        <w:tc>
          <w:tcPr>
            <w:tcW w:w="5388" w:type="dxa"/>
            <w:tcBorders>
              <w:top w:val="single" w:sz="6" w:space="0" w:color="auto"/>
              <w:left w:val="nil"/>
            </w:tcBorders>
          </w:tcPr>
          <w:p w:rsidR="00E235F5" w:rsidRDefault="00E235F5">
            <w:pPr>
              <w:tabs>
                <w:tab w:val="left" w:pos="240"/>
              </w:tabs>
              <w:ind w:left="-120" w:right="-120"/>
              <w:rPr>
                <w:rFonts w:ascii="Helvetica" w:hAnsi="Helvetica"/>
                <w:sz w:val="14"/>
              </w:rPr>
            </w:pPr>
            <w:r>
              <w:rPr>
                <w:rFonts w:ascii="Helvetica" w:hAnsi="Helvetica"/>
                <w:sz w:val="16"/>
              </w:rPr>
              <w:t xml:space="preserve">12. </w:t>
            </w:r>
            <w:r>
              <w:rPr>
                <w:rFonts w:ascii="Helvetica" w:hAnsi="Helvetica"/>
                <w:sz w:val="14"/>
              </w:rPr>
              <w:t>Obligation to respond:  (mark primary with “P” and all others that apply with “X”)</w:t>
            </w:r>
          </w:p>
          <w:p w:rsidR="00E235F5" w:rsidRDefault="00E235F5">
            <w:pPr>
              <w:tabs>
                <w:tab w:val="left" w:pos="492"/>
                <w:tab w:val="left" w:pos="2520"/>
              </w:tabs>
              <w:ind w:left="120"/>
              <w:rPr>
                <w:rFonts w:ascii="Helvetica" w:hAnsi="Helvetica"/>
                <w:sz w:val="16"/>
              </w:rPr>
            </w:pPr>
            <w:r>
              <w:rPr>
                <w:rFonts w:ascii="Helvetica" w:hAnsi="Helvetica"/>
                <w:sz w:val="16"/>
              </w:rPr>
              <w:t>a.</w:t>
            </w:r>
            <w:r>
              <w:rPr>
                <w:rFonts w:ascii="Helvetica" w:hAnsi="Helvetica"/>
                <w:sz w:val="14"/>
              </w:rPr>
              <w:t xml:space="preserve"> </w:t>
            </w:r>
            <w:r w:rsidR="00A32C87">
              <w:rPr>
                <w:rFonts w:ascii="Helvetica" w:hAnsi="Helvetica"/>
                <w:b/>
                <w:sz w:val="18"/>
              </w:rPr>
              <w:fldChar w:fldCharType="begin">
                <w:ffData>
                  <w:name w:val="Text25"/>
                  <w:enabled/>
                  <w:calcOnExit w:val="0"/>
                  <w:textInput>
                    <w:maxLength w:val="1"/>
                  </w:textInput>
                </w:ffData>
              </w:fldChar>
            </w:r>
            <w:bookmarkStart w:id="13" w:name="Text25"/>
            <w:r>
              <w:rPr>
                <w:rFonts w:ascii="Helvetica" w:hAnsi="Helvetica"/>
                <w:b/>
                <w:sz w:val="18"/>
              </w:rPr>
              <w:instrText xml:space="preserve"> FORMTEXT </w:instrText>
            </w:r>
            <w:r w:rsidR="00A32C87">
              <w:rPr>
                <w:rFonts w:ascii="Helvetica" w:hAnsi="Helvetica"/>
                <w:b/>
                <w:sz w:val="18"/>
              </w:rPr>
            </w:r>
            <w:r w:rsidR="00A32C87">
              <w:rPr>
                <w:rFonts w:ascii="Helvetica" w:hAnsi="Helvetica"/>
                <w:b/>
                <w:sz w:val="18"/>
              </w:rPr>
              <w:fldChar w:fldCharType="separate"/>
            </w:r>
            <w:r>
              <w:rPr>
                <w:rFonts w:ascii="Helvetica" w:hAnsi="Helvetica"/>
                <w:b/>
                <w:noProof/>
                <w:sz w:val="18"/>
              </w:rPr>
              <w:t> </w:t>
            </w:r>
            <w:r w:rsidR="00A32C87">
              <w:rPr>
                <w:rFonts w:ascii="Helvetica" w:hAnsi="Helvetica"/>
                <w:b/>
                <w:sz w:val="18"/>
              </w:rPr>
              <w:fldChar w:fldCharType="end"/>
            </w:r>
            <w:bookmarkEnd w:id="13"/>
            <w:r>
              <w:rPr>
                <w:rFonts w:ascii="Helvetica" w:hAnsi="Helvetica"/>
                <w:sz w:val="14"/>
              </w:rPr>
              <w:tab/>
            </w:r>
            <w:r>
              <w:rPr>
                <w:rFonts w:ascii="Helvetica" w:hAnsi="Helvetica"/>
                <w:sz w:val="16"/>
              </w:rPr>
              <w:t>Voluntary</w:t>
            </w:r>
          </w:p>
          <w:p w:rsidR="00E235F5" w:rsidRDefault="00E235F5">
            <w:pPr>
              <w:tabs>
                <w:tab w:val="left" w:pos="492"/>
                <w:tab w:val="left" w:pos="2520"/>
              </w:tabs>
              <w:ind w:left="120"/>
              <w:rPr>
                <w:rFonts w:ascii="Helvetica" w:hAnsi="Helvetica"/>
                <w:sz w:val="16"/>
              </w:rPr>
            </w:pPr>
            <w:r>
              <w:rPr>
                <w:rFonts w:ascii="Helvetica" w:hAnsi="Helvetica"/>
                <w:sz w:val="16"/>
              </w:rPr>
              <w:t xml:space="preserve">b. </w:t>
            </w:r>
            <w:r>
              <w:rPr>
                <w:rFonts w:ascii="Helvetica" w:hAnsi="Helvetica"/>
                <w:b/>
                <w:sz w:val="18"/>
              </w:rPr>
              <w:t>X</w:t>
            </w:r>
            <w:r>
              <w:rPr>
                <w:rFonts w:ascii="Helvetica" w:hAnsi="Helvetica"/>
                <w:sz w:val="16"/>
              </w:rPr>
              <w:tab/>
              <w:t>Required to obtain or retain benefits</w:t>
            </w:r>
          </w:p>
          <w:p w:rsidR="00E235F5" w:rsidRDefault="00E235F5">
            <w:pPr>
              <w:tabs>
                <w:tab w:val="left" w:pos="492"/>
              </w:tabs>
              <w:spacing w:after="60"/>
              <w:ind w:left="120"/>
              <w:rPr>
                <w:rFonts w:ascii="Helvetica" w:hAnsi="Helvetica"/>
                <w:sz w:val="16"/>
              </w:rPr>
            </w:pPr>
            <w:r>
              <w:rPr>
                <w:rFonts w:ascii="Helvetica" w:hAnsi="Helvetica"/>
                <w:sz w:val="16"/>
              </w:rPr>
              <w:t xml:space="preserve">c. </w:t>
            </w:r>
            <w:r w:rsidR="00A32C87">
              <w:rPr>
                <w:rFonts w:ascii="Helvetica" w:hAnsi="Helvetica"/>
                <w:b/>
                <w:sz w:val="18"/>
              </w:rPr>
              <w:fldChar w:fldCharType="begin">
                <w:ffData>
                  <w:name w:val="Text27"/>
                  <w:enabled/>
                  <w:calcOnExit w:val="0"/>
                  <w:textInput>
                    <w:maxLength w:val="1"/>
                  </w:textInput>
                </w:ffData>
              </w:fldChar>
            </w:r>
            <w:bookmarkStart w:id="14" w:name="Text27"/>
            <w:r>
              <w:rPr>
                <w:rFonts w:ascii="Helvetica" w:hAnsi="Helvetica"/>
                <w:b/>
                <w:sz w:val="18"/>
              </w:rPr>
              <w:instrText xml:space="preserve"> FORMTEXT </w:instrText>
            </w:r>
            <w:r w:rsidR="00A32C87">
              <w:rPr>
                <w:rFonts w:ascii="Helvetica" w:hAnsi="Helvetica"/>
                <w:b/>
                <w:sz w:val="18"/>
              </w:rPr>
            </w:r>
            <w:r w:rsidR="00A32C87">
              <w:rPr>
                <w:rFonts w:ascii="Helvetica" w:hAnsi="Helvetica"/>
                <w:b/>
                <w:sz w:val="18"/>
              </w:rPr>
              <w:fldChar w:fldCharType="separate"/>
            </w:r>
            <w:r>
              <w:rPr>
                <w:rFonts w:ascii="Helvetica" w:hAnsi="Helvetica"/>
                <w:b/>
                <w:noProof/>
                <w:sz w:val="18"/>
              </w:rPr>
              <w:t> </w:t>
            </w:r>
            <w:r w:rsidR="00A32C87">
              <w:rPr>
                <w:rFonts w:ascii="Helvetica" w:hAnsi="Helvetica"/>
                <w:b/>
                <w:sz w:val="18"/>
              </w:rPr>
              <w:fldChar w:fldCharType="end"/>
            </w:r>
            <w:bookmarkEnd w:id="14"/>
            <w:r>
              <w:rPr>
                <w:rFonts w:ascii="Helvetica" w:hAnsi="Helvetica"/>
                <w:sz w:val="16"/>
              </w:rPr>
              <w:tab/>
              <w:t>Mandatory</w:t>
            </w:r>
          </w:p>
        </w:tc>
      </w:tr>
      <w:tr w:rsidR="00E235F5">
        <w:trPr>
          <w:trHeight w:val="2146"/>
        </w:trPr>
        <w:tc>
          <w:tcPr>
            <w:tcW w:w="5628" w:type="dxa"/>
            <w:gridSpan w:val="2"/>
            <w:tcBorders>
              <w:top w:val="single" w:sz="6" w:space="0" w:color="auto"/>
              <w:right w:val="single" w:sz="6" w:space="0" w:color="auto"/>
            </w:tcBorders>
          </w:tcPr>
          <w:p w:rsidR="00E235F5" w:rsidRDefault="00E235F5">
            <w:pPr>
              <w:tabs>
                <w:tab w:val="left" w:pos="240"/>
              </w:tabs>
              <w:ind w:left="-120"/>
              <w:rPr>
                <w:rFonts w:ascii="Helvetica" w:hAnsi="Helvetica"/>
                <w:sz w:val="14"/>
              </w:rPr>
            </w:pPr>
            <w:r>
              <w:rPr>
                <w:rFonts w:ascii="Helvetica" w:hAnsi="Helvetica"/>
                <w:sz w:val="16"/>
              </w:rPr>
              <w:t xml:space="preserve">13. </w:t>
            </w:r>
            <w:r>
              <w:rPr>
                <w:rFonts w:ascii="Helvetica" w:hAnsi="Helvetica"/>
                <w:sz w:val="14"/>
              </w:rPr>
              <w:t>Annual reporting and recordkeeping hour burden:</w:t>
            </w:r>
          </w:p>
          <w:p w:rsidR="00E235F5" w:rsidRDefault="00E235F5">
            <w:pPr>
              <w:tabs>
                <w:tab w:val="left" w:pos="240"/>
                <w:tab w:val="right" w:pos="5040"/>
              </w:tabs>
              <w:ind w:left="120"/>
              <w:rPr>
                <w:rFonts w:ascii="Helvetica" w:hAnsi="Helvetica"/>
                <w:sz w:val="16"/>
              </w:rPr>
            </w:pPr>
            <w:r>
              <w:rPr>
                <w:rFonts w:ascii="Helvetica" w:hAnsi="Helvetica"/>
                <w:sz w:val="16"/>
              </w:rPr>
              <w:t>a. Number of respondents</w:t>
            </w:r>
            <w:r>
              <w:rPr>
                <w:rFonts w:ascii="Helvetica" w:hAnsi="Helvetica"/>
                <w:sz w:val="16"/>
              </w:rPr>
              <w:tab/>
              <w:t>3</w:t>
            </w:r>
            <w:r w:rsidR="00D32EA0">
              <w:rPr>
                <w:rFonts w:ascii="Helvetica" w:hAnsi="Helvetica"/>
                <w:sz w:val="16"/>
              </w:rPr>
              <w:t>54</w:t>
            </w:r>
          </w:p>
          <w:p w:rsidR="00E235F5" w:rsidRDefault="00E235F5">
            <w:pPr>
              <w:tabs>
                <w:tab w:val="left" w:pos="240"/>
                <w:tab w:val="right" w:pos="5040"/>
              </w:tabs>
              <w:ind w:left="120"/>
              <w:rPr>
                <w:rFonts w:ascii="Helvetica" w:hAnsi="Helvetica"/>
                <w:sz w:val="16"/>
              </w:rPr>
            </w:pPr>
            <w:r>
              <w:rPr>
                <w:rFonts w:ascii="Helvetica" w:hAnsi="Helvetica"/>
                <w:sz w:val="16"/>
              </w:rPr>
              <w:t>b. Total annual responses</w:t>
            </w:r>
            <w:r>
              <w:rPr>
                <w:rFonts w:ascii="Helvetica" w:hAnsi="Helvetica"/>
                <w:sz w:val="16"/>
              </w:rPr>
              <w:tab/>
            </w:r>
            <w:r w:rsidR="004C3274">
              <w:rPr>
                <w:rFonts w:ascii="Helvetica" w:hAnsi="Helvetica"/>
                <w:sz w:val="16"/>
              </w:rPr>
              <w:t>2,184</w:t>
            </w:r>
          </w:p>
          <w:p w:rsidR="00E235F5" w:rsidRDefault="00E235F5">
            <w:pPr>
              <w:numPr>
                <w:ilvl w:val="12"/>
                <w:numId w:val="0"/>
              </w:numPr>
              <w:tabs>
                <w:tab w:val="left" w:pos="240"/>
                <w:tab w:val="right" w:pos="5040"/>
              </w:tabs>
              <w:ind w:left="360" w:hanging="360"/>
              <w:rPr>
                <w:rFonts w:ascii="Helvetica" w:hAnsi="Helvetica"/>
                <w:sz w:val="16"/>
              </w:rPr>
            </w:pPr>
            <w:r>
              <w:rPr>
                <w:rFonts w:ascii="Helvetica" w:hAnsi="Helvetica"/>
                <w:sz w:val="16"/>
              </w:rPr>
              <w:t xml:space="preserve">Percentage of these responses collected electronically </w:t>
            </w:r>
            <w:r>
              <w:rPr>
                <w:rFonts w:ascii="Helvetica" w:hAnsi="Helvetica"/>
                <w:sz w:val="16"/>
              </w:rPr>
              <w:tab/>
            </w:r>
            <w:r>
              <w:rPr>
                <w:rFonts w:ascii="Helvetica" w:hAnsi="Helvetica"/>
                <w:sz w:val="18"/>
              </w:rPr>
              <w:t>0</w:t>
            </w:r>
          </w:p>
          <w:p w:rsidR="00E235F5" w:rsidRDefault="00E235F5">
            <w:pPr>
              <w:numPr>
                <w:ilvl w:val="12"/>
                <w:numId w:val="0"/>
              </w:numPr>
              <w:tabs>
                <w:tab w:val="left" w:pos="240"/>
                <w:tab w:val="right" w:pos="5040"/>
              </w:tabs>
              <w:ind w:left="120" w:hanging="360"/>
              <w:rPr>
                <w:rFonts w:ascii="Helvetica" w:hAnsi="Helvetica"/>
                <w:sz w:val="16"/>
              </w:rPr>
            </w:pPr>
            <w:r>
              <w:rPr>
                <w:rFonts w:ascii="Helvetica" w:hAnsi="Helvetica"/>
                <w:sz w:val="16"/>
              </w:rPr>
              <w:t>c. Tot</w:t>
            </w:r>
            <w:r w:rsidR="004C3274">
              <w:rPr>
                <w:rFonts w:ascii="Helvetica" w:hAnsi="Helvetica"/>
                <w:sz w:val="16"/>
              </w:rPr>
              <w:t>al annual hours requested</w:t>
            </w:r>
            <w:r w:rsidR="004C3274">
              <w:rPr>
                <w:rFonts w:ascii="Helvetica" w:hAnsi="Helvetica"/>
                <w:sz w:val="16"/>
              </w:rPr>
              <w:tab/>
              <w:t>25,134</w:t>
            </w:r>
          </w:p>
          <w:p w:rsidR="00E235F5" w:rsidRDefault="00E235F5">
            <w:pPr>
              <w:numPr>
                <w:ilvl w:val="12"/>
                <w:numId w:val="0"/>
              </w:numPr>
              <w:tabs>
                <w:tab w:val="left" w:pos="240"/>
                <w:tab w:val="right" w:pos="5040"/>
              </w:tabs>
              <w:ind w:left="120" w:hanging="360"/>
              <w:rPr>
                <w:rFonts w:ascii="Helvetica" w:hAnsi="Helvetica"/>
                <w:sz w:val="16"/>
              </w:rPr>
            </w:pPr>
            <w:r>
              <w:rPr>
                <w:rFonts w:ascii="Helvetica" w:hAnsi="Helvetica"/>
                <w:sz w:val="16"/>
              </w:rPr>
              <w:t>d. Current OMB inventory</w:t>
            </w:r>
            <w:r>
              <w:rPr>
                <w:rFonts w:ascii="Helvetica" w:hAnsi="Helvetica"/>
                <w:sz w:val="16"/>
              </w:rPr>
              <w:tab/>
              <w:t>34,026</w:t>
            </w:r>
          </w:p>
          <w:p w:rsidR="00E235F5" w:rsidRDefault="004C3274">
            <w:pPr>
              <w:tabs>
                <w:tab w:val="left" w:pos="240"/>
                <w:tab w:val="right" w:pos="5040"/>
              </w:tabs>
              <w:ind w:left="120"/>
              <w:rPr>
                <w:rFonts w:ascii="Helvetica" w:hAnsi="Helvetica"/>
                <w:sz w:val="16"/>
              </w:rPr>
            </w:pPr>
            <w:r>
              <w:rPr>
                <w:rFonts w:ascii="Helvetica" w:hAnsi="Helvetica"/>
                <w:sz w:val="16"/>
              </w:rPr>
              <w:t>e. Difference (+,-)</w:t>
            </w:r>
            <w:r>
              <w:rPr>
                <w:rFonts w:ascii="Helvetica" w:hAnsi="Helvetica"/>
                <w:sz w:val="16"/>
              </w:rPr>
              <w:tab/>
              <w:t>-8,892</w:t>
            </w:r>
          </w:p>
          <w:p w:rsidR="00E235F5" w:rsidRDefault="00E235F5">
            <w:pPr>
              <w:numPr>
                <w:ilvl w:val="12"/>
                <w:numId w:val="0"/>
              </w:numPr>
              <w:tabs>
                <w:tab w:val="left" w:pos="240"/>
                <w:tab w:val="right" w:pos="4800"/>
              </w:tabs>
              <w:ind w:left="120" w:hanging="360"/>
              <w:rPr>
                <w:rFonts w:ascii="Helvetica" w:hAnsi="Helvetica"/>
                <w:sz w:val="16"/>
              </w:rPr>
            </w:pPr>
            <w:r>
              <w:rPr>
                <w:rFonts w:ascii="Helvetica" w:hAnsi="Helvetica"/>
                <w:sz w:val="16"/>
              </w:rPr>
              <w:t>f. Explanation of difference:</w:t>
            </w:r>
          </w:p>
          <w:p w:rsidR="00E235F5" w:rsidRDefault="00E235F5">
            <w:pPr>
              <w:numPr>
                <w:ilvl w:val="12"/>
                <w:numId w:val="0"/>
              </w:numPr>
              <w:tabs>
                <w:tab w:val="left" w:pos="240"/>
                <w:tab w:val="right" w:pos="5040"/>
              </w:tabs>
              <w:ind w:left="360" w:hanging="360"/>
              <w:rPr>
                <w:rFonts w:ascii="Helvetica" w:hAnsi="Helvetica"/>
                <w:sz w:val="16"/>
              </w:rPr>
            </w:pPr>
            <w:r>
              <w:rPr>
                <w:rFonts w:ascii="Helvetica" w:hAnsi="Helvetica"/>
                <w:sz w:val="16"/>
              </w:rPr>
              <w:t>1. Program change:</w:t>
            </w:r>
            <w:r>
              <w:rPr>
                <w:rFonts w:ascii="Helvetica" w:hAnsi="Helvetica"/>
                <w:sz w:val="16"/>
              </w:rPr>
              <w:tab/>
            </w:r>
          </w:p>
          <w:p w:rsidR="00E235F5" w:rsidRDefault="004C3274">
            <w:pPr>
              <w:numPr>
                <w:ilvl w:val="12"/>
                <w:numId w:val="0"/>
              </w:numPr>
              <w:tabs>
                <w:tab w:val="left" w:pos="240"/>
                <w:tab w:val="right" w:pos="5040"/>
              </w:tabs>
              <w:spacing w:after="60"/>
              <w:ind w:left="360" w:hanging="360"/>
              <w:rPr>
                <w:rFonts w:ascii="Helvetica" w:hAnsi="Helvetica"/>
                <w:sz w:val="16"/>
              </w:rPr>
            </w:pPr>
            <w:r>
              <w:rPr>
                <w:rFonts w:ascii="Helvetica" w:hAnsi="Helvetica"/>
                <w:sz w:val="16"/>
              </w:rPr>
              <w:t>2. Adjustment:</w:t>
            </w:r>
            <w:r>
              <w:rPr>
                <w:rFonts w:ascii="Helvetica" w:hAnsi="Helvetica"/>
                <w:sz w:val="16"/>
              </w:rPr>
              <w:tab/>
              <w:t>-8.892</w:t>
            </w:r>
          </w:p>
        </w:tc>
        <w:tc>
          <w:tcPr>
            <w:tcW w:w="5388" w:type="dxa"/>
            <w:tcBorders>
              <w:top w:val="single" w:sz="6" w:space="0" w:color="auto"/>
              <w:left w:val="nil"/>
            </w:tcBorders>
          </w:tcPr>
          <w:p w:rsidR="00E235F5" w:rsidRDefault="00E235F5">
            <w:pPr>
              <w:tabs>
                <w:tab w:val="left" w:pos="240"/>
              </w:tabs>
              <w:ind w:left="-120"/>
              <w:rPr>
                <w:rFonts w:ascii="Helvetica" w:hAnsi="Helvetica"/>
                <w:sz w:val="14"/>
              </w:rPr>
            </w:pPr>
            <w:r>
              <w:rPr>
                <w:rFonts w:ascii="Helvetica" w:hAnsi="Helvetica"/>
                <w:sz w:val="16"/>
              </w:rPr>
              <w:t xml:space="preserve">14. </w:t>
            </w:r>
            <w:r>
              <w:rPr>
                <w:rFonts w:ascii="Helvetica" w:hAnsi="Helvetica"/>
                <w:sz w:val="14"/>
              </w:rPr>
              <w:t>Annual reporting and recordkeeping cost burden: (in thousands of dollars)</w:t>
            </w:r>
          </w:p>
          <w:p w:rsidR="00E235F5" w:rsidRDefault="00E235F5">
            <w:pPr>
              <w:tabs>
                <w:tab w:val="left" w:pos="240"/>
                <w:tab w:val="right" w:pos="4800"/>
              </w:tabs>
              <w:ind w:left="120"/>
              <w:rPr>
                <w:rFonts w:ascii="Helvetica" w:hAnsi="Helvetica"/>
                <w:sz w:val="16"/>
              </w:rPr>
            </w:pPr>
            <w:r>
              <w:rPr>
                <w:rFonts w:ascii="Helvetica" w:hAnsi="Helvetica"/>
                <w:sz w:val="16"/>
              </w:rPr>
              <w:t>a. Total annualized capital/startup costs</w:t>
            </w:r>
            <w:r>
              <w:rPr>
                <w:rFonts w:ascii="Helvetica" w:hAnsi="Helvetica"/>
                <w:sz w:val="16"/>
              </w:rPr>
              <w:tab/>
            </w:r>
            <w:r>
              <w:rPr>
                <w:rFonts w:ascii="Helvetica" w:hAnsi="Helvetica"/>
                <w:sz w:val="18"/>
              </w:rPr>
              <w:t>0</w:t>
            </w:r>
          </w:p>
          <w:p w:rsidR="00E235F5" w:rsidRDefault="00E235F5">
            <w:pPr>
              <w:tabs>
                <w:tab w:val="left" w:pos="240"/>
                <w:tab w:val="right" w:pos="4800"/>
              </w:tabs>
              <w:ind w:left="132"/>
              <w:rPr>
                <w:rFonts w:ascii="Helvetica" w:hAnsi="Helvetica"/>
                <w:sz w:val="16"/>
              </w:rPr>
            </w:pPr>
            <w:r>
              <w:rPr>
                <w:rFonts w:ascii="Helvetica" w:hAnsi="Helvetica"/>
                <w:sz w:val="16"/>
              </w:rPr>
              <w:t>b. Total annual costs (O&amp;M)</w:t>
            </w:r>
            <w:r>
              <w:rPr>
                <w:rFonts w:ascii="Helvetica" w:hAnsi="Helvetica"/>
                <w:sz w:val="16"/>
              </w:rPr>
              <w:tab/>
            </w:r>
            <w:r>
              <w:rPr>
                <w:rFonts w:ascii="Helvetica" w:hAnsi="Helvetica"/>
                <w:sz w:val="18"/>
              </w:rPr>
              <w:t>0</w:t>
            </w:r>
          </w:p>
          <w:p w:rsidR="00E235F5" w:rsidRDefault="00E235F5">
            <w:pPr>
              <w:tabs>
                <w:tab w:val="left" w:pos="240"/>
                <w:tab w:val="right" w:pos="4800"/>
              </w:tabs>
              <w:ind w:left="132"/>
              <w:rPr>
                <w:rFonts w:ascii="Helvetica" w:hAnsi="Helvetica"/>
                <w:sz w:val="16"/>
              </w:rPr>
            </w:pPr>
            <w:r>
              <w:rPr>
                <w:rFonts w:ascii="Helvetica" w:hAnsi="Helvetica"/>
                <w:sz w:val="16"/>
              </w:rPr>
              <w:t>c. Total annualized cost requested</w:t>
            </w:r>
            <w:r>
              <w:rPr>
                <w:rFonts w:ascii="Helvetica" w:hAnsi="Helvetica"/>
                <w:sz w:val="16"/>
              </w:rPr>
              <w:tab/>
            </w:r>
            <w:r>
              <w:rPr>
                <w:rFonts w:ascii="Helvetica" w:hAnsi="Helvetica"/>
                <w:sz w:val="18"/>
              </w:rPr>
              <w:t>0</w:t>
            </w:r>
          </w:p>
          <w:p w:rsidR="00E235F5" w:rsidRDefault="00E235F5">
            <w:pPr>
              <w:tabs>
                <w:tab w:val="left" w:pos="240"/>
                <w:tab w:val="right" w:pos="4800"/>
              </w:tabs>
              <w:ind w:left="132"/>
              <w:rPr>
                <w:rFonts w:ascii="Helvetica" w:hAnsi="Helvetica"/>
                <w:sz w:val="16"/>
              </w:rPr>
            </w:pPr>
            <w:r>
              <w:rPr>
                <w:rFonts w:ascii="Helvetica" w:hAnsi="Helvetica"/>
                <w:sz w:val="16"/>
              </w:rPr>
              <w:t>d. Total annual cost requested</w:t>
            </w:r>
            <w:r>
              <w:rPr>
                <w:rFonts w:ascii="Helvetica" w:hAnsi="Helvetica"/>
                <w:sz w:val="16"/>
              </w:rPr>
              <w:tab/>
            </w:r>
            <w:r>
              <w:rPr>
                <w:rFonts w:ascii="Helvetica" w:hAnsi="Helvetica"/>
                <w:sz w:val="18"/>
              </w:rPr>
              <w:t>0</w:t>
            </w:r>
          </w:p>
          <w:p w:rsidR="00E235F5" w:rsidRDefault="00E235F5">
            <w:pPr>
              <w:tabs>
                <w:tab w:val="left" w:pos="132"/>
                <w:tab w:val="right" w:pos="4800"/>
              </w:tabs>
              <w:ind w:left="132"/>
              <w:rPr>
                <w:rFonts w:ascii="Helvetica" w:hAnsi="Helvetica"/>
                <w:sz w:val="16"/>
              </w:rPr>
            </w:pPr>
            <w:r>
              <w:rPr>
                <w:rFonts w:ascii="Helvetica" w:hAnsi="Helvetica"/>
                <w:sz w:val="16"/>
              </w:rPr>
              <w:t>e. Current OMB inventory</w:t>
            </w:r>
            <w:r>
              <w:rPr>
                <w:rFonts w:ascii="Helvetica" w:hAnsi="Helvetica"/>
                <w:sz w:val="16"/>
              </w:rPr>
              <w:tab/>
            </w:r>
            <w:r>
              <w:rPr>
                <w:rFonts w:ascii="Helvetica" w:hAnsi="Helvetica"/>
                <w:sz w:val="18"/>
              </w:rPr>
              <w:t>0</w:t>
            </w:r>
          </w:p>
          <w:p w:rsidR="00E235F5" w:rsidRDefault="00E235F5">
            <w:pPr>
              <w:tabs>
                <w:tab w:val="left" w:pos="240"/>
                <w:tab w:val="right" w:pos="4800"/>
              </w:tabs>
              <w:ind w:left="132"/>
              <w:rPr>
                <w:rFonts w:ascii="Helvetica" w:hAnsi="Helvetica"/>
                <w:sz w:val="16"/>
              </w:rPr>
            </w:pPr>
            <w:r>
              <w:rPr>
                <w:rFonts w:ascii="Helvetica" w:hAnsi="Helvetica"/>
                <w:sz w:val="16"/>
              </w:rPr>
              <w:t>f. Explanation of difference:</w:t>
            </w:r>
          </w:p>
          <w:p w:rsidR="00E235F5" w:rsidRDefault="00E235F5">
            <w:pPr>
              <w:numPr>
                <w:ilvl w:val="12"/>
                <w:numId w:val="0"/>
              </w:numPr>
              <w:tabs>
                <w:tab w:val="left" w:pos="240"/>
                <w:tab w:val="right" w:pos="4800"/>
              </w:tabs>
              <w:ind w:left="360" w:hanging="360"/>
              <w:rPr>
                <w:rFonts w:ascii="Helvetica" w:hAnsi="Helvetica"/>
                <w:sz w:val="16"/>
              </w:rPr>
            </w:pPr>
            <w:r>
              <w:rPr>
                <w:rFonts w:ascii="Helvetica" w:hAnsi="Helvetica"/>
                <w:sz w:val="16"/>
              </w:rPr>
              <w:t>1. Program change:</w:t>
            </w:r>
            <w:r>
              <w:rPr>
                <w:rFonts w:ascii="Helvetica" w:hAnsi="Helvetica"/>
                <w:sz w:val="16"/>
              </w:rPr>
              <w:tab/>
            </w:r>
            <w:r w:rsidR="00A32C87">
              <w:rPr>
                <w:rFonts w:ascii="Helvetica" w:hAnsi="Helvetica"/>
                <w:sz w:val="18"/>
              </w:rPr>
              <w:fldChar w:fldCharType="begin">
                <w:ffData>
                  <w:name w:val=""/>
                  <w:enabled/>
                  <w:calcOnExit w:val="0"/>
                  <w:textInput/>
                </w:ffData>
              </w:fldChar>
            </w:r>
            <w:r>
              <w:rPr>
                <w:rFonts w:ascii="Helvetica" w:hAnsi="Helvetica"/>
                <w:sz w:val="18"/>
              </w:rPr>
              <w:instrText xml:space="preserve"> FORMTEXT </w:instrText>
            </w:r>
            <w:r w:rsidR="00A32C87">
              <w:rPr>
                <w:rFonts w:ascii="Helvetica" w:hAnsi="Helvetica"/>
                <w:sz w:val="18"/>
              </w:rPr>
            </w:r>
            <w:r w:rsidR="00A32C87">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A32C87">
              <w:rPr>
                <w:rFonts w:ascii="Helvetica" w:hAnsi="Helvetica"/>
                <w:sz w:val="18"/>
              </w:rPr>
              <w:fldChar w:fldCharType="end"/>
            </w:r>
          </w:p>
          <w:p w:rsidR="00E235F5" w:rsidRDefault="00E235F5">
            <w:pPr>
              <w:numPr>
                <w:ilvl w:val="12"/>
                <w:numId w:val="0"/>
              </w:numPr>
              <w:tabs>
                <w:tab w:val="left" w:pos="240"/>
                <w:tab w:val="right" w:pos="4800"/>
              </w:tabs>
              <w:spacing w:after="60"/>
              <w:ind w:left="360" w:hanging="360"/>
              <w:rPr>
                <w:rFonts w:ascii="Helvetica" w:hAnsi="Helvetica"/>
                <w:sz w:val="16"/>
              </w:rPr>
            </w:pPr>
            <w:r>
              <w:rPr>
                <w:rFonts w:ascii="Helvetica" w:hAnsi="Helvetica"/>
                <w:sz w:val="16"/>
              </w:rPr>
              <w:t>2. Adjustment:</w:t>
            </w:r>
            <w:r>
              <w:rPr>
                <w:rFonts w:ascii="Helvetica" w:hAnsi="Helvetica"/>
                <w:sz w:val="16"/>
              </w:rPr>
              <w:tab/>
            </w:r>
            <w:r w:rsidR="00A32C87">
              <w:rPr>
                <w:rFonts w:ascii="Helvetica" w:hAnsi="Helvetica"/>
                <w:sz w:val="18"/>
              </w:rPr>
              <w:fldChar w:fldCharType="begin">
                <w:ffData>
                  <w:name w:val="Text16"/>
                  <w:enabled/>
                  <w:calcOnExit w:val="0"/>
                  <w:textInput/>
                </w:ffData>
              </w:fldChar>
            </w:r>
            <w:r>
              <w:rPr>
                <w:rFonts w:ascii="Helvetica" w:hAnsi="Helvetica"/>
                <w:sz w:val="18"/>
              </w:rPr>
              <w:instrText xml:space="preserve"> FORMTEXT </w:instrText>
            </w:r>
            <w:r w:rsidR="00A32C87">
              <w:rPr>
                <w:rFonts w:ascii="Helvetica" w:hAnsi="Helvetica"/>
                <w:sz w:val="18"/>
              </w:rPr>
            </w:r>
            <w:r w:rsidR="00A32C87">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A32C87">
              <w:rPr>
                <w:rFonts w:ascii="Helvetica" w:hAnsi="Helvetica"/>
                <w:sz w:val="18"/>
              </w:rPr>
              <w:fldChar w:fldCharType="end"/>
            </w:r>
          </w:p>
        </w:tc>
      </w:tr>
      <w:tr w:rsidR="00E235F5">
        <w:trPr>
          <w:trHeight w:val="1474"/>
        </w:trPr>
        <w:tc>
          <w:tcPr>
            <w:tcW w:w="5628" w:type="dxa"/>
            <w:gridSpan w:val="2"/>
            <w:tcBorders>
              <w:top w:val="single" w:sz="6" w:space="0" w:color="auto"/>
              <w:right w:val="single" w:sz="6" w:space="0" w:color="auto"/>
            </w:tcBorders>
          </w:tcPr>
          <w:p w:rsidR="00E235F5" w:rsidRDefault="00E235F5">
            <w:pPr>
              <w:tabs>
                <w:tab w:val="left" w:pos="240"/>
              </w:tabs>
              <w:ind w:left="120" w:hanging="240"/>
              <w:rPr>
                <w:rFonts w:ascii="Helvetica" w:hAnsi="Helvetica"/>
                <w:sz w:val="14"/>
              </w:rPr>
            </w:pPr>
            <w:r>
              <w:rPr>
                <w:rFonts w:ascii="Helvetica" w:hAnsi="Helvetica"/>
                <w:sz w:val="16"/>
              </w:rPr>
              <w:t xml:space="preserve">15. </w:t>
            </w:r>
            <w:r>
              <w:rPr>
                <w:rFonts w:ascii="Helvetica" w:hAnsi="Helvetica"/>
                <w:sz w:val="14"/>
              </w:rPr>
              <w:t>Purpose of Information collection:  (mark primary with “P” and all others that apply with “X”)</w:t>
            </w:r>
          </w:p>
          <w:p w:rsidR="00E235F5" w:rsidRDefault="00E235F5">
            <w:pPr>
              <w:tabs>
                <w:tab w:val="left" w:pos="480"/>
                <w:tab w:val="left" w:pos="2520"/>
                <w:tab w:val="left" w:pos="2880"/>
              </w:tabs>
              <w:ind w:left="120"/>
              <w:rPr>
                <w:rFonts w:ascii="Helvetica" w:hAnsi="Helvetica"/>
                <w:sz w:val="16"/>
              </w:rPr>
            </w:pPr>
            <w:r>
              <w:rPr>
                <w:rFonts w:ascii="Helvetica" w:hAnsi="Helvetica"/>
                <w:sz w:val="16"/>
              </w:rPr>
              <w:t xml:space="preserve">a. </w:t>
            </w:r>
            <w:r>
              <w:rPr>
                <w:rFonts w:ascii="Helvetica" w:hAnsi="Helvetica"/>
                <w:b/>
                <w:sz w:val="18"/>
              </w:rPr>
              <w:tab/>
            </w:r>
            <w:r>
              <w:rPr>
                <w:rFonts w:ascii="Helvetica" w:hAnsi="Helvetica"/>
                <w:sz w:val="16"/>
              </w:rPr>
              <w:t>Application for benefits</w:t>
            </w:r>
            <w:r>
              <w:rPr>
                <w:rFonts w:ascii="Helvetica" w:hAnsi="Helvetica"/>
                <w:sz w:val="16"/>
              </w:rPr>
              <w:tab/>
              <w:t xml:space="preserve">e. </w:t>
            </w:r>
            <w:r>
              <w:rPr>
                <w:rFonts w:ascii="Helvetica" w:hAnsi="Helvetica"/>
                <w:b/>
                <w:sz w:val="18"/>
              </w:rPr>
              <w:t>x</w:t>
            </w:r>
            <w:r>
              <w:rPr>
                <w:rFonts w:ascii="Helvetica" w:hAnsi="Helvetica"/>
                <w:b/>
                <w:sz w:val="18"/>
              </w:rPr>
              <w:tab/>
            </w:r>
            <w:r>
              <w:rPr>
                <w:rFonts w:ascii="Helvetica" w:hAnsi="Helvetica"/>
                <w:sz w:val="16"/>
              </w:rPr>
              <w:t>Program planning or management</w:t>
            </w:r>
          </w:p>
          <w:p w:rsidR="00E235F5" w:rsidRDefault="00E235F5">
            <w:pPr>
              <w:pBdr>
                <w:between w:val="single" w:sz="6" w:space="1" w:color="auto"/>
              </w:pBdr>
              <w:tabs>
                <w:tab w:val="left" w:pos="480"/>
                <w:tab w:val="left" w:pos="2520"/>
                <w:tab w:val="left" w:pos="2880"/>
              </w:tabs>
              <w:ind w:left="120"/>
              <w:rPr>
                <w:rFonts w:ascii="Helvetica" w:hAnsi="Helvetica"/>
                <w:sz w:val="16"/>
              </w:rPr>
            </w:pPr>
            <w:r>
              <w:rPr>
                <w:rFonts w:ascii="Helvetica" w:hAnsi="Helvetica"/>
                <w:sz w:val="16"/>
              </w:rPr>
              <w:t xml:space="preserve">b. </w:t>
            </w:r>
            <w:r>
              <w:rPr>
                <w:rFonts w:ascii="Helvetica" w:hAnsi="Helvetica"/>
                <w:b/>
                <w:sz w:val="18"/>
              </w:rPr>
              <w:t>x</w:t>
            </w:r>
            <w:r>
              <w:rPr>
                <w:rFonts w:ascii="Helvetica" w:hAnsi="Helvetica"/>
                <w:b/>
                <w:sz w:val="18"/>
              </w:rPr>
              <w:tab/>
            </w:r>
            <w:r>
              <w:rPr>
                <w:rFonts w:ascii="Helvetica" w:hAnsi="Helvetica"/>
                <w:sz w:val="16"/>
              </w:rPr>
              <w:t>Program evaluation</w:t>
            </w:r>
            <w:r>
              <w:rPr>
                <w:rFonts w:ascii="Helvetica" w:hAnsi="Helvetica"/>
                <w:sz w:val="16"/>
              </w:rPr>
              <w:tab/>
              <w:t xml:space="preserve">f.  </w:t>
            </w:r>
            <w:r w:rsidR="00A32C87">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A32C87">
              <w:rPr>
                <w:rFonts w:ascii="Helvetica" w:hAnsi="Helvetica"/>
                <w:b/>
                <w:sz w:val="18"/>
              </w:rPr>
            </w:r>
            <w:r w:rsidR="00A32C87">
              <w:rPr>
                <w:rFonts w:ascii="Helvetica" w:hAnsi="Helvetica"/>
                <w:b/>
                <w:sz w:val="18"/>
              </w:rPr>
              <w:fldChar w:fldCharType="separate"/>
            </w:r>
            <w:r>
              <w:rPr>
                <w:rFonts w:ascii="Helvetica" w:hAnsi="Helvetica"/>
                <w:b/>
                <w:noProof/>
                <w:sz w:val="18"/>
              </w:rPr>
              <w:t> </w:t>
            </w:r>
            <w:r w:rsidR="00A32C87">
              <w:rPr>
                <w:rFonts w:ascii="Helvetica" w:hAnsi="Helvetica"/>
                <w:b/>
                <w:sz w:val="18"/>
              </w:rPr>
              <w:fldChar w:fldCharType="end"/>
            </w:r>
            <w:r>
              <w:rPr>
                <w:rFonts w:ascii="Helvetica" w:hAnsi="Helvetica"/>
                <w:b/>
                <w:sz w:val="18"/>
              </w:rPr>
              <w:tab/>
            </w:r>
            <w:r>
              <w:rPr>
                <w:rFonts w:ascii="Helvetica" w:hAnsi="Helvetica"/>
                <w:sz w:val="16"/>
              </w:rPr>
              <w:t>Research</w:t>
            </w:r>
          </w:p>
          <w:p w:rsidR="00E235F5" w:rsidRDefault="00E235F5">
            <w:pPr>
              <w:tabs>
                <w:tab w:val="left" w:pos="480"/>
                <w:tab w:val="left" w:pos="2520"/>
                <w:tab w:val="left" w:pos="2880"/>
              </w:tabs>
              <w:ind w:left="120"/>
              <w:rPr>
                <w:rFonts w:ascii="Helvetica" w:hAnsi="Helvetica"/>
                <w:sz w:val="16"/>
              </w:rPr>
            </w:pPr>
            <w:r>
              <w:rPr>
                <w:rFonts w:ascii="Helvetica" w:hAnsi="Helvetica"/>
                <w:sz w:val="16"/>
              </w:rPr>
              <w:t xml:space="preserve">c. </w:t>
            </w:r>
            <w:r w:rsidR="00A32C87">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A32C87">
              <w:rPr>
                <w:rFonts w:ascii="Helvetica" w:hAnsi="Helvetica"/>
                <w:b/>
                <w:sz w:val="18"/>
              </w:rPr>
            </w:r>
            <w:r w:rsidR="00A32C87">
              <w:rPr>
                <w:rFonts w:ascii="Helvetica" w:hAnsi="Helvetica"/>
                <w:b/>
                <w:sz w:val="18"/>
              </w:rPr>
              <w:fldChar w:fldCharType="separate"/>
            </w:r>
            <w:r>
              <w:rPr>
                <w:rFonts w:ascii="Helvetica" w:hAnsi="Helvetica"/>
                <w:b/>
                <w:noProof/>
                <w:sz w:val="18"/>
              </w:rPr>
              <w:t> </w:t>
            </w:r>
            <w:r w:rsidR="00A32C87">
              <w:rPr>
                <w:rFonts w:ascii="Helvetica" w:hAnsi="Helvetica"/>
                <w:b/>
                <w:sz w:val="18"/>
              </w:rPr>
              <w:fldChar w:fldCharType="end"/>
            </w:r>
            <w:r>
              <w:rPr>
                <w:rFonts w:ascii="Helvetica" w:hAnsi="Helvetica"/>
                <w:b/>
                <w:sz w:val="18"/>
              </w:rPr>
              <w:tab/>
            </w:r>
            <w:r>
              <w:rPr>
                <w:rFonts w:ascii="Helvetica" w:hAnsi="Helvetica"/>
                <w:sz w:val="16"/>
              </w:rPr>
              <w:t>General purpose statistics</w:t>
            </w:r>
            <w:r>
              <w:rPr>
                <w:rFonts w:ascii="Helvetica" w:hAnsi="Helvetica"/>
                <w:sz w:val="16"/>
              </w:rPr>
              <w:tab/>
              <w:t xml:space="preserve">g. </w:t>
            </w:r>
            <w:r>
              <w:rPr>
                <w:rFonts w:ascii="Helvetica" w:hAnsi="Helvetica"/>
                <w:b/>
                <w:sz w:val="18"/>
              </w:rPr>
              <w:t>P</w:t>
            </w:r>
            <w:r>
              <w:rPr>
                <w:rFonts w:ascii="Helvetica" w:hAnsi="Helvetica"/>
                <w:b/>
                <w:sz w:val="18"/>
              </w:rPr>
              <w:tab/>
            </w:r>
            <w:r>
              <w:rPr>
                <w:rFonts w:ascii="Helvetica" w:hAnsi="Helvetica"/>
                <w:sz w:val="16"/>
              </w:rPr>
              <w:t>Requlatory or compliance</w:t>
            </w:r>
          </w:p>
          <w:p w:rsidR="00E235F5" w:rsidRDefault="00E235F5">
            <w:pPr>
              <w:tabs>
                <w:tab w:val="left" w:pos="480"/>
                <w:tab w:val="left" w:pos="2880"/>
              </w:tabs>
              <w:spacing w:after="60"/>
              <w:ind w:left="120"/>
              <w:rPr>
                <w:rFonts w:ascii="Helvetica" w:hAnsi="Helvetica"/>
                <w:sz w:val="16"/>
              </w:rPr>
            </w:pPr>
            <w:r>
              <w:rPr>
                <w:rFonts w:ascii="Helvetica" w:hAnsi="Helvetica"/>
                <w:sz w:val="16"/>
              </w:rPr>
              <w:t xml:space="preserve">d. </w:t>
            </w:r>
            <w:r w:rsidR="00A32C87">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A32C87">
              <w:rPr>
                <w:rFonts w:ascii="Helvetica" w:hAnsi="Helvetica"/>
                <w:b/>
                <w:sz w:val="18"/>
              </w:rPr>
            </w:r>
            <w:r w:rsidR="00A32C87">
              <w:rPr>
                <w:rFonts w:ascii="Helvetica" w:hAnsi="Helvetica"/>
                <w:b/>
                <w:sz w:val="18"/>
              </w:rPr>
              <w:fldChar w:fldCharType="separate"/>
            </w:r>
            <w:r>
              <w:rPr>
                <w:rFonts w:ascii="Helvetica" w:hAnsi="Helvetica"/>
                <w:b/>
                <w:noProof/>
                <w:sz w:val="18"/>
              </w:rPr>
              <w:t> </w:t>
            </w:r>
            <w:r w:rsidR="00A32C87">
              <w:rPr>
                <w:rFonts w:ascii="Helvetica" w:hAnsi="Helvetica"/>
                <w:b/>
                <w:sz w:val="18"/>
              </w:rPr>
              <w:fldChar w:fldCharType="end"/>
            </w:r>
            <w:r>
              <w:rPr>
                <w:rFonts w:ascii="Helvetica" w:hAnsi="Helvetica"/>
                <w:b/>
                <w:sz w:val="18"/>
              </w:rPr>
              <w:tab/>
            </w:r>
            <w:r>
              <w:rPr>
                <w:rFonts w:ascii="Helvetica" w:hAnsi="Helvetica"/>
                <w:sz w:val="16"/>
              </w:rPr>
              <w:t>Audit</w:t>
            </w:r>
          </w:p>
        </w:tc>
        <w:tc>
          <w:tcPr>
            <w:tcW w:w="5388" w:type="dxa"/>
            <w:tcBorders>
              <w:top w:val="single" w:sz="6" w:space="0" w:color="auto"/>
              <w:left w:val="nil"/>
            </w:tcBorders>
          </w:tcPr>
          <w:p w:rsidR="00E235F5" w:rsidRDefault="00E235F5">
            <w:pPr>
              <w:tabs>
                <w:tab w:val="left" w:pos="240"/>
              </w:tabs>
              <w:ind w:left="-120"/>
              <w:rPr>
                <w:rFonts w:ascii="Helvetica" w:hAnsi="Helvetica"/>
                <w:sz w:val="14"/>
              </w:rPr>
            </w:pPr>
            <w:r>
              <w:rPr>
                <w:rFonts w:ascii="Helvetica" w:hAnsi="Helvetica"/>
                <w:sz w:val="16"/>
              </w:rPr>
              <w:t xml:space="preserve">16. </w:t>
            </w:r>
            <w:r>
              <w:rPr>
                <w:rFonts w:ascii="Helvetica" w:hAnsi="Helvetica"/>
                <w:sz w:val="14"/>
              </w:rPr>
              <w:t>Frequency of recordkeeping or reporting:  (check all that apply)</w:t>
            </w:r>
          </w:p>
          <w:p w:rsidR="00E235F5" w:rsidRDefault="00E235F5">
            <w:pPr>
              <w:tabs>
                <w:tab w:val="left" w:pos="240"/>
                <w:tab w:val="left" w:pos="1932"/>
              </w:tabs>
              <w:ind w:left="120"/>
              <w:rPr>
                <w:rFonts w:ascii="Helvetica" w:hAnsi="Helvetica"/>
                <w:sz w:val="16"/>
              </w:rPr>
            </w:pPr>
            <w:r>
              <w:rPr>
                <w:rFonts w:ascii="Helvetica" w:hAnsi="Helvetica"/>
                <w:sz w:val="16"/>
              </w:rPr>
              <w:t xml:space="preserve">a. </w:t>
            </w:r>
            <w:r w:rsidR="00A32C87">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A32C87">
              <w:rPr>
                <w:rFonts w:ascii="Helvetica" w:hAnsi="Helvetica"/>
                <w:b/>
                <w:sz w:val="18"/>
              </w:rPr>
            </w:r>
            <w:r w:rsidR="00A32C87">
              <w:rPr>
                <w:rFonts w:ascii="Helvetica" w:hAnsi="Helvetica"/>
                <w:b/>
                <w:sz w:val="18"/>
              </w:rPr>
              <w:fldChar w:fldCharType="end"/>
            </w:r>
            <w:r>
              <w:rPr>
                <w:rFonts w:ascii="Helvetica" w:hAnsi="Helvetica"/>
                <w:sz w:val="16"/>
              </w:rPr>
              <w:t xml:space="preserve"> Recordkeeping</w:t>
            </w:r>
            <w:r>
              <w:rPr>
                <w:rFonts w:ascii="Helvetica" w:hAnsi="Helvetica"/>
                <w:sz w:val="16"/>
              </w:rPr>
              <w:tab/>
              <w:t xml:space="preserve">b. </w:t>
            </w:r>
            <w:r w:rsidR="00A32C87">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A32C87">
              <w:rPr>
                <w:rFonts w:ascii="Helvetica" w:hAnsi="Helvetica"/>
                <w:b/>
                <w:sz w:val="18"/>
              </w:rPr>
            </w:r>
            <w:r w:rsidR="00A32C87">
              <w:rPr>
                <w:rFonts w:ascii="Helvetica" w:hAnsi="Helvetica"/>
                <w:b/>
                <w:sz w:val="18"/>
              </w:rPr>
              <w:fldChar w:fldCharType="end"/>
            </w:r>
            <w:r>
              <w:rPr>
                <w:rFonts w:ascii="Helvetica" w:hAnsi="Helvetica"/>
                <w:b/>
                <w:sz w:val="18"/>
              </w:rPr>
              <w:t xml:space="preserve"> </w:t>
            </w:r>
            <w:r>
              <w:rPr>
                <w:rFonts w:ascii="Helvetica" w:hAnsi="Helvetica"/>
                <w:sz w:val="16"/>
              </w:rPr>
              <w:t xml:space="preserve">Third party disclosure </w:t>
            </w:r>
          </w:p>
          <w:p w:rsidR="00E235F5" w:rsidRDefault="00E235F5">
            <w:pPr>
              <w:pBdr>
                <w:between w:val="single" w:sz="6" w:space="1" w:color="auto"/>
              </w:pBdr>
              <w:tabs>
                <w:tab w:val="left" w:pos="240"/>
                <w:tab w:val="left" w:pos="1932"/>
                <w:tab w:val="left" w:pos="2520"/>
              </w:tabs>
              <w:ind w:left="132"/>
              <w:rPr>
                <w:rFonts w:ascii="Helvetica" w:hAnsi="Helvetica"/>
                <w:sz w:val="16"/>
              </w:rPr>
            </w:pPr>
            <w:r>
              <w:rPr>
                <w:rFonts w:ascii="Helvetica" w:hAnsi="Helvetica"/>
                <w:sz w:val="16"/>
              </w:rPr>
              <w:t xml:space="preserve">b. </w:t>
            </w:r>
            <w:r>
              <w:rPr>
                <w:rFonts w:ascii="Helvetica" w:hAnsi="Helvetica"/>
                <w:b/>
                <w:sz w:val="18"/>
              </w:rPr>
              <w:t xml:space="preserve">x </w:t>
            </w:r>
            <w:r>
              <w:rPr>
                <w:rFonts w:ascii="Helvetica" w:hAnsi="Helvetica"/>
                <w:sz w:val="16"/>
              </w:rPr>
              <w:t>Reporting:</w:t>
            </w:r>
          </w:p>
          <w:p w:rsidR="00E235F5" w:rsidRDefault="00E235F5">
            <w:pPr>
              <w:tabs>
                <w:tab w:val="left" w:pos="240"/>
                <w:tab w:val="left" w:pos="2052"/>
                <w:tab w:val="left" w:pos="3732"/>
              </w:tabs>
              <w:ind w:left="492"/>
              <w:rPr>
                <w:rFonts w:ascii="Helvetica" w:hAnsi="Helvetica"/>
                <w:sz w:val="16"/>
              </w:rPr>
            </w:pPr>
            <w:r>
              <w:rPr>
                <w:rFonts w:ascii="Helvetica" w:hAnsi="Helvetica"/>
                <w:sz w:val="16"/>
              </w:rPr>
              <w:t xml:space="preserve">1. </w:t>
            </w:r>
            <w:r w:rsidR="00A32C87">
              <w:rPr>
                <w:rFonts w:ascii="Helvetica" w:hAnsi="Helvetica"/>
                <w:sz w:val="16"/>
              </w:rPr>
              <w:fldChar w:fldCharType="begin">
                <w:ffData>
                  <w:name w:val="Check22"/>
                  <w:enabled/>
                  <w:calcOnExit w:val="0"/>
                  <w:checkBox>
                    <w:sizeAuto/>
                    <w:default w:val="0"/>
                  </w:checkBox>
                </w:ffData>
              </w:fldChar>
            </w:r>
            <w:r>
              <w:rPr>
                <w:rFonts w:ascii="Helvetica" w:hAnsi="Helvetica"/>
                <w:sz w:val="16"/>
              </w:rPr>
              <w:instrText xml:space="preserve"> FORMCHECKBOX </w:instrText>
            </w:r>
            <w:r w:rsidR="00A32C87">
              <w:rPr>
                <w:rFonts w:ascii="Helvetica" w:hAnsi="Helvetica"/>
                <w:sz w:val="16"/>
              </w:rPr>
            </w:r>
            <w:r w:rsidR="00A32C87">
              <w:rPr>
                <w:rFonts w:ascii="Helvetica" w:hAnsi="Helvetica"/>
                <w:sz w:val="16"/>
              </w:rPr>
              <w:fldChar w:fldCharType="end"/>
            </w:r>
            <w:r>
              <w:rPr>
                <w:rFonts w:ascii="Helvetica" w:hAnsi="Helvetica"/>
                <w:sz w:val="16"/>
              </w:rPr>
              <w:t xml:space="preserve"> On occasion</w:t>
            </w:r>
            <w:r>
              <w:rPr>
                <w:rFonts w:ascii="Helvetica" w:hAnsi="Helvetica"/>
                <w:sz w:val="16"/>
              </w:rPr>
              <w:tab/>
              <w:t xml:space="preserve">2. </w:t>
            </w:r>
            <w:r w:rsidR="00A32C87">
              <w:rPr>
                <w:rFonts w:ascii="Helvetica" w:hAnsi="Helvetica"/>
                <w:sz w:val="16"/>
              </w:rPr>
              <w:fldChar w:fldCharType="begin">
                <w:ffData>
                  <w:name w:val="Check23"/>
                  <w:enabled/>
                  <w:calcOnExit w:val="0"/>
                  <w:checkBox>
                    <w:sizeAuto/>
                    <w:default w:val="0"/>
                  </w:checkBox>
                </w:ffData>
              </w:fldChar>
            </w:r>
            <w:bookmarkStart w:id="15" w:name="Check23"/>
            <w:r>
              <w:rPr>
                <w:rFonts w:ascii="Helvetica" w:hAnsi="Helvetica"/>
                <w:sz w:val="16"/>
              </w:rPr>
              <w:instrText xml:space="preserve"> FORMCHECKBOX </w:instrText>
            </w:r>
            <w:r w:rsidR="00A32C87">
              <w:rPr>
                <w:rFonts w:ascii="Helvetica" w:hAnsi="Helvetica"/>
                <w:sz w:val="16"/>
              </w:rPr>
            </w:r>
            <w:r w:rsidR="00A32C87">
              <w:rPr>
                <w:rFonts w:ascii="Helvetica" w:hAnsi="Helvetica"/>
                <w:sz w:val="16"/>
              </w:rPr>
              <w:fldChar w:fldCharType="end"/>
            </w:r>
            <w:bookmarkEnd w:id="15"/>
            <w:r>
              <w:rPr>
                <w:rFonts w:ascii="Helvetica" w:hAnsi="Helvetica"/>
                <w:sz w:val="16"/>
              </w:rPr>
              <w:t xml:space="preserve"> Weekly</w:t>
            </w:r>
            <w:r>
              <w:rPr>
                <w:rFonts w:ascii="Helvetica" w:hAnsi="Helvetica"/>
                <w:sz w:val="16"/>
              </w:rPr>
              <w:tab/>
              <w:t>3.</w:t>
            </w:r>
            <w:r w:rsidR="00206E73">
              <w:rPr>
                <w:rFonts w:ascii="Helvetica" w:hAnsi="Helvetica"/>
                <w:sz w:val="16"/>
              </w:rPr>
              <w:t xml:space="preserve">x </w:t>
            </w:r>
            <w:r>
              <w:rPr>
                <w:rFonts w:ascii="Helvetica" w:hAnsi="Helvetica"/>
                <w:sz w:val="16"/>
              </w:rPr>
              <w:t>Monthly</w:t>
            </w:r>
          </w:p>
          <w:p w:rsidR="00E235F5" w:rsidRDefault="00E235F5">
            <w:pPr>
              <w:tabs>
                <w:tab w:val="left" w:pos="240"/>
                <w:tab w:val="left" w:pos="2052"/>
                <w:tab w:val="left" w:pos="3732"/>
              </w:tabs>
              <w:ind w:left="492"/>
              <w:rPr>
                <w:rFonts w:ascii="Helvetica" w:hAnsi="Helvetica"/>
                <w:sz w:val="16"/>
              </w:rPr>
            </w:pPr>
            <w:r>
              <w:rPr>
                <w:rFonts w:ascii="Helvetica" w:hAnsi="Helvetica"/>
                <w:sz w:val="16"/>
              </w:rPr>
              <w:t xml:space="preserve">4. </w:t>
            </w:r>
            <w:r>
              <w:rPr>
                <w:rFonts w:ascii="Helvetica" w:hAnsi="Helvetica"/>
                <w:b/>
                <w:bCs/>
                <w:sz w:val="16"/>
              </w:rPr>
              <w:t>x</w:t>
            </w:r>
            <w:r>
              <w:rPr>
                <w:rFonts w:ascii="Helvetica" w:hAnsi="Helvetica"/>
                <w:sz w:val="16"/>
              </w:rPr>
              <w:t xml:space="preserve"> Quarterly</w:t>
            </w:r>
            <w:r>
              <w:rPr>
                <w:rFonts w:ascii="Helvetica" w:hAnsi="Helvetica"/>
                <w:sz w:val="16"/>
              </w:rPr>
              <w:tab/>
              <w:t xml:space="preserve">5. </w:t>
            </w:r>
            <w:r w:rsidR="00A32C87">
              <w:rPr>
                <w:rFonts w:ascii="Helvetica" w:hAnsi="Helvetica"/>
                <w:sz w:val="16"/>
              </w:rPr>
              <w:fldChar w:fldCharType="begin">
                <w:ffData>
                  <w:name w:val="Check23"/>
                  <w:enabled/>
                  <w:calcOnExit w:val="0"/>
                  <w:checkBox>
                    <w:sizeAuto/>
                    <w:default w:val="0"/>
                  </w:checkBox>
                </w:ffData>
              </w:fldChar>
            </w:r>
            <w:r>
              <w:rPr>
                <w:rFonts w:ascii="Helvetica" w:hAnsi="Helvetica"/>
                <w:sz w:val="16"/>
              </w:rPr>
              <w:instrText xml:space="preserve"> FORMCHECKBOX </w:instrText>
            </w:r>
            <w:r w:rsidR="00A32C87">
              <w:rPr>
                <w:rFonts w:ascii="Helvetica" w:hAnsi="Helvetica"/>
                <w:sz w:val="16"/>
              </w:rPr>
            </w:r>
            <w:r w:rsidR="00A32C87">
              <w:rPr>
                <w:rFonts w:ascii="Helvetica" w:hAnsi="Helvetica"/>
                <w:sz w:val="16"/>
              </w:rPr>
              <w:fldChar w:fldCharType="end"/>
            </w:r>
            <w:r>
              <w:rPr>
                <w:rFonts w:ascii="Helvetica" w:hAnsi="Helvetica"/>
                <w:sz w:val="16"/>
              </w:rPr>
              <w:t xml:space="preserve"> Semi-annually</w:t>
            </w:r>
            <w:r>
              <w:rPr>
                <w:rFonts w:ascii="Helvetica" w:hAnsi="Helvetica"/>
                <w:sz w:val="16"/>
              </w:rPr>
              <w:tab/>
              <w:t xml:space="preserve">6. </w:t>
            </w:r>
            <w:r w:rsidR="00A32C87">
              <w:rPr>
                <w:rFonts w:ascii="Helvetica" w:hAnsi="Helvetica"/>
                <w:sz w:val="16"/>
              </w:rPr>
              <w:fldChar w:fldCharType="begin">
                <w:ffData>
                  <w:name w:val="Check24"/>
                  <w:enabled/>
                  <w:calcOnExit w:val="0"/>
                  <w:checkBox>
                    <w:sizeAuto/>
                    <w:default w:val="0"/>
                  </w:checkBox>
                </w:ffData>
              </w:fldChar>
            </w:r>
            <w:r>
              <w:rPr>
                <w:rFonts w:ascii="Helvetica" w:hAnsi="Helvetica"/>
                <w:sz w:val="16"/>
              </w:rPr>
              <w:instrText xml:space="preserve"> FORMCHECKBOX </w:instrText>
            </w:r>
            <w:r w:rsidR="00A32C87">
              <w:rPr>
                <w:rFonts w:ascii="Helvetica" w:hAnsi="Helvetica"/>
                <w:sz w:val="16"/>
              </w:rPr>
            </w:r>
            <w:r w:rsidR="00A32C87">
              <w:rPr>
                <w:rFonts w:ascii="Helvetica" w:hAnsi="Helvetica"/>
                <w:sz w:val="16"/>
              </w:rPr>
              <w:fldChar w:fldCharType="end"/>
            </w:r>
            <w:r>
              <w:rPr>
                <w:rFonts w:ascii="Helvetica" w:hAnsi="Helvetica"/>
                <w:sz w:val="16"/>
              </w:rPr>
              <w:t xml:space="preserve"> Annually</w:t>
            </w:r>
          </w:p>
          <w:p w:rsidR="00E235F5" w:rsidRDefault="00E235F5">
            <w:pPr>
              <w:tabs>
                <w:tab w:val="left" w:pos="240"/>
                <w:tab w:val="left" w:pos="2052"/>
                <w:tab w:val="left" w:pos="3732"/>
              </w:tabs>
              <w:ind w:left="492"/>
              <w:rPr>
                <w:rFonts w:ascii="Helvetica" w:hAnsi="Helvetica"/>
                <w:sz w:val="16"/>
              </w:rPr>
            </w:pPr>
            <w:r>
              <w:rPr>
                <w:rFonts w:ascii="Helvetica" w:hAnsi="Helvetica"/>
                <w:sz w:val="16"/>
              </w:rPr>
              <w:t xml:space="preserve">7. </w:t>
            </w:r>
            <w:r w:rsidR="00A32C87">
              <w:rPr>
                <w:rFonts w:ascii="Helvetica" w:hAnsi="Helvetica"/>
                <w:sz w:val="16"/>
              </w:rPr>
              <w:fldChar w:fldCharType="begin">
                <w:ffData>
                  <w:name w:val="Check22"/>
                  <w:enabled/>
                  <w:calcOnExit w:val="0"/>
                  <w:checkBox>
                    <w:sizeAuto/>
                    <w:default w:val="0"/>
                  </w:checkBox>
                </w:ffData>
              </w:fldChar>
            </w:r>
            <w:r>
              <w:rPr>
                <w:rFonts w:ascii="Helvetica" w:hAnsi="Helvetica"/>
                <w:sz w:val="16"/>
              </w:rPr>
              <w:instrText xml:space="preserve"> FORMCHECKBOX </w:instrText>
            </w:r>
            <w:r w:rsidR="00A32C87">
              <w:rPr>
                <w:rFonts w:ascii="Helvetica" w:hAnsi="Helvetica"/>
                <w:sz w:val="16"/>
              </w:rPr>
            </w:r>
            <w:r w:rsidR="00A32C87">
              <w:rPr>
                <w:rFonts w:ascii="Helvetica" w:hAnsi="Helvetica"/>
                <w:sz w:val="16"/>
              </w:rPr>
              <w:fldChar w:fldCharType="end"/>
            </w:r>
            <w:r>
              <w:rPr>
                <w:rFonts w:ascii="Helvetica" w:hAnsi="Helvetica"/>
                <w:sz w:val="16"/>
              </w:rPr>
              <w:t xml:space="preserve"> Biennually</w:t>
            </w:r>
            <w:r>
              <w:rPr>
                <w:rFonts w:ascii="Helvetica" w:hAnsi="Helvetica"/>
                <w:sz w:val="16"/>
              </w:rPr>
              <w:tab/>
              <w:t xml:space="preserve">8. </w:t>
            </w:r>
            <w:r w:rsidR="00A32C87">
              <w:rPr>
                <w:rFonts w:ascii="Helvetica" w:hAnsi="Helvetica"/>
                <w:sz w:val="16"/>
              </w:rPr>
              <w:fldChar w:fldCharType="begin">
                <w:ffData>
                  <w:name w:val=""/>
                  <w:enabled/>
                  <w:calcOnExit w:val="0"/>
                  <w:checkBox>
                    <w:sizeAuto/>
                    <w:default w:val="1"/>
                  </w:checkBox>
                </w:ffData>
              </w:fldChar>
            </w:r>
            <w:r>
              <w:rPr>
                <w:rFonts w:ascii="Helvetica" w:hAnsi="Helvetica"/>
                <w:sz w:val="16"/>
              </w:rPr>
              <w:instrText xml:space="preserve"> FORMCHECKBOX </w:instrText>
            </w:r>
            <w:r w:rsidR="00A32C87">
              <w:rPr>
                <w:rFonts w:ascii="Helvetica" w:hAnsi="Helvetica"/>
                <w:sz w:val="16"/>
              </w:rPr>
            </w:r>
            <w:r w:rsidR="00A32C87">
              <w:rPr>
                <w:rFonts w:ascii="Helvetica" w:hAnsi="Helvetica"/>
                <w:sz w:val="16"/>
              </w:rPr>
              <w:fldChar w:fldCharType="end"/>
            </w:r>
            <w:r>
              <w:rPr>
                <w:rFonts w:ascii="Helvetica" w:hAnsi="Helvetica"/>
                <w:sz w:val="16"/>
              </w:rPr>
              <w:t xml:space="preserve"> Other </w:t>
            </w:r>
            <w:r>
              <w:rPr>
                <w:rFonts w:ascii="Helvetica" w:hAnsi="Helvetica"/>
                <w:sz w:val="14"/>
              </w:rPr>
              <w:t>(describe)</w:t>
            </w:r>
            <w:r>
              <w:rPr>
                <w:rFonts w:ascii="Helvetica" w:hAnsi="Helvetica"/>
                <w:sz w:val="16"/>
              </w:rPr>
              <w:t xml:space="preserve"> </w:t>
            </w:r>
            <w:r w:rsidR="00A32C87">
              <w:rPr>
                <w:rFonts w:ascii="Helvetica" w:hAnsi="Helvetica"/>
                <w:sz w:val="16"/>
              </w:rPr>
              <w:fldChar w:fldCharType="begin">
                <w:ffData>
                  <w:name w:val="Text18"/>
                  <w:enabled/>
                  <w:calcOnExit w:val="0"/>
                  <w:textInput>
                    <w:default w:val="When designated troubled."/>
                  </w:textInput>
                </w:ffData>
              </w:fldChar>
            </w:r>
            <w:bookmarkStart w:id="16" w:name="Text18"/>
            <w:r>
              <w:rPr>
                <w:rFonts w:ascii="Helvetica" w:hAnsi="Helvetica"/>
                <w:sz w:val="16"/>
              </w:rPr>
              <w:instrText xml:space="preserve"> FORMTEXT </w:instrText>
            </w:r>
            <w:r w:rsidR="00A32C87">
              <w:rPr>
                <w:rFonts w:ascii="Helvetica" w:hAnsi="Helvetica"/>
                <w:sz w:val="16"/>
              </w:rPr>
            </w:r>
            <w:r w:rsidR="00A32C87">
              <w:rPr>
                <w:rFonts w:ascii="Helvetica" w:hAnsi="Helvetica"/>
                <w:sz w:val="16"/>
              </w:rPr>
              <w:fldChar w:fldCharType="separate"/>
            </w:r>
            <w:r>
              <w:rPr>
                <w:rFonts w:ascii="Helvetica" w:hAnsi="Helvetica"/>
                <w:noProof/>
                <w:sz w:val="16"/>
              </w:rPr>
              <w:t>When designated troubled.</w:t>
            </w:r>
            <w:r w:rsidR="00A32C87">
              <w:rPr>
                <w:rFonts w:ascii="Helvetica" w:hAnsi="Helvetica"/>
                <w:sz w:val="16"/>
              </w:rPr>
              <w:fldChar w:fldCharType="end"/>
            </w:r>
            <w:bookmarkEnd w:id="16"/>
          </w:p>
          <w:p w:rsidR="00E235F5" w:rsidRDefault="00E235F5">
            <w:pPr>
              <w:tabs>
                <w:tab w:val="left" w:pos="240"/>
              </w:tabs>
              <w:rPr>
                <w:rFonts w:ascii="Helvetica" w:hAnsi="Helvetica"/>
                <w:sz w:val="16"/>
              </w:rPr>
            </w:pPr>
          </w:p>
        </w:tc>
      </w:tr>
      <w:tr w:rsidR="00E235F5">
        <w:tc>
          <w:tcPr>
            <w:tcW w:w="4908" w:type="dxa"/>
            <w:tcBorders>
              <w:top w:val="single" w:sz="6" w:space="0" w:color="auto"/>
              <w:bottom w:val="single" w:sz="6" w:space="0" w:color="auto"/>
            </w:tcBorders>
          </w:tcPr>
          <w:p w:rsidR="00E235F5" w:rsidRDefault="00E235F5">
            <w:pPr>
              <w:tabs>
                <w:tab w:val="left" w:pos="240"/>
              </w:tabs>
              <w:ind w:left="-120"/>
              <w:rPr>
                <w:rFonts w:ascii="Helvetica" w:hAnsi="Helvetica"/>
                <w:sz w:val="14"/>
              </w:rPr>
            </w:pPr>
            <w:r>
              <w:rPr>
                <w:rFonts w:ascii="Helvetica" w:hAnsi="Helvetica"/>
                <w:sz w:val="16"/>
              </w:rPr>
              <w:t xml:space="preserve">17. </w:t>
            </w:r>
            <w:r>
              <w:rPr>
                <w:rFonts w:ascii="Helvetica" w:hAnsi="Helvetica"/>
                <w:sz w:val="14"/>
              </w:rPr>
              <w:t xml:space="preserve">Statistical methods: </w:t>
            </w:r>
          </w:p>
          <w:p w:rsidR="00E235F5" w:rsidRDefault="00E235F5">
            <w:pPr>
              <w:ind w:left="240"/>
              <w:rPr>
                <w:rFonts w:ascii="Helvetica" w:hAnsi="Helvetica"/>
                <w:sz w:val="16"/>
              </w:rPr>
            </w:pPr>
            <w:r>
              <w:rPr>
                <w:rFonts w:ascii="Helvetica" w:hAnsi="Helvetica"/>
                <w:sz w:val="16"/>
              </w:rPr>
              <w:t>Does this information collection employ statistical methods?</w:t>
            </w:r>
          </w:p>
          <w:p w:rsidR="00E235F5" w:rsidRDefault="00A32C87">
            <w:pPr>
              <w:tabs>
                <w:tab w:val="left" w:pos="240"/>
              </w:tabs>
              <w:ind w:left="240"/>
              <w:rPr>
                <w:rFonts w:ascii="Helvetica" w:hAnsi="Helvetica"/>
                <w:sz w:val="18"/>
              </w:rPr>
            </w:pPr>
            <w:r>
              <w:rPr>
                <w:rFonts w:ascii="Helvetica" w:hAnsi="Helvetica"/>
                <w:b/>
                <w:sz w:val="18"/>
              </w:rPr>
              <w:fldChar w:fldCharType="begin">
                <w:ffData>
                  <w:name w:val="Check25"/>
                  <w:enabled/>
                  <w:calcOnExit w:val="0"/>
                  <w:checkBox>
                    <w:sizeAuto/>
                    <w:default w:val="0"/>
                  </w:checkBox>
                </w:ffData>
              </w:fldChar>
            </w:r>
            <w:r w:rsidR="00E235F5">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E235F5">
              <w:rPr>
                <w:rFonts w:ascii="Helvetica" w:hAnsi="Helvetica"/>
                <w:sz w:val="18"/>
              </w:rPr>
              <w:t xml:space="preserve"> Yes    </w:t>
            </w:r>
            <w:r w:rsidR="00E235F5">
              <w:rPr>
                <w:rFonts w:ascii="Helvetica" w:hAnsi="Helvetica"/>
                <w:b/>
                <w:sz w:val="18"/>
              </w:rPr>
              <w:t>X</w:t>
            </w:r>
            <w:r w:rsidR="00E235F5">
              <w:rPr>
                <w:rFonts w:ascii="Helvetica" w:hAnsi="Helvetica"/>
                <w:sz w:val="18"/>
              </w:rPr>
              <w:t xml:space="preserve"> No</w:t>
            </w:r>
          </w:p>
          <w:p w:rsidR="00E235F5" w:rsidRDefault="00E235F5">
            <w:pPr>
              <w:tabs>
                <w:tab w:val="left" w:pos="240"/>
              </w:tabs>
              <w:rPr>
                <w:rFonts w:ascii="Helvetica" w:hAnsi="Helvetica"/>
                <w:sz w:val="16"/>
              </w:rPr>
            </w:pPr>
          </w:p>
        </w:tc>
        <w:tc>
          <w:tcPr>
            <w:tcW w:w="6108" w:type="dxa"/>
            <w:gridSpan w:val="2"/>
            <w:tcBorders>
              <w:top w:val="single" w:sz="6" w:space="0" w:color="auto"/>
              <w:left w:val="single" w:sz="6" w:space="0" w:color="auto"/>
              <w:bottom w:val="single" w:sz="6" w:space="0" w:color="auto"/>
            </w:tcBorders>
          </w:tcPr>
          <w:p w:rsidR="00E235F5" w:rsidRDefault="00E235F5">
            <w:pPr>
              <w:tabs>
                <w:tab w:val="left" w:pos="132"/>
              </w:tabs>
              <w:ind w:left="132" w:right="-120" w:hanging="240"/>
              <w:rPr>
                <w:rFonts w:ascii="Helvetica" w:hAnsi="Helvetica"/>
                <w:sz w:val="16"/>
              </w:rPr>
            </w:pPr>
            <w:r>
              <w:rPr>
                <w:rFonts w:ascii="Helvetica" w:hAnsi="Helvetica"/>
                <w:sz w:val="16"/>
              </w:rPr>
              <w:t xml:space="preserve">18. </w:t>
            </w:r>
            <w:r>
              <w:rPr>
                <w:rFonts w:ascii="Helvetica" w:hAnsi="Helvetica"/>
                <w:sz w:val="14"/>
              </w:rPr>
              <w:t>Agency contact: (person who can best answer questions regarding the content of this submission)</w:t>
            </w:r>
            <w:r>
              <w:rPr>
                <w:rFonts w:ascii="Helvetica" w:hAnsi="Helvetica"/>
                <w:sz w:val="16"/>
              </w:rPr>
              <w:t xml:space="preserve"> </w:t>
            </w:r>
          </w:p>
          <w:p w:rsidR="00E235F5" w:rsidRDefault="00E235F5">
            <w:pPr>
              <w:tabs>
                <w:tab w:val="left" w:pos="240"/>
              </w:tabs>
              <w:ind w:left="132"/>
              <w:rPr>
                <w:rFonts w:ascii="Helvetica" w:hAnsi="Helvetica"/>
                <w:sz w:val="16"/>
              </w:rPr>
            </w:pPr>
            <w:r>
              <w:rPr>
                <w:rFonts w:ascii="Helvetica" w:hAnsi="Helvetica"/>
                <w:sz w:val="16"/>
              </w:rPr>
              <w:t xml:space="preserve">Name: </w:t>
            </w:r>
            <w:r w:rsidR="00206E73">
              <w:rPr>
                <w:rFonts w:ascii="Helvetica" w:hAnsi="Helvetica"/>
                <w:sz w:val="16"/>
              </w:rPr>
              <w:t>Patricia A. Knight, Director</w:t>
            </w:r>
            <w:r>
              <w:rPr>
                <w:rFonts w:ascii="Helvetica" w:hAnsi="Helvetica"/>
                <w:sz w:val="16"/>
              </w:rPr>
              <w:t>, Recovery and Prevention Corps.</w:t>
            </w:r>
          </w:p>
          <w:p w:rsidR="00E235F5" w:rsidRDefault="00E235F5">
            <w:pPr>
              <w:tabs>
                <w:tab w:val="left" w:pos="240"/>
              </w:tabs>
              <w:ind w:left="132"/>
              <w:rPr>
                <w:rFonts w:ascii="Helvetica" w:hAnsi="Helvetica"/>
                <w:sz w:val="16"/>
              </w:rPr>
            </w:pPr>
            <w:r>
              <w:rPr>
                <w:rFonts w:ascii="Helvetica" w:hAnsi="Helvetica"/>
                <w:sz w:val="16"/>
              </w:rPr>
              <w:t xml:space="preserve">Phone: </w:t>
            </w:r>
            <w:r>
              <w:rPr>
                <w:rFonts w:ascii="Helvetica" w:hAnsi="Helvetica"/>
                <w:sz w:val="18"/>
              </w:rPr>
              <w:t>(2</w:t>
            </w:r>
            <w:r w:rsidR="00206E73">
              <w:rPr>
                <w:rFonts w:ascii="Helvetica" w:hAnsi="Helvetica"/>
                <w:sz w:val="18"/>
              </w:rPr>
              <w:t>16</w:t>
            </w:r>
            <w:r>
              <w:rPr>
                <w:rFonts w:ascii="Helvetica" w:hAnsi="Helvetica"/>
                <w:sz w:val="18"/>
              </w:rPr>
              <w:t>)</w:t>
            </w:r>
            <w:r w:rsidR="00206E73">
              <w:rPr>
                <w:rFonts w:ascii="Helvetica" w:hAnsi="Helvetica"/>
                <w:sz w:val="18"/>
              </w:rPr>
              <w:t xml:space="preserve"> </w:t>
            </w:r>
            <w:r w:rsidR="00201DDF">
              <w:rPr>
                <w:rFonts w:ascii="Helvetica" w:hAnsi="Helvetica"/>
                <w:sz w:val="18"/>
              </w:rPr>
              <w:t>357-7780</w:t>
            </w:r>
          </w:p>
          <w:p w:rsidR="00E235F5" w:rsidRDefault="00E235F5">
            <w:pPr>
              <w:tabs>
                <w:tab w:val="left" w:pos="240"/>
              </w:tabs>
              <w:rPr>
                <w:rFonts w:ascii="Helvetica" w:hAnsi="Helvetica"/>
                <w:sz w:val="16"/>
              </w:rPr>
            </w:pPr>
          </w:p>
        </w:tc>
      </w:tr>
    </w:tbl>
    <w:p w:rsidR="00E235F5" w:rsidRDefault="00E235F5">
      <w:pPr>
        <w:tabs>
          <w:tab w:val="left" w:pos="240"/>
        </w:tabs>
        <w:rPr>
          <w:rFonts w:ascii="Helvetica" w:hAnsi="Helvetica"/>
          <w:sz w:val="16"/>
        </w:rPr>
      </w:pPr>
    </w:p>
    <w:p w:rsidR="00E235F5" w:rsidRDefault="00E235F5">
      <w:pPr>
        <w:pBdr>
          <w:top w:val="single" w:sz="6" w:space="1" w:color="auto"/>
        </w:pBdr>
        <w:tabs>
          <w:tab w:val="left" w:pos="240"/>
        </w:tabs>
        <w:jc w:val="center"/>
        <w:rPr>
          <w:rFonts w:ascii="Helvetica" w:hAnsi="Helvetica"/>
          <w:b/>
          <w:sz w:val="28"/>
        </w:rPr>
      </w:pPr>
      <w:r>
        <w:rPr>
          <w:rFonts w:ascii="Helvetica" w:hAnsi="Helvetica"/>
          <w:sz w:val="16"/>
        </w:rPr>
        <w:br w:type="page"/>
      </w:r>
      <w:r>
        <w:rPr>
          <w:rFonts w:ascii="Helvetica" w:hAnsi="Helvetica"/>
          <w:b/>
          <w:sz w:val="28"/>
        </w:rPr>
        <w:lastRenderedPageBreak/>
        <w:t>19.</w:t>
      </w:r>
      <w:r>
        <w:rPr>
          <w:rFonts w:ascii="Helvetica" w:hAnsi="Helvetica"/>
          <w:sz w:val="16"/>
        </w:rPr>
        <w:t xml:space="preserve"> </w:t>
      </w:r>
      <w:r>
        <w:rPr>
          <w:rFonts w:ascii="Helvetica" w:hAnsi="Helvetica"/>
          <w:b/>
          <w:sz w:val="28"/>
        </w:rPr>
        <w:t>Certification for Paperwork Reduction Act Submissions</w:t>
      </w:r>
    </w:p>
    <w:p w:rsidR="00E235F5" w:rsidRDefault="00E235F5">
      <w:pPr>
        <w:tabs>
          <w:tab w:val="left" w:pos="240"/>
        </w:tabs>
        <w:spacing w:line="280" w:lineRule="exact"/>
        <w:rPr>
          <w:sz w:val="22"/>
        </w:rPr>
      </w:pPr>
      <w:r>
        <w:rPr>
          <w:sz w:val="22"/>
        </w:rPr>
        <w:t>On behalf of this Federal Agency, I certify that the collection of information encompassed by this request complies with 5 CFR 1320.9.</w:t>
      </w:r>
    </w:p>
    <w:p w:rsidR="00E235F5" w:rsidRDefault="00E235F5">
      <w:pPr>
        <w:tabs>
          <w:tab w:val="left" w:pos="240"/>
        </w:tabs>
        <w:spacing w:line="280" w:lineRule="exact"/>
        <w:rPr>
          <w:sz w:val="22"/>
        </w:rPr>
      </w:pPr>
      <w:r>
        <w:rPr>
          <w:b/>
          <w:sz w:val="22"/>
        </w:rPr>
        <w:t>Note:</w:t>
      </w:r>
      <w:r>
        <w:rPr>
          <w:sz w:val="22"/>
        </w:rPr>
        <w:t xml:space="preserve"> The text of 5 CFR 1320.9, and the related provisions of 5 CFR 1320/8(b)(3). Appear at the end of the instructions.  The certification is to be made with reference to those regulatory provisions as set forth in the instructions.</w:t>
      </w:r>
    </w:p>
    <w:p w:rsidR="00E235F5" w:rsidRDefault="00E235F5">
      <w:pPr>
        <w:tabs>
          <w:tab w:val="left" w:pos="240"/>
        </w:tabs>
        <w:spacing w:line="280" w:lineRule="exact"/>
        <w:rPr>
          <w:sz w:val="22"/>
        </w:rPr>
      </w:pPr>
    </w:p>
    <w:p w:rsidR="00E235F5" w:rsidRDefault="00E235F5">
      <w:pPr>
        <w:tabs>
          <w:tab w:val="left" w:pos="240"/>
        </w:tabs>
        <w:spacing w:line="280" w:lineRule="exact"/>
        <w:rPr>
          <w:sz w:val="22"/>
        </w:rPr>
      </w:pPr>
      <w:r>
        <w:rPr>
          <w:sz w:val="22"/>
        </w:rPr>
        <w:t>The following is a summary of the topics, regarding the proposed collections of information, that the certification covers:</w:t>
      </w:r>
    </w:p>
    <w:p w:rsidR="00E235F5" w:rsidRDefault="00E235F5">
      <w:pPr>
        <w:numPr>
          <w:ilvl w:val="0"/>
          <w:numId w:val="3"/>
        </w:numPr>
        <w:tabs>
          <w:tab w:val="left" w:pos="720"/>
        </w:tabs>
        <w:spacing w:line="280" w:lineRule="exact"/>
        <w:rPr>
          <w:sz w:val="22"/>
        </w:rPr>
      </w:pPr>
      <w:r>
        <w:rPr>
          <w:sz w:val="22"/>
        </w:rPr>
        <w:t>It is necessary for the proper performance of agency functions;</w:t>
      </w:r>
    </w:p>
    <w:p w:rsidR="00E235F5" w:rsidRDefault="00E235F5">
      <w:pPr>
        <w:numPr>
          <w:ilvl w:val="0"/>
          <w:numId w:val="3"/>
        </w:numPr>
        <w:tabs>
          <w:tab w:val="left" w:pos="720"/>
        </w:tabs>
        <w:spacing w:line="280" w:lineRule="exact"/>
        <w:rPr>
          <w:sz w:val="22"/>
        </w:rPr>
      </w:pPr>
      <w:r>
        <w:rPr>
          <w:sz w:val="22"/>
        </w:rPr>
        <w:t>It avoids unnecessary duplication;</w:t>
      </w:r>
    </w:p>
    <w:p w:rsidR="00E235F5" w:rsidRDefault="00E235F5">
      <w:pPr>
        <w:numPr>
          <w:ilvl w:val="0"/>
          <w:numId w:val="3"/>
        </w:numPr>
        <w:tabs>
          <w:tab w:val="left" w:pos="720"/>
        </w:tabs>
        <w:spacing w:line="280" w:lineRule="exact"/>
        <w:rPr>
          <w:sz w:val="22"/>
        </w:rPr>
      </w:pPr>
      <w:r>
        <w:rPr>
          <w:sz w:val="22"/>
        </w:rPr>
        <w:t>It reduces burden on small entities;</w:t>
      </w:r>
    </w:p>
    <w:p w:rsidR="00E235F5" w:rsidRDefault="00E235F5">
      <w:pPr>
        <w:numPr>
          <w:ilvl w:val="0"/>
          <w:numId w:val="3"/>
        </w:numPr>
        <w:tabs>
          <w:tab w:val="left" w:pos="720"/>
        </w:tabs>
        <w:spacing w:line="280" w:lineRule="exact"/>
        <w:rPr>
          <w:sz w:val="22"/>
        </w:rPr>
      </w:pPr>
      <w:r>
        <w:rPr>
          <w:sz w:val="22"/>
        </w:rPr>
        <w:t>It uses plain, coherent, and unambiguous terminology that is understandable to respondents;</w:t>
      </w:r>
    </w:p>
    <w:p w:rsidR="00E235F5" w:rsidRDefault="00E235F5">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rsidR="00E235F5" w:rsidRDefault="00E235F5">
      <w:pPr>
        <w:numPr>
          <w:ilvl w:val="0"/>
          <w:numId w:val="3"/>
        </w:numPr>
        <w:tabs>
          <w:tab w:val="left" w:pos="720"/>
        </w:tabs>
        <w:spacing w:line="280" w:lineRule="exact"/>
        <w:rPr>
          <w:sz w:val="22"/>
        </w:rPr>
      </w:pPr>
      <w:r>
        <w:rPr>
          <w:sz w:val="22"/>
        </w:rPr>
        <w:t>It indicates the retention periods for recordkeeping requirements;</w:t>
      </w:r>
    </w:p>
    <w:p w:rsidR="00E235F5" w:rsidRDefault="00E235F5">
      <w:pPr>
        <w:numPr>
          <w:ilvl w:val="0"/>
          <w:numId w:val="3"/>
        </w:numPr>
        <w:tabs>
          <w:tab w:val="left" w:pos="720"/>
        </w:tabs>
        <w:spacing w:line="280" w:lineRule="exact"/>
        <w:rPr>
          <w:sz w:val="22"/>
        </w:rPr>
      </w:pPr>
      <w:r>
        <w:rPr>
          <w:sz w:val="22"/>
        </w:rPr>
        <w:t>It informs respondents of the information called for under 5 CFR 1320.8(b)(3):</w:t>
      </w:r>
    </w:p>
    <w:p w:rsidR="00E235F5" w:rsidRDefault="00E235F5">
      <w:pPr>
        <w:numPr>
          <w:ilvl w:val="0"/>
          <w:numId w:val="4"/>
        </w:numPr>
        <w:tabs>
          <w:tab w:val="left" w:pos="720"/>
        </w:tabs>
        <w:spacing w:line="280" w:lineRule="exact"/>
        <w:rPr>
          <w:sz w:val="22"/>
        </w:rPr>
      </w:pPr>
      <w:r>
        <w:rPr>
          <w:sz w:val="22"/>
        </w:rPr>
        <w:t>Why the information is being collected;</w:t>
      </w:r>
    </w:p>
    <w:p w:rsidR="00E235F5" w:rsidRDefault="00E235F5">
      <w:pPr>
        <w:numPr>
          <w:ilvl w:val="0"/>
          <w:numId w:val="4"/>
        </w:numPr>
        <w:tabs>
          <w:tab w:val="left" w:pos="720"/>
        </w:tabs>
        <w:spacing w:line="280" w:lineRule="exact"/>
        <w:rPr>
          <w:sz w:val="22"/>
        </w:rPr>
      </w:pPr>
      <w:r>
        <w:rPr>
          <w:sz w:val="22"/>
        </w:rPr>
        <w:t>Use of the information;</w:t>
      </w:r>
    </w:p>
    <w:p w:rsidR="00E235F5" w:rsidRDefault="00E235F5">
      <w:pPr>
        <w:numPr>
          <w:ilvl w:val="0"/>
          <w:numId w:val="4"/>
        </w:numPr>
        <w:tabs>
          <w:tab w:val="left" w:pos="720"/>
        </w:tabs>
        <w:spacing w:line="280" w:lineRule="exact"/>
        <w:rPr>
          <w:sz w:val="22"/>
        </w:rPr>
      </w:pPr>
      <w:r>
        <w:rPr>
          <w:sz w:val="22"/>
        </w:rPr>
        <w:t>burden estimate;</w:t>
      </w:r>
    </w:p>
    <w:p w:rsidR="00E235F5" w:rsidRDefault="00E235F5">
      <w:pPr>
        <w:numPr>
          <w:ilvl w:val="0"/>
          <w:numId w:val="4"/>
        </w:numPr>
        <w:tabs>
          <w:tab w:val="left" w:pos="720"/>
        </w:tabs>
        <w:spacing w:line="280" w:lineRule="exact"/>
        <w:rPr>
          <w:sz w:val="22"/>
        </w:rPr>
      </w:pPr>
      <w:r>
        <w:rPr>
          <w:sz w:val="22"/>
        </w:rPr>
        <w:t>Nature of response (voluntary, required for a benefit, or mandatory);</w:t>
      </w:r>
    </w:p>
    <w:p w:rsidR="00E235F5" w:rsidRDefault="00E235F5">
      <w:pPr>
        <w:numPr>
          <w:ilvl w:val="0"/>
          <w:numId w:val="4"/>
        </w:numPr>
        <w:tabs>
          <w:tab w:val="left" w:pos="720"/>
        </w:tabs>
        <w:spacing w:line="280" w:lineRule="exact"/>
        <w:rPr>
          <w:sz w:val="22"/>
        </w:rPr>
      </w:pPr>
      <w:r>
        <w:rPr>
          <w:sz w:val="22"/>
        </w:rPr>
        <w:t>Nature and extent of confidentiality; and</w:t>
      </w:r>
    </w:p>
    <w:p w:rsidR="00E235F5" w:rsidRDefault="00E235F5">
      <w:pPr>
        <w:numPr>
          <w:ilvl w:val="0"/>
          <w:numId w:val="4"/>
        </w:numPr>
        <w:tabs>
          <w:tab w:val="left" w:pos="720"/>
        </w:tabs>
        <w:spacing w:line="280" w:lineRule="exact"/>
        <w:rPr>
          <w:sz w:val="22"/>
        </w:rPr>
      </w:pPr>
      <w:r>
        <w:rPr>
          <w:sz w:val="22"/>
        </w:rPr>
        <w:t>Need to display currently valid OMB control number;</w:t>
      </w:r>
    </w:p>
    <w:p w:rsidR="00E235F5" w:rsidRDefault="00E235F5">
      <w:pPr>
        <w:numPr>
          <w:ilvl w:val="0"/>
          <w:numId w:val="5"/>
        </w:numPr>
        <w:tabs>
          <w:tab w:val="left" w:pos="720"/>
        </w:tabs>
        <w:spacing w:line="280" w:lineRule="exact"/>
        <w:rPr>
          <w:sz w:val="22"/>
        </w:rPr>
      </w:pPr>
      <w:r>
        <w:rPr>
          <w:sz w:val="22"/>
        </w:rPr>
        <w:t>It was developed by an  office that has planned and allocated resources for the efficient and effective management and use of the information to collected (see note in item 19 of the instructions);</w:t>
      </w:r>
    </w:p>
    <w:p w:rsidR="00E235F5" w:rsidRDefault="00E235F5">
      <w:pPr>
        <w:numPr>
          <w:ilvl w:val="0"/>
          <w:numId w:val="6"/>
        </w:numPr>
        <w:tabs>
          <w:tab w:val="left" w:pos="720"/>
        </w:tabs>
        <w:spacing w:line="280" w:lineRule="exact"/>
        <w:rPr>
          <w:sz w:val="22"/>
        </w:rPr>
      </w:pPr>
      <w:r>
        <w:rPr>
          <w:sz w:val="22"/>
        </w:rPr>
        <w:t>It uses effective and efficient statistical survey methodology; and</w:t>
      </w:r>
    </w:p>
    <w:p w:rsidR="00E235F5" w:rsidRDefault="00E235F5">
      <w:pPr>
        <w:numPr>
          <w:ilvl w:val="0"/>
          <w:numId w:val="6"/>
        </w:numPr>
        <w:tabs>
          <w:tab w:val="left" w:pos="720"/>
        </w:tabs>
        <w:spacing w:line="280" w:lineRule="exact"/>
        <w:rPr>
          <w:sz w:val="22"/>
        </w:rPr>
      </w:pPr>
      <w:r>
        <w:rPr>
          <w:sz w:val="22"/>
        </w:rPr>
        <w:t>It makes appropriate use of information technology.</w:t>
      </w:r>
    </w:p>
    <w:p w:rsidR="00E235F5" w:rsidRDefault="00E235F5">
      <w:pPr>
        <w:tabs>
          <w:tab w:val="left" w:pos="600"/>
        </w:tabs>
        <w:spacing w:line="280" w:lineRule="exact"/>
        <w:rPr>
          <w:sz w:val="22"/>
        </w:rPr>
      </w:pPr>
    </w:p>
    <w:p w:rsidR="00E235F5" w:rsidRDefault="00E235F5">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p w:rsidR="00E235F5" w:rsidRDefault="00A32C87">
      <w:pPr>
        <w:tabs>
          <w:tab w:val="left" w:pos="240"/>
        </w:tabs>
        <w:ind w:left="240"/>
      </w:pPr>
      <w:r>
        <w:fldChar w:fldCharType="begin">
          <w:ffData>
            <w:name w:val="Text20"/>
            <w:enabled/>
            <w:calcOnExit w:val="0"/>
            <w:textInput/>
          </w:ffData>
        </w:fldChar>
      </w:r>
      <w:bookmarkStart w:id="17" w:name="Text20"/>
      <w:r w:rsidR="00E235F5">
        <w:instrText xml:space="preserve"> FORMTEXT </w:instrText>
      </w:r>
      <w:r>
        <w:fldChar w:fldCharType="separate"/>
      </w:r>
      <w:r w:rsidR="00E235F5">
        <w:rPr>
          <w:noProof/>
        </w:rPr>
        <w:t> </w:t>
      </w:r>
      <w:r w:rsidR="00E235F5">
        <w:rPr>
          <w:noProof/>
        </w:rPr>
        <w:t> </w:t>
      </w:r>
      <w:r w:rsidR="00E235F5">
        <w:rPr>
          <w:noProof/>
        </w:rPr>
        <w:t> </w:t>
      </w:r>
      <w:r w:rsidR="00E235F5">
        <w:rPr>
          <w:noProof/>
        </w:rPr>
        <w:t> </w:t>
      </w:r>
      <w:r w:rsidR="00E235F5">
        <w:rPr>
          <w:noProof/>
        </w:rPr>
        <w:t> </w:t>
      </w:r>
      <w:r>
        <w:fldChar w:fldCharType="end"/>
      </w:r>
      <w:bookmarkEnd w:id="17"/>
    </w:p>
    <w:p w:rsidR="00E235F5" w:rsidRDefault="00E235F5">
      <w:pPr>
        <w:tabs>
          <w:tab w:val="left" w:pos="240"/>
        </w:tabs>
      </w:pPr>
    </w:p>
    <w:tbl>
      <w:tblPr>
        <w:tblW w:w="0" w:type="auto"/>
        <w:tblLayout w:type="fixed"/>
        <w:tblLook w:val="0000"/>
      </w:tblPr>
      <w:tblGrid>
        <w:gridCol w:w="8388"/>
        <w:gridCol w:w="2628"/>
      </w:tblGrid>
      <w:tr w:rsidR="00E235F5">
        <w:tc>
          <w:tcPr>
            <w:tcW w:w="8388" w:type="dxa"/>
            <w:tcBorders>
              <w:top w:val="single" w:sz="6" w:space="0" w:color="auto"/>
            </w:tcBorders>
          </w:tcPr>
          <w:p w:rsidR="00E235F5" w:rsidRDefault="00E235F5">
            <w:pPr>
              <w:tabs>
                <w:tab w:val="left" w:pos="240"/>
              </w:tabs>
              <w:ind w:left="-120"/>
              <w:rPr>
                <w:rFonts w:ascii="Helvetica" w:hAnsi="Helvetica"/>
                <w:sz w:val="16"/>
              </w:rPr>
            </w:pPr>
            <w:r>
              <w:rPr>
                <w:rFonts w:ascii="Helvetica" w:hAnsi="Helvetica"/>
                <w:sz w:val="16"/>
              </w:rPr>
              <w:t>Signature of Program Official:</w:t>
            </w:r>
          </w:p>
          <w:p w:rsidR="00E235F5" w:rsidRDefault="00E235F5">
            <w:pPr>
              <w:tabs>
                <w:tab w:val="left" w:pos="240"/>
              </w:tabs>
              <w:rPr>
                <w:rFonts w:ascii="Helvetica" w:hAnsi="Helvetica"/>
                <w:sz w:val="16"/>
              </w:rPr>
            </w:pPr>
          </w:p>
          <w:p w:rsidR="00E235F5" w:rsidRDefault="00E235F5">
            <w:pPr>
              <w:tabs>
                <w:tab w:val="left" w:pos="240"/>
              </w:tabs>
              <w:rPr>
                <w:rFonts w:ascii="Helvetica" w:hAnsi="Helvetica"/>
                <w:sz w:val="16"/>
              </w:rPr>
            </w:pPr>
          </w:p>
          <w:p w:rsidR="00E235F5" w:rsidRDefault="00E235F5">
            <w:pPr>
              <w:tabs>
                <w:tab w:val="left" w:pos="240"/>
              </w:tabs>
              <w:rPr>
                <w:rFonts w:ascii="Helvetica" w:hAnsi="Helvetica"/>
                <w:sz w:val="16"/>
              </w:rPr>
            </w:pPr>
            <w:r>
              <w:rPr>
                <w:rFonts w:ascii="Helvetica" w:hAnsi="Helvetica"/>
                <w:sz w:val="16"/>
              </w:rPr>
              <w:t>X</w:t>
            </w:r>
          </w:p>
          <w:p w:rsidR="00E235F5" w:rsidRDefault="00514403">
            <w:pPr>
              <w:tabs>
                <w:tab w:val="left" w:pos="240"/>
              </w:tabs>
              <w:rPr>
                <w:rFonts w:ascii="Helvetica" w:hAnsi="Helvetica"/>
                <w:sz w:val="16"/>
              </w:rPr>
            </w:pPr>
            <w:r>
              <w:rPr>
                <w:rFonts w:ascii="Helvetica" w:hAnsi="Helvetica"/>
                <w:sz w:val="16"/>
              </w:rPr>
              <w:t>Donald J. LaV</w:t>
            </w:r>
            <w:r w:rsidR="00201DDF">
              <w:rPr>
                <w:rFonts w:ascii="Helvetica" w:hAnsi="Helvetica"/>
                <w:sz w:val="16"/>
              </w:rPr>
              <w:t>oy</w:t>
            </w:r>
            <w:r w:rsidR="00865FEA">
              <w:rPr>
                <w:rFonts w:ascii="Helvetica" w:hAnsi="Helvetica"/>
                <w:sz w:val="16"/>
              </w:rPr>
              <w:t xml:space="preserve">, Deputy Assistant Secretary, </w:t>
            </w:r>
            <w:r w:rsidR="00931D5D">
              <w:rPr>
                <w:rFonts w:ascii="Helvetica" w:hAnsi="Helvetica"/>
                <w:sz w:val="16"/>
              </w:rPr>
              <w:t xml:space="preserve">Office of Field </w:t>
            </w:r>
            <w:r w:rsidR="00931D5D">
              <w:rPr>
                <w:rFonts w:ascii="Helvetica" w:hAnsi="Helvetica"/>
                <w:sz w:val="16"/>
              </w:rPr>
              <w:lastRenderedPageBreak/>
              <w:t xml:space="preserve">Operations, </w:t>
            </w:r>
            <w:r w:rsidR="00865FEA">
              <w:rPr>
                <w:rFonts w:ascii="Helvetica" w:hAnsi="Helvetica"/>
                <w:sz w:val="16"/>
              </w:rPr>
              <w:t>Public and Indian Housing</w:t>
            </w:r>
          </w:p>
        </w:tc>
        <w:tc>
          <w:tcPr>
            <w:tcW w:w="2628" w:type="dxa"/>
            <w:tcBorders>
              <w:top w:val="single" w:sz="6" w:space="0" w:color="auto"/>
              <w:left w:val="single" w:sz="6" w:space="0" w:color="auto"/>
              <w:bottom w:val="single" w:sz="6" w:space="0" w:color="auto"/>
            </w:tcBorders>
          </w:tcPr>
          <w:p w:rsidR="00E235F5" w:rsidRDefault="00E235F5">
            <w:pPr>
              <w:tabs>
                <w:tab w:val="left" w:pos="240"/>
              </w:tabs>
              <w:rPr>
                <w:rFonts w:ascii="Helvetica" w:hAnsi="Helvetica"/>
                <w:sz w:val="16"/>
              </w:rPr>
            </w:pPr>
            <w:r>
              <w:rPr>
                <w:rFonts w:ascii="Helvetica" w:hAnsi="Helvetica"/>
                <w:sz w:val="16"/>
              </w:rPr>
              <w:lastRenderedPageBreak/>
              <w:t>Date:</w:t>
            </w:r>
          </w:p>
        </w:tc>
      </w:tr>
      <w:tr w:rsidR="00E235F5">
        <w:tc>
          <w:tcPr>
            <w:tcW w:w="8388" w:type="dxa"/>
            <w:tcBorders>
              <w:top w:val="single" w:sz="6" w:space="0" w:color="auto"/>
              <w:bottom w:val="single" w:sz="6" w:space="0" w:color="auto"/>
            </w:tcBorders>
          </w:tcPr>
          <w:p w:rsidR="00E235F5" w:rsidRDefault="00E235F5">
            <w:pPr>
              <w:tabs>
                <w:tab w:val="left" w:pos="240"/>
              </w:tabs>
              <w:ind w:left="-120"/>
              <w:rPr>
                <w:rFonts w:ascii="Helvetica" w:hAnsi="Helvetica"/>
                <w:sz w:val="16"/>
              </w:rPr>
            </w:pPr>
            <w:r>
              <w:rPr>
                <w:rFonts w:ascii="Helvetica" w:hAnsi="Helvetica"/>
                <w:sz w:val="16"/>
              </w:rPr>
              <w:lastRenderedPageBreak/>
              <w:t>Signature of Senior Officer or Designee:</w:t>
            </w:r>
          </w:p>
          <w:p w:rsidR="00E235F5" w:rsidRDefault="00E235F5">
            <w:pPr>
              <w:tabs>
                <w:tab w:val="left" w:pos="240"/>
              </w:tabs>
              <w:rPr>
                <w:rFonts w:ascii="Helvetica" w:hAnsi="Helvetica"/>
                <w:sz w:val="16"/>
              </w:rPr>
            </w:pPr>
          </w:p>
          <w:p w:rsidR="00E235F5" w:rsidRDefault="00E235F5">
            <w:pPr>
              <w:tabs>
                <w:tab w:val="left" w:pos="240"/>
              </w:tabs>
              <w:rPr>
                <w:rFonts w:ascii="Helvetica" w:hAnsi="Helvetica"/>
                <w:sz w:val="16"/>
              </w:rPr>
            </w:pPr>
          </w:p>
          <w:p w:rsidR="00E235F5" w:rsidRDefault="00E235F5">
            <w:pPr>
              <w:tabs>
                <w:tab w:val="left" w:pos="240"/>
              </w:tabs>
              <w:rPr>
                <w:rFonts w:ascii="Helvetica" w:hAnsi="Helvetica"/>
                <w:sz w:val="16"/>
              </w:rPr>
            </w:pPr>
            <w:r>
              <w:rPr>
                <w:rFonts w:ascii="Helvetica" w:hAnsi="Helvetica"/>
                <w:sz w:val="16"/>
              </w:rPr>
              <w:t>X</w:t>
            </w:r>
          </w:p>
          <w:p w:rsidR="007B4823" w:rsidRDefault="007B4823">
            <w:pPr>
              <w:tabs>
                <w:tab w:val="left" w:pos="240"/>
              </w:tabs>
              <w:rPr>
                <w:rFonts w:ascii="Helvetica" w:hAnsi="Helvetica"/>
                <w:sz w:val="16"/>
              </w:rPr>
            </w:pPr>
            <w:r>
              <w:rPr>
                <w:rFonts w:ascii="Helvetica" w:hAnsi="Helvetica"/>
                <w:sz w:val="16"/>
              </w:rPr>
              <w:t xml:space="preserve">Colette Pollard, </w:t>
            </w:r>
            <w:r w:rsidR="00E235F5">
              <w:rPr>
                <w:rFonts w:ascii="Helvetica" w:hAnsi="Helvetica"/>
                <w:sz w:val="16"/>
              </w:rPr>
              <w:t>Departmental Reports Management Officer</w:t>
            </w:r>
          </w:p>
          <w:p w:rsidR="00E235F5" w:rsidRDefault="00E235F5">
            <w:pPr>
              <w:tabs>
                <w:tab w:val="left" w:pos="240"/>
              </w:tabs>
              <w:rPr>
                <w:rFonts w:ascii="Helvetica" w:hAnsi="Helvetica"/>
                <w:sz w:val="16"/>
              </w:rPr>
            </w:pPr>
            <w:r>
              <w:rPr>
                <w:rFonts w:ascii="Helvetica" w:hAnsi="Helvetica"/>
                <w:sz w:val="16"/>
              </w:rPr>
              <w:t>Office of the Chief Information Officer</w:t>
            </w:r>
          </w:p>
        </w:tc>
        <w:tc>
          <w:tcPr>
            <w:tcW w:w="2628" w:type="dxa"/>
            <w:tcBorders>
              <w:left w:val="single" w:sz="6" w:space="0" w:color="auto"/>
              <w:bottom w:val="single" w:sz="6" w:space="0" w:color="auto"/>
            </w:tcBorders>
          </w:tcPr>
          <w:p w:rsidR="00E235F5" w:rsidRDefault="00E235F5">
            <w:pPr>
              <w:tabs>
                <w:tab w:val="left" w:pos="240"/>
              </w:tabs>
              <w:rPr>
                <w:rFonts w:ascii="Helvetica" w:hAnsi="Helvetica"/>
                <w:sz w:val="16"/>
              </w:rPr>
            </w:pPr>
            <w:r>
              <w:rPr>
                <w:rFonts w:ascii="Helvetica" w:hAnsi="Helvetica"/>
                <w:sz w:val="16"/>
              </w:rPr>
              <w:t>Date:</w:t>
            </w:r>
          </w:p>
        </w:tc>
      </w:tr>
    </w:tbl>
    <w:p w:rsidR="00E235F5" w:rsidRDefault="00E235F5" w:rsidP="005640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sz w:val="24"/>
        </w:rPr>
      </w:pPr>
    </w:p>
    <w:p w:rsidR="007B4823" w:rsidRDefault="007B4823" w:rsidP="005640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sz w:val="24"/>
        </w:rPr>
      </w:pPr>
    </w:p>
    <w:p w:rsidR="007B4823" w:rsidRDefault="007B4823" w:rsidP="005640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sz w:val="24"/>
        </w:rPr>
      </w:pPr>
    </w:p>
    <w:p w:rsidR="007B4823" w:rsidRDefault="007B4823" w:rsidP="005640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sz w:val="24"/>
        </w:rPr>
      </w:pPr>
    </w:p>
    <w:p w:rsidR="007B4823" w:rsidRDefault="007B4823" w:rsidP="005640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sz w:val="24"/>
        </w:rPr>
      </w:pPr>
    </w:p>
    <w:p w:rsidR="007B4823" w:rsidRDefault="007B4823" w:rsidP="005640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sz w:val="24"/>
        </w:rPr>
      </w:pPr>
    </w:p>
    <w:p w:rsidR="007B4823" w:rsidRDefault="007B4823" w:rsidP="005640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sz w:val="24"/>
        </w:rPr>
      </w:pPr>
    </w:p>
    <w:p w:rsidR="007B4823" w:rsidRDefault="007B4823" w:rsidP="005640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sz w:val="24"/>
        </w:rPr>
      </w:pPr>
    </w:p>
    <w:p w:rsidR="007B4823" w:rsidRDefault="007B4823" w:rsidP="005640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sz w:val="24"/>
        </w:rPr>
      </w:pPr>
    </w:p>
    <w:p w:rsidR="007B4823" w:rsidRDefault="007B4823" w:rsidP="005640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sz w:val="24"/>
        </w:rPr>
      </w:pPr>
    </w:p>
    <w:p w:rsidR="007B4823" w:rsidRDefault="007B4823" w:rsidP="005640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sz w:val="24"/>
        </w:rPr>
      </w:pPr>
    </w:p>
    <w:p w:rsidR="007B4823" w:rsidRDefault="007B4823" w:rsidP="005640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sz w:val="24"/>
        </w:rPr>
      </w:pPr>
    </w:p>
    <w:p w:rsidR="007B4823" w:rsidRDefault="007B4823" w:rsidP="005640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sz w:val="24"/>
        </w:rPr>
      </w:pPr>
    </w:p>
    <w:p w:rsidR="007B4823" w:rsidRDefault="007B4823" w:rsidP="005640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sz w:val="24"/>
        </w:rPr>
      </w:pPr>
    </w:p>
    <w:p w:rsidR="007B4823" w:rsidRDefault="007B4823" w:rsidP="005640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sz w:val="24"/>
        </w:rPr>
      </w:pPr>
    </w:p>
    <w:p w:rsidR="007B4823" w:rsidRDefault="007B4823" w:rsidP="005640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sz w:val="24"/>
        </w:rPr>
      </w:pPr>
    </w:p>
    <w:p w:rsidR="007B4823" w:rsidRDefault="007B4823" w:rsidP="005640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sz w:val="24"/>
        </w:rPr>
      </w:pPr>
    </w:p>
    <w:p w:rsidR="007B4823" w:rsidRDefault="007B4823" w:rsidP="005640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sz w:val="24"/>
        </w:rPr>
      </w:pPr>
    </w:p>
    <w:p w:rsidR="007B4823" w:rsidRDefault="007B4823" w:rsidP="007B48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t>Supporting Statement for Paperwork Reduction Act Submissions</w:t>
      </w:r>
    </w:p>
    <w:p w:rsidR="007B4823" w:rsidRDefault="007B4823" w:rsidP="007B4823">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rsidR="007B4823" w:rsidRDefault="007B4823" w:rsidP="007B4823">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r>
        <w:rPr>
          <w:rFonts w:ascii="Helvetica" w:hAnsi="Helvetica"/>
          <w:b/>
          <w:sz w:val="18"/>
        </w:rPr>
        <w:t xml:space="preserve">A. </w:t>
      </w:r>
      <w:r>
        <w:rPr>
          <w:rFonts w:ascii="Helvetica" w:hAnsi="Helvetica"/>
          <w:b/>
          <w:sz w:val="18"/>
        </w:rPr>
        <w:tab/>
        <w:t>Justification</w:t>
      </w:r>
    </w:p>
    <w:p w:rsidR="007B4823" w:rsidRDefault="007B4823" w:rsidP="007B48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p>
    <w:p w:rsidR="007B4823" w:rsidRDefault="007B4823" w:rsidP="007B4823">
      <w:pPr>
        <w:tabs>
          <w:tab w:val="left" w:pos="360"/>
        </w:tabs>
        <w:ind w:left="360" w:hanging="360"/>
        <w:rPr>
          <w:sz w:val="18"/>
        </w:rPr>
      </w:pPr>
      <w:r>
        <w:rPr>
          <w:sz w:val="18"/>
        </w:rPr>
        <w:t>1.</w:t>
      </w:r>
      <w:r>
        <w:rPr>
          <w:sz w:val="18"/>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B4823" w:rsidRDefault="007B4823" w:rsidP="007B4823">
      <w:pPr>
        <w:rPr>
          <w:rFonts w:ascii="Arial" w:hAnsi="Arial"/>
          <w:sz w:val="24"/>
        </w:rPr>
      </w:pPr>
    </w:p>
    <w:p w:rsidR="007B4823" w:rsidRDefault="007B4823" w:rsidP="007B4823">
      <w:pPr>
        <w:rPr>
          <w:sz w:val="24"/>
        </w:rPr>
      </w:pPr>
      <w:r>
        <w:rPr>
          <w:sz w:val="24"/>
        </w:rPr>
        <w:t xml:space="preserve">Section 502 of the National Affordable Housing Act of 1990 (the 1990 Act) implemented section 6(j) of the United States Housing Act of 1937 and established seven specific indicators and directs the Secretary to develop no more than five other factors (indicators) deemed appropriate to assess the management performance of public housing agencies (PHAs) in all major areas of management operations.  The 1990 Act further states that such indicators shall be used to designate troubled PHAs and PHAs that are troubled with respect to the program for assistance from the Capital Fund under Section 9.  HUD shall enter into a Memorandum of Agreement (MOA), forms HUD-53336-A and 53336-B, which will address failed indicators, with troubled PHAs and PHAs troubled with respect to the program for assistance from the Capital Fund (Capital Fund Troubled).  In addition, the Secretary is required by the 1990 Act to annually report on the status of troubled PHAs and PHAs troubled with respect to the program for assistance from the Capital Fund. </w:t>
      </w:r>
    </w:p>
    <w:p w:rsidR="007B4823" w:rsidRDefault="007B4823" w:rsidP="007B4823">
      <w:pPr>
        <w:rPr>
          <w:sz w:val="24"/>
        </w:rPr>
      </w:pPr>
    </w:p>
    <w:p w:rsidR="007B4823" w:rsidRDefault="007B4823" w:rsidP="007B4823">
      <w:pPr>
        <w:rPr>
          <w:sz w:val="24"/>
        </w:rPr>
      </w:pPr>
      <w:r>
        <w:rPr>
          <w:sz w:val="24"/>
        </w:rPr>
        <w:t xml:space="preserve">The program originally developed by the Department was the Public Housing Management Assessment Program (PHMAP) and included a total of 12 indicators; this program was revised to have 8 indicators in later years.  In response to HUD’s 2020 Management Reform Plan and the Quality Housing Work Responsibility Act of 1998 (Public Housing Reform Act (PHRA)), the Department has developed the Public Housing Assessment System (PHAS).  The purpose of PHAS is to enhance public trust by creating a comprehensive management tool that effectively and fairly measures a PHA’s performance based on standards that are objective, uniform, and verifiable.  The total number of indicators has been </w:t>
      </w:r>
      <w:r>
        <w:rPr>
          <w:sz w:val="24"/>
        </w:rPr>
        <w:lastRenderedPageBreak/>
        <w:t xml:space="preserve">reduced to four (4) in PHAs, with sub-indicators and components as follows:  #1-physical condition, #2-financial condition, #3-management operations, #4-resident services and satisfaction.  </w:t>
      </w:r>
    </w:p>
    <w:p w:rsidR="007B4823" w:rsidRDefault="007B4823" w:rsidP="007B4823">
      <w:pPr>
        <w:rPr>
          <w:sz w:val="24"/>
        </w:rPr>
      </w:pPr>
    </w:p>
    <w:p w:rsidR="007B4823" w:rsidRDefault="007B4823" w:rsidP="007B4823">
      <w:pPr>
        <w:rPr>
          <w:sz w:val="24"/>
        </w:rPr>
      </w:pPr>
      <w:r>
        <w:rPr>
          <w:sz w:val="24"/>
        </w:rPr>
        <w:t>A troubled PHA is one which has received an overall PHAS score of less than 60% of the total points available, or achieves a score of less than 60% of the total points available under PHAS indicators #1, #2, or #3. A PHA is troubled with respect to the program for assistance from the Capital Fund if it receives less than 60 percent of the maximum calculation for the modernization sub-indicator under PHAS indicator #3.</w:t>
      </w:r>
    </w:p>
    <w:p w:rsidR="007B4823" w:rsidRDefault="007B4823" w:rsidP="007B4823">
      <w:pPr>
        <w:rPr>
          <w:sz w:val="24"/>
        </w:rPr>
      </w:pPr>
    </w:p>
    <w:p w:rsidR="007B4823" w:rsidRDefault="007B4823" w:rsidP="007B4823">
      <w:pPr>
        <w:rPr>
          <w:sz w:val="24"/>
        </w:rPr>
      </w:pPr>
      <w:r>
        <w:rPr>
          <w:sz w:val="24"/>
        </w:rPr>
        <w:t xml:space="preserve">In accordance with 24 CFR 902.1(b) of the final rule, the Real Estate Assessment Center (REAC) is the responsible office for the PHAS assessment.  These four indicators will be used by the REAC to annually assess all PHAs at the end of a PHA’s fiscal year to allow the Department to fulfill the mandate of the 1990 Act in a fair and efficient manner.  </w:t>
      </w:r>
    </w:p>
    <w:p w:rsidR="007B4823" w:rsidRDefault="007B4823" w:rsidP="007B4823">
      <w:pPr>
        <w:rPr>
          <w:sz w:val="24"/>
        </w:rPr>
      </w:pPr>
    </w:p>
    <w:p w:rsidR="007B4823" w:rsidRDefault="007B4823" w:rsidP="007B4823">
      <w:pPr>
        <w:rPr>
          <w:sz w:val="24"/>
        </w:rPr>
      </w:pPr>
      <w:r>
        <w:rPr>
          <w:sz w:val="24"/>
        </w:rPr>
        <w:t>HUD is required by Section 6(j)(2)(C) of the 1937 Act and 24 CFR 902.75 to enter into an agreement (MOA), which will set forth a plan to address the deficient indicators as a result of the assessment.  The MOA shall establish targets for improving performance as measured by the performance indicators within a specified period of time; strategies for meeting such targets, including a description of the technical assistance that HUD will make available to a troubled PHA; and incentives or sanctions for effective implementation of such strategies, which may include any constraints on the use of funds that HUD determines are appropriate.  HUD and the PHA shall, to the maximum extent practicable, seek the assistance of local and private entities in carrying out the MOA.</w:t>
      </w:r>
    </w:p>
    <w:p w:rsidR="007B4823" w:rsidRDefault="007B4823" w:rsidP="007B4823">
      <w:pPr>
        <w:rPr>
          <w:sz w:val="24"/>
        </w:rPr>
      </w:pPr>
    </w:p>
    <w:p w:rsidR="007B4823" w:rsidRDefault="007B4823" w:rsidP="007B4823">
      <w:pPr>
        <w:rPr>
          <w:sz w:val="24"/>
        </w:rPr>
      </w:pPr>
      <w:r>
        <w:rPr>
          <w:sz w:val="24"/>
        </w:rPr>
        <w:t xml:space="preserve">Under the Quality Housing and Work Responsibility Act of 1998 (Public Housing Reform Act - PHRA), Section 6(k)(3)(B)(ii)(I) and (ii), a specific timetable was implemented with serious consequences for failure to achieve improvement.  PHRA requires a troubled PHA to 1) improve its assessment score by a minimum of 50% of the points necessary to remove that agency’s designation as troubled within 1 year of designation, and 2) achieve a standard assessment within a maximum of two years.  Failure to achieve these benchmarks requires the Secretary to petition for receivership for large PHAs of 1250 units or more or, for those with less than 1250 units, either petition for receivership or take possession of the authority and appoint an administrative receiver (see Section 6(j)(3)(B)(ii) of the 1937 Housing Act, as amended). These statutorily limited timetables require that HUD concentrate additional effort toward assuring that troubled PHAs are acting in accordance with their MOA and that the MOA is sufficient to achieve standard performer status in a limited timeframe.  In order for HUD to remotely monitor the progress of troubled and/or mod-troubled PHAs, PHAs will now be required to submit periodic MOA performance progress reports to HUD (form HUD-53337).  The purpose of the MOA progress report is to enable HUD to ascertain whether a troubled PHA is meeting the performance targets within the specified period of time; whether strategies for meeting the targets need to be revised; whether additional technical assistance from HUD is required to assist a troubled PHA in improving performance; whether it is appropriate to impose sanctions on a troubled PHA for failing to meet performance targets within the specified period of time. </w:t>
      </w:r>
    </w:p>
    <w:p w:rsidR="007B4823" w:rsidRDefault="007B4823" w:rsidP="007B4823">
      <w:pPr>
        <w:rPr>
          <w:sz w:val="24"/>
        </w:rPr>
      </w:pPr>
    </w:p>
    <w:p w:rsidR="007B4823" w:rsidRDefault="007B4823" w:rsidP="007B4823">
      <w:pPr>
        <w:rPr>
          <w:sz w:val="24"/>
        </w:rPr>
      </w:pPr>
      <w:r>
        <w:rPr>
          <w:sz w:val="24"/>
        </w:rPr>
        <w:t xml:space="preserve">It is clearly the intent of Section 502 of the 1990 Act to assess the performance capabilities of PHAs, identify deficiencies, provide for the improvement of deficiencies, and finally improve the management performance of PHAs.  With this intent, 24 CFR Section 902.73 states that a standard performer that receives a total score of less than 70 percent but not less than 60 percent shall be required to submit an Improvement Plan (IP) form HUD-53338, to eliminate deficiencies in the PHA’s performance.   A standard performer that receives a score of not less than 70 percent may be required, at the discretion of the appropriate HUB/PC, to submit an IP to address specific deficiencies.  An IP shall identify baseline data for each PHA’s indicator or sub-indicator that was identified as a deficiency, identify any other performance and/or compliance deficiencies identified as a result of an on-site review, describe the procedures that will be followed to correct each deficiency, and provide for or facilitate technical assistance to the PHA.   </w:t>
      </w:r>
    </w:p>
    <w:p w:rsidR="007B4823" w:rsidRDefault="007B4823" w:rsidP="007B4823">
      <w:pPr>
        <w:tabs>
          <w:tab w:val="left" w:pos="360"/>
        </w:tabs>
        <w:ind w:left="360" w:hanging="360"/>
        <w:rPr>
          <w:sz w:val="24"/>
        </w:rPr>
      </w:pPr>
    </w:p>
    <w:p w:rsidR="007B4823" w:rsidRDefault="007B4823" w:rsidP="007B4823">
      <w:pPr>
        <w:tabs>
          <w:tab w:val="left" w:pos="360"/>
        </w:tabs>
        <w:ind w:left="360" w:hanging="360"/>
        <w:rPr>
          <w:sz w:val="24"/>
        </w:rPr>
      </w:pPr>
      <w:r>
        <w:rPr>
          <w:sz w:val="24"/>
        </w:rPr>
        <w:t>2.</w:t>
      </w:r>
      <w:r>
        <w:rPr>
          <w:sz w:val="24"/>
        </w:rPr>
        <w:tab/>
        <w:t>Indicate how, by whom and for what purpose the information is to be used.  Except for a new collection, indicate the actual use the agency has made of the information received from the current collection.</w:t>
      </w:r>
    </w:p>
    <w:p w:rsidR="007B4823" w:rsidRDefault="007B4823" w:rsidP="007B4823">
      <w:pPr>
        <w:rPr>
          <w:sz w:val="24"/>
        </w:rPr>
      </w:pPr>
    </w:p>
    <w:p w:rsidR="007B4823" w:rsidRDefault="007B4823" w:rsidP="007B4823">
      <w:pPr>
        <w:rPr>
          <w:sz w:val="24"/>
        </w:rPr>
      </w:pPr>
      <w:r>
        <w:rPr>
          <w:sz w:val="24"/>
        </w:rPr>
        <w:t xml:space="preserve">The information provided by PHAs will be used by HUD to ascertain whether a troubled and/or capital fund troubled PHA, or a PHA that is required to submit an IP, is meeting the performance targets within the specified period of time; whether strategies for meeting the targets within the specified period of time need to be revised; whether additional technical assistance from HUD is required to assist the PHA in improving performance; whether it is appropriate to require further improvement efforts or impose sanctions on a PHA for failing to meet performance targets within the specified period of time. </w:t>
      </w:r>
    </w:p>
    <w:p w:rsidR="007B4823" w:rsidRDefault="007B4823" w:rsidP="007B4823">
      <w:pPr>
        <w:rPr>
          <w:sz w:val="24"/>
        </w:rPr>
      </w:pPr>
    </w:p>
    <w:p w:rsidR="007B4823" w:rsidRDefault="007B4823" w:rsidP="007B4823">
      <w:pPr>
        <w:rPr>
          <w:sz w:val="24"/>
        </w:rPr>
      </w:pPr>
      <w:r>
        <w:rPr>
          <w:sz w:val="24"/>
        </w:rPr>
        <w:t>In addition, HUD will use this information to practice accountability monitoring and risk management as well as to determine the type, scope, and frequency of HUD reviews of such PHAs and subsequent areas of required technical assistance to such PHAs.  If the information were not required to be collected, HUD would not be able to fulfill the statutory requirements of the PHRA and the regulatory requirements of 24 CFR Section 902.73 and 902.75.</w:t>
      </w:r>
    </w:p>
    <w:p w:rsidR="007B4823" w:rsidRDefault="007B4823" w:rsidP="007B4823">
      <w:pPr>
        <w:rPr>
          <w:sz w:val="24"/>
        </w:rPr>
      </w:pPr>
    </w:p>
    <w:p w:rsidR="007B4823" w:rsidRDefault="007B4823" w:rsidP="007B4823">
      <w:pPr>
        <w:rPr>
          <w:sz w:val="24"/>
        </w:rPr>
      </w:pPr>
      <w:r>
        <w:rPr>
          <w:sz w:val="24"/>
        </w:rPr>
        <w:t xml:space="preserve">Similar collections were performed under HUD’s previous assessment system (PHMAP).  These collections (forms HUD 53332, MOA; 53333, MOA Quarterly Performance Target Progress Report; 53334, IP; and 53335, IP Quarterly Performance Target Progress Report, under OMB approval 2577-0179) contributed to improved risk management monitoring processes at HUD and revisions to the assessment system to be used by HUD under the PHRA changes.  Under PHAS, the documents that have been developed to set forth performance targets and monitor progress include the MOA and instructions, Parts A and B (forms HUD-53336-A and B), which include the agreement between the PHA and HUD, and the accompanying performance targets and strategies tailored for each PHA’s needs; the MOA performance progress report and instructions (form HUD-53337), and the IP (form HUD-53338).  HUD staff will work in collaboration with each individual PHA to develop PHA-specific performance targets and strategies to address the specific weaknesses and deficiencies identified by PHAS.  Included with the MOA – Part B instructions are a comprehensive (but not all inclusive) list of possible performance targets and strategies (without timeframes).  This list will assist the PHA to incorporate appropriate initiatives in its MOA or IP.  This list is a planning tool, which contains key legislative, regulatory, and program-specific references. </w:t>
      </w:r>
    </w:p>
    <w:p w:rsidR="007B4823" w:rsidRDefault="007B4823" w:rsidP="007B4823">
      <w:pPr>
        <w:tabs>
          <w:tab w:val="left" w:pos="360"/>
          <w:tab w:val="left" w:pos="720"/>
        </w:tabs>
        <w:ind w:left="360"/>
        <w:rPr>
          <w:sz w:val="24"/>
        </w:rPr>
      </w:pPr>
    </w:p>
    <w:p w:rsidR="007B4823" w:rsidRDefault="007B4823" w:rsidP="007B4823">
      <w:pPr>
        <w:tabs>
          <w:tab w:val="left" w:pos="360"/>
        </w:tabs>
        <w:ind w:left="360" w:hanging="360"/>
        <w:rPr>
          <w:sz w:val="24"/>
        </w:rPr>
      </w:pPr>
      <w:r>
        <w:rPr>
          <w:sz w:val="24"/>
        </w:rPr>
        <w:t>3.</w:t>
      </w:r>
      <w:r>
        <w:rPr>
          <w:sz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B4823" w:rsidRDefault="007B4823" w:rsidP="007B4823">
      <w:pPr>
        <w:rPr>
          <w:sz w:val="24"/>
        </w:rPr>
      </w:pPr>
    </w:p>
    <w:p w:rsidR="007B4823" w:rsidRDefault="007B4823" w:rsidP="007B4823">
      <w:pPr>
        <w:rPr>
          <w:sz w:val="24"/>
        </w:rPr>
      </w:pPr>
      <w:r>
        <w:rPr>
          <w:sz w:val="24"/>
        </w:rPr>
        <w:t xml:space="preserve">PHAs may access the MOA and IP documents from a web site and return them to HUD via electronic mail. As part of HUD’s GPEA transactions report, inclusion of the MOA and IP are budgeted as part of the ’05 capital planning process for expanding the automated PIH Information Center (PIC) system to include a module to collect MOA and IP information.  </w:t>
      </w:r>
    </w:p>
    <w:p w:rsidR="007B4823" w:rsidRDefault="007B4823" w:rsidP="007B4823">
      <w:pPr>
        <w:tabs>
          <w:tab w:val="left" w:pos="360"/>
          <w:tab w:val="left" w:pos="720"/>
        </w:tabs>
        <w:ind w:left="360"/>
        <w:rPr>
          <w:sz w:val="24"/>
        </w:rPr>
      </w:pPr>
    </w:p>
    <w:p w:rsidR="007B4823" w:rsidRDefault="007B4823" w:rsidP="007B4823">
      <w:pPr>
        <w:tabs>
          <w:tab w:val="left" w:pos="360"/>
        </w:tabs>
        <w:ind w:left="360" w:hanging="360"/>
        <w:rPr>
          <w:sz w:val="24"/>
        </w:rPr>
      </w:pPr>
      <w:r>
        <w:rPr>
          <w:sz w:val="24"/>
        </w:rPr>
        <w:t>4.</w:t>
      </w:r>
      <w:r>
        <w:rPr>
          <w:sz w:val="24"/>
        </w:rPr>
        <w:tab/>
        <w:t>Describe efforts to identify duplication.  Show specifically why any similar information already available cannot be used or modified for use for the purposes described in Item 2 above.</w:t>
      </w:r>
    </w:p>
    <w:p w:rsidR="007B4823" w:rsidRDefault="007B4823" w:rsidP="007B4823">
      <w:pPr>
        <w:rPr>
          <w:sz w:val="24"/>
        </w:rPr>
      </w:pPr>
    </w:p>
    <w:p w:rsidR="007B4823" w:rsidRDefault="007B4823" w:rsidP="007B4823">
      <w:pPr>
        <w:rPr>
          <w:sz w:val="24"/>
        </w:rPr>
      </w:pPr>
      <w:r>
        <w:rPr>
          <w:sz w:val="24"/>
        </w:rPr>
        <w:t>There will be no duplication of information.</w:t>
      </w:r>
    </w:p>
    <w:p w:rsidR="007B4823" w:rsidRDefault="007B4823" w:rsidP="007B4823">
      <w:pPr>
        <w:tabs>
          <w:tab w:val="left" w:pos="360"/>
          <w:tab w:val="left" w:pos="720"/>
        </w:tabs>
        <w:ind w:left="360"/>
        <w:rPr>
          <w:sz w:val="24"/>
        </w:rPr>
      </w:pPr>
    </w:p>
    <w:p w:rsidR="007B4823" w:rsidRDefault="007B4823" w:rsidP="007B4823">
      <w:pPr>
        <w:tabs>
          <w:tab w:val="left" w:pos="360"/>
        </w:tabs>
        <w:ind w:left="360" w:hanging="360"/>
        <w:rPr>
          <w:sz w:val="24"/>
        </w:rPr>
      </w:pPr>
      <w:r>
        <w:rPr>
          <w:sz w:val="24"/>
        </w:rPr>
        <w:t>5.</w:t>
      </w:r>
      <w:r>
        <w:rPr>
          <w:sz w:val="24"/>
        </w:rPr>
        <w:tab/>
        <w:t>If the collection of information impacts small businesses or other small entities (Item 5 of OMB Form 83-I) describe any methods used to minimize burden.</w:t>
      </w:r>
    </w:p>
    <w:p w:rsidR="007B4823" w:rsidRDefault="007B4823" w:rsidP="007B4823">
      <w:pPr>
        <w:rPr>
          <w:sz w:val="24"/>
        </w:rPr>
      </w:pPr>
    </w:p>
    <w:p w:rsidR="007B4823" w:rsidRDefault="007B4823" w:rsidP="007B4823">
      <w:pPr>
        <w:rPr>
          <w:sz w:val="24"/>
        </w:rPr>
      </w:pPr>
      <w:r>
        <w:rPr>
          <w:sz w:val="24"/>
        </w:rPr>
        <w:t>The collection of information will not impact on small businesses or small entities.</w:t>
      </w:r>
    </w:p>
    <w:p w:rsidR="007B4823" w:rsidRDefault="007B4823" w:rsidP="007B4823">
      <w:pPr>
        <w:tabs>
          <w:tab w:val="left" w:pos="360"/>
          <w:tab w:val="left" w:pos="720"/>
        </w:tabs>
        <w:ind w:left="360"/>
        <w:rPr>
          <w:sz w:val="24"/>
        </w:rPr>
      </w:pPr>
    </w:p>
    <w:p w:rsidR="007B4823" w:rsidRDefault="007B4823" w:rsidP="007B4823">
      <w:pPr>
        <w:tabs>
          <w:tab w:val="left" w:pos="360"/>
        </w:tabs>
        <w:ind w:left="360" w:hanging="360"/>
        <w:rPr>
          <w:sz w:val="24"/>
        </w:rPr>
      </w:pPr>
      <w:r>
        <w:rPr>
          <w:sz w:val="24"/>
        </w:rPr>
        <w:t>6.</w:t>
      </w:r>
      <w:r>
        <w:rPr>
          <w:sz w:val="24"/>
        </w:rPr>
        <w:tab/>
        <w:t>Describe the consequence to Federal program or policy activities if the collection is not conducted or is conducted less frequently, as well as any technical or legal obstacles to reducing burden.</w:t>
      </w:r>
    </w:p>
    <w:p w:rsidR="007B4823" w:rsidRDefault="007B4823" w:rsidP="007B4823">
      <w:pPr>
        <w:tabs>
          <w:tab w:val="left" w:pos="360"/>
          <w:tab w:val="left" w:pos="720"/>
        </w:tabs>
        <w:rPr>
          <w:sz w:val="24"/>
        </w:rPr>
      </w:pPr>
    </w:p>
    <w:p w:rsidR="007B4823" w:rsidRDefault="007B4823" w:rsidP="007B4823">
      <w:pPr>
        <w:tabs>
          <w:tab w:val="left" w:pos="360"/>
          <w:tab w:val="left" w:pos="720"/>
        </w:tabs>
        <w:rPr>
          <w:sz w:val="24"/>
        </w:rPr>
      </w:pPr>
      <w:r>
        <w:rPr>
          <w:sz w:val="24"/>
        </w:rPr>
        <w:t>This information cannot be collected less frequently due to the statutory requirement for the Secretary to report to Congress annually on the status of troubled PHAs and Capital Fund Troubled PHAs.  Further, with the statutory recovery requirements imposed by PHRA, periodic MOA reporting is necessary in order to assure that PHAs are on track with their recovery efforts and that the efforts are having the desired effect in order to prevent HUD take-over of failing PHAs within one year of designation as troubled.  It is expected that field offices will require PHAs to report progress at least quarterly.</w:t>
      </w:r>
    </w:p>
    <w:p w:rsidR="007B4823" w:rsidRDefault="007B4823" w:rsidP="007B4823">
      <w:pPr>
        <w:tabs>
          <w:tab w:val="left" w:pos="360"/>
        </w:tabs>
        <w:ind w:left="360" w:hanging="360"/>
        <w:rPr>
          <w:sz w:val="24"/>
        </w:rPr>
      </w:pPr>
    </w:p>
    <w:p w:rsidR="007B4823" w:rsidRDefault="007B4823" w:rsidP="007B4823">
      <w:pPr>
        <w:numPr>
          <w:ilvl w:val="0"/>
          <w:numId w:val="7"/>
        </w:numPr>
        <w:tabs>
          <w:tab w:val="left" w:pos="360"/>
        </w:tabs>
        <w:rPr>
          <w:sz w:val="24"/>
        </w:rPr>
      </w:pPr>
      <w:r>
        <w:rPr>
          <w:sz w:val="24"/>
        </w:rPr>
        <w:t xml:space="preserve">Explain any special circumstances that would cause an information collection to be conducted in a manner: </w:t>
      </w:r>
    </w:p>
    <w:p w:rsidR="007B4823" w:rsidRDefault="007B4823" w:rsidP="007B4823">
      <w:pPr>
        <w:numPr>
          <w:ilvl w:val="0"/>
          <w:numId w:val="8"/>
        </w:numPr>
        <w:tabs>
          <w:tab w:val="left" w:pos="600"/>
        </w:tabs>
        <w:rPr>
          <w:sz w:val="24"/>
        </w:rPr>
      </w:pPr>
      <w:r>
        <w:rPr>
          <w:sz w:val="24"/>
        </w:rPr>
        <w:t xml:space="preserve">requiring respondents to report information to the agency more than quarterly; </w:t>
      </w:r>
    </w:p>
    <w:p w:rsidR="007B4823" w:rsidRDefault="007B4823" w:rsidP="007B4823">
      <w:pPr>
        <w:numPr>
          <w:ilvl w:val="0"/>
          <w:numId w:val="8"/>
        </w:numPr>
        <w:tabs>
          <w:tab w:val="left" w:pos="600"/>
        </w:tabs>
        <w:rPr>
          <w:sz w:val="24"/>
        </w:rPr>
      </w:pPr>
      <w:r>
        <w:rPr>
          <w:sz w:val="24"/>
        </w:rPr>
        <w:t xml:space="preserve">requiring respondents to prepare a written response to a collection of information in fewer than 30 days after receipt of it; </w:t>
      </w:r>
    </w:p>
    <w:p w:rsidR="007B4823" w:rsidRDefault="007B4823" w:rsidP="007B4823">
      <w:pPr>
        <w:numPr>
          <w:ilvl w:val="0"/>
          <w:numId w:val="8"/>
        </w:numPr>
        <w:tabs>
          <w:tab w:val="left" w:pos="600"/>
        </w:tabs>
        <w:rPr>
          <w:sz w:val="24"/>
        </w:rPr>
      </w:pPr>
      <w:r>
        <w:rPr>
          <w:sz w:val="24"/>
        </w:rPr>
        <w:t xml:space="preserve">requiring respondents to submit more than an original and two copies of any document; </w:t>
      </w:r>
    </w:p>
    <w:p w:rsidR="007B4823" w:rsidRDefault="007B4823" w:rsidP="007B4823">
      <w:pPr>
        <w:numPr>
          <w:ilvl w:val="0"/>
          <w:numId w:val="8"/>
        </w:numPr>
        <w:tabs>
          <w:tab w:val="left" w:pos="600"/>
        </w:tabs>
        <w:rPr>
          <w:sz w:val="24"/>
        </w:rPr>
      </w:pPr>
      <w:r>
        <w:rPr>
          <w:sz w:val="24"/>
        </w:rPr>
        <w:t xml:space="preserve">requiring respondents to retain records other than health, medical, government contract, grant-in-aid, or tax records for more than three years; </w:t>
      </w:r>
    </w:p>
    <w:p w:rsidR="007B4823" w:rsidRDefault="007B4823" w:rsidP="007B4823">
      <w:pPr>
        <w:numPr>
          <w:ilvl w:val="0"/>
          <w:numId w:val="8"/>
        </w:numPr>
        <w:tabs>
          <w:tab w:val="left" w:pos="600"/>
        </w:tabs>
        <w:rPr>
          <w:sz w:val="24"/>
        </w:rPr>
      </w:pPr>
      <w:r>
        <w:rPr>
          <w:sz w:val="24"/>
        </w:rPr>
        <w:t xml:space="preserve">in connection with a statistical survey, that is not designed to produce valid and reliable results than can be generalized to the universe of study; </w:t>
      </w:r>
    </w:p>
    <w:p w:rsidR="007B4823" w:rsidRDefault="007B4823" w:rsidP="007B4823">
      <w:pPr>
        <w:numPr>
          <w:ilvl w:val="0"/>
          <w:numId w:val="8"/>
        </w:numPr>
        <w:tabs>
          <w:tab w:val="left" w:pos="600"/>
        </w:tabs>
        <w:rPr>
          <w:sz w:val="24"/>
        </w:rPr>
      </w:pPr>
      <w:r>
        <w:rPr>
          <w:sz w:val="24"/>
        </w:rPr>
        <w:t xml:space="preserve">requiring the use of a statistical data classification that has not been reviewed and approved by OMB; </w:t>
      </w:r>
    </w:p>
    <w:p w:rsidR="007B4823" w:rsidRDefault="007B4823" w:rsidP="007B4823">
      <w:pPr>
        <w:numPr>
          <w:ilvl w:val="0"/>
          <w:numId w:val="8"/>
        </w:numPr>
        <w:tabs>
          <w:tab w:val="left" w:pos="600"/>
        </w:tabs>
        <w:rPr>
          <w:sz w:val="24"/>
        </w:rPr>
      </w:pPr>
      <w:r>
        <w:rPr>
          <w:sz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7B4823" w:rsidRDefault="007B4823" w:rsidP="007B4823">
      <w:pPr>
        <w:numPr>
          <w:ilvl w:val="0"/>
          <w:numId w:val="8"/>
        </w:numPr>
        <w:tabs>
          <w:tab w:val="left" w:pos="600"/>
        </w:tabs>
        <w:rPr>
          <w:sz w:val="24"/>
        </w:rPr>
      </w:pPr>
      <w:r>
        <w:rPr>
          <w:sz w:val="24"/>
        </w:rPr>
        <w:t>requiring respondents to submit proprietary trade secret, or other confidential information unless the agency can demonstrate that it has instituted procedures to protect the information's confidentiality to the extent permitted by law.</w:t>
      </w:r>
    </w:p>
    <w:p w:rsidR="007B4823" w:rsidRDefault="007B4823" w:rsidP="007B4823">
      <w:pPr>
        <w:tabs>
          <w:tab w:val="left" w:pos="360"/>
          <w:tab w:val="left" w:pos="720"/>
        </w:tabs>
        <w:ind w:left="360"/>
        <w:rPr>
          <w:sz w:val="24"/>
        </w:rPr>
      </w:pPr>
    </w:p>
    <w:p w:rsidR="007B4823" w:rsidRDefault="007B4823" w:rsidP="007B4823">
      <w:pPr>
        <w:tabs>
          <w:tab w:val="left" w:pos="360"/>
          <w:tab w:val="left" w:pos="720"/>
        </w:tabs>
        <w:ind w:left="360"/>
        <w:rPr>
          <w:sz w:val="24"/>
        </w:rPr>
      </w:pPr>
      <w:r>
        <w:rPr>
          <w:sz w:val="24"/>
        </w:rPr>
        <w:t>This information cannot be collected less frequently due to the statutory requirement for the Secretary to report to Congress annually on the status of troubled PHAs and Capital Fund Troubled PHAs.  Further, with the statutory recovery requirements imposed by PHRA, regular periodic MOA reporting is necessary in order to assure that PHAs are on track with their recovery efforts and that the efforts are having the desired effect in order to prevent HUD take-over of failing PHAs within one year of designation as troubled.</w:t>
      </w:r>
    </w:p>
    <w:p w:rsidR="007B4823" w:rsidRDefault="007B4823" w:rsidP="007B4823">
      <w:pPr>
        <w:tabs>
          <w:tab w:val="left" w:pos="360"/>
          <w:tab w:val="left" w:pos="720"/>
        </w:tabs>
        <w:ind w:left="360"/>
        <w:rPr>
          <w:sz w:val="24"/>
        </w:rPr>
      </w:pPr>
    </w:p>
    <w:p w:rsidR="007B4823" w:rsidRPr="006A5386" w:rsidRDefault="007B4823" w:rsidP="007B4823">
      <w:pPr>
        <w:tabs>
          <w:tab w:val="left" w:pos="360"/>
        </w:tabs>
        <w:ind w:left="360" w:hanging="360"/>
        <w:rPr>
          <w:sz w:val="24"/>
        </w:rPr>
      </w:pPr>
      <w:r>
        <w:rPr>
          <w:sz w:val="24"/>
        </w:rPr>
        <w:t xml:space="preserve"> 8.</w:t>
      </w:r>
      <w:r>
        <w:rPr>
          <w:sz w:val="24"/>
        </w:rPr>
        <w:tab/>
        <w:t xml:space="preserve">The information collection was announced in the </w:t>
      </w:r>
      <w:r w:rsidRPr="006A5386">
        <w:rPr>
          <w:i/>
          <w:sz w:val="24"/>
        </w:rPr>
        <w:t>Federal Register</w:t>
      </w:r>
      <w:r>
        <w:rPr>
          <w:i/>
          <w:sz w:val="24"/>
        </w:rPr>
        <w:t>,</w:t>
      </w:r>
      <w:r>
        <w:rPr>
          <w:sz w:val="24"/>
        </w:rPr>
        <w:t xml:space="preserve"> Volume 76, page 539</w:t>
      </w:r>
      <w:r w:rsidR="00256260">
        <w:rPr>
          <w:sz w:val="24"/>
        </w:rPr>
        <w:t>4, on January 31, 2011.  No comments were received</w:t>
      </w:r>
      <w:r>
        <w:rPr>
          <w:sz w:val="24"/>
        </w:rPr>
        <w:t>.</w:t>
      </w:r>
    </w:p>
    <w:p w:rsidR="007B4823" w:rsidRDefault="007B4823" w:rsidP="007B4823">
      <w:pPr>
        <w:tabs>
          <w:tab w:val="left" w:pos="360"/>
        </w:tabs>
        <w:ind w:left="360" w:hanging="360"/>
        <w:rPr>
          <w:sz w:val="24"/>
        </w:rPr>
      </w:pPr>
    </w:p>
    <w:p w:rsidR="007B4823" w:rsidRDefault="007B4823" w:rsidP="007B4823">
      <w:pPr>
        <w:tabs>
          <w:tab w:val="left" w:pos="360"/>
        </w:tabs>
        <w:ind w:left="360" w:hanging="360"/>
        <w:rPr>
          <w:sz w:val="24"/>
        </w:rPr>
      </w:pPr>
      <w:r>
        <w:rPr>
          <w:sz w:val="24"/>
        </w:rPr>
        <w:t>9.</w:t>
      </w:r>
      <w:r>
        <w:rPr>
          <w:sz w:val="24"/>
        </w:rPr>
        <w:tab/>
        <w:t>Explain any decision to provide any payment or gift to respondents, other than remuneration of contractors or grantees.</w:t>
      </w:r>
    </w:p>
    <w:p w:rsidR="007B4823" w:rsidRDefault="007B4823" w:rsidP="007B4823">
      <w:pPr>
        <w:tabs>
          <w:tab w:val="left" w:pos="360"/>
          <w:tab w:val="left" w:pos="720"/>
        </w:tabs>
        <w:rPr>
          <w:sz w:val="24"/>
        </w:rPr>
      </w:pPr>
    </w:p>
    <w:p w:rsidR="007B4823" w:rsidRDefault="007B4823" w:rsidP="007B4823">
      <w:pPr>
        <w:tabs>
          <w:tab w:val="left" w:pos="360"/>
          <w:tab w:val="left" w:pos="720"/>
        </w:tabs>
        <w:rPr>
          <w:sz w:val="24"/>
        </w:rPr>
      </w:pPr>
      <w:r>
        <w:rPr>
          <w:sz w:val="24"/>
        </w:rPr>
        <w:t>There are no provisions to provide any payment or gifts to respondents, other than remuneration of contractors or grantees.</w:t>
      </w:r>
    </w:p>
    <w:p w:rsidR="007B4823" w:rsidRDefault="007B4823" w:rsidP="007B4823">
      <w:pPr>
        <w:tabs>
          <w:tab w:val="left" w:pos="360"/>
        </w:tabs>
        <w:ind w:left="360" w:hanging="360"/>
        <w:rPr>
          <w:sz w:val="24"/>
        </w:rPr>
      </w:pPr>
    </w:p>
    <w:p w:rsidR="007B4823" w:rsidRDefault="007B4823" w:rsidP="007B4823">
      <w:pPr>
        <w:tabs>
          <w:tab w:val="left" w:pos="360"/>
        </w:tabs>
        <w:ind w:left="360" w:hanging="360"/>
        <w:rPr>
          <w:sz w:val="24"/>
        </w:rPr>
      </w:pPr>
      <w:r>
        <w:rPr>
          <w:sz w:val="24"/>
        </w:rPr>
        <w:t>10.</w:t>
      </w:r>
      <w:r>
        <w:rPr>
          <w:sz w:val="24"/>
        </w:rPr>
        <w:tab/>
        <w:t>Describe any assurance of confidentiality provided to respondents and the basis for assurance in statute, regulation or agency policy.</w:t>
      </w:r>
    </w:p>
    <w:p w:rsidR="007B4823" w:rsidRDefault="007B4823" w:rsidP="007B4823">
      <w:pPr>
        <w:rPr>
          <w:sz w:val="24"/>
        </w:rPr>
      </w:pPr>
    </w:p>
    <w:p w:rsidR="007B4823" w:rsidRDefault="007B4823" w:rsidP="007B4823">
      <w:pPr>
        <w:rPr>
          <w:sz w:val="24"/>
        </w:rPr>
      </w:pPr>
      <w:r>
        <w:rPr>
          <w:sz w:val="24"/>
        </w:rPr>
        <w:t>The information collection is public information; therefore, there is no assurance of confidentiality provided to PHAs.</w:t>
      </w:r>
    </w:p>
    <w:p w:rsidR="007B4823" w:rsidRDefault="007B4823" w:rsidP="007B4823">
      <w:pPr>
        <w:tabs>
          <w:tab w:val="left" w:pos="360"/>
          <w:tab w:val="left" w:pos="720"/>
        </w:tabs>
        <w:ind w:left="360"/>
        <w:rPr>
          <w:sz w:val="24"/>
        </w:rPr>
      </w:pPr>
    </w:p>
    <w:p w:rsidR="007B4823" w:rsidRDefault="007B4823" w:rsidP="007B4823">
      <w:pPr>
        <w:pStyle w:val="BodyTextIndent"/>
      </w:pPr>
      <w:r>
        <w:t>11.</w:t>
      </w:r>
      <w: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B4823" w:rsidRDefault="007B4823" w:rsidP="007B4823">
      <w:pPr>
        <w:rPr>
          <w:sz w:val="24"/>
        </w:rPr>
      </w:pPr>
    </w:p>
    <w:p w:rsidR="007B4823" w:rsidRDefault="007B4823" w:rsidP="007B4823">
      <w:pPr>
        <w:rPr>
          <w:sz w:val="24"/>
        </w:rPr>
      </w:pPr>
      <w:r>
        <w:rPr>
          <w:sz w:val="24"/>
        </w:rPr>
        <w:t>There are no questions of a sensitive nature included in the information to be collected.</w:t>
      </w:r>
    </w:p>
    <w:p w:rsidR="007B4823" w:rsidRDefault="007B4823" w:rsidP="007B4823">
      <w:pPr>
        <w:tabs>
          <w:tab w:val="left" w:pos="360"/>
          <w:tab w:val="left" w:pos="720"/>
        </w:tabs>
        <w:ind w:left="360"/>
        <w:rPr>
          <w:sz w:val="24"/>
        </w:rPr>
      </w:pPr>
    </w:p>
    <w:p w:rsidR="007B4823" w:rsidRDefault="007B4823" w:rsidP="007B4823">
      <w:pPr>
        <w:tabs>
          <w:tab w:val="left" w:pos="360"/>
        </w:tabs>
        <w:ind w:left="360" w:hanging="360"/>
        <w:rPr>
          <w:sz w:val="24"/>
        </w:rPr>
      </w:pPr>
      <w:r>
        <w:rPr>
          <w:sz w:val="24"/>
        </w:rPr>
        <w:t>12.</w:t>
      </w:r>
      <w:r>
        <w:rPr>
          <w:sz w:val="24"/>
        </w:rPr>
        <w:tab/>
        <w:t xml:space="preserve">Provide estimates of the hour burden of the collection of information.  The statement should: </w:t>
      </w:r>
    </w:p>
    <w:p w:rsidR="007B4823" w:rsidRDefault="007B4823" w:rsidP="007B4823">
      <w:pPr>
        <w:numPr>
          <w:ilvl w:val="0"/>
          <w:numId w:val="8"/>
        </w:numPr>
        <w:tabs>
          <w:tab w:val="left" w:pos="480"/>
        </w:tabs>
        <w:ind w:left="480"/>
        <w:rPr>
          <w:sz w:val="24"/>
        </w:rPr>
      </w:pPr>
      <w:r>
        <w:rPr>
          <w:sz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7B4823" w:rsidRDefault="007B4823" w:rsidP="007B4823">
      <w:pPr>
        <w:numPr>
          <w:ilvl w:val="0"/>
          <w:numId w:val="8"/>
        </w:numPr>
        <w:tabs>
          <w:tab w:val="left" w:pos="480"/>
        </w:tabs>
        <w:ind w:left="480"/>
        <w:rPr>
          <w:sz w:val="24"/>
        </w:rPr>
      </w:pPr>
      <w:r>
        <w:rPr>
          <w:sz w:val="24"/>
        </w:rPr>
        <w:t xml:space="preserve">if this request covers more than one form, provide separate hour burden estimates for each form and aggregate the hour burdens in Item 13 of OMB Form 83-I; and </w:t>
      </w:r>
    </w:p>
    <w:p w:rsidR="007B4823" w:rsidRDefault="007B4823" w:rsidP="007B4823">
      <w:pPr>
        <w:numPr>
          <w:ilvl w:val="0"/>
          <w:numId w:val="8"/>
        </w:numPr>
        <w:tabs>
          <w:tab w:val="left" w:pos="480"/>
        </w:tabs>
        <w:ind w:left="480"/>
        <w:rPr>
          <w:sz w:val="24"/>
        </w:rPr>
      </w:pPr>
      <w:r>
        <w:rPr>
          <w:sz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7B4823" w:rsidRDefault="007B4823" w:rsidP="007B4823">
      <w:pPr>
        <w:tabs>
          <w:tab w:val="left" w:pos="480"/>
        </w:tabs>
        <w:rPr>
          <w:sz w:val="24"/>
        </w:rPr>
      </w:pPr>
    </w:p>
    <w:p w:rsidR="007B4823" w:rsidRDefault="007B4823" w:rsidP="007B4823">
      <w:pPr>
        <w:tabs>
          <w:tab w:val="left" w:pos="360"/>
        </w:tabs>
        <w:ind w:left="360" w:hanging="360"/>
        <w:rPr>
          <w:sz w:val="24"/>
        </w:rPr>
      </w:pPr>
      <w:r>
        <w:rPr>
          <w:sz w:val="24"/>
        </w:rPr>
        <w:t>Annualized Burden Hour Costs equal 25,134 hours x $30/hour for professional staff to research and prepare</w:t>
      </w:r>
    </w:p>
    <w:p w:rsidR="007B4823" w:rsidRDefault="007B4823" w:rsidP="007B4823">
      <w:pPr>
        <w:tabs>
          <w:tab w:val="left" w:pos="360"/>
          <w:tab w:val="center" w:pos="5400"/>
        </w:tabs>
        <w:ind w:left="360" w:hanging="360"/>
        <w:rPr>
          <w:sz w:val="24"/>
        </w:rPr>
      </w:pPr>
      <w:r>
        <w:rPr>
          <w:sz w:val="24"/>
        </w:rPr>
        <w:t>MOA and IP documents for a total of $754,020.</w:t>
      </w:r>
      <w:r>
        <w:rPr>
          <w:sz w:val="24"/>
        </w:rPr>
        <w:tab/>
      </w:r>
    </w:p>
    <w:p w:rsidR="007B4823" w:rsidRDefault="007B4823" w:rsidP="007B4823">
      <w:pPr>
        <w:tabs>
          <w:tab w:val="left" w:pos="360"/>
        </w:tabs>
        <w:ind w:left="360" w:hanging="360"/>
        <w:rPr>
          <w:sz w:val="24"/>
        </w:rPr>
      </w:pPr>
    </w:p>
    <w:p w:rsidR="007B4823" w:rsidRDefault="007B4823" w:rsidP="007B4823">
      <w:pPr>
        <w:tabs>
          <w:tab w:val="left" w:pos="360"/>
        </w:tabs>
        <w:ind w:left="360" w:hanging="360"/>
        <w:rPr>
          <w:sz w:val="24"/>
        </w:rPr>
      </w:pPr>
      <w:r>
        <w:rPr>
          <w:sz w:val="24"/>
        </w:rPr>
        <w:t>13.</w:t>
      </w:r>
      <w:r>
        <w:rPr>
          <w:sz w:val="24"/>
        </w:rPr>
        <w:tab/>
        <w:t xml:space="preserve">Provide an estimate of the total annual cost burden to respondents or record keepers resulting from the collection of information (do not include the cost of any hour burden shown in Items 12 and 14). </w:t>
      </w:r>
    </w:p>
    <w:p w:rsidR="007B4823" w:rsidRDefault="007B4823" w:rsidP="007B4823">
      <w:pPr>
        <w:numPr>
          <w:ilvl w:val="0"/>
          <w:numId w:val="8"/>
        </w:numPr>
        <w:tabs>
          <w:tab w:val="left" w:pos="360"/>
        </w:tabs>
        <w:ind w:left="480"/>
        <w:rPr>
          <w:sz w:val="24"/>
        </w:rPr>
      </w:pPr>
      <w:r>
        <w:rPr>
          <w:sz w:val="24"/>
        </w:rPr>
        <w:t xml:space="preserve">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7B4823" w:rsidRDefault="007B4823" w:rsidP="007B4823">
      <w:pPr>
        <w:numPr>
          <w:ilvl w:val="0"/>
          <w:numId w:val="8"/>
        </w:numPr>
        <w:tabs>
          <w:tab w:val="left" w:pos="360"/>
        </w:tabs>
        <w:ind w:left="480"/>
        <w:rPr>
          <w:sz w:val="24"/>
        </w:rPr>
      </w:pPr>
      <w:r>
        <w:rPr>
          <w:sz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7B4823" w:rsidRDefault="007B4823" w:rsidP="007B4823">
      <w:pPr>
        <w:numPr>
          <w:ilvl w:val="0"/>
          <w:numId w:val="8"/>
        </w:numPr>
        <w:tabs>
          <w:tab w:val="left" w:pos="360"/>
        </w:tabs>
        <w:ind w:left="480"/>
        <w:rPr>
          <w:sz w:val="24"/>
        </w:rPr>
      </w:pPr>
      <w:r>
        <w:rPr>
          <w:sz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7B4823" w:rsidRDefault="007B4823" w:rsidP="007B4823">
      <w:pPr>
        <w:tabs>
          <w:tab w:val="left" w:pos="360"/>
          <w:tab w:val="left" w:pos="720"/>
        </w:tabs>
        <w:rPr>
          <w:sz w:val="24"/>
        </w:rPr>
      </w:pPr>
    </w:p>
    <w:p w:rsidR="007B4823" w:rsidRDefault="007B4823" w:rsidP="007B4823">
      <w:pPr>
        <w:tabs>
          <w:tab w:val="left" w:pos="360"/>
          <w:tab w:val="left" w:pos="720"/>
        </w:tabs>
        <w:rPr>
          <w:sz w:val="24"/>
        </w:rPr>
      </w:pPr>
      <w:r>
        <w:rPr>
          <w:sz w:val="24"/>
        </w:rPr>
        <w:t xml:space="preserve">There are no additional capital or start-up or operational costs associated with this collection of information that a PHA would not ordinarily incur in conducting its business.  All reporting which is required, would be required of any agency that was effectively managing its resources.  </w:t>
      </w:r>
    </w:p>
    <w:p w:rsidR="007B4823" w:rsidRDefault="007B4823" w:rsidP="007B4823">
      <w:pPr>
        <w:tabs>
          <w:tab w:val="left" w:pos="360"/>
        </w:tabs>
        <w:ind w:left="360" w:hanging="360"/>
        <w:rPr>
          <w:sz w:val="24"/>
        </w:rPr>
      </w:pPr>
    </w:p>
    <w:p w:rsidR="007B4823" w:rsidRDefault="007B4823" w:rsidP="007B4823">
      <w:pPr>
        <w:tabs>
          <w:tab w:val="left" w:pos="360"/>
        </w:tabs>
        <w:ind w:left="360" w:hanging="360"/>
        <w:rPr>
          <w:sz w:val="24"/>
        </w:rPr>
      </w:pPr>
      <w:r>
        <w:rPr>
          <w:sz w:val="24"/>
        </w:rPr>
        <w:t>14.</w:t>
      </w:r>
      <w:r>
        <w:rPr>
          <w:sz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7B4823" w:rsidRDefault="007B4823" w:rsidP="007B4823">
      <w:pPr>
        <w:tabs>
          <w:tab w:val="left" w:pos="360"/>
        </w:tabs>
        <w:ind w:left="360" w:hanging="360"/>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98"/>
        <w:gridCol w:w="1620"/>
        <w:gridCol w:w="1710"/>
        <w:gridCol w:w="1530"/>
        <w:gridCol w:w="1350"/>
        <w:gridCol w:w="1260"/>
        <w:gridCol w:w="1260"/>
      </w:tblGrid>
      <w:tr w:rsidR="007B4823" w:rsidTr="00AD1F9A">
        <w:tc>
          <w:tcPr>
            <w:tcW w:w="1998" w:type="dxa"/>
            <w:tcBorders>
              <w:bottom w:val="single" w:sz="4" w:space="0" w:color="auto"/>
            </w:tcBorders>
            <w:shd w:val="clear" w:color="auto" w:fill="F3F3F3"/>
          </w:tcPr>
          <w:p w:rsidR="007B4823" w:rsidRDefault="007B4823" w:rsidP="00AD1F9A">
            <w:pPr>
              <w:tabs>
                <w:tab w:val="left" w:pos="480"/>
              </w:tabs>
              <w:rPr>
                <w:b/>
                <w:bCs/>
                <w:sz w:val="24"/>
              </w:rPr>
            </w:pPr>
            <w:r>
              <w:rPr>
                <w:b/>
                <w:bCs/>
                <w:sz w:val="24"/>
              </w:rPr>
              <w:t xml:space="preserve">PHA Unit </w:t>
            </w:r>
          </w:p>
          <w:p w:rsidR="007B4823" w:rsidRDefault="007B4823" w:rsidP="00AD1F9A">
            <w:pPr>
              <w:tabs>
                <w:tab w:val="left" w:pos="480"/>
              </w:tabs>
              <w:rPr>
                <w:b/>
                <w:bCs/>
                <w:sz w:val="24"/>
              </w:rPr>
            </w:pPr>
            <w:r>
              <w:rPr>
                <w:b/>
                <w:bCs/>
                <w:sz w:val="24"/>
              </w:rPr>
              <w:t>Size</w:t>
            </w:r>
          </w:p>
        </w:tc>
        <w:tc>
          <w:tcPr>
            <w:tcW w:w="1620" w:type="dxa"/>
            <w:tcBorders>
              <w:bottom w:val="single" w:sz="4" w:space="0" w:color="auto"/>
            </w:tcBorders>
            <w:shd w:val="clear" w:color="auto" w:fill="F3F3F3"/>
          </w:tcPr>
          <w:p w:rsidR="007B4823" w:rsidRDefault="007B4823" w:rsidP="00AD1F9A">
            <w:pPr>
              <w:tabs>
                <w:tab w:val="left" w:pos="480"/>
              </w:tabs>
              <w:rPr>
                <w:b/>
                <w:bCs/>
                <w:sz w:val="24"/>
              </w:rPr>
            </w:pPr>
            <w:r>
              <w:rPr>
                <w:b/>
                <w:bCs/>
                <w:sz w:val="24"/>
              </w:rPr>
              <w:t>Number of MOA Respondents</w:t>
            </w:r>
          </w:p>
          <w:p w:rsidR="007B4823" w:rsidRDefault="007B4823" w:rsidP="00AD1F9A">
            <w:pPr>
              <w:tabs>
                <w:tab w:val="left" w:pos="480"/>
              </w:tabs>
              <w:rPr>
                <w:b/>
                <w:bCs/>
                <w:sz w:val="24"/>
              </w:rPr>
            </w:pPr>
          </w:p>
          <w:p w:rsidR="007B4823" w:rsidRPr="007B4823" w:rsidRDefault="007B4823" w:rsidP="00AD1F9A">
            <w:r w:rsidRPr="007B4823">
              <w:t>HUD- 53336 –A  Part A of MOA</w:t>
            </w:r>
          </w:p>
          <w:p w:rsidR="007B4823" w:rsidRPr="007B4823" w:rsidRDefault="007B4823" w:rsidP="00AD1F9A">
            <w:r w:rsidRPr="007B4823">
              <w:t>HUD- 53336 –Bi Instructions for Part B of MOA</w:t>
            </w:r>
          </w:p>
          <w:p w:rsidR="007B4823" w:rsidRPr="00377CB5" w:rsidRDefault="007B4823" w:rsidP="00AD1F9A">
            <w:r w:rsidRPr="007B4823">
              <w:t>HUD- 53336 –B Part B of MOA</w:t>
            </w:r>
          </w:p>
          <w:p w:rsidR="007B4823" w:rsidRDefault="007B4823" w:rsidP="00AD1F9A">
            <w:pPr>
              <w:tabs>
                <w:tab w:val="left" w:pos="480"/>
              </w:tabs>
              <w:rPr>
                <w:b/>
                <w:bCs/>
                <w:sz w:val="24"/>
              </w:rPr>
            </w:pPr>
          </w:p>
        </w:tc>
        <w:tc>
          <w:tcPr>
            <w:tcW w:w="1710" w:type="dxa"/>
            <w:tcBorders>
              <w:bottom w:val="single" w:sz="4" w:space="0" w:color="auto"/>
            </w:tcBorders>
            <w:shd w:val="clear" w:color="auto" w:fill="F3F3F3"/>
          </w:tcPr>
          <w:p w:rsidR="007B4823" w:rsidRDefault="007B4823" w:rsidP="00AD1F9A">
            <w:pPr>
              <w:tabs>
                <w:tab w:val="left" w:pos="480"/>
              </w:tabs>
              <w:rPr>
                <w:b/>
                <w:bCs/>
                <w:sz w:val="24"/>
              </w:rPr>
            </w:pPr>
            <w:r>
              <w:rPr>
                <w:b/>
                <w:bCs/>
                <w:sz w:val="24"/>
              </w:rPr>
              <w:t xml:space="preserve">Number of </w:t>
            </w:r>
          </w:p>
          <w:p w:rsidR="007B4823" w:rsidRDefault="007B4823" w:rsidP="00AD1F9A">
            <w:pPr>
              <w:tabs>
                <w:tab w:val="left" w:pos="480"/>
              </w:tabs>
              <w:rPr>
                <w:b/>
                <w:bCs/>
                <w:sz w:val="24"/>
              </w:rPr>
            </w:pPr>
            <w:r>
              <w:rPr>
                <w:b/>
                <w:bCs/>
                <w:sz w:val="24"/>
              </w:rPr>
              <w:t>MOA Progress Report</w:t>
            </w:r>
          </w:p>
          <w:p w:rsidR="007B4823" w:rsidRDefault="007B4823" w:rsidP="00AD1F9A">
            <w:pPr>
              <w:tabs>
                <w:tab w:val="left" w:pos="480"/>
              </w:tabs>
              <w:rPr>
                <w:b/>
                <w:bCs/>
                <w:sz w:val="24"/>
              </w:rPr>
            </w:pPr>
            <w:r>
              <w:rPr>
                <w:b/>
                <w:bCs/>
                <w:sz w:val="24"/>
              </w:rPr>
              <w:t>Respondents</w:t>
            </w:r>
          </w:p>
          <w:p w:rsidR="007B4823" w:rsidRDefault="007B4823" w:rsidP="00AD1F9A">
            <w:pPr>
              <w:tabs>
                <w:tab w:val="left" w:pos="480"/>
              </w:tabs>
              <w:rPr>
                <w:b/>
                <w:bCs/>
                <w:sz w:val="24"/>
              </w:rPr>
            </w:pPr>
          </w:p>
          <w:p w:rsidR="007B4823" w:rsidRPr="007B4823" w:rsidRDefault="007B4823" w:rsidP="00AD1F9A">
            <w:r w:rsidRPr="007B4823">
              <w:t>HUD- 53337i – Instructions for Progress Report</w:t>
            </w:r>
          </w:p>
          <w:p w:rsidR="007B4823" w:rsidRDefault="007B4823" w:rsidP="00AD1F9A">
            <w:pPr>
              <w:rPr>
                <w:b/>
                <w:bCs/>
                <w:sz w:val="24"/>
              </w:rPr>
            </w:pPr>
            <w:r w:rsidRPr="007B4823">
              <w:t>HUD- 53337 –Progress Report</w:t>
            </w:r>
          </w:p>
        </w:tc>
        <w:tc>
          <w:tcPr>
            <w:tcW w:w="1530" w:type="dxa"/>
            <w:tcBorders>
              <w:bottom w:val="single" w:sz="4" w:space="0" w:color="auto"/>
            </w:tcBorders>
            <w:shd w:val="clear" w:color="auto" w:fill="F3F3F3"/>
          </w:tcPr>
          <w:p w:rsidR="007B4823" w:rsidRDefault="007B4823" w:rsidP="00AD1F9A">
            <w:pPr>
              <w:tabs>
                <w:tab w:val="left" w:pos="480"/>
              </w:tabs>
              <w:rPr>
                <w:b/>
                <w:bCs/>
                <w:sz w:val="24"/>
              </w:rPr>
            </w:pPr>
            <w:r>
              <w:rPr>
                <w:b/>
                <w:bCs/>
                <w:sz w:val="24"/>
              </w:rPr>
              <w:t>Number of IP Respondents</w:t>
            </w:r>
          </w:p>
          <w:p w:rsidR="007B4823" w:rsidRDefault="007B4823" w:rsidP="00AD1F9A">
            <w:pPr>
              <w:tabs>
                <w:tab w:val="left" w:pos="480"/>
              </w:tabs>
              <w:rPr>
                <w:b/>
                <w:bCs/>
                <w:sz w:val="24"/>
              </w:rPr>
            </w:pPr>
          </w:p>
          <w:p w:rsidR="007B4823" w:rsidRPr="00377CB5" w:rsidRDefault="007B4823" w:rsidP="00AD1F9A">
            <w:r w:rsidRPr="007B4823">
              <w:t>HUD- 53338 –Improvement Plan</w:t>
            </w:r>
          </w:p>
          <w:p w:rsidR="007B4823" w:rsidRDefault="007B4823" w:rsidP="00AD1F9A">
            <w:pPr>
              <w:tabs>
                <w:tab w:val="left" w:pos="480"/>
              </w:tabs>
              <w:rPr>
                <w:b/>
                <w:bCs/>
                <w:sz w:val="24"/>
              </w:rPr>
            </w:pPr>
          </w:p>
        </w:tc>
        <w:tc>
          <w:tcPr>
            <w:tcW w:w="1350" w:type="dxa"/>
            <w:tcBorders>
              <w:bottom w:val="single" w:sz="4" w:space="0" w:color="auto"/>
            </w:tcBorders>
            <w:shd w:val="clear" w:color="auto" w:fill="F3F3F3"/>
          </w:tcPr>
          <w:p w:rsidR="007B4823" w:rsidRDefault="007B4823" w:rsidP="00AD1F9A">
            <w:pPr>
              <w:tabs>
                <w:tab w:val="left" w:pos="480"/>
              </w:tabs>
              <w:rPr>
                <w:b/>
                <w:bCs/>
                <w:sz w:val="24"/>
              </w:rPr>
            </w:pPr>
            <w:r>
              <w:rPr>
                <w:b/>
                <w:bCs/>
                <w:sz w:val="24"/>
              </w:rPr>
              <w:t xml:space="preserve">Annual </w:t>
            </w:r>
          </w:p>
          <w:p w:rsidR="007B4823" w:rsidRDefault="007B4823" w:rsidP="00AD1F9A">
            <w:pPr>
              <w:tabs>
                <w:tab w:val="left" w:pos="480"/>
              </w:tabs>
              <w:rPr>
                <w:b/>
                <w:bCs/>
                <w:sz w:val="24"/>
              </w:rPr>
            </w:pPr>
            <w:r>
              <w:rPr>
                <w:b/>
                <w:bCs/>
                <w:sz w:val="24"/>
              </w:rPr>
              <w:t>Responses</w:t>
            </w:r>
          </w:p>
        </w:tc>
        <w:tc>
          <w:tcPr>
            <w:tcW w:w="1260" w:type="dxa"/>
            <w:tcBorders>
              <w:bottom w:val="single" w:sz="4" w:space="0" w:color="auto"/>
            </w:tcBorders>
            <w:shd w:val="clear" w:color="auto" w:fill="F3F3F3"/>
          </w:tcPr>
          <w:p w:rsidR="007B4823" w:rsidRDefault="007B4823" w:rsidP="00AD1F9A">
            <w:pPr>
              <w:tabs>
                <w:tab w:val="left" w:pos="480"/>
              </w:tabs>
              <w:rPr>
                <w:b/>
                <w:bCs/>
                <w:sz w:val="24"/>
              </w:rPr>
            </w:pPr>
            <w:r>
              <w:rPr>
                <w:b/>
                <w:bCs/>
                <w:sz w:val="24"/>
              </w:rPr>
              <w:t xml:space="preserve">Hours </w:t>
            </w:r>
          </w:p>
          <w:p w:rsidR="007B4823" w:rsidRDefault="007B4823" w:rsidP="00AD1F9A">
            <w:pPr>
              <w:tabs>
                <w:tab w:val="left" w:pos="480"/>
              </w:tabs>
              <w:rPr>
                <w:b/>
                <w:bCs/>
                <w:sz w:val="24"/>
              </w:rPr>
            </w:pPr>
            <w:r>
              <w:rPr>
                <w:b/>
                <w:bCs/>
                <w:sz w:val="24"/>
              </w:rPr>
              <w:t>Per</w:t>
            </w:r>
          </w:p>
          <w:p w:rsidR="007B4823" w:rsidRDefault="007B4823" w:rsidP="00AD1F9A">
            <w:pPr>
              <w:tabs>
                <w:tab w:val="left" w:pos="480"/>
              </w:tabs>
              <w:rPr>
                <w:b/>
                <w:bCs/>
                <w:sz w:val="24"/>
              </w:rPr>
            </w:pPr>
            <w:r>
              <w:rPr>
                <w:b/>
                <w:bCs/>
                <w:sz w:val="24"/>
              </w:rPr>
              <w:t>Response</w:t>
            </w:r>
          </w:p>
        </w:tc>
        <w:tc>
          <w:tcPr>
            <w:tcW w:w="1260" w:type="dxa"/>
            <w:tcBorders>
              <w:bottom w:val="single" w:sz="4" w:space="0" w:color="auto"/>
            </w:tcBorders>
            <w:shd w:val="clear" w:color="auto" w:fill="F3F3F3"/>
          </w:tcPr>
          <w:p w:rsidR="007B4823" w:rsidRDefault="007B4823" w:rsidP="00AD1F9A">
            <w:pPr>
              <w:tabs>
                <w:tab w:val="left" w:pos="480"/>
              </w:tabs>
              <w:rPr>
                <w:b/>
                <w:bCs/>
                <w:sz w:val="24"/>
              </w:rPr>
            </w:pPr>
            <w:r>
              <w:rPr>
                <w:b/>
                <w:bCs/>
                <w:sz w:val="24"/>
              </w:rPr>
              <w:t>Burden</w:t>
            </w:r>
          </w:p>
          <w:p w:rsidR="007B4823" w:rsidRDefault="007B4823" w:rsidP="00AD1F9A">
            <w:pPr>
              <w:tabs>
                <w:tab w:val="left" w:pos="480"/>
              </w:tabs>
              <w:rPr>
                <w:b/>
                <w:bCs/>
                <w:sz w:val="24"/>
              </w:rPr>
            </w:pPr>
            <w:r>
              <w:rPr>
                <w:b/>
                <w:bCs/>
                <w:sz w:val="24"/>
              </w:rPr>
              <w:t>Hours</w:t>
            </w:r>
          </w:p>
        </w:tc>
      </w:tr>
      <w:tr w:rsidR="007B4823" w:rsidTr="00AD1F9A">
        <w:trPr>
          <w:cantSplit/>
        </w:trPr>
        <w:tc>
          <w:tcPr>
            <w:tcW w:w="1998" w:type="dxa"/>
          </w:tcPr>
          <w:p w:rsidR="007B4823" w:rsidRDefault="007B4823" w:rsidP="00AD1F9A">
            <w:pPr>
              <w:tabs>
                <w:tab w:val="left" w:pos="480"/>
              </w:tabs>
              <w:rPr>
                <w:sz w:val="24"/>
              </w:rPr>
            </w:pPr>
            <w:r>
              <w:rPr>
                <w:sz w:val="24"/>
              </w:rPr>
              <w:t>1-249</w:t>
            </w:r>
          </w:p>
        </w:tc>
        <w:tc>
          <w:tcPr>
            <w:tcW w:w="1620" w:type="dxa"/>
          </w:tcPr>
          <w:p w:rsidR="007B4823" w:rsidRDefault="007B4823" w:rsidP="00AD1F9A">
            <w:pPr>
              <w:tabs>
                <w:tab w:val="left" w:pos="480"/>
              </w:tabs>
              <w:rPr>
                <w:sz w:val="24"/>
              </w:rPr>
            </w:pPr>
            <w:r>
              <w:rPr>
                <w:sz w:val="24"/>
              </w:rPr>
              <w:t>111</w:t>
            </w:r>
          </w:p>
        </w:tc>
        <w:tc>
          <w:tcPr>
            <w:tcW w:w="1710" w:type="dxa"/>
          </w:tcPr>
          <w:p w:rsidR="007B4823" w:rsidRDefault="007B4823" w:rsidP="00AD1F9A">
            <w:pPr>
              <w:tabs>
                <w:tab w:val="left" w:pos="480"/>
              </w:tabs>
              <w:rPr>
                <w:sz w:val="24"/>
              </w:rPr>
            </w:pPr>
          </w:p>
        </w:tc>
        <w:tc>
          <w:tcPr>
            <w:tcW w:w="1530" w:type="dxa"/>
          </w:tcPr>
          <w:p w:rsidR="007B4823" w:rsidRDefault="007B4823" w:rsidP="00AD1F9A">
            <w:pPr>
              <w:tabs>
                <w:tab w:val="left" w:pos="480"/>
              </w:tabs>
              <w:rPr>
                <w:sz w:val="24"/>
              </w:rPr>
            </w:pPr>
          </w:p>
        </w:tc>
        <w:tc>
          <w:tcPr>
            <w:tcW w:w="1350" w:type="dxa"/>
          </w:tcPr>
          <w:p w:rsidR="007B4823" w:rsidRDefault="007B4823" w:rsidP="00AD1F9A">
            <w:pPr>
              <w:tabs>
                <w:tab w:val="left" w:pos="480"/>
              </w:tabs>
              <w:rPr>
                <w:sz w:val="24"/>
              </w:rPr>
            </w:pPr>
            <w:r>
              <w:rPr>
                <w:sz w:val="24"/>
              </w:rPr>
              <w:t>1</w:t>
            </w:r>
          </w:p>
        </w:tc>
        <w:tc>
          <w:tcPr>
            <w:tcW w:w="1260" w:type="dxa"/>
          </w:tcPr>
          <w:p w:rsidR="007B4823" w:rsidRDefault="007B4823" w:rsidP="00AD1F9A">
            <w:pPr>
              <w:tabs>
                <w:tab w:val="left" w:pos="480"/>
              </w:tabs>
              <w:rPr>
                <w:sz w:val="24"/>
              </w:rPr>
            </w:pPr>
            <w:r>
              <w:rPr>
                <w:sz w:val="24"/>
              </w:rPr>
              <w:t>10</w:t>
            </w:r>
          </w:p>
        </w:tc>
        <w:tc>
          <w:tcPr>
            <w:tcW w:w="1260" w:type="dxa"/>
          </w:tcPr>
          <w:p w:rsidR="007B4823" w:rsidRDefault="007B4823" w:rsidP="00AD1F9A">
            <w:pPr>
              <w:tabs>
                <w:tab w:val="left" w:pos="480"/>
              </w:tabs>
              <w:rPr>
                <w:sz w:val="24"/>
              </w:rPr>
            </w:pPr>
            <w:r>
              <w:rPr>
                <w:sz w:val="24"/>
              </w:rPr>
              <w:t>1,110</w:t>
            </w:r>
          </w:p>
        </w:tc>
      </w:tr>
      <w:tr w:rsidR="007B4823" w:rsidTr="00AD1F9A">
        <w:trPr>
          <w:cantSplit/>
        </w:trPr>
        <w:tc>
          <w:tcPr>
            <w:tcW w:w="1998" w:type="dxa"/>
            <w:tcBorders>
              <w:bottom w:val="single" w:sz="4" w:space="0" w:color="auto"/>
            </w:tcBorders>
          </w:tcPr>
          <w:p w:rsidR="007B4823" w:rsidRDefault="007B4823" w:rsidP="00AD1F9A">
            <w:pPr>
              <w:tabs>
                <w:tab w:val="left" w:pos="480"/>
              </w:tabs>
              <w:rPr>
                <w:sz w:val="24"/>
              </w:rPr>
            </w:pPr>
            <w:r>
              <w:rPr>
                <w:sz w:val="24"/>
              </w:rPr>
              <w:t>250-1,249</w:t>
            </w:r>
          </w:p>
        </w:tc>
        <w:tc>
          <w:tcPr>
            <w:tcW w:w="1620" w:type="dxa"/>
            <w:tcBorders>
              <w:bottom w:val="single" w:sz="4" w:space="0" w:color="auto"/>
            </w:tcBorders>
          </w:tcPr>
          <w:p w:rsidR="007B4823" w:rsidRDefault="007B4823" w:rsidP="00AD1F9A">
            <w:pPr>
              <w:tabs>
                <w:tab w:val="left" w:pos="480"/>
              </w:tabs>
              <w:rPr>
                <w:sz w:val="24"/>
              </w:rPr>
            </w:pPr>
            <w:r>
              <w:rPr>
                <w:sz w:val="24"/>
              </w:rPr>
              <w:t>50</w:t>
            </w:r>
          </w:p>
        </w:tc>
        <w:tc>
          <w:tcPr>
            <w:tcW w:w="1710" w:type="dxa"/>
            <w:tcBorders>
              <w:bottom w:val="single" w:sz="4" w:space="0" w:color="auto"/>
            </w:tcBorders>
          </w:tcPr>
          <w:p w:rsidR="007B4823" w:rsidRDefault="007B4823" w:rsidP="00AD1F9A">
            <w:pPr>
              <w:tabs>
                <w:tab w:val="left" w:pos="480"/>
              </w:tabs>
              <w:rPr>
                <w:sz w:val="24"/>
              </w:rPr>
            </w:pPr>
          </w:p>
        </w:tc>
        <w:tc>
          <w:tcPr>
            <w:tcW w:w="1530" w:type="dxa"/>
            <w:tcBorders>
              <w:bottom w:val="single" w:sz="4" w:space="0" w:color="auto"/>
            </w:tcBorders>
          </w:tcPr>
          <w:p w:rsidR="007B4823" w:rsidRDefault="007B4823" w:rsidP="00AD1F9A">
            <w:pPr>
              <w:tabs>
                <w:tab w:val="left" w:pos="480"/>
              </w:tabs>
              <w:rPr>
                <w:sz w:val="24"/>
              </w:rPr>
            </w:pPr>
          </w:p>
        </w:tc>
        <w:tc>
          <w:tcPr>
            <w:tcW w:w="1350" w:type="dxa"/>
            <w:tcBorders>
              <w:bottom w:val="single" w:sz="4" w:space="0" w:color="auto"/>
            </w:tcBorders>
          </w:tcPr>
          <w:p w:rsidR="007B4823" w:rsidRDefault="007B4823" w:rsidP="00AD1F9A">
            <w:pPr>
              <w:tabs>
                <w:tab w:val="left" w:pos="480"/>
              </w:tabs>
              <w:rPr>
                <w:sz w:val="24"/>
              </w:rPr>
            </w:pPr>
            <w:r>
              <w:rPr>
                <w:sz w:val="24"/>
              </w:rPr>
              <w:t>1</w:t>
            </w:r>
          </w:p>
        </w:tc>
        <w:tc>
          <w:tcPr>
            <w:tcW w:w="1260" w:type="dxa"/>
            <w:tcBorders>
              <w:bottom w:val="single" w:sz="4" w:space="0" w:color="auto"/>
            </w:tcBorders>
          </w:tcPr>
          <w:p w:rsidR="007B4823" w:rsidRDefault="007B4823" w:rsidP="00AD1F9A">
            <w:pPr>
              <w:tabs>
                <w:tab w:val="left" w:pos="480"/>
              </w:tabs>
              <w:rPr>
                <w:sz w:val="24"/>
              </w:rPr>
            </w:pPr>
            <w:r>
              <w:rPr>
                <w:sz w:val="24"/>
              </w:rPr>
              <w:t>16</w:t>
            </w:r>
          </w:p>
        </w:tc>
        <w:tc>
          <w:tcPr>
            <w:tcW w:w="1260" w:type="dxa"/>
            <w:tcBorders>
              <w:bottom w:val="single" w:sz="4" w:space="0" w:color="auto"/>
            </w:tcBorders>
          </w:tcPr>
          <w:p w:rsidR="007B4823" w:rsidRDefault="007B4823" w:rsidP="00AD1F9A">
            <w:pPr>
              <w:tabs>
                <w:tab w:val="left" w:pos="480"/>
              </w:tabs>
              <w:rPr>
                <w:sz w:val="24"/>
              </w:rPr>
            </w:pPr>
            <w:r>
              <w:rPr>
                <w:sz w:val="24"/>
              </w:rPr>
              <w:t>800</w:t>
            </w:r>
          </w:p>
        </w:tc>
      </w:tr>
      <w:tr w:rsidR="007B4823" w:rsidTr="00AD1F9A">
        <w:trPr>
          <w:cantSplit/>
        </w:trPr>
        <w:tc>
          <w:tcPr>
            <w:tcW w:w="1998" w:type="dxa"/>
            <w:tcBorders>
              <w:bottom w:val="single" w:sz="18" w:space="0" w:color="auto"/>
            </w:tcBorders>
          </w:tcPr>
          <w:p w:rsidR="007B4823" w:rsidRDefault="007B4823" w:rsidP="00AD1F9A">
            <w:pPr>
              <w:tabs>
                <w:tab w:val="left" w:pos="480"/>
              </w:tabs>
              <w:rPr>
                <w:sz w:val="24"/>
              </w:rPr>
            </w:pPr>
            <w:r>
              <w:rPr>
                <w:sz w:val="24"/>
              </w:rPr>
              <w:t>1,250+</w:t>
            </w:r>
          </w:p>
        </w:tc>
        <w:tc>
          <w:tcPr>
            <w:tcW w:w="1620" w:type="dxa"/>
            <w:tcBorders>
              <w:bottom w:val="single" w:sz="18" w:space="0" w:color="auto"/>
            </w:tcBorders>
          </w:tcPr>
          <w:p w:rsidR="007B4823" w:rsidRDefault="007B4823" w:rsidP="00AD1F9A">
            <w:pPr>
              <w:tabs>
                <w:tab w:val="left" w:pos="480"/>
              </w:tabs>
              <w:rPr>
                <w:sz w:val="24"/>
              </w:rPr>
            </w:pPr>
            <w:r>
              <w:rPr>
                <w:sz w:val="24"/>
              </w:rPr>
              <w:t>11</w:t>
            </w:r>
          </w:p>
        </w:tc>
        <w:tc>
          <w:tcPr>
            <w:tcW w:w="1710" w:type="dxa"/>
            <w:tcBorders>
              <w:bottom w:val="single" w:sz="18" w:space="0" w:color="auto"/>
            </w:tcBorders>
          </w:tcPr>
          <w:p w:rsidR="007B4823" w:rsidRDefault="007B4823" w:rsidP="00AD1F9A">
            <w:pPr>
              <w:tabs>
                <w:tab w:val="left" w:pos="480"/>
              </w:tabs>
              <w:rPr>
                <w:sz w:val="24"/>
              </w:rPr>
            </w:pPr>
          </w:p>
        </w:tc>
        <w:tc>
          <w:tcPr>
            <w:tcW w:w="1530" w:type="dxa"/>
            <w:tcBorders>
              <w:bottom w:val="single" w:sz="18" w:space="0" w:color="auto"/>
            </w:tcBorders>
          </w:tcPr>
          <w:p w:rsidR="007B4823" w:rsidRDefault="007B4823" w:rsidP="00AD1F9A">
            <w:pPr>
              <w:tabs>
                <w:tab w:val="left" w:pos="480"/>
              </w:tabs>
              <w:rPr>
                <w:sz w:val="24"/>
              </w:rPr>
            </w:pPr>
          </w:p>
        </w:tc>
        <w:tc>
          <w:tcPr>
            <w:tcW w:w="1350" w:type="dxa"/>
            <w:tcBorders>
              <w:bottom w:val="single" w:sz="18" w:space="0" w:color="auto"/>
            </w:tcBorders>
          </w:tcPr>
          <w:p w:rsidR="007B4823" w:rsidRDefault="007B4823" w:rsidP="00AD1F9A">
            <w:pPr>
              <w:tabs>
                <w:tab w:val="left" w:pos="480"/>
              </w:tabs>
              <w:rPr>
                <w:sz w:val="24"/>
              </w:rPr>
            </w:pPr>
            <w:r>
              <w:rPr>
                <w:sz w:val="24"/>
              </w:rPr>
              <w:t>1</w:t>
            </w:r>
          </w:p>
        </w:tc>
        <w:tc>
          <w:tcPr>
            <w:tcW w:w="1260" w:type="dxa"/>
            <w:tcBorders>
              <w:bottom w:val="single" w:sz="18" w:space="0" w:color="auto"/>
            </w:tcBorders>
          </w:tcPr>
          <w:p w:rsidR="007B4823" w:rsidRDefault="007B4823" w:rsidP="00AD1F9A">
            <w:pPr>
              <w:tabs>
                <w:tab w:val="left" w:pos="480"/>
              </w:tabs>
              <w:rPr>
                <w:sz w:val="24"/>
              </w:rPr>
            </w:pPr>
            <w:r>
              <w:rPr>
                <w:sz w:val="24"/>
              </w:rPr>
              <w:t>40</w:t>
            </w:r>
          </w:p>
        </w:tc>
        <w:tc>
          <w:tcPr>
            <w:tcW w:w="1260" w:type="dxa"/>
            <w:tcBorders>
              <w:bottom w:val="single" w:sz="18" w:space="0" w:color="auto"/>
            </w:tcBorders>
          </w:tcPr>
          <w:p w:rsidR="007B4823" w:rsidRDefault="007B4823" w:rsidP="00AD1F9A">
            <w:pPr>
              <w:tabs>
                <w:tab w:val="left" w:pos="480"/>
              </w:tabs>
              <w:rPr>
                <w:sz w:val="24"/>
              </w:rPr>
            </w:pPr>
            <w:r>
              <w:rPr>
                <w:sz w:val="24"/>
              </w:rPr>
              <w:t>440</w:t>
            </w:r>
          </w:p>
        </w:tc>
      </w:tr>
      <w:tr w:rsidR="007B4823" w:rsidTr="00AD1F9A">
        <w:trPr>
          <w:cantSplit/>
        </w:trPr>
        <w:tc>
          <w:tcPr>
            <w:tcW w:w="1998" w:type="dxa"/>
            <w:tcBorders>
              <w:top w:val="single" w:sz="18" w:space="0" w:color="auto"/>
              <w:bottom w:val="single" w:sz="6" w:space="0" w:color="auto"/>
              <w:right w:val="single" w:sz="6" w:space="0" w:color="auto"/>
            </w:tcBorders>
          </w:tcPr>
          <w:p w:rsidR="007B4823" w:rsidRDefault="007B4823" w:rsidP="00AD1F9A">
            <w:pPr>
              <w:tabs>
                <w:tab w:val="left" w:pos="480"/>
              </w:tabs>
              <w:rPr>
                <w:sz w:val="24"/>
              </w:rPr>
            </w:pPr>
            <w:r>
              <w:rPr>
                <w:sz w:val="24"/>
              </w:rPr>
              <w:t>1-249</w:t>
            </w:r>
          </w:p>
        </w:tc>
        <w:tc>
          <w:tcPr>
            <w:tcW w:w="1620" w:type="dxa"/>
            <w:tcBorders>
              <w:top w:val="single" w:sz="18" w:space="0" w:color="auto"/>
              <w:left w:val="single" w:sz="6" w:space="0" w:color="auto"/>
              <w:bottom w:val="single" w:sz="6" w:space="0" w:color="auto"/>
              <w:right w:val="single" w:sz="6" w:space="0" w:color="auto"/>
            </w:tcBorders>
          </w:tcPr>
          <w:p w:rsidR="007B4823" w:rsidRDefault="007B4823" w:rsidP="00AD1F9A">
            <w:pPr>
              <w:tabs>
                <w:tab w:val="left" w:pos="480"/>
              </w:tabs>
              <w:rPr>
                <w:sz w:val="24"/>
              </w:rPr>
            </w:pPr>
          </w:p>
        </w:tc>
        <w:tc>
          <w:tcPr>
            <w:tcW w:w="1710" w:type="dxa"/>
            <w:tcBorders>
              <w:top w:val="single" w:sz="18" w:space="0" w:color="auto"/>
              <w:left w:val="single" w:sz="6" w:space="0" w:color="auto"/>
              <w:bottom w:val="single" w:sz="6" w:space="0" w:color="auto"/>
              <w:right w:val="single" w:sz="6" w:space="0" w:color="auto"/>
            </w:tcBorders>
          </w:tcPr>
          <w:p w:rsidR="007B4823" w:rsidRDefault="007B4823" w:rsidP="00AD1F9A">
            <w:pPr>
              <w:tabs>
                <w:tab w:val="left" w:pos="480"/>
              </w:tabs>
              <w:rPr>
                <w:sz w:val="24"/>
              </w:rPr>
            </w:pPr>
            <w:r>
              <w:rPr>
                <w:sz w:val="24"/>
              </w:rPr>
              <w:t>111</w:t>
            </w:r>
          </w:p>
        </w:tc>
        <w:tc>
          <w:tcPr>
            <w:tcW w:w="1530" w:type="dxa"/>
            <w:tcBorders>
              <w:top w:val="single" w:sz="18" w:space="0" w:color="auto"/>
              <w:left w:val="single" w:sz="6" w:space="0" w:color="auto"/>
              <w:bottom w:val="single" w:sz="6" w:space="0" w:color="auto"/>
              <w:right w:val="single" w:sz="6" w:space="0" w:color="auto"/>
            </w:tcBorders>
          </w:tcPr>
          <w:p w:rsidR="007B4823" w:rsidRDefault="007B4823" w:rsidP="00AD1F9A">
            <w:pPr>
              <w:tabs>
                <w:tab w:val="left" w:pos="480"/>
              </w:tabs>
              <w:rPr>
                <w:sz w:val="24"/>
              </w:rPr>
            </w:pPr>
          </w:p>
        </w:tc>
        <w:tc>
          <w:tcPr>
            <w:tcW w:w="1350" w:type="dxa"/>
            <w:tcBorders>
              <w:top w:val="single" w:sz="18" w:space="0" w:color="auto"/>
              <w:left w:val="single" w:sz="6" w:space="0" w:color="auto"/>
              <w:bottom w:val="single" w:sz="6" w:space="0" w:color="auto"/>
              <w:right w:val="single" w:sz="6" w:space="0" w:color="auto"/>
            </w:tcBorders>
          </w:tcPr>
          <w:p w:rsidR="007B4823" w:rsidRDefault="007B4823" w:rsidP="00AD1F9A">
            <w:pPr>
              <w:tabs>
                <w:tab w:val="left" w:pos="480"/>
              </w:tabs>
              <w:rPr>
                <w:sz w:val="24"/>
              </w:rPr>
            </w:pPr>
            <w:r>
              <w:rPr>
                <w:sz w:val="24"/>
              </w:rPr>
              <w:t>4</w:t>
            </w:r>
          </w:p>
        </w:tc>
        <w:tc>
          <w:tcPr>
            <w:tcW w:w="1260" w:type="dxa"/>
            <w:tcBorders>
              <w:top w:val="single" w:sz="18" w:space="0" w:color="auto"/>
              <w:left w:val="single" w:sz="6" w:space="0" w:color="auto"/>
              <w:bottom w:val="single" w:sz="6" w:space="0" w:color="auto"/>
              <w:right w:val="single" w:sz="6" w:space="0" w:color="auto"/>
            </w:tcBorders>
          </w:tcPr>
          <w:p w:rsidR="007B4823" w:rsidRDefault="007B4823" w:rsidP="00AD1F9A">
            <w:pPr>
              <w:tabs>
                <w:tab w:val="left" w:pos="480"/>
              </w:tabs>
              <w:rPr>
                <w:sz w:val="24"/>
              </w:rPr>
            </w:pPr>
            <w:r>
              <w:rPr>
                <w:sz w:val="24"/>
              </w:rPr>
              <w:t>24</w:t>
            </w:r>
          </w:p>
        </w:tc>
        <w:tc>
          <w:tcPr>
            <w:tcW w:w="1260" w:type="dxa"/>
            <w:tcBorders>
              <w:top w:val="single" w:sz="18" w:space="0" w:color="auto"/>
              <w:left w:val="single" w:sz="6" w:space="0" w:color="auto"/>
              <w:bottom w:val="single" w:sz="6" w:space="0" w:color="auto"/>
            </w:tcBorders>
          </w:tcPr>
          <w:p w:rsidR="007B4823" w:rsidRDefault="007B4823" w:rsidP="00AD1F9A">
            <w:pPr>
              <w:tabs>
                <w:tab w:val="left" w:pos="480"/>
              </w:tabs>
              <w:rPr>
                <w:sz w:val="24"/>
              </w:rPr>
            </w:pPr>
            <w:r>
              <w:rPr>
                <w:sz w:val="24"/>
              </w:rPr>
              <w:t>10.656</w:t>
            </w:r>
          </w:p>
        </w:tc>
      </w:tr>
      <w:tr w:rsidR="007B4823" w:rsidTr="00AD1F9A">
        <w:trPr>
          <w:cantSplit/>
        </w:trPr>
        <w:tc>
          <w:tcPr>
            <w:tcW w:w="1998" w:type="dxa"/>
            <w:tcBorders>
              <w:top w:val="single" w:sz="6" w:space="0" w:color="auto"/>
              <w:bottom w:val="single" w:sz="6" w:space="0" w:color="auto"/>
              <w:right w:val="single" w:sz="6" w:space="0" w:color="auto"/>
            </w:tcBorders>
          </w:tcPr>
          <w:p w:rsidR="007B4823" w:rsidRDefault="007B4823" w:rsidP="00AD1F9A">
            <w:pPr>
              <w:tabs>
                <w:tab w:val="left" w:pos="480"/>
              </w:tabs>
              <w:rPr>
                <w:sz w:val="24"/>
              </w:rPr>
            </w:pPr>
            <w:r>
              <w:rPr>
                <w:sz w:val="24"/>
              </w:rPr>
              <w:t>250-1,249</w:t>
            </w:r>
          </w:p>
        </w:tc>
        <w:tc>
          <w:tcPr>
            <w:tcW w:w="1620" w:type="dxa"/>
            <w:tcBorders>
              <w:top w:val="single" w:sz="6" w:space="0" w:color="auto"/>
              <w:left w:val="single" w:sz="6" w:space="0" w:color="auto"/>
              <w:bottom w:val="single" w:sz="6" w:space="0" w:color="auto"/>
              <w:right w:val="single" w:sz="6" w:space="0" w:color="auto"/>
            </w:tcBorders>
          </w:tcPr>
          <w:p w:rsidR="007B4823" w:rsidRDefault="007B4823" w:rsidP="00AD1F9A">
            <w:pPr>
              <w:tabs>
                <w:tab w:val="left" w:pos="480"/>
              </w:tabs>
              <w:rPr>
                <w:sz w:val="24"/>
              </w:rPr>
            </w:pPr>
          </w:p>
        </w:tc>
        <w:tc>
          <w:tcPr>
            <w:tcW w:w="1710" w:type="dxa"/>
            <w:tcBorders>
              <w:top w:val="single" w:sz="6" w:space="0" w:color="auto"/>
              <w:left w:val="single" w:sz="6" w:space="0" w:color="auto"/>
              <w:bottom w:val="single" w:sz="6" w:space="0" w:color="auto"/>
              <w:right w:val="single" w:sz="6" w:space="0" w:color="auto"/>
            </w:tcBorders>
          </w:tcPr>
          <w:p w:rsidR="007B4823" w:rsidRDefault="007B4823" w:rsidP="00AD1F9A">
            <w:pPr>
              <w:tabs>
                <w:tab w:val="left" w:pos="480"/>
              </w:tabs>
              <w:rPr>
                <w:sz w:val="24"/>
              </w:rPr>
            </w:pPr>
            <w:r>
              <w:rPr>
                <w:sz w:val="24"/>
              </w:rPr>
              <w:t>50</w:t>
            </w:r>
          </w:p>
        </w:tc>
        <w:tc>
          <w:tcPr>
            <w:tcW w:w="1530" w:type="dxa"/>
            <w:tcBorders>
              <w:top w:val="single" w:sz="6" w:space="0" w:color="auto"/>
              <w:left w:val="single" w:sz="6" w:space="0" w:color="auto"/>
              <w:bottom w:val="single" w:sz="6" w:space="0" w:color="auto"/>
              <w:right w:val="single" w:sz="6" w:space="0" w:color="auto"/>
            </w:tcBorders>
          </w:tcPr>
          <w:p w:rsidR="007B4823" w:rsidRDefault="007B4823" w:rsidP="00AD1F9A">
            <w:pPr>
              <w:tabs>
                <w:tab w:val="left" w:pos="480"/>
              </w:tabs>
              <w:rPr>
                <w:sz w:val="24"/>
              </w:rPr>
            </w:pPr>
          </w:p>
        </w:tc>
        <w:tc>
          <w:tcPr>
            <w:tcW w:w="1350" w:type="dxa"/>
            <w:tcBorders>
              <w:top w:val="single" w:sz="6" w:space="0" w:color="auto"/>
              <w:left w:val="single" w:sz="6" w:space="0" w:color="auto"/>
              <w:bottom w:val="single" w:sz="6" w:space="0" w:color="auto"/>
              <w:right w:val="single" w:sz="6" w:space="0" w:color="auto"/>
            </w:tcBorders>
          </w:tcPr>
          <w:p w:rsidR="007B4823" w:rsidRDefault="007B4823" w:rsidP="00AD1F9A">
            <w:pPr>
              <w:tabs>
                <w:tab w:val="left" w:pos="480"/>
              </w:tabs>
              <w:rPr>
                <w:sz w:val="24"/>
              </w:rPr>
            </w:pPr>
            <w:r>
              <w:rPr>
                <w:sz w:val="24"/>
              </w:rPr>
              <w:t>4</w:t>
            </w:r>
          </w:p>
        </w:tc>
        <w:tc>
          <w:tcPr>
            <w:tcW w:w="1260" w:type="dxa"/>
            <w:tcBorders>
              <w:top w:val="single" w:sz="6" w:space="0" w:color="auto"/>
              <w:left w:val="single" w:sz="6" w:space="0" w:color="auto"/>
              <w:bottom w:val="single" w:sz="6" w:space="0" w:color="auto"/>
              <w:right w:val="single" w:sz="6" w:space="0" w:color="auto"/>
            </w:tcBorders>
          </w:tcPr>
          <w:p w:rsidR="007B4823" w:rsidRDefault="007B4823" w:rsidP="00AD1F9A">
            <w:pPr>
              <w:tabs>
                <w:tab w:val="left" w:pos="480"/>
              </w:tabs>
              <w:rPr>
                <w:sz w:val="24"/>
              </w:rPr>
            </w:pPr>
            <w:r>
              <w:rPr>
                <w:sz w:val="24"/>
              </w:rPr>
              <w:t>40</w:t>
            </w:r>
          </w:p>
        </w:tc>
        <w:tc>
          <w:tcPr>
            <w:tcW w:w="1260" w:type="dxa"/>
            <w:tcBorders>
              <w:top w:val="single" w:sz="6" w:space="0" w:color="auto"/>
              <w:left w:val="single" w:sz="6" w:space="0" w:color="auto"/>
              <w:bottom w:val="single" w:sz="6" w:space="0" w:color="auto"/>
            </w:tcBorders>
          </w:tcPr>
          <w:p w:rsidR="007B4823" w:rsidRDefault="007B4823" w:rsidP="00AD1F9A">
            <w:pPr>
              <w:tabs>
                <w:tab w:val="left" w:pos="480"/>
              </w:tabs>
              <w:rPr>
                <w:sz w:val="24"/>
              </w:rPr>
            </w:pPr>
            <w:r>
              <w:rPr>
                <w:sz w:val="24"/>
              </w:rPr>
              <w:t>8,000</w:t>
            </w:r>
          </w:p>
        </w:tc>
      </w:tr>
      <w:tr w:rsidR="007B4823" w:rsidTr="00AD1F9A">
        <w:trPr>
          <w:cantSplit/>
        </w:trPr>
        <w:tc>
          <w:tcPr>
            <w:tcW w:w="1998" w:type="dxa"/>
            <w:tcBorders>
              <w:top w:val="single" w:sz="6" w:space="0" w:color="auto"/>
              <w:right w:val="single" w:sz="6" w:space="0" w:color="auto"/>
            </w:tcBorders>
          </w:tcPr>
          <w:p w:rsidR="007B4823" w:rsidRDefault="007B4823" w:rsidP="00AD1F9A">
            <w:pPr>
              <w:tabs>
                <w:tab w:val="left" w:pos="480"/>
              </w:tabs>
              <w:rPr>
                <w:sz w:val="24"/>
              </w:rPr>
            </w:pPr>
            <w:r>
              <w:rPr>
                <w:sz w:val="24"/>
              </w:rPr>
              <w:t>1,250+</w:t>
            </w:r>
          </w:p>
        </w:tc>
        <w:tc>
          <w:tcPr>
            <w:tcW w:w="1620" w:type="dxa"/>
            <w:tcBorders>
              <w:top w:val="single" w:sz="6" w:space="0" w:color="auto"/>
              <w:left w:val="single" w:sz="6" w:space="0" w:color="auto"/>
              <w:right w:val="single" w:sz="6" w:space="0" w:color="auto"/>
            </w:tcBorders>
          </w:tcPr>
          <w:p w:rsidR="007B4823" w:rsidRDefault="007B4823" w:rsidP="00AD1F9A">
            <w:pPr>
              <w:tabs>
                <w:tab w:val="left" w:pos="480"/>
              </w:tabs>
              <w:rPr>
                <w:sz w:val="24"/>
              </w:rPr>
            </w:pPr>
          </w:p>
        </w:tc>
        <w:tc>
          <w:tcPr>
            <w:tcW w:w="1710" w:type="dxa"/>
            <w:tcBorders>
              <w:top w:val="single" w:sz="6" w:space="0" w:color="auto"/>
              <w:left w:val="single" w:sz="6" w:space="0" w:color="auto"/>
              <w:right w:val="single" w:sz="6" w:space="0" w:color="auto"/>
            </w:tcBorders>
          </w:tcPr>
          <w:p w:rsidR="007B4823" w:rsidRDefault="007B4823" w:rsidP="00AD1F9A">
            <w:pPr>
              <w:tabs>
                <w:tab w:val="left" w:pos="480"/>
              </w:tabs>
              <w:rPr>
                <w:sz w:val="24"/>
              </w:rPr>
            </w:pPr>
            <w:r>
              <w:rPr>
                <w:sz w:val="24"/>
              </w:rPr>
              <w:t>11</w:t>
            </w:r>
          </w:p>
        </w:tc>
        <w:tc>
          <w:tcPr>
            <w:tcW w:w="1530" w:type="dxa"/>
            <w:tcBorders>
              <w:top w:val="single" w:sz="6" w:space="0" w:color="auto"/>
              <w:left w:val="single" w:sz="6" w:space="0" w:color="auto"/>
              <w:right w:val="single" w:sz="6" w:space="0" w:color="auto"/>
            </w:tcBorders>
          </w:tcPr>
          <w:p w:rsidR="007B4823" w:rsidRDefault="007B4823" w:rsidP="00AD1F9A">
            <w:pPr>
              <w:tabs>
                <w:tab w:val="left" w:pos="480"/>
              </w:tabs>
              <w:rPr>
                <w:sz w:val="24"/>
              </w:rPr>
            </w:pPr>
          </w:p>
        </w:tc>
        <w:tc>
          <w:tcPr>
            <w:tcW w:w="1350" w:type="dxa"/>
            <w:tcBorders>
              <w:top w:val="single" w:sz="6" w:space="0" w:color="auto"/>
              <w:left w:val="single" w:sz="6" w:space="0" w:color="auto"/>
              <w:right w:val="single" w:sz="6" w:space="0" w:color="auto"/>
            </w:tcBorders>
          </w:tcPr>
          <w:p w:rsidR="007B4823" w:rsidRDefault="007B4823" w:rsidP="00AD1F9A">
            <w:pPr>
              <w:tabs>
                <w:tab w:val="left" w:pos="480"/>
              </w:tabs>
              <w:rPr>
                <w:sz w:val="24"/>
              </w:rPr>
            </w:pPr>
            <w:r>
              <w:rPr>
                <w:sz w:val="24"/>
              </w:rPr>
              <w:t>4</w:t>
            </w:r>
          </w:p>
        </w:tc>
        <w:tc>
          <w:tcPr>
            <w:tcW w:w="1260" w:type="dxa"/>
            <w:tcBorders>
              <w:top w:val="single" w:sz="6" w:space="0" w:color="auto"/>
              <w:left w:val="single" w:sz="6" w:space="0" w:color="auto"/>
              <w:right w:val="single" w:sz="6" w:space="0" w:color="auto"/>
            </w:tcBorders>
          </w:tcPr>
          <w:p w:rsidR="007B4823" w:rsidRDefault="007B4823" w:rsidP="00AD1F9A">
            <w:pPr>
              <w:tabs>
                <w:tab w:val="left" w:pos="480"/>
              </w:tabs>
              <w:rPr>
                <w:sz w:val="24"/>
              </w:rPr>
            </w:pPr>
            <w:r>
              <w:rPr>
                <w:sz w:val="24"/>
              </w:rPr>
              <w:t>80</w:t>
            </w:r>
          </w:p>
        </w:tc>
        <w:tc>
          <w:tcPr>
            <w:tcW w:w="1260" w:type="dxa"/>
            <w:tcBorders>
              <w:top w:val="single" w:sz="6" w:space="0" w:color="auto"/>
              <w:left w:val="single" w:sz="6" w:space="0" w:color="auto"/>
            </w:tcBorders>
          </w:tcPr>
          <w:p w:rsidR="007B4823" w:rsidRDefault="007B4823" w:rsidP="00AD1F9A">
            <w:pPr>
              <w:tabs>
                <w:tab w:val="left" w:pos="480"/>
              </w:tabs>
              <w:rPr>
                <w:sz w:val="24"/>
              </w:rPr>
            </w:pPr>
            <w:r>
              <w:rPr>
                <w:sz w:val="24"/>
              </w:rPr>
              <w:t>3,520</w:t>
            </w:r>
          </w:p>
        </w:tc>
      </w:tr>
      <w:tr w:rsidR="007B4823" w:rsidTr="00AD1F9A">
        <w:trPr>
          <w:cantSplit/>
        </w:trPr>
        <w:tc>
          <w:tcPr>
            <w:tcW w:w="1998" w:type="dxa"/>
            <w:tcBorders>
              <w:top w:val="single" w:sz="18" w:space="0" w:color="auto"/>
            </w:tcBorders>
          </w:tcPr>
          <w:p w:rsidR="007B4823" w:rsidRDefault="007B4823" w:rsidP="00AD1F9A">
            <w:pPr>
              <w:tabs>
                <w:tab w:val="left" w:pos="480"/>
              </w:tabs>
              <w:rPr>
                <w:sz w:val="24"/>
              </w:rPr>
            </w:pPr>
            <w:r>
              <w:rPr>
                <w:sz w:val="24"/>
              </w:rPr>
              <w:t>1-249</w:t>
            </w:r>
          </w:p>
        </w:tc>
        <w:tc>
          <w:tcPr>
            <w:tcW w:w="1620" w:type="dxa"/>
            <w:tcBorders>
              <w:top w:val="single" w:sz="18" w:space="0" w:color="auto"/>
            </w:tcBorders>
          </w:tcPr>
          <w:p w:rsidR="007B4823" w:rsidRDefault="007B4823" w:rsidP="00AD1F9A">
            <w:pPr>
              <w:tabs>
                <w:tab w:val="left" w:pos="480"/>
              </w:tabs>
              <w:rPr>
                <w:sz w:val="24"/>
              </w:rPr>
            </w:pPr>
          </w:p>
        </w:tc>
        <w:tc>
          <w:tcPr>
            <w:tcW w:w="1710" w:type="dxa"/>
            <w:tcBorders>
              <w:top w:val="single" w:sz="18" w:space="0" w:color="auto"/>
            </w:tcBorders>
          </w:tcPr>
          <w:p w:rsidR="007B4823" w:rsidRDefault="007B4823" w:rsidP="00AD1F9A">
            <w:pPr>
              <w:tabs>
                <w:tab w:val="left" w:pos="480"/>
              </w:tabs>
              <w:rPr>
                <w:sz w:val="24"/>
              </w:rPr>
            </w:pPr>
          </w:p>
        </w:tc>
        <w:tc>
          <w:tcPr>
            <w:tcW w:w="1530" w:type="dxa"/>
            <w:tcBorders>
              <w:top w:val="single" w:sz="18" w:space="0" w:color="auto"/>
            </w:tcBorders>
          </w:tcPr>
          <w:p w:rsidR="007B4823" w:rsidRDefault="007B4823" w:rsidP="00AD1F9A">
            <w:pPr>
              <w:tabs>
                <w:tab w:val="left" w:pos="480"/>
              </w:tabs>
              <w:rPr>
                <w:sz w:val="24"/>
              </w:rPr>
            </w:pPr>
            <w:r>
              <w:rPr>
                <w:sz w:val="24"/>
              </w:rPr>
              <w:t>6</w:t>
            </w:r>
          </w:p>
        </w:tc>
        <w:tc>
          <w:tcPr>
            <w:tcW w:w="1350" w:type="dxa"/>
            <w:tcBorders>
              <w:top w:val="single" w:sz="18" w:space="0" w:color="auto"/>
            </w:tcBorders>
          </w:tcPr>
          <w:p w:rsidR="007B4823" w:rsidRDefault="007B4823" w:rsidP="00AD1F9A">
            <w:pPr>
              <w:tabs>
                <w:tab w:val="left" w:pos="480"/>
              </w:tabs>
              <w:rPr>
                <w:sz w:val="24"/>
              </w:rPr>
            </w:pPr>
            <w:r>
              <w:rPr>
                <w:sz w:val="24"/>
              </w:rPr>
              <w:t>4</w:t>
            </w:r>
          </w:p>
        </w:tc>
        <w:tc>
          <w:tcPr>
            <w:tcW w:w="1260" w:type="dxa"/>
            <w:tcBorders>
              <w:top w:val="single" w:sz="18" w:space="0" w:color="auto"/>
            </w:tcBorders>
          </w:tcPr>
          <w:p w:rsidR="007B4823" w:rsidRDefault="007B4823" w:rsidP="00AD1F9A">
            <w:pPr>
              <w:tabs>
                <w:tab w:val="left" w:pos="480"/>
              </w:tabs>
              <w:rPr>
                <w:sz w:val="24"/>
              </w:rPr>
            </w:pPr>
            <w:r>
              <w:rPr>
                <w:sz w:val="24"/>
              </w:rPr>
              <w:t>8</w:t>
            </w:r>
          </w:p>
        </w:tc>
        <w:tc>
          <w:tcPr>
            <w:tcW w:w="1260" w:type="dxa"/>
            <w:tcBorders>
              <w:top w:val="single" w:sz="18" w:space="0" w:color="auto"/>
            </w:tcBorders>
          </w:tcPr>
          <w:p w:rsidR="007B4823" w:rsidRDefault="007B4823" w:rsidP="00AD1F9A">
            <w:pPr>
              <w:tabs>
                <w:tab w:val="left" w:pos="480"/>
              </w:tabs>
              <w:rPr>
                <w:sz w:val="24"/>
              </w:rPr>
            </w:pPr>
            <w:r>
              <w:rPr>
                <w:sz w:val="24"/>
              </w:rPr>
              <w:t>192</w:t>
            </w:r>
          </w:p>
        </w:tc>
      </w:tr>
      <w:tr w:rsidR="007B4823" w:rsidTr="00AD1F9A">
        <w:trPr>
          <w:cantSplit/>
        </w:trPr>
        <w:tc>
          <w:tcPr>
            <w:tcW w:w="1998" w:type="dxa"/>
          </w:tcPr>
          <w:p w:rsidR="007B4823" w:rsidRDefault="007B4823" w:rsidP="00AD1F9A">
            <w:pPr>
              <w:pStyle w:val="Heading2"/>
              <w:rPr>
                <w:b w:val="0"/>
                <w:bCs w:val="0"/>
              </w:rPr>
            </w:pPr>
            <w:r>
              <w:rPr>
                <w:b w:val="0"/>
                <w:bCs w:val="0"/>
              </w:rPr>
              <w:t>250-1,249</w:t>
            </w:r>
          </w:p>
        </w:tc>
        <w:tc>
          <w:tcPr>
            <w:tcW w:w="1620" w:type="dxa"/>
          </w:tcPr>
          <w:p w:rsidR="007B4823" w:rsidRDefault="007B4823" w:rsidP="00AD1F9A">
            <w:pPr>
              <w:tabs>
                <w:tab w:val="left" w:pos="480"/>
              </w:tabs>
              <w:rPr>
                <w:sz w:val="24"/>
              </w:rPr>
            </w:pPr>
          </w:p>
        </w:tc>
        <w:tc>
          <w:tcPr>
            <w:tcW w:w="1710" w:type="dxa"/>
          </w:tcPr>
          <w:p w:rsidR="007B4823" w:rsidRDefault="007B4823" w:rsidP="00AD1F9A">
            <w:pPr>
              <w:tabs>
                <w:tab w:val="left" w:pos="480"/>
              </w:tabs>
              <w:rPr>
                <w:sz w:val="24"/>
              </w:rPr>
            </w:pPr>
          </w:p>
        </w:tc>
        <w:tc>
          <w:tcPr>
            <w:tcW w:w="1530" w:type="dxa"/>
          </w:tcPr>
          <w:p w:rsidR="007B4823" w:rsidRDefault="007B4823" w:rsidP="00AD1F9A">
            <w:pPr>
              <w:tabs>
                <w:tab w:val="left" w:pos="480"/>
              </w:tabs>
              <w:rPr>
                <w:sz w:val="24"/>
              </w:rPr>
            </w:pPr>
            <w:r>
              <w:rPr>
                <w:sz w:val="24"/>
              </w:rPr>
              <w:t>2</w:t>
            </w:r>
          </w:p>
        </w:tc>
        <w:tc>
          <w:tcPr>
            <w:tcW w:w="1350" w:type="dxa"/>
          </w:tcPr>
          <w:p w:rsidR="007B4823" w:rsidRDefault="007B4823" w:rsidP="00AD1F9A">
            <w:pPr>
              <w:tabs>
                <w:tab w:val="left" w:pos="480"/>
              </w:tabs>
              <w:rPr>
                <w:sz w:val="24"/>
              </w:rPr>
            </w:pPr>
            <w:r>
              <w:rPr>
                <w:sz w:val="24"/>
              </w:rPr>
              <w:t>4</w:t>
            </w:r>
          </w:p>
        </w:tc>
        <w:tc>
          <w:tcPr>
            <w:tcW w:w="1260" w:type="dxa"/>
          </w:tcPr>
          <w:p w:rsidR="007B4823" w:rsidRDefault="007B4823" w:rsidP="00AD1F9A">
            <w:pPr>
              <w:tabs>
                <w:tab w:val="left" w:pos="480"/>
              </w:tabs>
              <w:rPr>
                <w:sz w:val="24"/>
              </w:rPr>
            </w:pPr>
            <w:r>
              <w:rPr>
                <w:sz w:val="24"/>
              </w:rPr>
              <w:t>12</w:t>
            </w:r>
          </w:p>
        </w:tc>
        <w:tc>
          <w:tcPr>
            <w:tcW w:w="1260" w:type="dxa"/>
          </w:tcPr>
          <w:p w:rsidR="007B4823" w:rsidRDefault="007B4823" w:rsidP="00AD1F9A">
            <w:pPr>
              <w:tabs>
                <w:tab w:val="left" w:pos="480"/>
              </w:tabs>
              <w:rPr>
                <w:sz w:val="24"/>
              </w:rPr>
            </w:pPr>
            <w:r>
              <w:rPr>
                <w:sz w:val="24"/>
              </w:rPr>
              <w:t>96</w:t>
            </w:r>
          </w:p>
        </w:tc>
      </w:tr>
      <w:tr w:rsidR="007B4823" w:rsidTr="00AD1F9A">
        <w:trPr>
          <w:cantSplit/>
        </w:trPr>
        <w:tc>
          <w:tcPr>
            <w:tcW w:w="1998" w:type="dxa"/>
          </w:tcPr>
          <w:p w:rsidR="007B4823" w:rsidRDefault="007B4823" w:rsidP="00AD1F9A">
            <w:pPr>
              <w:pStyle w:val="Heading2"/>
              <w:rPr>
                <w:b w:val="0"/>
                <w:bCs w:val="0"/>
              </w:rPr>
            </w:pPr>
            <w:r>
              <w:rPr>
                <w:b w:val="0"/>
                <w:bCs w:val="0"/>
              </w:rPr>
              <w:t>1,250+</w:t>
            </w:r>
          </w:p>
        </w:tc>
        <w:tc>
          <w:tcPr>
            <w:tcW w:w="1620" w:type="dxa"/>
          </w:tcPr>
          <w:p w:rsidR="007B4823" w:rsidRDefault="007B4823" w:rsidP="00AD1F9A">
            <w:pPr>
              <w:tabs>
                <w:tab w:val="left" w:pos="480"/>
              </w:tabs>
              <w:rPr>
                <w:sz w:val="24"/>
              </w:rPr>
            </w:pPr>
          </w:p>
        </w:tc>
        <w:tc>
          <w:tcPr>
            <w:tcW w:w="1710" w:type="dxa"/>
          </w:tcPr>
          <w:p w:rsidR="007B4823" w:rsidRDefault="007B4823" w:rsidP="00AD1F9A">
            <w:pPr>
              <w:tabs>
                <w:tab w:val="left" w:pos="480"/>
              </w:tabs>
              <w:rPr>
                <w:sz w:val="24"/>
              </w:rPr>
            </w:pPr>
          </w:p>
        </w:tc>
        <w:tc>
          <w:tcPr>
            <w:tcW w:w="1530" w:type="dxa"/>
          </w:tcPr>
          <w:p w:rsidR="007B4823" w:rsidRDefault="007B4823" w:rsidP="00AD1F9A">
            <w:pPr>
              <w:tabs>
                <w:tab w:val="left" w:pos="480"/>
              </w:tabs>
              <w:rPr>
                <w:sz w:val="24"/>
              </w:rPr>
            </w:pPr>
            <w:r>
              <w:rPr>
                <w:sz w:val="24"/>
              </w:rPr>
              <w:t>2</w:t>
            </w:r>
          </w:p>
        </w:tc>
        <w:tc>
          <w:tcPr>
            <w:tcW w:w="1350" w:type="dxa"/>
          </w:tcPr>
          <w:p w:rsidR="007B4823" w:rsidRDefault="007B4823" w:rsidP="00AD1F9A">
            <w:pPr>
              <w:tabs>
                <w:tab w:val="left" w:pos="480"/>
              </w:tabs>
              <w:rPr>
                <w:sz w:val="24"/>
              </w:rPr>
            </w:pPr>
            <w:r>
              <w:rPr>
                <w:sz w:val="24"/>
              </w:rPr>
              <w:t>4</w:t>
            </w:r>
          </w:p>
        </w:tc>
        <w:tc>
          <w:tcPr>
            <w:tcW w:w="1260" w:type="dxa"/>
          </w:tcPr>
          <w:p w:rsidR="007B4823" w:rsidRDefault="007B4823" w:rsidP="00AD1F9A">
            <w:pPr>
              <w:tabs>
                <w:tab w:val="left" w:pos="480"/>
              </w:tabs>
              <w:rPr>
                <w:sz w:val="24"/>
              </w:rPr>
            </w:pPr>
            <w:r>
              <w:rPr>
                <w:sz w:val="24"/>
              </w:rPr>
              <w:t>40</w:t>
            </w:r>
          </w:p>
        </w:tc>
        <w:tc>
          <w:tcPr>
            <w:tcW w:w="1260" w:type="dxa"/>
          </w:tcPr>
          <w:p w:rsidR="007B4823" w:rsidRDefault="007B4823" w:rsidP="00AD1F9A">
            <w:pPr>
              <w:tabs>
                <w:tab w:val="left" w:pos="480"/>
              </w:tabs>
              <w:rPr>
                <w:sz w:val="24"/>
              </w:rPr>
            </w:pPr>
            <w:r>
              <w:rPr>
                <w:sz w:val="24"/>
              </w:rPr>
              <w:t>320</w:t>
            </w:r>
          </w:p>
        </w:tc>
      </w:tr>
      <w:tr w:rsidR="007B4823" w:rsidTr="00AD1F9A">
        <w:trPr>
          <w:cantSplit/>
        </w:trPr>
        <w:tc>
          <w:tcPr>
            <w:tcW w:w="1998" w:type="dxa"/>
          </w:tcPr>
          <w:p w:rsidR="007B4823" w:rsidRDefault="007B4823" w:rsidP="00AD1F9A">
            <w:pPr>
              <w:pStyle w:val="Heading2"/>
            </w:pPr>
            <w:r>
              <w:t xml:space="preserve">Total Reporting </w:t>
            </w:r>
          </w:p>
          <w:p w:rsidR="007B4823" w:rsidRDefault="007B4823" w:rsidP="00AD1F9A">
            <w:pPr>
              <w:pStyle w:val="Heading2"/>
            </w:pPr>
            <w:r>
              <w:t>Burden</w:t>
            </w:r>
          </w:p>
        </w:tc>
        <w:tc>
          <w:tcPr>
            <w:tcW w:w="1620" w:type="dxa"/>
          </w:tcPr>
          <w:p w:rsidR="007B4823" w:rsidRDefault="007B4823" w:rsidP="00AD1F9A">
            <w:pPr>
              <w:tabs>
                <w:tab w:val="left" w:pos="480"/>
              </w:tabs>
              <w:rPr>
                <w:sz w:val="24"/>
              </w:rPr>
            </w:pPr>
          </w:p>
        </w:tc>
        <w:tc>
          <w:tcPr>
            <w:tcW w:w="1710" w:type="dxa"/>
          </w:tcPr>
          <w:p w:rsidR="007B4823" w:rsidRDefault="007B4823" w:rsidP="00AD1F9A">
            <w:pPr>
              <w:tabs>
                <w:tab w:val="left" w:pos="480"/>
              </w:tabs>
              <w:rPr>
                <w:sz w:val="24"/>
              </w:rPr>
            </w:pPr>
          </w:p>
        </w:tc>
        <w:tc>
          <w:tcPr>
            <w:tcW w:w="1530" w:type="dxa"/>
          </w:tcPr>
          <w:p w:rsidR="007B4823" w:rsidRDefault="007B4823" w:rsidP="00AD1F9A">
            <w:pPr>
              <w:tabs>
                <w:tab w:val="left" w:pos="480"/>
              </w:tabs>
              <w:rPr>
                <w:sz w:val="24"/>
              </w:rPr>
            </w:pPr>
          </w:p>
        </w:tc>
        <w:tc>
          <w:tcPr>
            <w:tcW w:w="1350" w:type="dxa"/>
          </w:tcPr>
          <w:p w:rsidR="007B4823" w:rsidRDefault="007B4823" w:rsidP="00AD1F9A">
            <w:pPr>
              <w:tabs>
                <w:tab w:val="left" w:pos="480"/>
              </w:tabs>
              <w:rPr>
                <w:sz w:val="24"/>
              </w:rPr>
            </w:pPr>
          </w:p>
        </w:tc>
        <w:tc>
          <w:tcPr>
            <w:tcW w:w="1260" w:type="dxa"/>
          </w:tcPr>
          <w:p w:rsidR="007B4823" w:rsidRDefault="007B4823" w:rsidP="00AD1F9A">
            <w:pPr>
              <w:tabs>
                <w:tab w:val="left" w:pos="480"/>
              </w:tabs>
              <w:rPr>
                <w:sz w:val="24"/>
              </w:rPr>
            </w:pPr>
          </w:p>
        </w:tc>
        <w:tc>
          <w:tcPr>
            <w:tcW w:w="1260" w:type="dxa"/>
          </w:tcPr>
          <w:p w:rsidR="007B4823" w:rsidRDefault="007B4823" w:rsidP="00AD1F9A">
            <w:pPr>
              <w:tabs>
                <w:tab w:val="left" w:pos="480"/>
              </w:tabs>
              <w:rPr>
                <w:sz w:val="24"/>
              </w:rPr>
            </w:pPr>
            <w:r>
              <w:rPr>
                <w:sz w:val="24"/>
              </w:rPr>
              <w:t>25,134</w:t>
            </w:r>
          </w:p>
        </w:tc>
      </w:tr>
    </w:tbl>
    <w:p w:rsidR="007B4823" w:rsidRDefault="007B4823" w:rsidP="007B4823">
      <w:pPr>
        <w:tabs>
          <w:tab w:val="left" w:pos="360"/>
        </w:tabs>
        <w:ind w:left="360" w:hanging="360"/>
        <w:rPr>
          <w:sz w:val="24"/>
        </w:rPr>
      </w:pPr>
    </w:p>
    <w:p w:rsidR="007B4823" w:rsidRDefault="007B4823" w:rsidP="007B4823">
      <w:pPr>
        <w:tabs>
          <w:tab w:val="left" w:pos="360"/>
        </w:tabs>
        <w:ind w:left="360" w:hanging="360"/>
        <w:jc w:val="both"/>
        <w:rPr>
          <w:sz w:val="24"/>
        </w:rPr>
      </w:pPr>
      <w:r>
        <w:rPr>
          <w:sz w:val="24"/>
        </w:rPr>
        <w:t>Annualized Burden Hour Costs equal 25,134 hours x $34.34/hour for professional staff to research and prepare</w:t>
      </w:r>
    </w:p>
    <w:p w:rsidR="007B4823" w:rsidRDefault="007B4823" w:rsidP="007B4823">
      <w:pPr>
        <w:tabs>
          <w:tab w:val="left" w:pos="360"/>
          <w:tab w:val="center" w:pos="5400"/>
        </w:tabs>
        <w:ind w:left="360" w:hanging="360"/>
        <w:jc w:val="both"/>
        <w:rPr>
          <w:sz w:val="24"/>
        </w:rPr>
      </w:pPr>
      <w:r>
        <w:rPr>
          <w:sz w:val="24"/>
        </w:rPr>
        <w:t xml:space="preserve">MOA and IP documents for a total of $863,101.  This cost was based on the salary of GS-13 step 1 staff </w:t>
      </w:r>
    </w:p>
    <w:p w:rsidR="007B4823" w:rsidRDefault="007B4823" w:rsidP="007B4823">
      <w:pPr>
        <w:tabs>
          <w:tab w:val="left" w:pos="360"/>
          <w:tab w:val="center" w:pos="5400"/>
        </w:tabs>
        <w:ind w:left="360" w:hanging="360"/>
        <w:jc w:val="both"/>
        <w:rPr>
          <w:sz w:val="24"/>
        </w:rPr>
      </w:pPr>
      <w:r>
        <w:rPr>
          <w:sz w:val="24"/>
        </w:rPr>
        <w:t>creating, monitoring and responding to these collection documents.</w:t>
      </w:r>
      <w:r>
        <w:rPr>
          <w:sz w:val="24"/>
        </w:rPr>
        <w:tab/>
      </w:r>
    </w:p>
    <w:p w:rsidR="007B4823" w:rsidRDefault="007B4823" w:rsidP="007B4823">
      <w:pPr>
        <w:tabs>
          <w:tab w:val="left" w:pos="360"/>
          <w:tab w:val="left" w:pos="720"/>
        </w:tabs>
        <w:ind w:left="360"/>
        <w:rPr>
          <w:sz w:val="24"/>
        </w:rPr>
      </w:pPr>
    </w:p>
    <w:p w:rsidR="007B4823" w:rsidRDefault="007B4823" w:rsidP="007B4823">
      <w:pPr>
        <w:tabs>
          <w:tab w:val="left" w:pos="360"/>
        </w:tabs>
        <w:ind w:left="360" w:hanging="360"/>
        <w:rPr>
          <w:sz w:val="24"/>
        </w:rPr>
      </w:pPr>
      <w:r>
        <w:rPr>
          <w:sz w:val="24"/>
        </w:rPr>
        <w:t>15.</w:t>
      </w:r>
      <w:r>
        <w:rPr>
          <w:sz w:val="24"/>
        </w:rPr>
        <w:tab/>
        <w:t>Explain the reasons for any program changes or adjustments reported in Items 13 and 14 of the OMB Form 83-I.</w:t>
      </w:r>
    </w:p>
    <w:p w:rsidR="007B4823" w:rsidRDefault="007B4823" w:rsidP="007B4823">
      <w:pPr>
        <w:tabs>
          <w:tab w:val="left" w:pos="360"/>
          <w:tab w:val="left" w:pos="720"/>
        </w:tabs>
        <w:rPr>
          <w:sz w:val="24"/>
        </w:rPr>
      </w:pPr>
    </w:p>
    <w:p w:rsidR="00773EBE" w:rsidRDefault="007B4823" w:rsidP="00773EBE">
      <w:pPr>
        <w:rPr>
          <w:sz w:val="24"/>
          <w:szCs w:val="24"/>
        </w:rPr>
      </w:pPr>
      <w:r>
        <w:rPr>
          <w:sz w:val="24"/>
        </w:rPr>
        <w:t>The reduction in burden hours reflects a fewer number of PHAs with current PHAS scores below the thresholds prompting the requirements for MOAs and IPs.</w:t>
      </w:r>
      <w:r w:rsidR="00773EBE" w:rsidRPr="00773EBE">
        <w:rPr>
          <w:sz w:val="24"/>
          <w:szCs w:val="24"/>
        </w:rPr>
        <w:t xml:space="preserve"> </w:t>
      </w:r>
      <w:r w:rsidR="00773EBE">
        <w:rPr>
          <w:sz w:val="24"/>
          <w:szCs w:val="24"/>
        </w:rPr>
        <w:t>The decrease in the burden hours used in this renewal resulted from the decrease in troubled PHAs from the 2008 renewal.  In 2008, the Department used 201 troubled PHAs in calculating the burden hours for this collections tool.  However, preparing for this renewal actual data from 2008 through 2010 demonstrated that the average number of troubled PHAs is 172.  Therefore, since the number of inputs (troubled PHAs) was reduced, the burden hours and costs for this collection tool reduced.  No other aspects of this form or tool have been altered. The average number of troubled PHAs being reduced during the period of 2008 and 2010 can be attributed transition year one and two scoring as the Department moves toward a new scoring model reflective of asset management.</w:t>
      </w:r>
    </w:p>
    <w:p w:rsidR="00773EBE" w:rsidRDefault="00773EBE" w:rsidP="00773EBE">
      <w:pPr>
        <w:rPr>
          <w:sz w:val="24"/>
          <w:szCs w:val="24"/>
        </w:rPr>
      </w:pPr>
    </w:p>
    <w:p w:rsidR="007B4823" w:rsidRDefault="007B4823" w:rsidP="007B4823">
      <w:pPr>
        <w:tabs>
          <w:tab w:val="left" w:pos="360"/>
          <w:tab w:val="left" w:pos="720"/>
        </w:tabs>
        <w:rPr>
          <w:sz w:val="24"/>
        </w:rPr>
      </w:pPr>
    </w:p>
    <w:p w:rsidR="007B4823" w:rsidRDefault="007B4823" w:rsidP="007B4823">
      <w:pPr>
        <w:tabs>
          <w:tab w:val="left" w:pos="360"/>
        </w:tabs>
        <w:ind w:left="360" w:hanging="360"/>
        <w:rPr>
          <w:sz w:val="24"/>
        </w:rPr>
      </w:pPr>
    </w:p>
    <w:p w:rsidR="007B4823" w:rsidRDefault="007B4823" w:rsidP="007B4823">
      <w:pPr>
        <w:tabs>
          <w:tab w:val="left" w:pos="360"/>
        </w:tabs>
        <w:ind w:left="360" w:hanging="360"/>
        <w:rPr>
          <w:sz w:val="24"/>
        </w:rPr>
      </w:pPr>
      <w:r>
        <w:rPr>
          <w:sz w:val="24"/>
        </w:rPr>
        <w:t>16.</w:t>
      </w:r>
      <w:r>
        <w:rPr>
          <w:sz w:val="24"/>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B4823" w:rsidRDefault="007B4823" w:rsidP="007B4823">
      <w:pPr>
        <w:rPr>
          <w:sz w:val="24"/>
        </w:rPr>
      </w:pPr>
    </w:p>
    <w:p w:rsidR="007B4823" w:rsidRDefault="007B4823" w:rsidP="007B4823">
      <w:pPr>
        <w:rPr>
          <w:sz w:val="24"/>
        </w:rPr>
      </w:pPr>
      <w:r>
        <w:rPr>
          <w:sz w:val="24"/>
        </w:rPr>
        <w:t>The collection of this information will not be published for statistical use, but will be used to comply with the statutory requirements in the 1990 Act and PHRA that the Secretary designate troubled PHAs and Capital Fund Troubled PHAs, work with PHAs to resolve identified deficiencies, and annually report on their status.</w:t>
      </w:r>
    </w:p>
    <w:p w:rsidR="007B4823" w:rsidRDefault="007B4823" w:rsidP="007B4823">
      <w:pPr>
        <w:tabs>
          <w:tab w:val="left" w:pos="360"/>
          <w:tab w:val="left" w:pos="720"/>
        </w:tabs>
        <w:ind w:left="360"/>
        <w:rPr>
          <w:sz w:val="24"/>
        </w:rPr>
      </w:pPr>
    </w:p>
    <w:p w:rsidR="007B4823" w:rsidRDefault="007B4823" w:rsidP="007B4823">
      <w:pPr>
        <w:tabs>
          <w:tab w:val="left" w:pos="360"/>
        </w:tabs>
        <w:ind w:left="360" w:hanging="360"/>
        <w:rPr>
          <w:sz w:val="24"/>
        </w:rPr>
      </w:pPr>
      <w:r>
        <w:rPr>
          <w:sz w:val="24"/>
        </w:rPr>
        <w:t>17.</w:t>
      </w:r>
      <w:r>
        <w:rPr>
          <w:sz w:val="24"/>
        </w:rPr>
        <w:tab/>
        <w:t>If seeking approval to not display the expiration date for OMB approval of the information collection, explain the reasons that display would be inappropriate.</w:t>
      </w:r>
    </w:p>
    <w:p w:rsidR="007B4823" w:rsidRDefault="007B4823" w:rsidP="007B4823">
      <w:pPr>
        <w:tabs>
          <w:tab w:val="left" w:pos="360"/>
          <w:tab w:val="left" w:pos="720"/>
        </w:tabs>
        <w:rPr>
          <w:sz w:val="24"/>
        </w:rPr>
      </w:pPr>
    </w:p>
    <w:p w:rsidR="007B4823" w:rsidRDefault="007B4823" w:rsidP="007B4823">
      <w:pPr>
        <w:tabs>
          <w:tab w:val="left" w:pos="360"/>
          <w:tab w:val="left" w:pos="720"/>
        </w:tabs>
        <w:rPr>
          <w:rFonts w:cs="Arial"/>
          <w:sz w:val="24"/>
        </w:rPr>
      </w:pPr>
      <w:r>
        <w:rPr>
          <w:rFonts w:cs="Arial"/>
          <w:sz w:val="24"/>
        </w:rPr>
        <w:t>HUD does not seek approval not to display the expiration date for OMB approval for this collection.</w:t>
      </w:r>
    </w:p>
    <w:p w:rsidR="007B4823" w:rsidRDefault="007B4823" w:rsidP="007B4823">
      <w:pPr>
        <w:tabs>
          <w:tab w:val="left" w:pos="360"/>
        </w:tabs>
        <w:ind w:left="360" w:hanging="360"/>
        <w:rPr>
          <w:sz w:val="24"/>
        </w:rPr>
      </w:pPr>
    </w:p>
    <w:p w:rsidR="007B4823" w:rsidRDefault="007B4823" w:rsidP="007B4823">
      <w:pPr>
        <w:tabs>
          <w:tab w:val="left" w:pos="360"/>
        </w:tabs>
        <w:ind w:left="360" w:hanging="360"/>
        <w:rPr>
          <w:sz w:val="24"/>
        </w:rPr>
      </w:pPr>
      <w:r>
        <w:rPr>
          <w:sz w:val="24"/>
        </w:rPr>
        <w:t>18.</w:t>
      </w:r>
      <w:r>
        <w:rPr>
          <w:sz w:val="24"/>
        </w:rPr>
        <w:tab/>
        <w:t>Explain each exception to the certification statement identified in item 19.</w:t>
      </w:r>
    </w:p>
    <w:p w:rsidR="007B4823" w:rsidRDefault="007B4823" w:rsidP="007B4823">
      <w:pPr>
        <w:tabs>
          <w:tab w:val="left" w:pos="360"/>
          <w:tab w:val="left" w:pos="720"/>
        </w:tabs>
        <w:rPr>
          <w:sz w:val="24"/>
        </w:rPr>
      </w:pPr>
    </w:p>
    <w:p w:rsidR="007B4823" w:rsidRDefault="007B4823" w:rsidP="007B4823">
      <w:pPr>
        <w:tabs>
          <w:tab w:val="left" w:pos="360"/>
          <w:tab w:val="left" w:pos="720"/>
        </w:tabs>
        <w:rPr>
          <w:rFonts w:cs="Arial"/>
          <w:sz w:val="24"/>
        </w:rPr>
      </w:pPr>
      <w:r>
        <w:rPr>
          <w:rFonts w:cs="Arial"/>
          <w:sz w:val="24"/>
        </w:rPr>
        <w:t>There are no exceptions to the certification statement identified in item 19.</w:t>
      </w:r>
    </w:p>
    <w:p w:rsidR="007B4823" w:rsidRDefault="007B4823" w:rsidP="007B4823">
      <w:pPr>
        <w:tabs>
          <w:tab w:val="left" w:pos="360"/>
          <w:tab w:val="left" w:pos="720"/>
        </w:tabs>
        <w:rPr>
          <w:sz w:val="24"/>
        </w:rPr>
      </w:pPr>
    </w:p>
    <w:p w:rsidR="007B4823" w:rsidRDefault="007B4823" w:rsidP="007B4823">
      <w:pPr>
        <w:tabs>
          <w:tab w:val="left" w:pos="360"/>
          <w:tab w:val="left" w:pos="720"/>
        </w:tabs>
        <w:rPr>
          <w:sz w:val="24"/>
        </w:rPr>
      </w:pPr>
    </w:p>
    <w:p w:rsidR="007B4823" w:rsidRDefault="007B4823" w:rsidP="007B4823">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rPr>
      </w:pPr>
      <w:r>
        <w:rPr>
          <w:b/>
          <w:sz w:val="24"/>
        </w:rPr>
        <w:t xml:space="preserve">B. </w:t>
      </w:r>
      <w:r>
        <w:rPr>
          <w:b/>
          <w:sz w:val="24"/>
        </w:rPr>
        <w:tab/>
        <w:t>Collections of Information Employing Statistical Methods</w:t>
      </w:r>
    </w:p>
    <w:p w:rsidR="007B4823" w:rsidRDefault="007B4823" w:rsidP="007B4823">
      <w:pPr>
        <w:tabs>
          <w:tab w:val="left" w:pos="360"/>
          <w:tab w:val="left" w:pos="720"/>
        </w:tabs>
        <w:rPr>
          <w:sz w:val="24"/>
        </w:rPr>
      </w:pPr>
    </w:p>
    <w:p w:rsidR="007B4823" w:rsidRDefault="007B4823" w:rsidP="007B4823">
      <w:pPr>
        <w:tabs>
          <w:tab w:val="left" w:pos="360"/>
          <w:tab w:val="left" w:pos="720"/>
        </w:tabs>
        <w:rPr>
          <w:rFonts w:cs="Arial"/>
          <w:sz w:val="24"/>
        </w:rPr>
      </w:pPr>
      <w:r>
        <w:rPr>
          <w:rFonts w:cs="Arial"/>
          <w:sz w:val="24"/>
        </w:rPr>
        <w:t>This collection does not employ statistical methods.</w:t>
      </w:r>
    </w:p>
    <w:p w:rsidR="007B4823" w:rsidRDefault="007B4823" w:rsidP="007B48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rPr>
      </w:pPr>
    </w:p>
    <w:p w:rsidR="007B4823" w:rsidRDefault="007B4823" w:rsidP="007B4823">
      <w:pPr>
        <w:tabs>
          <w:tab w:val="left" w:pos="240"/>
        </w:tabs>
        <w:rPr>
          <w:sz w:val="24"/>
        </w:rPr>
      </w:pPr>
    </w:p>
    <w:p w:rsidR="007B4823" w:rsidRDefault="007B4823" w:rsidP="007B4823">
      <w:pPr>
        <w:tabs>
          <w:tab w:val="left" w:pos="240"/>
        </w:tabs>
        <w:rPr>
          <w:sz w:val="24"/>
        </w:rPr>
      </w:pPr>
    </w:p>
    <w:p w:rsidR="007B4823" w:rsidRDefault="007B4823" w:rsidP="007B4823">
      <w:pPr>
        <w:tabs>
          <w:tab w:val="left" w:pos="240"/>
        </w:tabs>
        <w:rPr>
          <w:sz w:val="24"/>
        </w:rPr>
      </w:pPr>
    </w:p>
    <w:p w:rsidR="007B4823" w:rsidRDefault="007B4823" w:rsidP="007B4823">
      <w:pPr>
        <w:tabs>
          <w:tab w:val="left" w:pos="240"/>
        </w:tabs>
        <w:rPr>
          <w:sz w:val="24"/>
        </w:rPr>
      </w:pPr>
    </w:p>
    <w:p w:rsidR="007B4823" w:rsidRDefault="007B4823" w:rsidP="007B4823">
      <w:pPr>
        <w:tabs>
          <w:tab w:val="left" w:pos="240"/>
        </w:tabs>
        <w:rPr>
          <w:sz w:val="24"/>
        </w:rPr>
      </w:pPr>
    </w:p>
    <w:p w:rsidR="007B4823" w:rsidRDefault="007B4823" w:rsidP="007B4823"/>
    <w:p w:rsidR="007B4823" w:rsidRDefault="007B4823" w:rsidP="005640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sz w:val="24"/>
        </w:rPr>
      </w:pPr>
    </w:p>
    <w:sectPr w:rsidR="007B4823" w:rsidSect="00F957A5">
      <w:footerReference w:type="default" r:id="rId7"/>
      <w:pgSz w:w="12240" w:h="15840"/>
      <w:pgMar w:top="480" w:right="720" w:bottom="480" w:left="600" w:header="480" w:footer="480" w:gutter="0"/>
      <w:cols w:space="480" w:equalWidth="0">
        <w:col w:w="1080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6880" w:rsidRDefault="001E6880">
      <w:r>
        <w:separator/>
      </w:r>
    </w:p>
  </w:endnote>
  <w:endnote w:type="continuationSeparator" w:id="0">
    <w:p w:rsidR="001E6880" w:rsidRDefault="001E6880">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5CF" w:rsidRDefault="001F75CF">
    <w:pPr>
      <w:pStyle w:val="Footer"/>
      <w:tabs>
        <w:tab w:val="clear" w:pos="4320"/>
        <w:tab w:val="clear" w:pos="8640"/>
        <w:tab w:val="right" w:pos="10920"/>
      </w:tabs>
      <w:spacing w:line="120" w:lineRule="exact"/>
      <w:ind w:left="-120" w:right="-120"/>
      <w:rPr>
        <w:rFonts w:ascii="Helvetica" w:hAnsi="Helvetica"/>
        <w:b/>
        <w:sz w:val="18"/>
      </w:rPr>
    </w:pPr>
  </w:p>
  <w:p w:rsidR="001F75CF" w:rsidRDefault="001F75CF">
    <w:pPr>
      <w:pStyle w:val="Foote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6880" w:rsidRDefault="001E6880">
      <w:r>
        <w:separator/>
      </w:r>
    </w:p>
  </w:footnote>
  <w:footnote w:type="continuationSeparator" w:id="0">
    <w:p w:rsidR="001E6880" w:rsidRDefault="001E68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C900FEE"/>
    <w:lvl w:ilvl="0">
      <w:numFmt w:val="decimal"/>
      <w:lvlText w:val="*"/>
      <w:lvlJc w:val="left"/>
    </w:lvl>
  </w:abstractNum>
  <w:abstractNum w:abstractNumId="1">
    <w:nsid w:val="016D6E76"/>
    <w:multiLevelType w:val="singleLevel"/>
    <w:tmpl w:val="C71E8810"/>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2">
    <w:nsid w:val="13F563ED"/>
    <w:multiLevelType w:val="singleLevel"/>
    <w:tmpl w:val="96CCA96E"/>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
    <w:nsid w:val="232E50FC"/>
    <w:multiLevelType w:val="singleLevel"/>
    <w:tmpl w:val="C71E8810"/>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4">
    <w:nsid w:val="4963286E"/>
    <w:multiLevelType w:val="singleLevel"/>
    <w:tmpl w:val="87949FC8"/>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5">
    <w:nsid w:val="4C047D6A"/>
    <w:multiLevelType w:val="singleLevel"/>
    <w:tmpl w:val="3968D9C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6">
    <w:nsid w:val="5A412927"/>
    <w:multiLevelType w:val="singleLevel"/>
    <w:tmpl w:val="F2A6851C"/>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num w:numId="1">
    <w:abstractNumId w:val="1"/>
  </w:num>
  <w:num w:numId="2">
    <w:abstractNumId w:val="3"/>
  </w:num>
  <w:num w:numId="3">
    <w:abstractNumId w:val="5"/>
  </w:num>
  <w:num w:numId="4">
    <w:abstractNumId w:val="6"/>
  </w:num>
  <w:num w:numId="5">
    <w:abstractNumId w:val="2"/>
  </w:num>
  <w:num w:numId="6">
    <w:abstractNumId w:val="2"/>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4"/>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514920"/>
    <w:rsid w:val="0002602B"/>
    <w:rsid w:val="001E6880"/>
    <w:rsid w:val="001F75CF"/>
    <w:rsid w:val="00201DDF"/>
    <w:rsid w:val="00206E73"/>
    <w:rsid w:val="00256260"/>
    <w:rsid w:val="00377CB5"/>
    <w:rsid w:val="00381C6E"/>
    <w:rsid w:val="004C3274"/>
    <w:rsid w:val="00514403"/>
    <w:rsid w:val="00514920"/>
    <w:rsid w:val="0056409A"/>
    <w:rsid w:val="005D54AD"/>
    <w:rsid w:val="0070639D"/>
    <w:rsid w:val="007174D3"/>
    <w:rsid w:val="00773EBE"/>
    <w:rsid w:val="007A0F73"/>
    <w:rsid w:val="007B4823"/>
    <w:rsid w:val="007E448A"/>
    <w:rsid w:val="0083199F"/>
    <w:rsid w:val="00865FEA"/>
    <w:rsid w:val="00895408"/>
    <w:rsid w:val="00915E7D"/>
    <w:rsid w:val="00931D5D"/>
    <w:rsid w:val="00A32C87"/>
    <w:rsid w:val="00CC503C"/>
    <w:rsid w:val="00D32EA0"/>
    <w:rsid w:val="00E235F5"/>
    <w:rsid w:val="00E71601"/>
    <w:rsid w:val="00E82FF1"/>
    <w:rsid w:val="00F957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57A5"/>
    <w:pPr>
      <w:overflowPunct w:val="0"/>
      <w:autoSpaceDE w:val="0"/>
      <w:autoSpaceDN w:val="0"/>
      <w:adjustRightInd w:val="0"/>
      <w:textAlignment w:val="baseline"/>
    </w:pPr>
  </w:style>
  <w:style w:type="paragraph" w:styleId="Heading1">
    <w:name w:val="heading 1"/>
    <w:basedOn w:val="Normal"/>
    <w:next w:val="Normal"/>
    <w:qFormat/>
    <w:rsid w:val="00F957A5"/>
    <w:pPr>
      <w:keepNext/>
      <w:tabs>
        <w:tab w:val="left" w:pos="480"/>
      </w:tabs>
      <w:jc w:val="center"/>
      <w:outlineLvl w:val="0"/>
    </w:pPr>
    <w:rPr>
      <w:sz w:val="24"/>
    </w:rPr>
  </w:style>
  <w:style w:type="paragraph" w:styleId="Heading2">
    <w:name w:val="heading 2"/>
    <w:basedOn w:val="Normal"/>
    <w:next w:val="Normal"/>
    <w:link w:val="Heading2Char"/>
    <w:qFormat/>
    <w:rsid w:val="00F957A5"/>
    <w:pPr>
      <w:keepNext/>
      <w:tabs>
        <w:tab w:val="left" w:pos="480"/>
      </w:tabs>
      <w:outlineLvl w:val="1"/>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957A5"/>
    <w:pPr>
      <w:tabs>
        <w:tab w:val="center" w:pos="4320"/>
        <w:tab w:val="right" w:pos="8640"/>
      </w:tabs>
    </w:pPr>
  </w:style>
  <w:style w:type="paragraph" w:styleId="Footer">
    <w:name w:val="footer"/>
    <w:basedOn w:val="Normal"/>
    <w:rsid w:val="00F957A5"/>
    <w:pPr>
      <w:tabs>
        <w:tab w:val="center" w:pos="4320"/>
        <w:tab w:val="right" w:pos="8640"/>
      </w:tabs>
    </w:pPr>
  </w:style>
  <w:style w:type="paragraph" w:styleId="BodyTextIndent">
    <w:name w:val="Body Text Indent"/>
    <w:basedOn w:val="Normal"/>
    <w:link w:val="BodyTextIndentChar"/>
    <w:rsid w:val="00F957A5"/>
    <w:pPr>
      <w:tabs>
        <w:tab w:val="left" w:pos="360"/>
      </w:tabs>
      <w:ind w:left="360" w:hanging="360"/>
    </w:pPr>
    <w:rPr>
      <w:sz w:val="24"/>
    </w:rPr>
  </w:style>
  <w:style w:type="paragraph" w:styleId="BalloonText">
    <w:name w:val="Balloon Text"/>
    <w:basedOn w:val="Normal"/>
    <w:semiHidden/>
    <w:rsid w:val="00206E73"/>
    <w:rPr>
      <w:rFonts w:ascii="Tahoma" w:hAnsi="Tahoma" w:cs="Tahoma"/>
      <w:sz w:val="16"/>
      <w:szCs w:val="16"/>
    </w:rPr>
  </w:style>
  <w:style w:type="character" w:customStyle="1" w:styleId="Heading2Char">
    <w:name w:val="Heading 2 Char"/>
    <w:basedOn w:val="DefaultParagraphFont"/>
    <w:link w:val="Heading2"/>
    <w:rsid w:val="007B4823"/>
    <w:rPr>
      <w:b/>
      <w:bCs/>
      <w:sz w:val="24"/>
    </w:rPr>
  </w:style>
  <w:style w:type="character" w:customStyle="1" w:styleId="BodyTextIndentChar">
    <w:name w:val="Body Text Indent Char"/>
    <w:basedOn w:val="DefaultParagraphFont"/>
    <w:link w:val="BodyTextIndent"/>
    <w:rsid w:val="007B4823"/>
    <w:rPr>
      <w:sz w:val="24"/>
    </w:rPr>
  </w:style>
</w:styles>
</file>

<file path=word/webSettings.xml><?xml version="1.0" encoding="utf-8"?>
<w:webSettings xmlns:r="http://schemas.openxmlformats.org/officeDocument/2006/relationships" xmlns:w="http://schemas.openxmlformats.org/wordprocessingml/2006/main">
  <w:divs>
    <w:div w:id="830609373">
      <w:bodyDiv w:val="1"/>
      <w:marLeft w:val="0"/>
      <w:marRight w:val="0"/>
      <w:marTop w:val="0"/>
      <w:marBottom w:val="0"/>
      <w:divBdr>
        <w:top w:val="none" w:sz="0" w:space="0" w:color="auto"/>
        <w:left w:val="none" w:sz="0" w:space="0" w:color="auto"/>
        <w:bottom w:val="none" w:sz="0" w:space="0" w:color="auto"/>
        <w:right w:val="none" w:sz="0" w:space="0" w:color="auto"/>
      </w:divBdr>
    </w:div>
    <w:div w:id="930703009">
      <w:bodyDiv w:val="1"/>
      <w:marLeft w:val="0"/>
      <w:marRight w:val="0"/>
      <w:marTop w:val="0"/>
      <w:marBottom w:val="0"/>
      <w:divBdr>
        <w:top w:val="none" w:sz="0" w:space="0" w:color="auto"/>
        <w:left w:val="none" w:sz="0" w:space="0" w:color="auto"/>
        <w:bottom w:val="none" w:sz="0" w:space="0" w:color="auto"/>
        <w:right w:val="none" w:sz="0" w:space="0" w:color="auto"/>
      </w:divBdr>
    </w:div>
    <w:div w:id="2092579180">
      <w:bodyDiv w:val="1"/>
      <w:marLeft w:val="0"/>
      <w:marRight w:val="0"/>
      <w:marTop w:val="0"/>
      <w:marBottom w:val="0"/>
      <w:divBdr>
        <w:top w:val="none" w:sz="0" w:space="0" w:color="auto"/>
        <w:left w:val="none" w:sz="0" w:space="0" w:color="auto"/>
        <w:bottom w:val="none" w:sz="0" w:space="0" w:color="auto"/>
        <w:right w:val="none" w:sz="0" w:space="0" w:color="auto"/>
      </w:divBdr>
    </w:div>
    <w:div w:id="214369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H06638\LOCALS~1\Temp\c.Documents%20and%20Settings.All%20Users.Application%20Data.Notes.Data\83-i-omb%20MOA-I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83-i-omb MOA-IP.dot</Template>
  <TotalTime>3</TotalTime>
  <Pages>8</Pages>
  <Words>4404</Words>
  <Characters>24419</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28766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HUD</dc:creator>
  <cp:keywords/>
  <dc:description/>
  <cp:lastModifiedBy>Arlette Annette Mussington</cp:lastModifiedBy>
  <cp:revision>2</cp:revision>
  <cp:lastPrinted>2011-01-24T19:47:00Z</cp:lastPrinted>
  <dcterms:created xsi:type="dcterms:W3CDTF">2011-08-17T19:44:00Z</dcterms:created>
  <dcterms:modified xsi:type="dcterms:W3CDTF">2011-08-17T19:44:00Z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-278664059</vt:i4>
  </property>
  <property fmtid="{D5CDD505-2E9C-101B-9397-08002B2CF9AE}" pid="3" name="_NewReviewCycle">
    <vt:lpwstr/>
  </property>
  <property fmtid="{D5CDD505-2E9C-101B-9397-08002B2CF9AE}" pid="4" name="_EmailSubject">
    <vt:lpwstr>Public Housing Assessment System (PHAS) Memorandum of Agreement (MOA), MOA Monthly Report, and Improvement Plan (IP); 201102-2577-003 - URGENT.</vt:lpwstr>
  </property>
  <property fmtid="{D5CDD505-2E9C-101B-9397-08002B2CF9AE}" pid="5" name="_AuthorEmail">
    <vt:lpwstr>PATRICIA.A.KNIGHT@hud.gov</vt:lpwstr>
  </property>
  <property fmtid="{D5CDD505-2E9C-101B-9397-08002B2CF9AE}" pid="6" name="_AuthorEmailDisplayName">
    <vt:lpwstr>Knight, Patricia A</vt:lpwstr>
  </property>
  <property fmtid="{D5CDD505-2E9C-101B-9397-08002B2CF9AE}" pid="7" name="_PreviousAdHocReviewCycleID">
    <vt:i4>-496378718</vt:i4>
  </property>
</Properties>
</file>