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27" w:rsidRDefault="00162227" w:rsidP="00162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162227" w:rsidRDefault="00162227" w:rsidP="001622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62227" w:rsidRDefault="00162227" w:rsidP="001622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162227" w:rsidRDefault="00162227" w:rsidP="00162227">
      <w:pPr>
        <w:pStyle w:val="BodyTextIndent3"/>
        <w:spacing w:before="160"/>
      </w:pPr>
      <w:r>
        <w:t>1.</w:t>
      </w:r>
      <w:r>
        <w:tab/>
        <w:t>Section 4(a) of the Housing Act of 1937 states that the Secretary may make loans of commitments to make loans to Public Housing Agencies (PHAs), to finance or refinance the development, acquisition, or operation of low-income housing projects by such agencies.  As stipulated in the Consolidated Annual Contributions Contract (Sec. 13) between a Housing Authority and the Department, HUD requires PHAs be insured against financial loss.  PHAs must obtain certificates of insurance from contractors and subcontractors before beginning work under either the development of a new low-income housing project or the modernization of an existing project.  The certificates of insurance not only provide evidence that worker’s compensation and general liability, automobile liability insurance, is in force before any construction work is started, but they protect the PHAs from liability of loss.</w:t>
      </w:r>
    </w:p>
    <w:p w:rsidR="00162227" w:rsidRDefault="00162227" w:rsidP="00162227">
      <w:pPr>
        <w:keepLines/>
        <w:tabs>
          <w:tab w:val="left" w:pos="360"/>
        </w:tabs>
        <w:spacing w:before="160" w:after="80"/>
        <w:ind w:left="360" w:hanging="360"/>
        <w:rPr>
          <w:rFonts w:ascii="Times" w:hAnsi="Times"/>
          <w:color w:val="000000"/>
          <w:sz w:val="24"/>
        </w:rPr>
      </w:pPr>
      <w:r>
        <w:rPr>
          <w:rFonts w:ascii="Times" w:hAnsi="Times"/>
          <w:color w:val="000000"/>
          <w:sz w:val="24"/>
        </w:rPr>
        <w:t>2.</w:t>
      </w:r>
      <w:r>
        <w:rPr>
          <w:rFonts w:ascii="Times" w:hAnsi="Times"/>
          <w:color w:val="000000"/>
          <w:sz w:val="24"/>
        </w:rPr>
        <w:tab/>
        <w:t>The PHAs require certificates of insurance to ensure that the required insurance is in force before any construction work is started.  Participating contractors must be insured and must provide the insurance certificates to the PHAs to protect the PHA from any potential liability in the interest of HUD and taxpayers.</w:t>
      </w:r>
    </w:p>
    <w:p w:rsidR="00162227" w:rsidRDefault="00162227" w:rsidP="00162227">
      <w:pPr>
        <w:numPr>
          <w:ilvl w:val="0"/>
          <w:numId w:val="1"/>
        </w:numPr>
        <w:spacing w:before="160"/>
        <w:rPr>
          <w:rFonts w:ascii="Times" w:hAnsi="Times"/>
          <w:color w:val="000000"/>
          <w:sz w:val="24"/>
        </w:rPr>
      </w:pPr>
      <w:r>
        <w:rPr>
          <w:rFonts w:ascii="Times" w:hAnsi="Times"/>
          <w:color w:val="000000"/>
          <w:sz w:val="24"/>
        </w:rPr>
        <w:t>Since construction companies only provide a certificate of insurance to the PHAs automation of this process is not practicable.</w:t>
      </w:r>
    </w:p>
    <w:p w:rsidR="00162227" w:rsidRDefault="00162227" w:rsidP="00162227">
      <w:pPr>
        <w:spacing w:before="160"/>
        <w:ind w:left="360" w:hanging="360"/>
        <w:rPr>
          <w:rFonts w:ascii="Times" w:hAnsi="Times"/>
          <w:color w:val="000000"/>
          <w:sz w:val="24"/>
        </w:rPr>
      </w:pPr>
      <w:r>
        <w:rPr>
          <w:rFonts w:ascii="Times" w:hAnsi="Times"/>
          <w:color w:val="000000"/>
          <w:sz w:val="24"/>
        </w:rPr>
        <w:t>4.</w:t>
      </w:r>
      <w:r>
        <w:rPr>
          <w:rFonts w:ascii="Times" w:hAnsi="Times"/>
          <w:color w:val="000000"/>
          <w:sz w:val="24"/>
        </w:rPr>
        <w:tab/>
        <w:t>All existing information was examined and no duplication was found.</w:t>
      </w:r>
    </w:p>
    <w:p w:rsidR="00162227" w:rsidRDefault="00162227" w:rsidP="00162227">
      <w:pPr>
        <w:numPr>
          <w:ilvl w:val="0"/>
          <w:numId w:val="2"/>
        </w:numPr>
        <w:spacing w:before="160"/>
        <w:rPr>
          <w:sz w:val="24"/>
        </w:rPr>
      </w:pPr>
      <w:r>
        <w:rPr>
          <w:sz w:val="24"/>
        </w:rPr>
        <w:t>This collection of information does not significantly impact small businesses or entities.</w:t>
      </w:r>
    </w:p>
    <w:p w:rsidR="00162227" w:rsidRDefault="00162227" w:rsidP="00162227">
      <w:pPr>
        <w:numPr>
          <w:ilvl w:val="0"/>
          <w:numId w:val="3"/>
        </w:numPr>
        <w:spacing w:before="160"/>
        <w:rPr>
          <w:sz w:val="24"/>
        </w:rPr>
      </w:pPr>
      <w:r>
        <w:rPr>
          <w:sz w:val="24"/>
        </w:rPr>
        <w:t>The certificates of insurance are required as a business transaction between the PHA and contractor before construction of a public housing project.  Federal program requirements would not be met if the collection is not conducted, or is conducted less frequently.</w:t>
      </w:r>
    </w:p>
    <w:p w:rsidR="00162227" w:rsidRDefault="00162227" w:rsidP="00162227">
      <w:pPr>
        <w:numPr>
          <w:ilvl w:val="0"/>
          <w:numId w:val="4"/>
        </w:numPr>
        <w:spacing w:before="160"/>
        <w:rPr>
          <w:sz w:val="24"/>
        </w:rPr>
      </w:pPr>
      <w:r>
        <w:rPr>
          <w:sz w:val="24"/>
        </w:rPr>
        <w:t>There are no special circumstances that require the collection to be conducted in a manner inconsistent with the guidelines at 5 CFR 1320.6.</w:t>
      </w:r>
    </w:p>
    <w:p w:rsidR="00162227" w:rsidRDefault="00211633" w:rsidP="00162227">
      <w:pPr>
        <w:numPr>
          <w:ilvl w:val="0"/>
          <w:numId w:val="5"/>
        </w:numPr>
        <w:spacing w:before="160"/>
        <w:rPr>
          <w:sz w:val="24"/>
        </w:rPr>
      </w:pPr>
      <w:r>
        <w:rPr>
          <w:sz w:val="24"/>
        </w:rPr>
        <w:t xml:space="preserve">This information collection was announced in the </w:t>
      </w:r>
      <w:r>
        <w:rPr>
          <w:i/>
          <w:sz w:val="24"/>
        </w:rPr>
        <w:t>Federal Register</w:t>
      </w:r>
      <w:r>
        <w:rPr>
          <w:sz w:val="24"/>
        </w:rPr>
        <w:t>, Volume 75, page 76479, on December 8, 2010.  No comments were received</w:t>
      </w:r>
      <w:r w:rsidR="00162227">
        <w:rPr>
          <w:sz w:val="24"/>
        </w:rPr>
        <w:t>.</w:t>
      </w:r>
    </w:p>
    <w:p w:rsidR="00162227" w:rsidRDefault="00162227" w:rsidP="00162227">
      <w:pPr>
        <w:numPr>
          <w:ilvl w:val="0"/>
          <w:numId w:val="6"/>
        </w:numPr>
        <w:spacing w:before="160"/>
        <w:rPr>
          <w:sz w:val="24"/>
        </w:rPr>
      </w:pPr>
      <w:r>
        <w:rPr>
          <w:sz w:val="24"/>
        </w:rPr>
        <w:t>No payments or gifts to respondents are provided.</w:t>
      </w:r>
    </w:p>
    <w:p w:rsidR="00162227" w:rsidRDefault="00162227" w:rsidP="00162227">
      <w:pPr>
        <w:numPr>
          <w:ilvl w:val="0"/>
          <w:numId w:val="7"/>
        </w:numPr>
        <w:spacing w:before="160"/>
        <w:rPr>
          <w:sz w:val="24"/>
        </w:rPr>
      </w:pPr>
      <w:r>
        <w:rPr>
          <w:sz w:val="24"/>
        </w:rPr>
        <w:t>This information is collected under the regulatory requirements and is kept by PHAs to assure that the contractors have the required insurance before the contract work is started.  The information remains with the PHAs and is not given out to the public.</w:t>
      </w:r>
    </w:p>
    <w:p w:rsidR="00162227" w:rsidRDefault="00162227" w:rsidP="00162227">
      <w:pPr>
        <w:numPr>
          <w:ilvl w:val="0"/>
          <w:numId w:val="8"/>
        </w:numPr>
        <w:spacing w:before="160"/>
        <w:rPr>
          <w:sz w:val="24"/>
        </w:rPr>
      </w:pPr>
      <w:r>
        <w:rPr>
          <w:sz w:val="24"/>
        </w:rPr>
        <w:t>There are no questions of a sensitive nature.</w:t>
      </w:r>
    </w:p>
    <w:p w:rsidR="00162227" w:rsidRDefault="00162227" w:rsidP="00162227">
      <w:pPr>
        <w:numPr>
          <w:ilvl w:val="0"/>
          <w:numId w:val="9"/>
        </w:numPr>
        <w:spacing w:before="160"/>
        <w:rPr>
          <w:sz w:val="24"/>
        </w:rPr>
      </w:pPr>
      <w:r>
        <w:rPr>
          <w:sz w:val="24"/>
        </w:rPr>
        <w:t>We estimate that the information collection requirements will have the following reporting burden:</w:t>
      </w:r>
    </w:p>
    <w:p w:rsidR="00162227" w:rsidRDefault="00162227" w:rsidP="00162227">
      <w:pPr>
        <w:keepNext/>
        <w:tabs>
          <w:tab w:val="center" w:pos="2760"/>
          <w:tab w:val="center" w:pos="4680"/>
          <w:tab w:val="center" w:pos="6240"/>
          <w:tab w:val="center" w:pos="7800"/>
        </w:tabs>
        <w:spacing w:before="120"/>
        <w:ind w:left="360"/>
        <w:rPr>
          <w:rFonts w:ascii="Helvetica" w:hAnsi="Helvetica"/>
          <w:sz w:val="18"/>
        </w:rPr>
      </w:pPr>
      <w:r>
        <w:rPr>
          <w:rFonts w:ascii="Helvetica" w:hAnsi="Helvetica"/>
          <w:sz w:val="18"/>
        </w:rPr>
        <w:t>Potential</w:t>
      </w:r>
      <w:r>
        <w:rPr>
          <w:rFonts w:ascii="Helvetica" w:hAnsi="Helvetica"/>
          <w:sz w:val="18"/>
        </w:rPr>
        <w:tab/>
        <w:t>Est. Avg. Freq.</w:t>
      </w:r>
      <w:r>
        <w:rPr>
          <w:rFonts w:ascii="Helvetica" w:hAnsi="Helvetica"/>
          <w:sz w:val="18"/>
        </w:rPr>
        <w:tab/>
        <w:t>Est. Annual Response</w:t>
      </w:r>
    </w:p>
    <w:p w:rsidR="00162227" w:rsidRDefault="00162227" w:rsidP="00162227">
      <w:pPr>
        <w:keepNext/>
        <w:tabs>
          <w:tab w:val="center" w:pos="2760"/>
          <w:tab w:val="center" w:pos="4680"/>
          <w:tab w:val="center" w:pos="6240"/>
          <w:tab w:val="center" w:pos="7800"/>
        </w:tabs>
        <w:ind w:left="360"/>
        <w:rPr>
          <w:rFonts w:ascii="Helvetica" w:hAnsi="Helvetica"/>
          <w:sz w:val="18"/>
        </w:rPr>
      </w:pPr>
      <w:proofErr w:type="gramStart"/>
      <w:r>
        <w:rPr>
          <w:rFonts w:ascii="Helvetica" w:hAnsi="Helvetica"/>
          <w:sz w:val="18"/>
          <w:u w:val="single"/>
        </w:rPr>
        <w:t>Respondents</w:t>
      </w:r>
      <w:r>
        <w:rPr>
          <w:rFonts w:ascii="Helvetica" w:hAnsi="Helvetica"/>
          <w:sz w:val="18"/>
          <w:u w:val="single"/>
        </w:rPr>
        <w:tab/>
        <w:t>of Response</w:t>
      </w:r>
      <w:r>
        <w:rPr>
          <w:rFonts w:ascii="Helvetica" w:hAnsi="Helvetica"/>
          <w:sz w:val="18"/>
          <w:u w:val="single"/>
        </w:rPr>
        <w:tab/>
        <w:t>Time (Hrs.)</w:t>
      </w:r>
      <w:r>
        <w:rPr>
          <w:rFonts w:ascii="Helvetica" w:hAnsi="Helvetica"/>
          <w:sz w:val="18"/>
          <w:u w:val="single"/>
        </w:rPr>
        <w:tab/>
        <w:t>Burden (Hrs.)</w:t>
      </w:r>
      <w:proofErr w:type="gramEnd"/>
      <w:r>
        <w:rPr>
          <w:rFonts w:ascii="Helvetica" w:hAnsi="Helvetica"/>
          <w:sz w:val="18"/>
          <w:u w:val="single"/>
        </w:rPr>
        <w:t xml:space="preserve"> </w:t>
      </w:r>
    </w:p>
    <w:p w:rsidR="00162227" w:rsidRDefault="00162227" w:rsidP="00162227">
      <w:pPr>
        <w:keepNext/>
        <w:tabs>
          <w:tab w:val="center" w:pos="2760"/>
          <w:tab w:val="center" w:pos="4680"/>
          <w:tab w:val="center" w:pos="6240"/>
          <w:tab w:val="center" w:pos="7800"/>
        </w:tabs>
        <w:ind w:left="360"/>
        <w:rPr>
          <w:rFonts w:ascii="Helvetica" w:hAnsi="Helvetica"/>
          <w:sz w:val="18"/>
        </w:rPr>
      </w:pPr>
      <w:r>
        <w:rPr>
          <w:rFonts w:ascii="Helvetica" w:hAnsi="Helvetica"/>
          <w:sz w:val="18"/>
        </w:rPr>
        <w:t>Reporting Burden:</w:t>
      </w:r>
    </w:p>
    <w:p w:rsidR="00162227" w:rsidRDefault="00162227" w:rsidP="00162227">
      <w:pPr>
        <w:keepNext/>
        <w:tabs>
          <w:tab w:val="center" w:pos="2760"/>
          <w:tab w:val="center" w:pos="4680"/>
          <w:tab w:val="center" w:pos="6240"/>
          <w:tab w:val="center" w:pos="7800"/>
        </w:tabs>
        <w:ind w:left="480"/>
        <w:rPr>
          <w:rFonts w:ascii="Helvetica" w:hAnsi="Helvetica"/>
          <w:sz w:val="18"/>
        </w:rPr>
      </w:pPr>
      <w:r>
        <w:rPr>
          <w:rFonts w:ascii="Helvetica" w:hAnsi="Helvetica"/>
          <w:sz w:val="18"/>
        </w:rPr>
        <w:t>3,000</w:t>
      </w:r>
      <w:r>
        <w:rPr>
          <w:rFonts w:ascii="Helvetica" w:hAnsi="Helvetica"/>
          <w:sz w:val="18"/>
        </w:rPr>
        <w:tab/>
        <w:t>4</w:t>
      </w:r>
      <w:r>
        <w:rPr>
          <w:rFonts w:ascii="Helvetica" w:hAnsi="Helvetica"/>
          <w:sz w:val="18"/>
        </w:rPr>
        <w:tab/>
        <w:t>0.3</w:t>
      </w:r>
      <w:r>
        <w:rPr>
          <w:rFonts w:ascii="Helvetica" w:hAnsi="Helvetica"/>
          <w:sz w:val="18"/>
        </w:rPr>
        <w:tab/>
        <w:t>3,600</w:t>
      </w:r>
    </w:p>
    <w:p w:rsidR="00162227" w:rsidRDefault="00162227" w:rsidP="00162227">
      <w:pPr>
        <w:keepNext/>
        <w:tabs>
          <w:tab w:val="center" w:pos="2760"/>
          <w:tab w:val="center" w:pos="4680"/>
          <w:tab w:val="center" w:pos="6240"/>
          <w:tab w:val="center" w:pos="7800"/>
        </w:tabs>
        <w:spacing w:before="60"/>
        <w:ind w:left="360"/>
        <w:rPr>
          <w:rFonts w:ascii="Helvetica" w:hAnsi="Helvetica"/>
          <w:sz w:val="18"/>
        </w:rPr>
      </w:pPr>
      <w:r>
        <w:rPr>
          <w:rFonts w:ascii="Helvetica" w:hAnsi="Helvetica"/>
          <w:sz w:val="18"/>
        </w:rPr>
        <w:t>Recordkeeping Burden:</w:t>
      </w:r>
    </w:p>
    <w:p w:rsidR="00162227" w:rsidRDefault="00162227" w:rsidP="00162227">
      <w:pPr>
        <w:keepNext/>
        <w:tabs>
          <w:tab w:val="center" w:pos="2760"/>
          <w:tab w:val="center" w:pos="4680"/>
          <w:tab w:val="center" w:pos="6240"/>
          <w:tab w:val="center" w:pos="7800"/>
        </w:tabs>
        <w:ind w:left="480"/>
        <w:rPr>
          <w:rFonts w:ascii="Helvetica" w:hAnsi="Helvetica"/>
          <w:sz w:val="18"/>
        </w:rPr>
      </w:pPr>
      <w:r>
        <w:rPr>
          <w:rFonts w:ascii="Helvetica" w:hAnsi="Helvetica"/>
          <w:sz w:val="18"/>
        </w:rPr>
        <w:t>3,000</w:t>
      </w:r>
      <w:r>
        <w:rPr>
          <w:rFonts w:ascii="Helvetica" w:hAnsi="Helvetica"/>
          <w:sz w:val="18"/>
        </w:rPr>
        <w:tab/>
        <w:t>4</w:t>
      </w:r>
      <w:r>
        <w:rPr>
          <w:rFonts w:ascii="Helvetica" w:hAnsi="Helvetica"/>
          <w:sz w:val="18"/>
        </w:rPr>
        <w:tab/>
        <w:t>0.2</w:t>
      </w:r>
      <w:r>
        <w:rPr>
          <w:rFonts w:ascii="Helvetica" w:hAnsi="Helvetica"/>
          <w:sz w:val="18"/>
        </w:rPr>
        <w:tab/>
        <w:t>2,400</w:t>
      </w:r>
    </w:p>
    <w:p w:rsidR="00162227" w:rsidRDefault="00162227" w:rsidP="00162227">
      <w:pPr>
        <w:keepNext/>
        <w:tabs>
          <w:tab w:val="center" w:pos="2760"/>
          <w:tab w:val="center" w:pos="4680"/>
          <w:tab w:val="center" w:pos="6240"/>
          <w:tab w:val="center" w:pos="7800"/>
        </w:tabs>
        <w:spacing w:before="60"/>
        <w:ind w:left="360"/>
        <w:rPr>
          <w:rFonts w:ascii="Helvetica" w:hAnsi="Helvetica"/>
          <w:sz w:val="18"/>
        </w:rPr>
      </w:pPr>
      <w:r>
        <w:rPr>
          <w:rFonts w:ascii="Helvetica" w:hAnsi="Helvetica"/>
          <w:sz w:val="18"/>
        </w:rPr>
        <w:t>Total Burden:</w:t>
      </w:r>
      <w:r>
        <w:rPr>
          <w:rFonts w:ascii="Helvetica" w:hAnsi="Helvetica"/>
          <w:sz w:val="18"/>
        </w:rPr>
        <w:tab/>
      </w:r>
      <w:r>
        <w:rPr>
          <w:rFonts w:ascii="Helvetica" w:hAnsi="Helvetica"/>
          <w:sz w:val="18"/>
        </w:rPr>
        <w:tab/>
      </w:r>
      <w:r>
        <w:rPr>
          <w:rFonts w:ascii="Helvetica" w:hAnsi="Helvetica"/>
          <w:sz w:val="18"/>
        </w:rPr>
        <w:tab/>
        <w:t>6,000</w:t>
      </w:r>
    </w:p>
    <w:p w:rsidR="00162227" w:rsidRDefault="00162227" w:rsidP="00162227">
      <w:pPr>
        <w:tabs>
          <w:tab w:val="left" w:pos="720"/>
          <w:tab w:val="left" w:pos="1620"/>
          <w:tab w:val="left" w:pos="3420"/>
          <w:tab w:val="left" w:pos="5670"/>
          <w:tab w:val="left" w:pos="8190"/>
        </w:tabs>
        <w:ind w:left="450"/>
        <w:rPr>
          <w:rFonts w:ascii="Helvetica" w:hAnsi="Helvetica"/>
          <w:sz w:val="18"/>
        </w:rPr>
      </w:pPr>
    </w:p>
    <w:p w:rsidR="00162227" w:rsidRDefault="00162227" w:rsidP="00162227">
      <w:pPr>
        <w:tabs>
          <w:tab w:val="left" w:pos="720"/>
          <w:tab w:val="left" w:pos="1620"/>
          <w:tab w:val="left" w:pos="3420"/>
          <w:tab w:val="left" w:pos="5670"/>
          <w:tab w:val="left" w:pos="8190"/>
        </w:tabs>
        <w:ind w:left="450"/>
        <w:rPr>
          <w:rFonts w:ascii="Helvetica" w:hAnsi="Helvetica"/>
          <w:sz w:val="18"/>
        </w:rPr>
      </w:pPr>
      <w:r>
        <w:rPr>
          <w:rFonts w:ascii="Helvetica" w:hAnsi="Helvetica"/>
          <w:sz w:val="18"/>
        </w:rPr>
        <w:t xml:space="preserve">Estimated annualized cost to respondents </w:t>
      </w:r>
    </w:p>
    <w:p w:rsidR="00162227" w:rsidRDefault="00162227" w:rsidP="00162227">
      <w:pPr>
        <w:tabs>
          <w:tab w:val="left" w:pos="720"/>
          <w:tab w:val="left" w:pos="1080"/>
          <w:tab w:val="left" w:pos="3420"/>
          <w:tab w:val="left" w:pos="5670"/>
          <w:tab w:val="left" w:pos="8010"/>
        </w:tabs>
        <w:ind w:left="600"/>
        <w:rPr>
          <w:rFonts w:ascii="Helvetica" w:hAnsi="Helvetica"/>
        </w:rPr>
      </w:pPr>
      <w:r>
        <w:rPr>
          <w:rFonts w:ascii="Helvetica" w:hAnsi="Helvetica"/>
        </w:rPr>
        <w:t>Burden: 6,000 hrs. @ $25.00/hr. = $150,000</w:t>
      </w:r>
    </w:p>
    <w:p w:rsidR="00162227" w:rsidRDefault="00162227" w:rsidP="00162227">
      <w:pPr>
        <w:rPr>
          <w:rFonts w:ascii="Helvetica" w:hAnsi="Helvetica"/>
          <w:sz w:val="18"/>
        </w:rPr>
      </w:pPr>
    </w:p>
    <w:p w:rsidR="00162227" w:rsidRDefault="00162227" w:rsidP="00162227">
      <w:pPr>
        <w:numPr>
          <w:ilvl w:val="0"/>
          <w:numId w:val="10"/>
        </w:numPr>
        <w:ind w:left="450" w:hanging="450"/>
        <w:rPr>
          <w:sz w:val="24"/>
        </w:rPr>
      </w:pPr>
      <w:r>
        <w:rPr>
          <w:sz w:val="24"/>
        </w:rPr>
        <w:t xml:space="preserve">There are no additional costs to the respondents.    </w:t>
      </w:r>
    </w:p>
    <w:p w:rsidR="00162227" w:rsidRDefault="00162227" w:rsidP="00162227">
      <w:pPr>
        <w:rPr>
          <w:sz w:val="24"/>
        </w:rPr>
      </w:pPr>
    </w:p>
    <w:p w:rsidR="00162227" w:rsidRDefault="00162227" w:rsidP="00162227">
      <w:pPr>
        <w:numPr>
          <w:ilvl w:val="0"/>
          <w:numId w:val="11"/>
        </w:numPr>
        <w:ind w:left="450" w:hanging="450"/>
        <w:rPr>
          <w:sz w:val="24"/>
        </w:rPr>
      </w:pPr>
      <w:r>
        <w:rPr>
          <w:sz w:val="24"/>
        </w:rPr>
        <w:t>There will be no additional costs to the Federal Government.</w:t>
      </w:r>
    </w:p>
    <w:p w:rsidR="00162227" w:rsidRDefault="00162227" w:rsidP="00162227">
      <w:pPr>
        <w:rPr>
          <w:sz w:val="24"/>
        </w:rPr>
      </w:pPr>
    </w:p>
    <w:p w:rsidR="00162227" w:rsidRDefault="00162227" w:rsidP="00162227">
      <w:pPr>
        <w:numPr>
          <w:ilvl w:val="0"/>
          <w:numId w:val="12"/>
        </w:numPr>
        <w:ind w:left="450" w:hanging="450"/>
        <w:rPr>
          <w:sz w:val="24"/>
        </w:rPr>
      </w:pPr>
      <w:r>
        <w:rPr>
          <w:sz w:val="24"/>
        </w:rPr>
        <w:t>The reduction in burden hours is a result of a reassessment of burden hours associated with the recordkeeping process.</w:t>
      </w:r>
    </w:p>
    <w:p w:rsidR="00162227" w:rsidRDefault="00162227" w:rsidP="00162227">
      <w:pPr>
        <w:rPr>
          <w:sz w:val="24"/>
        </w:rPr>
      </w:pPr>
    </w:p>
    <w:p w:rsidR="00162227" w:rsidRDefault="00162227" w:rsidP="00162227">
      <w:pPr>
        <w:numPr>
          <w:ilvl w:val="0"/>
          <w:numId w:val="13"/>
        </w:numPr>
        <w:ind w:left="450" w:hanging="450"/>
        <w:rPr>
          <w:sz w:val="24"/>
        </w:rPr>
      </w:pPr>
      <w:r>
        <w:rPr>
          <w:sz w:val="24"/>
        </w:rPr>
        <w:t>The information collection will not be published.</w:t>
      </w:r>
    </w:p>
    <w:p w:rsidR="00162227" w:rsidRDefault="00162227" w:rsidP="00162227">
      <w:pPr>
        <w:tabs>
          <w:tab w:val="left" w:pos="480"/>
        </w:tabs>
        <w:rPr>
          <w:sz w:val="24"/>
        </w:rPr>
      </w:pPr>
    </w:p>
    <w:p w:rsidR="00162227" w:rsidRDefault="00162227" w:rsidP="00162227">
      <w:pPr>
        <w:tabs>
          <w:tab w:val="left" w:pos="480"/>
        </w:tabs>
        <w:rPr>
          <w:sz w:val="24"/>
          <w:szCs w:val="24"/>
        </w:rPr>
      </w:pPr>
      <w:r>
        <w:rPr>
          <w:sz w:val="24"/>
        </w:rPr>
        <w:t xml:space="preserve">17.  </w:t>
      </w:r>
      <w:r>
        <w:rPr>
          <w:sz w:val="24"/>
          <w:szCs w:val="24"/>
        </w:rPr>
        <w:t>The Department is not requesting to not display the OMB number and expiration date.</w:t>
      </w:r>
    </w:p>
    <w:p w:rsidR="00162227" w:rsidRDefault="00162227" w:rsidP="00162227">
      <w:pPr>
        <w:tabs>
          <w:tab w:val="left" w:pos="480"/>
        </w:tabs>
        <w:ind w:left="480" w:hanging="480"/>
        <w:rPr>
          <w:sz w:val="24"/>
          <w:szCs w:val="24"/>
        </w:rPr>
      </w:pPr>
    </w:p>
    <w:p w:rsidR="00162227" w:rsidRDefault="00162227" w:rsidP="00162227">
      <w:pPr>
        <w:rPr>
          <w:sz w:val="24"/>
        </w:rPr>
      </w:pPr>
      <w:r>
        <w:rPr>
          <w:sz w:val="24"/>
          <w:szCs w:val="24"/>
        </w:rPr>
        <w:t>18.  There are no exceptions to the certification identified in Item 19 of the OMB 83-i.</w:t>
      </w:r>
    </w:p>
    <w:p w:rsidR="00162227" w:rsidRDefault="00162227" w:rsidP="00162227">
      <w:pPr>
        <w:rPr>
          <w:sz w:val="24"/>
        </w:rPr>
      </w:pPr>
    </w:p>
    <w:p w:rsidR="00162227" w:rsidRDefault="00162227" w:rsidP="00162227">
      <w:pPr>
        <w:tabs>
          <w:tab w:val="left" w:pos="360"/>
          <w:tab w:val="left" w:pos="720"/>
        </w:tabs>
        <w:rPr>
          <w:color w:val="000000"/>
          <w:sz w:val="24"/>
        </w:rPr>
      </w:pPr>
    </w:p>
    <w:p w:rsidR="00162227" w:rsidRDefault="00162227" w:rsidP="0016222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162227" w:rsidRDefault="00162227" w:rsidP="0016222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162227" w:rsidRDefault="00162227" w:rsidP="00162227">
      <w:pPr>
        <w:keepLines/>
        <w:tabs>
          <w:tab w:val="left" w:pos="360"/>
          <w:tab w:val="left" w:pos="720"/>
        </w:tabs>
        <w:ind w:left="360"/>
        <w:rPr>
          <w:color w:val="000000"/>
          <w:sz w:val="24"/>
        </w:rPr>
      </w:pPr>
      <w:r>
        <w:rPr>
          <w:color w:val="000000"/>
          <w:sz w:val="24"/>
        </w:rPr>
        <w:t>This information collection will not be used for statistical purposes.</w:t>
      </w:r>
    </w:p>
    <w:p w:rsidR="00162227" w:rsidRDefault="00162227" w:rsidP="00162227">
      <w:pPr>
        <w:tabs>
          <w:tab w:val="left" w:pos="240"/>
        </w:tabs>
        <w:rPr>
          <w:rFonts w:ascii="Helvetica" w:hAnsi="Helvetica"/>
          <w:color w:val="000000"/>
          <w:sz w:val="24"/>
        </w:rPr>
      </w:pPr>
    </w:p>
    <w:p w:rsidR="00AC6B25" w:rsidRDefault="00211633"/>
    <w:sectPr w:rsidR="00AC6B25" w:rsidSect="00077949">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227" w:rsidRDefault="00162227" w:rsidP="00162227">
      <w:r>
        <w:separator/>
      </w:r>
    </w:p>
  </w:endnote>
  <w:endnote w:type="continuationSeparator" w:id="0">
    <w:p w:rsidR="00162227" w:rsidRDefault="00162227" w:rsidP="00162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7C" w:rsidRDefault="0016222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D24D7C">
      <w:tc>
        <w:tcPr>
          <w:tcW w:w="8388" w:type="dxa"/>
          <w:tcBorders>
            <w:top w:val="single" w:sz="6" w:space="0" w:color="auto"/>
            <w:left w:val="nil"/>
            <w:right w:val="single" w:sz="6" w:space="0" w:color="auto"/>
          </w:tcBorders>
        </w:tcPr>
        <w:p w:rsidR="00D24D7C" w:rsidRDefault="00162227">
          <w:pPr>
            <w:pStyle w:val="Footer"/>
            <w:rPr>
              <w:rFonts w:ascii="Helvetica" w:hAnsi="Helvetica"/>
              <w:sz w:val="16"/>
            </w:rPr>
          </w:pPr>
          <w:r>
            <w:rPr>
              <w:rFonts w:ascii="Helvetica" w:hAnsi="Helvetica"/>
              <w:sz w:val="16"/>
            </w:rPr>
            <w:t>Signature of Senior Officer or Designee:</w:t>
          </w:r>
        </w:p>
        <w:p w:rsidR="00D24D7C" w:rsidRDefault="00211633">
          <w:pPr>
            <w:pStyle w:val="Footer"/>
            <w:rPr>
              <w:rFonts w:ascii="Helvetica" w:hAnsi="Helvetica"/>
              <w:sz w:val="16"/>
            </w:rPr>
          </w:pPr>
        </w:p>
        <w:p w:rsidR="00D24D7C" w:rsidRDefault="00211633">
          <w:pPr>
            <w:pStyle w:val="Footer"/>
            <w:rPr>
              <w:rFonts w:ascii="Helvetica" w:hAnsi="Helvetica"/>
              <w:sz w:val="16"/>
            </w:rPr>
          </w:pPr>
        </w:p>
        <w:p w:rsidR="00D24D7C" w:rsidRDefault="00162227">
          <w:pPr>
            <w:pStyle w:val="Footer"/>
            <w:rPr>
              <w:rFonts w:ascii="Helvetica" w:hAnsi="Helvetica"/>
              <w:sz w:val="16"/>
            </w:rPr>
          </w:pPr>
          <w:r>
            <w:rPr>
              <w:rFonts w:ascii="Helvetica" w:hAnsi="Helvetica"/>
              <w:sz w:val="16"/>
            </w:rPr>
            <w:t>X</w:t>
          </w:r>
        </w:p>
        <w:p w:rsidR="00D24D7C" w:rsidRDefault="00162227">
          <w:pPr>
            <w:pStyle w:val="Footer"/>
            <w:rPr>
              <w:rFonts w:ascii="Helvetica" w:hAnsi="Helvetica"/>
              <w:sz w:val="16"/>
            </w:rPr>
          </w:pPr>
          <w:r>
            <w:rPr>
              <w:rFonts w:ascii="Helvetica" w:hAnsi="Helvetica"/>
              <w:sz w:val="16"/>
            </w:rPr>
            <w:t>Colette Pollard, Departmental Reports Management Officer,</w:t>
          </w:r>
        </w:p>
        <w:p w:rsidR="00D24D7C" w:rsidRDefault="0016222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24D7C" w:rsidRDefault="00162227">
          <w:pPr>
            <w:pStyle w:val="Footer"/>
            <w:rPr>
              <w:rFonts w:ascii="Helvetica" w:hAnsi="Helvetica"/>
              <w:sz w:val="16"/>
            </w:rPr>
          </w:pPr>
          <w:r>
            <w:rPr>
              <w:rFonts w:ascii="Helvetica" w:hAnsi="Helvetica"/>
              <w:sz w:val="16"/>
            </w:rPr>
            <w:t xml:space="preserve">Date: </w:t>
          </w:r>
        </w:p>
      </w:tc>
    </w:tr>
  </w:tbl>
  <w:p w:rsidR="00D24D7C" w:rsidRDefault="0016222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227" w:rsidRDefault="00162227" w:rsidP="00162227">
      <w:r>
        <w:separator/>
      </w:r>
    </w:p>
  </w:footnote>
  <w:footnote w:type="continuationSeparator" w:id="0">
    <w:p w:rsidR="00162227" w:rsidRDefault="00162227" w:rsidP="00162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EBD"/>
    <w:multiLevelType w:val="singleLevel"/>
    <w:tmpl w:val="EB744990"/>
    <w:lvl w:ilvl="0">
      <w:start w:val="3"/>
      <w:numFmt w:val="decimal"/>
      <w:lvlText w:val="%1. "/>
      <w:legacy w:legacy="1" w:legacySpace="0" w:legacyIndent="360"/>
      <w:lvlJc w:val="left"/>
      <w:pPr>
        <w:ind w:left="360" w:hanging="360"/>
      </w:pPr>
      <w:rPr>
        <w:b w:val="0"/>
        <w:i w:val="0"/>
        <w:sz w:val="24"/>
      </w:rPr>
    </w:lvl>
  </w:abstractNum>
  <w:abstractNum w:abstractNumId="1">
    <w:nsid w:val="0D676BB1"/>
    <w:multiLevelType w:val="singleLevel"/>
    <w:tmpl w:val="879E1EC2"/>
    <w:lvl w:ilvl="0">
      <w:start w:val="9"/>
      <w:numFmt w:val="decimal"/>
      <w:lvlText w:val="%1. "/>
      <w:legacy w:legacy="1" w:legacySpace="0" w:legacyIndent="360"/>
      <w:lvlJc w:val="left"/>
      <w:pPr>
        <w:ind w:left="360" w:hanging="360"/>
      </w:pPr>
      <w:rPr>
        <w:b w:val="0"/>
        <w:i w:val="0"/>
        <w:sz w:val="24"/>
      </w:rPr>
    </w:lvl>
  </w:abstractNum>
  <w:abstractNum w:abstractNumId="2">
    <w:nsid w:val="172A4E99"/>
    <w:multiLevelType w:val="singleLevel"/>
    <w:tmpl w:val="330EFCB2"/>
    <w:lvl w:ilvl="0">
      <w:start w:val="13"/>
      <w:numFmt w:val="decimal"/>
      <w:lvlText w:val="%1. "/>
      <w:legacy w:legacy="1" w:legacySpace="0" w:legacyIndent="360"/>
      <w:lvlJc w:val="left"/>
      <w:pPr>
        <w:ind w:left="360" w:hanging="360"/>
      </w:pPr>
      <w:rPr>
        <w:b w:val="0"/>
        <w:i w:val="0"/>
        <w:sz w:val="24"/>
      </w:rPr>
    </w:lvl>
  </w:abstractNum>
  <w:abstractNum w:abstractNumId="3">
    <w:nsid w:val="31B82B79"/>
    <w:multiLevelType w:val="singleLevel"/>
    <w:tmpl w:val="FC0AD99C"/>
    <w:lvl w:ilvl="0">
      <w:start w:val="5"/>
      <w:numFmt w:val="decimal"/>
      <w:lvlText w:val="%1. "/>
      <w:legacy w:legacy="1" w:legacySpace="0" w:legacyIndent="360"/>
      <w:lvlJc w:val="left"/>
      <w:pPr>
        <w:ind w:left="360" w:hanging="360"/>
      </w:pPr>
      <w:rPr>
        <w:b w:val="0"/>
        <w:i w:val="0"/>
        <w:sz w:val="24"/>
      </w:rPr>
    </w:lvl>
  </w:abstractNum>
  <w:abstractNum w:abstractNumId="4">
    <w:nsid w:val="401E6F27"/>
    <w:multiLevelType w:val="singleLevel"/>
    <w:tmpl w:val="FA32F4D2"/>
    <w:lvl w:ilvl="0">
      <w:start w:val="10"/>
      <w:numFmt w:val="decimal"/>
      <w:lvlText w:val="%1. "/>
      <w:legacy w:legacy="1" w:legacySpace="0" w:legacyIndent="360"/>
      <w:lvlJc w:val="left"/>
      <w:pPr>
        <w:ind w:left="360" w:hanging="360"/>
      </w:pPr>
      <w:rPr>
        <w:b w:val="0"/>
        <w:i w:val="0"/>
        <w:sz w:val="24"/>
      </w:rPr>
    </w:lvl>
  </w:abstractNum>
  <w:abstractNum w:abstractNumId="5">
    <w:nsid w:val="50742D58"/>
    <w:multiLevelType w:val="singleLevel"/>
    <w:tmpl w:val="77B030D0"/>
    <w:lvl w:ilvl="0">
      <w:start w:val="12"/>
      <w:numFmt w:val="decimal"/>
      <w:lvlText w:val="%1. "/>
      <w:legacy w:legacy="1" w:legacySpace="0" w:legacyIndent="360"/>
      <w:lvlJc w:val="left"/>
      <w:pPr>
        <w:ind w:left="360" w:hanging="360"/>
      </w:pPr>
      <w:rPr>
        <w:b w:val="0"/>
        <w:i w:val="0"/>
        <w:sz w:val="24"/>
      </w:rPr>
    </w:lvl>
  </w:abstractNum>
  <w:abstractNum w:abstractNumId="6">
    <w:nsid w:val="58E100CC"/>
    <w:multiLevelType w:val="singleLevel"/>
    <w:tmpl w:val="A3D80C98"/>
    <w:lvl w:ilvl="0">
      <w:start w:val="11"/>
      <w:numFmt w:val="decimal"/>
      <w:lvlText w:val="%1. "/>
      <w:legacy w:legacy="1" w:legacySpace="0" w:legacyIndent="360"/>
      <w:lvlJc w:val="left"/>
      <w:pPr>
        <w:ind w:left="360" w:hanging="360"/>
      </w:pPr>
      <w:rPr>
        <w:b w:val="0"/>
        <w:i w:val="0"/>
        <w:sz w:val="24"/>
      </w:rPr>
    </w:lvl>
  </w:abstractNum>
  <w:abstractNum w:abstractNumId="7">
    <w:nsid w:val="5A7C1780"/>
    <w:multiLevelType w:val="singleLevel"/>
    <w:tmpl w:val="8856F322"/>
    <w:lvl w:ilvl="0">
      <w:start w:val="7"/>
      <w:numFmt w:val="decimal"/>
      <w:lvlText w:val="%1. "/>
      <w:legacy w:legacy="1" w:legacySpace="0" w:legacyIndent="360"/>
      <w:lvlJc w:val="left"/>
      <w:pPr>
        <w:ind w:left="360" w:hanging="360"/>
      </w:pPr>
      <w:rPr>
        <w:b w:val="0"/>
        <w:i w:val="0"/>
        <w:sz w:val="24"/>
      </w:rPr>
    </w:lvl>
  </w:abstractNum>
  <w:abstractNum w:abstractNumId="8">
    <w:nsid w:val="6DAA4EFA"/>
    <w:multiLevelType w:val="singleLevel"/>
    <w:tmpl w:val="17DA5472"/>
    <w:lvl w:ilvl="0">
      <w:start w:val="14"/>
      <w:numFmt w:val="decimal"/>
      <w:lvlText w:val="%1. "/>
      <w:legacy w:legacy="1" w:legacySpace="0" w:legacyIndent="360"/>
      <w:lvlJc w:val="left"/>
      <w:pPr>
        <w:ind w:left="360" w:hanging="360"/>
      </w:pPr>
      <w:rPr>
        <w:b w:val="0"/>
        <w:i w:val="0"/>
        <w:sz w:val="24"/>
      </w:rPr>
    </w:lvl>
  </w:abstractNum>
  <w:abstractNum w:abstractNumId="9">
    <w:nsid w:val="6DB328C5"/>
    <w:multiLevelType w:val="singleLevel"/>
    <w:tmpl w:val="A3CA291E"/>
    <w:lvl w:ilvl="0">
      <w:start w:val="6"/>
      <w:numFmt w:val="decimal"/>
      <w:lvlText w:val="%1. "/>
      <w:legacy w:legacy="1" w:legacySpace="0" w:legacyIndent="360"/>
      <w:lvlJc w:val="left"/>
      <w:pPr>
        <w:ind w:left="360" w:hanging="360"/>
      </w:pPr>
      <w:rPr>
        <w:b w:val="0"/>
        <w:i w:val="0"/>
        <w:sz w:val="24"/>
      </w:rPr>
    </w:lvl>
  </w:abstractNum>
  <w:abstractNum w:abstractNumId="10">
    <w:nsid w:val="767005DB"/>
    <w:multiLevelType w:val="singleLevel"/>
    <w:tmpl w:val="8EFE2070"/>
    <w:lvl w:ilvl="0">
      <w:start w:val="15"/>
      <w:numFmt w:val="decimal"/>
      <w:lvlText w:val="%1. "/>
      <w:legacy w:legacy="1" w:legacySpace="0" w:legacyIndent="360"/>
      <w:lvlJc w:val="left"/>
      <w:pPr>
        <w:ind w:left="360" w:hanging="360"/>
      </w:pPr>
      <w:rPr>
        <w:b w:val="0"/>
        <w:i w:val="0"/>
        <w:sz w:val="24"/>
      </w:rPr>
    </w:lvl>
  </w:abstractNum>
  <w:abstractNum w:abstractNumId="11">
    <w:nsid w:val="791C6830"/>
    <w:multiLevelType w:val="singleLevel"/>
    <w:tmpl w:val="88EC65C6"/>
    <w:lvl w:ilvl="0">
      <w:start w:val="16"/>
      <w:numFmt w:val="decimal"/>
      <w:lvlText w:val="%1. "/>
      <w:legacy w:legacy="1" w:legacySpace="0" w:legacyIndent="360"/>
      <w:lvlJc w:val="left"/>
      <w:pPr>
        <w:ind w:left="360" w:hanging="360"/>
      </w:pPr>
      <w:rPr>
        <w:b w:val="0"/>
        <w:i w:val="0"/>
        <w:sz w:val="24"/>
      </w:rPr>
    </w:lvl>
  </w:abstractNum>
  <w:abstractNum w:abstractNumId="12">
    <w:nsid w:val="7E640EEC"/>
    <w:multiLevelType w:val="singleLevel"/>
    <w:tmpl w:val="4D24BA1A"/>
    <w:lvl w:ilvl="0">
      <w:start w:val="8"/>
      <w:numFmt w:val="decimal"/>
      <w:lvlText w:val="%1. "/>
      <w:legacy w:legacy="1" w:legacySpace="0" w:legacyIndent="360"/>
      <w:lvlJc w:val="left"/>
      <w:pPr>
        <w:ind w:left="360" w:hanging="360"/>
      </w:pPr>
      <w:rPr>
        <w:b w:val="0"/>
        <w:i w:val="0"/>
        <w:sz w:val="24"/>
      </w:rPr>
    </w:lvl>
  </w:abstractNum>
  <w:num w:numId="1">
    <w:abstractNumId w:val="0"/>
  </w:num>
  <w:num w:numId="2">
    <w:abstractNumId w:val="3"/>
  </w:num>
  <w:num w:numId="3">
    <w:abstractNumId w:val="9"/>
  </w:num>
  <w:num w:numId="4">
    <w:abstractNumId w:val="7"/>
  </w:num>
  <w:num w:numId="5">
    <w:abstractNumId w:val="12"/>
  </w:num>
  <w:num w:numId="6">
    <w:abstractNumId w:val="1"/>
  </w:num>
  <w:num w:numId="7">
    <w:abstractNumId w:val="4"/>
  </w:num>
  <w:num w:numId="8">
    <w:abstractNumId w:val="6"/>
  </w:num>
  <w:num w:numId="9">
    <w:abstractNumId w:val="5"/>
  </w:num>
  <w:num w:numId="10">
    <w:abstractNumId w:val="2"/>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2227"/>
    <w:rsid w:val="00077949"/>
    <w:rsid w:val="00162227"/>
    <w:rsid w:val="00211633"/>
    <w:rsid w:val="005D776A"/>
    <w:rsid w:val="00874328"/>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2227"/>
    <w:pPr>
      <w:tabs>
        <w:tab w:val="center" w:pos="4320"/>
        <w:tab w:val="right" w:pos="8640"/>
      </w:tabs>
    </w:pPr>
  </w:style>
  <w:style w:type="character" w:customStyle="1" w:styleId="HeaderChar">
    <w:name w:val="Header Char"/>
    <w:basedOn w:val="DefaultParagraphFont"/>
    <w:link w:val="Header"/>
    <w:rsid w:val="00162227"/>
    <w:rPr>
      <w:rFonts w:ascii="Times New Roman" w:eastAsia="Times New Roman" w:hAnsi="Times New Roman" w:cs="Times New Roman"/>
      <w:sz w:val="20"/>
      <w:szCs w:val="20"/>
    </w:rPr>
  </w:style>
  <w:style w:type="paragraph" w:styleId="Footer">
    <w:name w:val="footer"/>
    <w:basedOn w:val="Normal"/>
    <w:link w:val="FooterChar"/>
    <w:rsid w:val="00162227"/>
    <w:pPr>
      <w:tabs>
        <w:tab w:val="center" w:pos="4320"/>
        <w:tab w:val="right" w:pos="8640"/>
      </w:tabs>
    </w:pPr>
  </w:style>
  <w:style w:type="character" w:customStyle="1" w:styleId="FooterChar">
    <w:name w:val="Footer Char"/>
    <w:basedOn w:val="DefaultParagraphFont"/>
    <w:link w:val="Footer"/>
    <w:rsid w:val="00162227"/>
    <w:rPr>
      <w:rFonts w:ascii="Times New Roman" w:eastAsia="Times New Roman" w:hAnsi="Times New Roman" w:cs="Times New Roman"/>
      <w:sz w:val="20"/>
      <w:szCs w:val="20"/>
    </w:rPr>
  </w:style>
  <w:style w:type="paragraph" w:styleId="BodyTextIndent3">
    <w:name w:val="Body Text Indent 3"/>
    <w:basedOn w:val="Normal"/>
    <w:link w:val="BodyTextIndent3Char"/>
    <w:rsid w:val="00162227"/>
    <w:pPr>
      <w:keepLines/>
      <w:tabs>
        <w:tab w:val="left" w:pos="360"/>
      </w:tabs>
      <w:spacing w:after="80"/>
      <w:ind w:left="360" w:hanging="360"/>
    </w:pPr>
    <w:rPr>
      <w:rFonts w:ascii="Times" w:hAnsi="Times"/>
      <w:color w:val="000000"/>
      <w:sz w:val="24"/>
    </w:rPr>
  </w:style>
  <w:style w:type="character" w:customStyle="1" w:styleId="BodyTextIndent3Char">
    <w:name w:val="Body Text Indent 3 Char"/>
    <w:basedOn w:val="DefaultParagraphFont"/>
    <w:link w:val="BodyTextIndent3"/>
    <w:rsid w:val="00162227"/>
    <w:rPr>
      <w:rFonts w:ascii="Times" w:eastAsia="Times New Roman" w:hAnsi="Times"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517</Words>
  <Characters>2951</Characters>
  <Application>Microsoft Office Word</Application>
  <DocSecurity>0</DocSecurity>
  <Lines>24</Lines>
  <Paragraphs>6</Paragraphs>
  <ScaleCrop>false</ScaleCrop>
  <Company>Housing and Urban Development</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2</cp:revision>
  <dcterms:created xsi:type="dcterms:W3CDTF">2011-02-02T19:56:00Z</dcterms:created>
  <dcterms:modified xsi:type="dcterms:W3CDTF">2011-02-02T20:15:00Z</dcterms:modified>
</cp:coreProperties>
</file>