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F1" w:rsidRPr="0069653B" w:rsidRDefault="00AD59F1">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Times New Roman" w:hAnsi="Times New Roman"/>
          <w:bCs w:val="0"/>
          <w:sz w:val="28"/>
          <w:szCs w:val="28"/>
        </w:rPr>
      </w:pPr>
      <w:r w:rsidRPr="0069653B">
        <w:rPr>
          <w:rFonts w:ascii="Times New Roman" w:hAnsi="Times New Roman"/>
          <w:bCs w:val="0"/>
          <w:sz w:val="28"/>
          <w:szCs w:val="28"/>
        </w:rPr>
        <w:t>Supporting Statement for Paperwork Reduction Act Submission</w:t>
      </w:r>
    </w:p>
    <w:p w:rsidR="00AD59F1" w:rsidRPr="0069653B" w:rsidRDefault="00AD59F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8"/>
          <w:szCs w:val="28"/>
        </w:rPr>
      </w:pPr>
    </w:p>
    <w:p w:rsidR="00AD59F1" w:rsidRDefault="00AD59F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A. </w:t>
      </w:r>
      <w:r>
        <w:rPr>
          <w:b/>
          <w:sz w:val="24"/>
        </w:rPr>
        <w:tab/>
        <w:t>Justification</w:t>
      </w:r>
    </w:p>
    <w:p w:rsidR="00AD59F1" w:rsidRDefault="00AD59F1">
      <w:pPr>
        <w:tabs>
          <w:tab w:val="left" w:pos="360"/>
        </w:tabs>
        <w:ind w:right="720"/>
        <w:rPr>
          <w:sz w:val="24"/>
        </w:rPr>
      </w:pPr>
    </w:p>
    <w:p w:rsidR="006D54EE" w:rsidRPr="006D54EE" w:rsidRDefault="006D54EE">
      <w:pPr>
        <w:numPr>
          <w:ilvl w:val="0"/>
          <w:numId w:val="17"/>
        </w:numPr>
        <w:ind w:right="720"/>
        <w:rPr>
          <w:sz w:val="24"/>
        </w:rPr>
      </w:pPr>
      <w:r w:rsidRPr="006D54EE">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D54EE" w:rsidRDefault="006D54EE" w:rsidP="006D54EE">
      <w:pPr>
        <w:ind w:left="360" w:right="720"/>
        <w:rPr>
          <w:b/>
          <w:sz w:val="24"/>
        </w:rPr>
      </w:pPr>
    </w:p>
    <w:p w:rsidR="00AD59F1" w:rsidRDefault="00AD59F1" w:rsidP="006D54EE">
      <w:pPr>
        <w:ind w:left="360" w:right="720"/>
        <w:rPr>
          <w:sz w:val="24"/>
        </w:rPr>
      </w:pPr>
      <w:r>
        <w:rPr>
          <w:sz w:val="24"/>
        </w:rPr>
        <w:t xml:space="preserve">This information collection </w:t>
      </w:r>
      <w:r w:rsidR="007C6494">
        <w:rPr>
          <w:sz w:val="24"/>
        </w:rPr>
        <w:t xml:space="preserve">is used by </w:t>
      </w:r>
      <w:r>
        <w:rPr>
          <w:sz w:val="24"/>
        </w:rPr>
        <w:t xml:space="preserve">HUD, </w:t>
      </w:r>
      <w:r w:rsidR="00F81A64">
        <w:rPr>
          <w:sz w:val="24"/>
        </w:rPr>
        <w:t xml:space="preserve">by </w:t>
      </w:r>
      <w:r>
        <w:rPr>
          <w:sz w:val="24"/>
        </w:rPr>
        <w:t xml:space="preserve">Mortgagees, and </w:t>
      </w:r>
      <w:r w:rsidR="00F81A64">
        <w:rPr>
          <w:sz w:val="24"/>
        </w:rPr>
        <w:t xml:space="preserve">by </w:t>
      </w:r>
      <w:r>
        <w:rPr>
          <w:sz w:val="24"/>
        </w:rPr>
        <w:t xml:space="preserve">Contract Administrators (CAs) to evaluate the quality of project management; determine the causes of project problems; devise corrective actions to stabilize projects and prevent defaults; and to ensure that fraud, waste and mismanagement </w:t>
      </w:r>
      <w:r w:rsidR="00F81A64">
        <w:rPr>
          <w:sz w:val="24"/>
        </w:rPr>
        <w:t>are not problems for the community</w:t>
      </w:r>
      <w:r>
        <w:rPr>
          <w:sz w:val="24"/>
        </w:rPr>
        <w:t>.  The information collected also support</w:t>
      </w:r>
      <w:r w:rsidR="007C6494">
        <w:rPr>
          <w:sz w:val="24"/>
        </w:rPr>
        <w:t>s</w:t>
      </w:r>
      <w:r>
        <w:rPr>
          <w:sz w:val="24"/>
        </w:rPr>
        <w:t xml:space="preserve"> enforcement actions when owners fail to implement corrective actions.  The term Contract Administrators includes Performance-Based Contract Administrators </w:t>
      </w:r>
      <w:r w:rsidR="007C6494">
        <w:rPr>
          <w:sz w:val="24"/>
        </w:rPr>
        <w:t>and Traditional Contract Administrators.</w:t>
      </w:r>
    </w:p>
    <w:p w:rsidR="00AD59F1" w:rsidRDefault="00AD59F1">
      <w:pPr>
        <w:tabs>
          <w:tab w:val="left" w:pos="360"/>
        </w:tabs>
        <w:rPr>
          <w:sz w:val="24"/>
        </w:rPr>
      </w:pPr>
    </w:p>
    <w:p w:rsidR="00AD59F1" w:rsidRDefault="00AD59F1">
      <w:pPr>
        <w:pStyle w:val="Heading1"/>
        <w:ind w:left="360"/>
        <w:rPr>
          <w:rFonts w:ascii="Times New Roman" w:hAnsi="Times New Roman" w:cs="Times New Roman"/>
          <w:sz w:val="24"/>
        </w:rPr>
      </w:pPr>
      <w:r>
        <w:rPr>
          <w:rFonts w:ascii="Times New Roman" w:hAnsi="Times New Roman" w:cs="Times New Roman"/>
          <w:sz w:val="24"/>
        </w:rPr>
        <w:t>Regulatory Authority</w:t>
      </w:r>
    </w:p>
    <w:p w:rsidR="00AD59F1" w:rsidRDefault="00AD59F1">
      <w:pPr>
        <w:tabs>
          <w:tab w:val="left" w:pos="360"/>
        </w:tabs>
        <w:ind w:left="360"/>
        <w:rPr>
          <w:sz w:val="24"/>
        </w:rPr>
      </w:pPr>
    </w:p>
    <w:p w:rsidR="00AD59F1" w:rsidRPr="00793FC5" w:rsidRDefault="00AD59F1">
      <w:pPr>
        <w:pStyle w:val="HTMLPreformatted"/>
        <w:ind w:left="360"/>
        <w:rPr>
          <w:rFonts w:ascii="Times New Roman" w:hAnsi="Times New Roman" w:cs="Times New Roman"/>
          <w:sz w:val="24"/>
          <w:szCs w:val="24"/>
        </w:rPr>
      </w:pPr>
      <w:r w:rsidRPr="00793FC5">
        <w:rPr>
          <w:rFonts w:ascii="Times New Roman" w:hAnsi="Times New Roman" w:cs="Times New Roman"/>
          <w:sz w:val="24"/>
          <w:szCs w:val="24"/>
        </w:rPr>
        <w:t xml:space="preserve">24 CFR 880.612, states that </w:t>
      </w:r>
      <w:proofErr w:type="gramStart"/>
      <w:r w:rsidRPr="00793FC5">
        <w:rPr>
          <w:rFonts w:ascii="Times New Roman" w:hAnsi="Times New Roman" w:cs="Times New Roman"/>
          <w:sz w:val="24"/>
          <w:szCs w:val="24"/>
        </w:rPr>
        <w:t>“ .</w:t>
      </w:r>
      <w:proofErr w:type="gramEnd"/>
      <w:r w:rsidRPr="00793FC5">
        <w:rPr>
          <w:rFonts w:ascii="Times New Roman" w:hAnsi="Times New Roman" w:cs="Times New Roman"/>
          <w:sz w:val="24"/>
          <w:szCs w:val="24"/>
        </w:rPr>
        <w:t xml:space="preserve"> . . the contract administrator will inspect the project and review its operation at least annually . . . .”</w:t>
      </w:r>
    </w:p>
    <w:p w:rsidR="00AD59F1" w:rsidRPr="00793FC5" w:rsidRDefault="00AD59F1">
      <w:pPr>
        <w:tabs>
          <w:tab w:val="left" w:pos="360"/>
        </w:tabs>
        <w:ind w:left="720"/>
        <w:rPr>
          <w:sz w:val="24"/>
          <w:szCs w:val="24"/>
        </w:rPr>
      </w:pPr>
    </w:p>
    <w:p w:rsidR="00AD59F1" w:rsidRPr="00793FC5" w:rsidRDefault="00AD59F1">
      <w:pPr>
        <w:pStyle w:val="HTMLPreformatted"/>
        <w:ind w:left="360"/>
        <w:rPr>
          <w:rFonts w:ascii="Times New Roman" w:hAnsi="Times New Roman" w:cs="Times New Roman"/>
          <w:sz w:val="24"/>
          <w:szCs w:val="24"/>
        </w:rPr>
      </w:pPr>
      <w:r w:rsidRPr="00793FC5">
        <w:rPr>
          <w:rFonts w:ascii="Times New Roman" w:hAnsi="Times New Roman" w:cs="Times New Roman"/>
          <w:sz w:val="24"/>
          <w:szCs w:val="24"/>
        </w:rPr>
        <w:t xml:space="preserve">24 CFR 884.224 and 24 CFR 886.130 both provide that </w:t>
      </w:r>
      <w:proofErr w:type="gramStart"/>
      <w:r w:rsidRPr="00793FC5">
        <w:rPr>
          <w:rFonts w:ascii="Times New Roman" w:hAnsi="Times New Roman" w:cs="Times New Roman"/>
          <w:sz w:val="24"/>
          <w:szCs w:val="24"/>
        </w:rPr>
        <w:t>“ .</w:t>
      </w:r>
      <w:proofErr w:type="gramEnd"/>
      <w:r w:rsidRPr="00793FC5">
        <w:rPr>
          <w:rFonts w:ascii="Times New Roman" w:hAnsi="Times New Roman" w:cs="Times New Roman"/>
          <w:sz w:val="24"/>
          <w:szCs w:val="24"/>
        </w:rPr>
        <w:t xml:space="preserve"> . . HUD will review project operations at such intervals as it deems necessary . . . .”</w:t>
      </w:r>
    </w:p>
    <w:p w:rsidR="00AD59F1" w:rsidRPr="00793FC5" w:rsidRDefault="00AD59F1">
      <w:pPr>
        <w:tabs>
          <w:tab w:val="left" w:pos="360"/>
        </w:tabs>
        <w:ind w:left="720"/>
        <w:rPr>
          <w:sz w:val="24"/>
          <w:szCs w:val="24"/>
        </w:rPr>
      </w:pPr>
    </w:p>
    <w:p w:rsidR="00793FC5" w:rsidRPr="00793FC5" w:rsidRDefault="00AD59F1" w:rsidP="00793FC5">
      <w:pPr>
        <w:tabs>
          <w:tab w:val="left" w:pos="360"/>
        </w:tabs>
        <w:ind w:left="360"/>
        <w:rPr>
          <w:sz w:val="24"/>
          <w:szCs w:val="24"/>
        </w:rPr>
      </w:pPr>
      <w:r w:rsidRPr="00793FC5">
        <w:rPr>
          <w:sz w:val="24"/>
          <w:szCs w:val="24"/>
        </w:rPr>
        <w:t>24 CFR 891.450 states that “HUD shall conduct periodic on-site management reviews . . . .”</w:t>
      </w:r>
    </w:p>
    <w:p w:rsidR="00793FC5" w:rsidRPr="00793FC5" w:rsidRDefault="00793FC5" w:rsidP="00793FC5">
      <w:pPr>
        <w:tabs>
          <w:tab w:val="left" w:pos="360"/>
        </w:tabs>
        <w:ind w:left="360"/>
        <w:rPr>
          <w:sz w:val="24"/>
          <w:szCs w:val="24"/>
        </w:rPr>
      </w:pPr>
    </w:p>
    <w:p w:rsidR="00793FC5" w:rsidRPr="00793FC5" w:rsidRDefault="00793FC5" w:rsidP="00793FC5">
      <w:pPr>
        <w:tabs>
          <w:tab w:val="left" w:pos="360"/>
        </w:tabs>
        <w:ind w:left="360"/>
        <w:rPr>
          <w:sz w:val="24"/>
          <w:szCs w:val="24"/>
        </w:rPr>
      </w:pPr>
      <w:proofErr w:type="gramStart"/>
      <w:r w:rsidRPr="00793FC5">
        <w:rPr>
          <w:sz w:val="24"/>
          <w:szCs w:val="24"/>
        </w:rPr>
        <w:t>The Paperwork Reduction Act of 1980 (44 U.S.C. 3501-3520) When collecting information from 10 or more people, gives HUD the authority to collect.</w:t>
      </w:r>
      <w:proofErr w:type="gramEnd"/>
    </w:p>
    <w:p w:rsidR="00793FC5" w:rsidRPr="00793FC5" w:rsidRDefault="00793FC5" w:rsidP="00793FC5">
      <w:pPr>
        <w:tabs>
          <w:tab w:val="left" w:pos="360"/>
        </w:tabs>
        <w:ind w:left="360"/>
        <w:rPr>
          <w:sz w:val="24"/>
          <w:szCs w:val="24"/>
        </w:rPr>
      </w:pPr>
    </w:p>
    <w:p w:rsidR="00793FC5" w:rsidRPr="00793FC5" w:rsidRDefault="00793FC5" w:rsidP="00793FC5">
      <w:pPr>
        <w:tabs>
          <w:tab w:val="left" w:pos="360"/>
        </w:tabs>
        <w:ind w:left="360"/>
        <w:rPr>
          <w:sz w:val="24"/>
          <w:szCs w:val="24"/>
        </w:rPr>
      </w:pPr>
      <w:r w:rsidRPr="00793FC5">
        <w:rPr>
          <w:sz w:val="24"/>
          <w:szCs w:val="24"/>
        </w:rPr>
        <w:t>Fair Housing Act title VIII of Civil Right Act of 1968, prohibits discrimination.</w:t>
      </w:r>
    </w:p>
    <w:p w:rsidR="00793FC5" w:rsidRPr="00793FC5" w:rsidRDefault="00793FC5">
      <w:pPr>
        <w:tabs>
          <w:tab w:val="left" w:pos="360"/>
        </w:tabs>
        <w:ind w:left="360"/>
        <w:rPr>
          <w:sz w:val="24"/>
          <w:szCs w:val="24"/>
        </w:rPr>
      </w:pPr>
    </w:p>
    <w:p w:rsidR="00AD59F1" w:rsidRDefault="00AD59F1">
      <w:pPr>
        <w:tabs>
          <w:tab w:val="left" w:pos="360"/>
        </w:tabs>
        <w:ind w:left="360"/>
        <w:rPr>
          <w:sz w:val="24"/>
        </w:rPr>
      </w:pPr>
    </w:p>
    <w:p w:rsidR="00AD59F1" w:rsidRDefault="00AD59F1">
      <w:pPr>
        <w:pStyle w:val="Heading1"/>
        <w:ind w:left="360"/>
        <w:rPr>
          <w:rFonts w:ascii="Times New Roman" w:hAnsi="Times New Roman" w:cs="Times New Roman"/>
          <w:sz w:val="24"/>
        </w:rPr>
      </w:pPr>
      <w:r>
        <w:rPr>
          <w:rFonts w:ascii="Times New Roman" w:hAnsi="Times New Roman" w:cs="Times New Roman"/>
          <w:sz w:val="24"/>
        </w:rPr>
        <w:t>Administrative Requirements</w:t>
      </w:r>
    </w:p>
    <w:p w:rsidR="00AD59F1" w:rsidRDefault="00AD59F1">
      <w:pPr>
        <w:tabs>
          <w:tab w:val="left" w:pos="360"/>
        </w:tabs>
        <w:ind w:left="360"/>
        <w:rPr>
          <w:sz w:val="24"/>
        </w:rPr>
      </w:pPr>
    </w:p>
    <w:p w:rsidR="00AD59F1" w:rsidRDefault="00AD59F1">
      <w:pPr>
        <w:tabs>
          <w:tab w:val="left" w:pos="360"/>
        </w:tabs>
        <w:ind w:left="360"/>
        <w:rPr>
          <w:sz w:val="24"/>
        </w:rPr>
      </w:pPr>
      <w:r>
        <w:rPr>
          <w:sz w:val="24"/>
        </w:rPr>
        <w:t xml:space="preserve">HUD Handbook 4350.1, REV-1, Chapter 6, </w:t>
      </w:r>
      <w:r w:rsidR="007C6494">
        <w:rPr>
          <w:sz w:val="24"/>
        </w:rPr>
        <w:t xml:space="preserve">provides guidance and </w:t>
      </w:r>
      <w:r>
        <w:rPr>
          <w:sz w:val="24"/>
        </w:rPr>
        <w:t xml:space="preserve">procedures for </w:t>
      </w:r>
      <w:r w:rsidR="007C6494">
        <w:rPr>
          <w:sz w:val="24"/>
        </w:rPr>
        <w:t xml:space="preserve">conducting and evaluating </w:t>
      </w:r>
      <w:r>
        <w:rPr>
          <w:sz w:val="24"/>
        </w:rPr>
        <w:t>on-site management review</w:t>
      </w:r>
      <w:r w:rsidR="007C6494">
        <w:rPr>
          <w:sz w:val="24"/>
        </w:rPr>
        <w:t>s</w:t>
      </w:r>
      <w:r>
        <w:rPr>
          <w:sz w:val="24"/>
        </w:rPr>
        <w:t xml:space="preserve">.  </w:t>
      </w:r>
    </w:p>
    <w:p w:rsidR="00BD250B" w:rsidRPr="00BD250B" w:rsidRDefault="00BD250B" w:rsidP="00BD250B">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BD250B">
        <w:rPr>
          <w:rFonts w:ascii="Times New Roman" w:hAnsi="Times New Roman" w:cs="Times New Roman"/>
          <w:sz w:val="24"/>
          <w:szCs w:val="24"/>
        </w:rPr>
        <w:t xml:space="preserve">HUD Handbook 4566.2, Chapter 6 governs the mortgagee on-site management review responsibilities.  </w:t>
      </w:r>
    </w:p>
    <w:p w:rsidR="00BD250B" w:rsidRDefault="00BD250B" w:rsidP="00BD250B">
      <w:pPr>
        <w:pStyle w:val="HTMLPreformatted"/>
        <w:jc w:val="center"/>
      </w:pPr>
    </w:p>
    <w:p w:rsidR="006D54EE" w:rsidRPr="006D54EE" w:rsidRDefault="006D54EE">
      <w:pPr>
        <w:numPr>
          <w:ilvl w:val="0"/>
          <w:numId w:val="17"/>
        </w:numPr>
        <w:tabs>
          <w:tab w:val="left" w:pos="720"/>
        </w:tabs>
        <w:ind w:right="720"/>
        <w:rPr>
          <w:sz w:val="24"/>
        </w:rPr>
      </w:pPr>
      <w:r w:rsidRPr="006D54EE">
        <w:rPr>
          <w:b/>
          <w:sz w:val="24"/>
        </w:rPr>
        <w:t>Indicate how, by whom, and for what purpose the information is to be used.  Except for a new collection, indicate the actual use the agency has made of the information received from the current collection.</w:t>
      </w:r>
    </w:p>
    <w:p w:rsidR="006D54EE" w:rsidRPr="006D54EE" w:rsidRDefault="006D54EE" w:rsidP="006D54EE">
      <w:pPr>
        <w:tabs>
          <w:tab w:val="left" w:pos="720"/>
        </w:tabs>
        <w:ind w:left="360" w:right="720"/>
        <w:rPr>
          <w:sz w:val="24"/>
        </w:rPr>
      </w:pPr>
    </w:p>
    <w:p w:rsidR="00225CDD" w:rsidRDefault="00AD59F1" w:rsidP="006D54EE">
      <w:pPr>
        <w:tabs>
          <w:tab w:val="left" w:pos="720"/>
        </w:tabs>
        <w:ind w:left="360" w:right="720"/>
        <w:rPr>
          <w:sz w:val="24"/>
        </w:rPr>
      </w:pPr>
      <w:r>
        <w:rPr>
          <w:sz w:val="24"/>
        </w:rPr>
        <w:t xml:space="preserve">The </w:t>
      </w:r>
      <w:r w:rsidR="00225CDD">
        <w:rPr>
          <w:sz w:val="24"/>
        </w:rPr>
        <w:t>form HUD-9834</w:t>
      </w:r>
      <w:r>
        <w:rPr>
          <w:sz w:val="24"/>
        </w:rPr>
        <w:t xml:space="preserve"> will be collected by </w:t>
      </w:r>
      <w:r w:rsidR="00225CDD">
        <w:rPr>
          <w:sz w:val="24"/>
        </w:rPr>
        <w:t>the reviewer (</w:t>
      </w:r>
      <w:r>
        <w:rPr>
          <w:sz w:val="24"/>
        </w:rPr>
        <w:t xml:space="preserve">HUD staff, Mortgagees, </w:t>
      </w:r>
      <w:r w:rsidR="00AD4DCC">
        <w:rPr>
          <w:sz w:val="24"/>
        </w:rPr>
        <w:t>or</w:t>
      </w:r>
      <w:r>
        <w:rPr>
          <w:sz w:val="24"/>
        </w:rPr>
        <w:t xml:space="preserve"> CAs depending on the type of review</w:t>
      </w:r>
      <w:r w:rsidR="00225CDD">
        <w:rPr>
          <w:sz w:val="24"/>
        </w:rPr>
        <w:t>) to gather and record information during on-site reviews of project operations</w:t>
      </w:r>
      <w:r>
        <w:rPr>
          <w:sz w:val="24"/>
        </w:rPr>
        <w:t xml:space="preserve">.  HUD staff and Mortgagees collect information from portions of the form for unsubsidized projects.  </w:t>
      </w:r>
      <w:proofErr w:type="gramStart"/>
      <w:r>
        <w:rPr>
          <w:sz w:val="24"/>
        </w:rPr>
        <w:t xml:space="preserve">CAs collect information </w:t>
      </w:r>
      <w:r w:rsidR="00225CDD">
        <w:rPr>
          <w:sz w:val="24"/>
        </w:rPr>
        <w:t xml:space="preserve">using </w:t>
      </w:r>
      <w:r>
        <w:rPr>
          <w:sz w:val="24"/>
        </w:rPr>
        <w:t>the entire form except where noted “This section applies only to HUD Staff</w:t>
      </w:r>
      <w:r w:rsidR="00866ABB">
        <w:rPr>
          <w:sz w:val="24"/>
        </w:rPr>
        <w:t xml:space="preserve"> and </w:t>
      </w:r>
      <w:r>
        <w:rPr>
          <w:sz w:val="24"/>
        </w:rPr>
        <w:t>Mortgagees.”</w:t>
      </w:r>
      <w:proofErr w:type="gramEnd"/>
      <w:r>
        <w:rPr>
          <w:sz w:val="24"/>
        </w:rPr>
        <w:t xml:space="preserve">  </w:t>
      </w:r>
    </w:p>
    <w:p w:rsidR="00363DC3" w:rsidRDefault="00225CDD" w:rsidP="00363DC3">
      <w:pPr>
        <w:pStyle w:val="BodyTextIndent3"/>
        <w:rPr>
          <w:rFonts w:ascii="Times New Roman" w:hAnsi="Times New Roman" w:cs="Times New Roman"/>
          <w:sz w:val="24"/>
        </w:rPr>
      </w:pPr>
      <w:r>
        <w:rPr>
          <w:sz w:val="24"/>
        </w:rPr>
        <w:tab/>
      </w:r>
      <w:r w:rsidR="00363DC3">
        <w:rPr>
          <w:rFonts w:ascii="Times New Roman" w:hAnsi="Times New Roman" w:cs="Times New Roman"/>
          <w:sz w:val="24"/>
        </w:rPr>
        <w:t xml:space="preserve"> </w:t>
      </w:r>
    </w:p>
    <w:p w:rsidR="00AD59F1" w:rsidRDefault="00225CDD" w:rsidP="006D54EE">
      <w:pPr>
        <w:tabs>
          <w:tab w:val="left" w:pos="720"/>
        </w:tabs>
        <w:ind w:left="360" w:right="720"/>
        <w:rPr>
          <w:sz w:val="24"/>
        </w:rPr>
      </w:pPr>
      <w:r>
        <w:rPr>
          <w:sz w:val="24"/>
        </w:rPr>
        <w:t>T</w:t>
      </w:r>
      <w:r w:rsidR="00AD59F1">
        <w:rPr>
          <w:sz w:val="24"/>
        </w:rPr>
        <w:t xml:space="preserve">he </w:t>
      </w:r>
      <w:r>
        <w:rPr>
          <w:sz w:val="24"/>
        </w:rPr>
        <w:t>form HUD-9834</w:t>
      </w:r>
      <w:r w:rsidR="00AD59F1">
        <w:rPr>
          <w:sz w:val="24"/>
        </w:rPr>
        <w:t xml:space="preserve"> provides a checklist of items to be reviewed</w:t>
      </w:r>
      <w:r w:rsidR="00AD4DCC">
        <w:rPr>
          <w:sz w:val="24"/>
        </w:rPr>
        <w:t>,</w:t>
      </w:r>
      <w:r w:rsidR="00AD59F1">
        <w:rPr>
          <w:sz w:val="24"/>
        </w:rPr>
        <w:t xml:space="preserve"> and </w:t>
      </w:r>
      <w:r>
        <w:rPr>
          <w:sz w:val="24"/>
        </w:rPr>
        <w:t xml:space="preserve">owners/agents are </w:t>
      </w:r>
      <w:r w:rsidR="00AD59F1">
        <w:rPr>
          <w:sz w:val="24"/>
        </w:rPr>
        <w:t>evaluated in the following areas:</w:t>
      </w:r>
    </w:p>
    <w:p w:rsidR="00AD59F1" w:rsidRDefault="00AD59F1" w:rsidP="006D54EE">
      <w:pPr>
        <w:tabs>
          <w:tab w:val="left" w:pos="360"/>
          <w:tab w:val="left" w:pos="720"/>
        </w:tabs>
        <w:ind w:left="360"/>
        <w:rPr>
          <w:sz w:val="24"/>
        </w:rPr>
      </w:pPr>
    </w:p>
    <w:p w:rsidR="00AD59F1" w:rsidRDefault="00AD59F1" w:rsidP="006D54EE">
      <w:pPr>
        <w:numPr>
          <w:ilvl w:val="0"/>
          <w:numId w:val="23"/>
        </w:numPr>
        <w:tabs>
          <w:tab w:val="left" w:pos="-2160"/>
        </w:tabs>
        <w:rPr>
          <w:sz w:val="24"/>
        </w:rPr>
      </w:pPr>
      <w:r>
        <w:rPr>
          <w:sz w:val="24"/>
        </w:rPr>
        <w:t>General Appearance and Security;</w:t>
      </w:r>
    </w:p>
    <w:p w:rsidR="00AD59F1" w:rsidRDefault="00AD59F1" w:rsidP="006D54EE">
      <w:pPr>
        <w:numPr>
          <w:ilvl w:val="0"/>
          <w:numId w:val="23"/>
        </w:numPr>
        <w:tabs>
          <w:tab w:val="left" w:pos="360"/>
          <w:tab w:val="left" w:pos="720"/>
        </w:tabs>
        <w:rPr>
          <w:sz w:val="24"/>
        </w:rPr>
      </w:pPr>
      <w:r>
        <w:rPr>
          <w:sz w:val="24"/>
        </w:rPr>
        <w:lastRenderedPageBreak/>
        <w:t>Follow-up and Monitoring of Inspections;</w:t>
      </w:r>
    </w:p>
    <w:p w:rsidR="00AD59F1" w:rsidRDefault="00AD59F1" w:rsidP="006D54EE">
      <w:pPr>
        <w:numPr>
          <w:ilvl w:val="0"/>
          <w:numId w:val="23"/>
        </w:numPr>
        <w:tabs>
          <w:tab w:val="left" w:pos="360"/>
          <w:tab w:val="left" w:pos="720"/>
        </w:tabs>
        <w:rPr>
          <w:sz w:val="24"/>
        </w:rPr>
      </w:pPr>
      <w:r>
        <w:rPr>
          <w:sz w:val="24"/>
        </w:rPr>
        <w:t>Maintenance and Standard Operating Procedures;</w:t>
      </w:r>
    </w:p>
    <w:p w:rsidR="00AD59F1" w:rsidRDefault="00AD59F1" w:rsidP="006D54EE">
      <w:pPr>
        <w:numPr>
          <w:ilvl w:val="0"/>
          <w:numId w:val="23"/>
        </w:numPr>
        <w:tabs>
          <w:tab w:val="left" w:pos="360"/>
          <w:tab w:val="left" w:pos="720"/>
        </w:tabs>
        <w:rPr>
          <w:sz w:val="24"/>
        </w:rPr>
      </w:pPr>
      <w:r>
        <w:rPr>
          <w:sz w:val="24"/>
        </w:rPr>
        <w:t>Financial Management/Procurement;</w:t>
      </w:r>
    </w:p>
    <w:p w:rsidR="00AD59F1" w:rsidRDefault="00AD59F1" w:rsidP="006D54EE">
      <w:pPr>
        <w:numPr>
          <w:ilvl w:val="0"/>
          <w:numId w:val="23"/>
        </w:numPr>
        <w:tabs>
          <w:tab w:val="left" w:pos="360"/>
          <w:tab w:val="left" w:pos="720"/>
        </w:tabs>
        <w:rPr>
          <w:sz w:val="24"/>
        </w:rPr>
      </w:pPr>
      <w:r>
        <w:rPr>
          <w:sz w:val="24"/>
        </w:rPr>
        <w:t>Leasing and Occupancy;</w:t>
      </w:r>
    </w:p>
    <w:p w:rsidR="00AD59F1" w:rsidRDefault="00AD59F1" w:rsidP="006D54EE">
      <w:pPr>
        <w:numPr>
          <w:ilvl w:val="0"/>
          <w:numId w:val="23"/>
        </w:numPr>
        <w:tabs>
          <w:tab w:val="left" w:pos="360"/>
          <w:tab w:val="left" w:pos="720"/>
        </w:tabs>
        <w:rPr>
          <w:sz w:val="24"/>
        </w:rPr>
      </w:pPr>
      <w:r>
        <w:rPr>
          <w:sz w:val="24"/>
        </w:rPr>
        <w:t>Tenant Services; and,</w:t>
      </w:r>
    </w:p>
    <w:p w:rsidR="00AD59F1" w:rsidRDefault="00AD59F1" w:rsidP="006D54EE">
      <w:pPr>
        <w:numPr>
          <w:ilvl w:val="0"/>
          <w:numId w:val="23"/>
        </w:numPr>
        <w:tabs>
          <w:tab w:val="left" w:pos="360"/>
          <w:tab w:val="left" w:pos="720"/>
        </w:tabs>
        <w:rPr>
          <w:sz w:val="24"/>
        </w:rPr>
      </w:pPr>
      <w:r>
        <w:rPr>
          <w:sz w:val="24"/>
        </w:rPr>
        <w:t>General Management Practices.</w:t>
      </w:r>
    </w:p>
    <w:p w:rsidR="00AD59F1" w:rsidRDefault="00AD59F1">
      <w:pPr>
        <w:tabs>
          <w:tab w:val="left" w:pos="360"/>
          <w:tab w:val="left" w:pos="720"/>
        </w:tabs>
        <w:rPr>
          <w:sz w:val="24"/>
        </w:rPr>
      </w:pPr>
    </w:p>
    <w:p w:rsidR="00D40C9F" w:rsidRDefault="00D40C9F" w:rsidP="00D40C9F">
      <w:pPr>
        <w:pStyle w:val="BodyTextIndent3"/>
        <w:rPr>
          <w:rFonts w:ascii="Times New Roman" w:hAnsi="Times New Roman" w:cs="Times New Roman"/>
          <w:sz w:val="24"/>
        </w:rPr>
      </w:pPr>
      <w:r>
        <w:rPr>
          <w:rFonts w:ascii="Times New Roman" w:hAnsi="Times New Roman" w:cs="Times New Roman"/>
          <w:sz w:val="24"/>
        </w:rPr>
        <w:t xml:space="preserve">The desk review information </w:t>
      </w:r>
      <w:r w:rsidR="00AD4DCC">
        <w:rPr>
          <w:rFonts w:ascii="Times New Roman" w:hAnsi="Times New Roman" w:cs="Times New Roman"/>
          <w:sz w:val="24"/>
        </w:rPr>
        <w:t xml:space="preserve">portion of the form </w:t>
      </w:r>
      <w:r>
        <w:rPr>
          <w:rFonts w:ascii="Times New Roman" w:hAnsi="Times New Roman" w:cs="Times New Roman"/>
          <w:sz w:val="24"/>
        </w:rPr>
        <w:t xml:space="preserve">is collected prior to the on-site review using HUD systems and project file information.  The desk review is used to reduce public reporting burden and prepare the reviewer for conducting the on-site review.  </w:t>
      </w:r>
    </w:p>
    <w:p w:rsidR="00AD59F1" w:rsidRDefault="00AD59F1">
      <w:pPr>
        <w:tabs>
          <w:tab w:val="left" w:pos="360"/>
          <w:tab w:val="left" w:pos="720"/>
        </w:tabs>
        <w:rPr>
          <w:sz w:val="24"/>
        </w:rPr>
      </w:pPr>
    </w:p>
    <w:p w:rsidR="00363DC3" w:rsidRDefault="00363DC3" w:rsidP="00363DC3">
      <w:pPr>
        <w:pStyle w:val="BodyTextIndent3"/>
        <w:rPr>
          <w:rFonts w:ascii="Times New Roman" w:hAnsi="Times New Roman" w:cs="Times New Roman"/>
          <w:sz w:val="24"/>
        </w:rPr>
      </w:pPr>
      <w:r>
        <w:rPr>
          <w:rFonts w:ascii="Times New Roman" w:hAnsi="Times New Roman" w:cs="Times New Roman"/>
          <w:sz w:val="24"/>
        </w:rPr>
        <w:t xml:space="preserve">The Reviewer conducts the on-site review while program participants, i.e., resident managers, management agent representatives and/or project owners, are required to provide the information used by HUD to assess management operations. </w:t>
      </w:r>
    </w:p>
    <w:p w:rsidR="00363DC3" w:rsidRDefault="00363DC3" w:rsidP="00363DC3">
      <w:pPr>
        <w:pStyle w:val="BodyTextIndent3"/>
        <w:rPr>
          <w:rFonts w:ascii="Times New Roman" w:hAnsi="Times New Roman" w:cs="Times New Roman"/>
          <w:sz w:val="24"/>
        </w:rPr>
      </w:pPr>
    </w:p>
    <w:p w:rsidR="00D40C9F" w:rsidRDefault="00D40C9F" w:rsidP="00D40C9F">
      <w:pPr>
        <w:tabs>
          <w:tab w:val="left" w:pos="360"/>
          <w:tab w:val="left" w:pos="720"/>
        </w:tabs>
        <w:ind w:left="720"/>
        <w:rPr>
          <w:sz w:val="24"/>
        </w:rPr>
      </w:pPr>
      <w:r>
        <w:rPr>
          <w:sz w:val="24"/>
        </w:rPr>
        <w:t>Upon completion of the on-site review, the reviewer is required to complete the HUD-9834, Management Review Summary Report - Findings portion, which is used to:</w:t>
      </w:r>
    </w:p>
    <w:p w:rsidR="00D40C9F" w:rsidRDefault="00D40C9F" w:rsidP="00D40C9F">
      <w:pPr>
        <w:tabs>
          <w:tab w:val="left" w:pos="360"/>
          <w:tab w:val="left" w:pos="720"/>
        </w:tabs>
        <w:rPr>
          <w:sz w:val="24"/>
        </w:rPr>
      </w:pPr>
    </w:p>
    <w:p w:rsidR="00D40C9F" w:rsidRDefault="00D40C9F" w:rsidP="006D54EE">
      <w:pPr>
        <w:numPr>
          <w:ilvl w:val="0"/>
          <w:numId w:val="12"/>
        </w:numPr>
        <w:tabs>
          <w:tab w:val="left" w:pos="360"/>
          <w:tab w:val="left" w:pos="720"/>
        </w:tabs>
        <w:ind w:left="1800"/>
        <w:rPr>
          <w:sz w:val="24"/>
        </w:rPr>
      </w:pPr>
      <w:r>
        <w:rPr>
          <w:sz w:val="24"/>
        </w:rPr>
        <w:t>Summarize the information gathered on the questionnaire;</w:t>
      </w:r>
    </w:p>
    <w:p w:rsidR="00D40C9F" w:rsidRDefault="00D40C9F" w:rsidP="006D54EE">
      <w:pPr>
        <w:numPr>
          <w:ilvl w:val="0"/>
          <w:numId w:val="12"/>
        </w:numPr>
        <w:tabs>
          <w:tab w:val="left" w:pos="360"/>
          <w:tab w:val="left" w:pos="720"/>
        </w:tabs>
        <w:ind w:left="1440" w:firstLine="0"/>
        <w:rPr>
          <w:sz w:val="24"/>
        </w:rPr>
      </w:pPr>
      <w:r>
        <w:rPr>
          <w:sz w:val="24"/>
        </w:rPr>
        <w:t xml:space="preserve">Assign an evaluation rating for each of the </w:t>
      </w:r>
      <w:r w:rsidR="00AD4DCC">
        <w:rPr>
          <w:sz w:val="24"/>
        </w:rPr>
        <w:t>7</w:t>
      </w:r>
      <w:r>
        <w:rPr>
          <w:sz w:val="24"/>
        </w:rPr>
        <w:t xml:space="preserve"> areas of project management listed above;</w:t>
      </w:r>
    </w:p>
    <w:p w:rsidR="00D40C9F" w:rsidRDefault="00D40C9F" w:rsidP="006D54EE">
      <w:pPr>
        <w:numPr>
          <w:ilvl w:val="0"/>
          <w:numId w:val="12"/>
        </w:numPr>
        <w:tabs>
          <w:tab w:val="left" w:pos="360"/>
          <w:tab w:val="left" w:pos="720"/>
        </w:tabs>
        <w:ind w:left="1440" w:firstLine="0"/>
        <w:rPr>
          <w:sz w:val="24"/>
        </w:rPr>
      </w:pPr>
      <w:r>
        <w:rPr>
          <w:sz w:val="24"/>
        </w:rPr>
        <w:t>Formulate an overall rating;</w:t>
      </w:r>
    </w:p>
    <w:p w:rsidR="00D40C9F" w:rsidRDefault="00D40C9F" w:rsidP="006D54EE">
      <w:pPr>
        <w:numPr>
          <w:ilvl w:val="0"/>
          <w:numId w:val="12"/>
        </w:numPr>
        <w:tabs>
          <w:tab w:val="left" w:pos="360"/>
          <w:tab w:val="left" w:pos="720"/>
        </w:tabs>
        <w:ind w:left="1440" w:firstLine="0"/>
        <w:rPr>
          <w:sz w:val="24"/>
        </w:rPr>
      </w:pPr>
      <w:r>
        <w:rPr>
          <w:sz w:val="24"/>
        </w:rPr>
        <w:t>Report spe</w:t>
      </w:r>
      <w:r w:rsidR="006D54EE">
        <w:rPr>
          <w:sz w:val="24"/>
        </w:rPr>
        <w:t>cific problems;</w:t>
      </w:r>
      <w:r>
        <w:rPr>
          <w:sz w:val="24"/>
        </w:rPr>
        <w:t xml:space="preserve"> and</w:t>
      </w:r>
    </w:p>
    <w:p w:rsidR="00D40C9F" w:rsidRDefault="00D40C9F" w:rsidP="006D54EE">
      <w:pPr>
        <w:numPr>
          <w:ilvl w:val="0"/>
          <w:numId w:val="12"/>
        </w:numPr>
        <w:tabs>
          <w:tab w:val="left" w:pos="360"/>
          <w:tab w:val="left" w:pos="720"/>
        </w:tabs>
        <w:ind w:left="1440" w:firstLine="0"/>
        <w:rPr>
          <w:sz w:val="24"/>
        </w:rPr>
      </w:pPr>
      <w:r>
        <w:rPr>
          <w:sz w:val="24"/>
        </w:rPr>
        <w:t>Describe required corrective actions and</w:t>
      </w:r>
      <w:r w:rsidR="006D54EE">
        <w:rPr>
          <w:sz w:val="24"/>
        </w:rPr>
        <w:t xml:space="preserve"> set</w:t>
      </w:r>
      <w:r>
        <w:rPr>
          <w:sz w:val="24"/>
        </w:rPr>
        <w:t xml:space="preserve"> target completion dates.</w:t>
      </w:r>
    </w:p>
    <w:p w:rsidR="00AD59F1" w:rsidRDefault="00AD59F1">
      <w:pPr>
        <w:tabs>
          <w:tab w:val="left" w:pos="360"/>
        </w:tabs>
        <w:rPr>
          <w:sz w:val="24"/>
        </w:rPr>
      </w:pPr>
    </w:p>
    <w:p w:rsidR="00D30277" w:rsidRDefault="00D30277" w:rsidP="00D30277">
      <w:pPr>
        <w:tabs>
          <w:tab w:val="left" w:pos="360"/>
        </w:tabs>
        <w:ind w:left="720"/>
        <w:rPr>
          <w:sz w:val="24"/>
        </w:rPr>
      </w:pPr>
      <w:r w:rsidRPr="00D30277">
        <w:rPr>
          <w:sz w:val="24"/>
        </w:rPr>
        <w:t>The reviewer will</w:t>
      </w:r>
      <w:r w:rsidR="00425D2F" w:rsidRPr="00D30277">
        <w:rPr>
          <w:sz w:val="24"/>
        </w:rPr>
        <w:t xml:space="preserve"> mail</w:t>
      </w:r>
      <w:r w:rsidR="00D40C9F" w:rsidRPr="00D30277">
        <w:rPr>
          <w:sz w:val="24"/>
        </w:rPr>
        <w:t xml:space="preserve"> the </w:t>
      </w:r>
      <w:r w:rsidRPr="00D30277">
        <w:rPr>
          <w:sz w:val="24"/>
        </w:rPr>
        <w:t>HUD-9834, Management Review Summary Report and</w:t>
      </w:r>
      <w:r w:rsidR="00D40C9F" w:rsidRPr="00D30277">
        <w:rPr>
          <w:sz w:val="24"/>
        </w:rPr>
        <w:t xml:space="preserve"> findings to the owner/agent.</w:t>
      </w:r>
    </w:p>
    <w:p w:rsidR="00D40C9F" w:rsidRDefault="00D40C9F" w:rsidP="00D30277">
      <w:pPr>
        <w:tabs>
          <w:tab w:val="left" w:pos="360"/>
        </w:tabs>
        <w:ind w:left="720"/>
        <w:rPr>
          <w:sz w:val="24"/>
        </w:rPr>
      </w:pPr>
      <w:r>
        <w:rPr>
          <w:sz w:val="24"/>
        </w:rPr>
        <w:t xml:space="preserve">  </w:t>
      </w:r>
    </w:p>
    <w:p w:rsidR="006D54EE" w:rsidRPr="006D54EE" w:rsidRDefault="006D54EE" w:rsidP="006D54EE">
      <w:pPr>
        <w:pStyle w:val="ListParagraph"/>
        <w:numPr>
          <w:ilvl w:val="0"/>
          <w:numId w:val="17"/>
        </w:numPr>
      </w:pPr>
      <w:r w:rsidRPr="00D533F9">
        <w:rPr>
          <w:b/>
        </w:rPr>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D54EE" w:rsidRPr="00D533F9" w:rsidRDefault="006D54EE" w:rsidP="006D54EE">
      <w:pPr>
        <w:pStyle w:val="ListParagraph"/>
        <w:ind w:left="360"/>
      </w:pPr>
    </w:p>
    <w:p w:rsidR="00AD59F1" w:rsidRDefault="00AD59F1" w:rsidP="006D54EE">
      <w:pPr>
        <w:ind w:left="360"/>
        <w:rPr>
          <w:sz w:val="24"/>
        </w:rPr>
      </w:pPr>
      <w:r>
        <w:rPr>
          <w:sz w:val="24"/>
        </w:rPr>
        <w:t xml:space="preserve">Currently, there are no plans to automate this process as it requires the Reviewers to conduct on-site reviews of project policies, manuals, written procedures, and a sample of units and project facilities.  At this time, automating this process is not feasible as it will not allow HUD staff to adequately conduct on-site management reviews of the management and project operations to ensure compliance with HUD regulations and guidelines as required.  </w:t>
      </w:r>
    </w:p>
    <w:p w:rsidR="00AD59F1" w:rsidRDefault="00AD59F1">
      <w:pPr>
        <w:keepLines/>
        <w:tabs>
          <w:tab w:val="left" w:pos="360"/>
        </w:tabs>
        <w:spacing w:after="80"/>
        <w:ind w:left="360" w:hanging="360"/>
        <w:rPr>
          <w:sz w:val="24"/>
        </w:rPr>
      </w:pPr>
    </w:p>
    <w:p w:rsidR="006D54EE" w:rsidRPr="006D54EE" w:rsidRDefault="006D54EE" w:rsidP="006D54EE">
      <w:pPr>
        <w:pStyle w:val="ListParagraph"/>
        <w:numPr>
          <w:ilvl w:val="0"/>
          <w:numId w:val="17"/>
        </w:numPr>
      </w:pPr>
      <w:r w:rsidRPr="00D533F9">
        <w:rPr>
          <w:b/>
        </w:rPr>
        <w:t>Describe efforts to identify duplication.  Show specifically why any similar information already available cannot be used or modified for use for the purposes described in Item 2 above.</w:t>
      </w:r>
    </w:p>
    <w:p w:rsidR="006D54EE" w:rsidRPr="00D533F9" w:rsidRDefault="006D54EE" w:rsidP="006D54EE">
      <w:pPr>
        <w:pStyle w:val="ListParagraph"/>
        <w:ind w:left="360"/>
      </w:pPr>
    </w:p>
    <w:p w:rsidR="00AD59F1" w:rsidRDefault="00642622" w:rsidP="006D54EE">
      <w:pPr>
        <w:tabs>
          <w:tab w:val="left" w:pos="720"/>
        </w:tabs>
        <w:ind w:left="360" w:right="720"/>
        <w:rPr>
          <w:sz w:val="24"/>
        </w:rPr>
      </w:pPr>
      <w:r>
        <w:rPr>
          <w:sz w:val="24"/>
        </w:rPr>
        <w:t>There is no duplication of the information collected.</w:t>
      </w:r>
      <w:r w:rsidR="00866ABB">
        <w:rPr>
          <w:sz w:val="24"/>
        </w:rPr>
        <w:t xml:space="preserve">  In areas where duplication could occur, reviewers collect that information prior to an on-site visit from information stored in various HUD databases.</w:t>
      </w:r>
    </w:p>
    <w:p w:rsidR="00AD59F1" w:rsidRDefault="00AD59F1">
      <w:pPr>
        <w:tabs>
          <w:tab w:val="left" w:pos="360"/>
          <w:tab w:val="left" w:pos="720"/>
        </w:tabs>
        <w:ind w:right="720"/>
        <w:rPr>
          <w:sz w:val="24"/>
        </w:rPr>
      </w:pPr>
      <w:r>
        <w:rPr>
          <w:sz w:val="24"/>
        </w:rPr>
        <w:t xml:space="preserve"> </w:t>
      </w:r>
    </w:p>
    <w:p w:rsidR="006D54EE" w:rsidRPr="006D54EE" w:rsidRDefault="006D54EE" w:rsidP="006D54EE">
      <w:pPr>
        <w:pStyle w:val="ListParagraph"/>
        <w:numPr>
          <w:ilvl w:val="0"/>
          <w:numId w:val="17"/>
        </w:numPr>
      </w:pPr>
      <w:r w:rsidRPr="00D533F9">
        <w:rPr>
          <w:b/>
        </w:rPr>
        <w:t>If the collection of information impacts small businesses or other small entities (Item 5 of OMB form 83-I) describe any methods used to minimize burden.</w:t>
      </w:r>
    </w:p>
    <w:p w:rsidR="006D54EE" w:rsidRPr="00D533F9" w:rsidRDefault="006D54EE" w:rsidP="006D54EE">
      <w:pPr>
        <w:pStyle w:val="ListParagraph"/>
        <w:ind w:left="360"/>
      </w:pPr>
    </w:p>
    <w:p w:rsidR="00AD59F1" w:rsidRDefault="00AD59F1" w:rsidP="006D54EE">
      <w:pPr>
        <w:tabs>
          <w:tab w:val="left" w:pos="720"/>
        </w:tabs>
        <w:ind w:left="360" w:right="720"/>
        <w:rPr>
          <w:sz w:val="24"/>
        </w:rPr>
      </w:pPr>
      <w:r>
        <w:rPr>
          <w:sz w:val="24"/>
        </w:rPr>
        <w:t>Owners and Management Agents of insured and HUD-held projects could include small businesses and other small entities</w:t>
      </w:r>
      <w:r w:rsidR="00372832">
        <w:rPr>
          <w:sz w:val="24"/>
        </w:rPr>
        <w:t>; however this collection does not pose</w:t>
      </w:r>
      <w:r w:rsidR="00C2723B">
        <w:rPr>
          <w:sz w:val="24"/>
        </w:rPr>
        <w:t xml:space="preserve"> an </w:t>
      </w:r>
      <w:r w:rsidR="00372832">
        <w:rPr>
          <w:sz w:val="24"/>
        </w:rPr>
        <w:t>additional burden.</w:t>
      </w:r>
    </w:p>
    <w:p w:rsidR="00C2723B" w:rsidRDefault="00C2723B" w:rsidP="006D54EE">
      <w:pPr>
        <w:tabs>
          <w:tab w:val="left" w:pos="720"/>
        </w:tabs>
        <w:ind w:left="360" w:right="720"/>
        <w:rPr>
          <w:sz w:val="24"/>
        </w:rPr>
      </w:pPr>
    </w:p>
    <w:p w:rsidR="00AD59F1" w:rsidRDefault="00AD59F1">
      <w:pPr>
        <w:tabs>
          <w:tab w:val="left" w:pos="360"/>
        </w:tabs>
        <w:ind w:right="720"/>
        <w:rPr>
          <w:sz w:val="24"/>
        </w:rPr>
      </w:pPr>
    </w:p>
    <w:p w:rsidR="006D54EE" w:rsidRDefault="006D54EE" w:rsidP="006D54EE">
      <w:pPr>
        <w:pStyle w:val="ListParagraph"/>
        <w:numPr>
          <w:ilvl w:val="0"/>
          <w:numId w:val="17"/>
        </w:numPr>
        <w:rPr>
          <w:b/>
        </w:rPr>
      </w:pPr>
      <w:r w:rsidRPr="00D533F9">
        <w:rPr>
          <w:b/>
        </w:rPr>
        <w:t>Describe the consequence to Federal program or policy activities if the collection is not conducted or is conducted less frequently, as well as any technical or legal obstacles to reducing burden.</w:t>
      </w:r>
    </w:p>
    <w:p w:rsidR="006D54EE" w:rsidRPr="00D533F9" w:rsidRDefault="006D54EE" w:rsidP="006D54EE">
      <w:pPr>
        <w:pStyle w:val="ListParagraph"/>
        <w:ind w:left="360"/>
        <w:rPr>
          <w:b/>
        </w:rPr>
      </w:pPr>
    </w:p>
    <w:p w:rsidR="00B3652C" w:rsidRDefault="00AD59F1" w:rsidP="006D54EE">
      <w:pPr>
        <w:ind w:left="360" w:right="720"/>
        <w:rPr>
          <w:sz w:val="24"/>
        </w:rPr>
      </w:pPr>
      <w:r>
        <w:rPr>
          <w:sz w:val="24"/>
        </w:rPr>
        <w:t xml:space="preserve">HUD collects this information to determine </w:t>
      </w:r>
      <w:r w:rsidR="00C2723B">
        <w:rPr>
          <w:sz w:val="24"/>
        </w:rPr>
        <w:t xml:space="preserve">management’s competence, and </w:t>
      </w:r>
      <w:r>
        <w:rPr>
          <w:sz w:val="24"/>
        </w:rPr>
        <w:t>the causes of management problems</w:t>
      </w:r>
      <w:r w:rsidR="00C2723B">
        <w:rPr>
          <w:sz w:val="24"/>
        </w:rPr>
        <w:t>.  The information is used</w:t>
      </w:r>
      <w:r>
        <w:rPr>
          <w:sz w:val="24"/>
        </w:rPr>
        <w:t xml:space="preserve"> to design corrective actions</w:t>
      </w:r>
      <w:r w:rsidR="00C2723B">
        <w:rPr>
          <w:sz w:val="24"/>
        </w:rPr>
        <w:t>,</w:t>
      </w:r>
      <w:r>
        <w:rPr>
          <w:sz w:val="24"/>
        </w:rPr>
        <w:t xml:space="preserve"> to stabilize projects</w:t>
      </w:r>
      <w:r w:rsidR="00C2723B">
        <w:rPr>
          <w:sz w:val="24"/>
        </w:rPr>
        <w:t>,</w:t>
      </w:r>
      <w:r>
        <w:rPr>
          <w:sz w:val="24"/>
        </w:rPr>
        <w:t xml:space="preserve"> and </w:t>
      </w:r>
      <w:r w:rsidR="00C2723B">
        <w:rPr>
          <w:sz w:val="24"/>
        </w:rPr>
        <w:t xml:space="preserve">to </w:t>
      </w:r>
      <w:r>
        <w:rPr>
          <w:sz w:val="24"/>
        </w:rPr>
        <w:t xml:space="preserve">prevent mortgage defaults.  </w:t>
      </w:r>
      <w:r w:rsidR="00B3652C">
        <w:rPr>
          <w:sz w:val="24"/>
        </w:rPr>
        <w:t>If this information were not collected or collected less frequently, there would pose a significant risk of defaults on insured loans and consequently greater losses to HUD’s insurance fund.  Additionally, HUD could not ensure that tenants were provided with decent, safe, and sanitary housing.</w:t>
      </w:r>
    </w:p>
    <w:p w:rsidR="00AD59F1" w:rsidRDefault="00AD59F1">
      <w:pPr>
        <w:tabs>
          <w:tab w:val="left" w:pos="600"/>
        </w:tabs>
        <w:ind w:left="360"/>
        <w:rPr>
          <w:sz w:val="24"/>
        </w:rPr>
      </w:pPr>
    </w:p>
    <w:p w:rsidR="006D54EE" w:rsidRPr="006D54EE" w:rsidRDefault="006D54EE" w:rsidP="006D54EE">
      <w:pPr>
        <w:pStyle w:val="Heading1"/>
        <w:numPr>
          <w:ilvl w:val="0"/>
          <w:numId w:val="17"/>
        </w:numPr>
        <w:rPr>
          <w:rFonts w:ascii="Times New Roman" w:hAnsi="Times New Roman" w:cs="Times New Roman"/>
          <w:bCs w:val="0"/>
          <w:sz w:val="24"/>
          <w:u w:val="none"/>
        </w:rPr>
      </w:pPr>
      <w:r w:rsidRPr="006D54EE">
        <w:rPr>
          <w:rFonts w:ascii="Times New Roman" w:hAnsi="Times New Roman" w:cs="Times New Roman"/>
          <w:bCs w:val="0"/>
          <w:sz w:val="24"/>
          <w:u w:val="none"/>
        </w:rPr>
        <w:t>Explain any special circumstances that would cause an information collection to be conducted in a manner:</w:t>
      </w:r>
    </w:p>
    <w:p w:rsidR="006D54EE" w:rsidRPr="006D54EE" w:rsidRDefault="006D54EE" w:rsidP="004D4708">
      <w:pPr>
        <w:pStyle w:val="Heading1"/>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r>
      <w:proofErr w:type="gramStart"/>
      <w:r w:rsidRPr="006D54EE">
        <w:rPr>
          <w:rFonts w:ascii="Times New Roman" w:hAnsi="Times New Roman" w:cs="Times New Roman"/>
          <w:bCs w:val="0"/>
          <w:sz w:val="24"/>
          <w:u w:val="none"/>
        </w:rPr>
        <w:t>requiring</w:t>
      </w:r>
      <w:proofErr w:type="gramEnd"/>
      <w:r w:rsidRPr="006D54EE">
        <w:rPr>
          <w:rFonts w:ascii="Times New Roman" w:hAnsi="Times New Roman" w:cs="Times New Roman"/>
          <w:bCs w:val="0"/>
          <w:sz w:val="24"/>
          <w:u w:val="none"/>
        </w:rPr>
        <w:t xml:space="preserve"> respondents to report information to the agency more than quarterly;</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There is no requirement for respondents to report the information more than quarterly.</w:t>
      </w:r>
    </w:p>
    <w:p w:rsidR="006D54EE" w:rsidRPr="006D54EE" w:rsidRDefault="006D54EE" w:rsidP="004D4708">
      <w:pPr>
        <w:pStyle w:val="Heading1"/>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r>
      <w:proofErr w:type="gramStart"/>
      <w:r w:rsidRPr="006D54EE">
        <w:rPr>
          <w:rFonts w:ascii="Times New Roman" w:hAnsi="Times New Roman" w:cs="Times New Roman"/>
          <w:bCs w:val="0"/>
          <w:sz w:val="24"/>
          <w:u w:val="none"/>
        </w:rPr>
        <w:t>requiring</w:t>
      </w:r>
      <w:proofErr w:type="gramEnd"/>
      <w:r w:rsidRPr="006D54EE">
        <w:rPr>
          <w:rFonts w:ascii="Times New Roman" w:hAnsi="Times New Roman" w:cs="Times New Roman"/>
          <w:bCs w:val="0"/>
          <w:sz w:val="24"/>
          <w:u w:val="none"/>
        </w:rPr>
        <w:t xml:space="preserve"> respondents to prepare a written response to a collection of information in fewer than 30 days after receipt of it;</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There is no requirement for respondents to prepare a written response to a collection in fewer than 30 days.</w:t>
      </w:r>
    </w:p>
    <w:p w:rsidR="006D54EE" w:rsidRPr="006D54EE" w:rsidRDefault="006D54EE" w:rsidP="004D4708">
      <w:pPr>
        <w:pStyle w:val="Heading1"/>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r>
      <w:proofErr w:type="gramStart"/>
      <w:r w:rsidRPr="006D54EE">
        <w:rPr>
          <w:rFonts w:ascii="Times New Roman" w:hAnsi="Times New Roman" w:cs="Times New Roman"/>
          <w:bCs w:val="0"/>
          <w:sz w:val="24"/>
          <w:u w:val="none"/>
        </w:rPr>
        <w:t>requiring</w:t>
      </w:r>
      <w:proofErr w:type="gramEnd"/>
      <w:r w:rsidRPr="006D54EE">
        <w:rPr>
          <w:rFonts w:ascii="Times New Roman" w:hAnsi="Times New Roman" w:cs="Times New Roman"/>
          <w:bCs w:val="0"/>
          <w:sz w:val="24"/>
          <w:u w:val="none"/>
        </w:rPr>
        <w:t xml:space="preserve"> respondents to submit more than an original and two copies of any document;</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There is no requirement for respondents to submit more than an original and two copies of any document.</w:t>
      </w:r>
    </w:p>
    <w:p w:rsidR="006D54EE" w:rsidRPr="006D54EE" w:rsidRDefault="006D54EE" w:rsidP="004D4708">
      <w:pPr>
        <w:pStyle w:val="Heading1"/>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t>requiring respondents to retain records other than health, medical, government contract, grant-in-aid, or tax records for more than three years;</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There is no requirement for respondents to retain records other than health, medical, government contract, grant-in-aid, or tax records for more than three years.</w:t>
      </w:r>
    </w:p>
    <w:p w:rsidR="006D54EE" w:rsidRPr="006D54EE" w:rsidRDefault="006D54EE" w:rsidP="004D4708">
      <w:pPr>
        <w:pStyle w:val="Heading1"/>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r>
      <w:proofErr w:type="gramStart"/>
      <w:r w:rsidRPr="006D54EE">
        <w:rPr>
          <w:rFonts w:ascii="Times New Roman" w:hAnsi="Times New Roman" w:cs="Times New Roman"/>
          <w:bCs w:val="0"/>
          <w:sz w:val="24"/>
          <w:u w:val="none"/>
        </w:rPr>
        <w:t>in</w:t>
      </w:r>
      <w:proofErr w:type="gramEnd"/>
      <w:r w:rsidRPr="006D54EE">
        <w:rPr>
          <w:rFonts w:ascii="Times New Roman" w:hAnsi="Times New Roman" w:cs="Times New Roman"/>
          <w:bCs w:val="0"/>
          <w:sz w:val="24"/>
          <w:u w:val="none"/>
        </w:rPr>
        <w:t xml:space="preserve"> connection with a statistical survey, that is not designed to produce valid and reliable results than can be generalized to the universe of study;</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 xml:space="preserve">This collection is not </w:t>
      </w:r>
      <w:r w:rsidR="00C2723B">
        <w:rPr>
          <w:rFonts w:ascii="Times New Roman" w:hAnsi="Times New Roman" w:cs="Times New Roman"/>
          <w:b w:val="0"/>
          <w:bCs w:val="0"/>
          <w:sz w:val="24"/>
          <w:u w:val="none"/>
        </w:rPr>
        <w:t xml:space="preserve">performed </w:t>
      </w:r>
      <w:r w:rsidRPr="006D54EE">
        <w:rPr>
          <w:rFonts w:ascii="Times New Roman" w:hAnsi="Times New Roman" w:cs="Times New Roman"/>
          <w:b w:val="0"/>
          <w:bCs w:val="0"/>
          <w:sz w:val="24"/>
          <w:u w:val="none"/>
        </w:rPr>
        <w:t>in connection with a statistical survey.</w:t>
      </w:r>
    </w:p>
    <w:p w:rsidR="006D54EE" w:rsidRPr="006D54EE" w:rsidRDefault="006D54EE" w:rsidP="004D4708">
      <w:pPr>
        <w:pStyle w:val="Heading1"/>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t>requiring the use of a statistical data classification that has not been reviewed and approved by OMB;</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There is no use of a statistical data classification.</w:t>
      </w:r>
    </w:p>
    <w:p w:rsidR="006D54EE" w:rsidRPr="006D54EE" w:rsidRDefault="006D54EE" w:rsidP="004D4708">
      <w:pPr>
        <w:pStyle w:val="Heading1"/>
        <w:tabs>
          <w:tab w:val="clear" w:pos="360"/>
        </w:tabs>
        <w:rPr>
          <w:rFonts w:ascii="Times New Roman" w:hAnsi="Times New Roman" w:cs="Times New Roman"/>
          <w:bCs w:val="0"/>
          <w:sz w:val="24"/>
          <w:u w:val="none"/>
        </w:rPr>
      </w:pPr>
      <w:r w:rsidRPr="006D54EE">
        <w:rPr>
          <w:rFonts w:ascii="Times New Roman" w:hAnsi="Times New Roman" w:cs="Times New Roman"/>
          <w:bCs w:val="0"/>
          <w:sz w:val="24"/>
          <w:u w:val="none"/>
        </w:rPr>
        <w:t>•</w:t>
      </w:r>
      <w:r w:rsidRPr="006D54EE">
        <w:rPr>
          <w:rFonts w:ascii="Times New Roman" w:hAnsi="Times New Roman" w:cs="Times New Roman"/>
          <w:bCs w:val="0"/>
          <w:sz w:val="24"/>
          <w:u w:val="none"/>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D54EE" w:rsidRPr="006D54EE" w:rsidRDefault="006D54EE" w:rsidP="006D54EE">
      <w:pPr>
        <w:pStyle w:val="Heading1"/>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There is no pledge of confidentiality that is not supported by authority established in statute or regulation.</w:t>
      </w:r>
    </w:p>
    <w:p w:rsidR="006D54EE" w:rsidRPr="00100F52" w:rsidRDefault="006D54EE" w:rsidP="004D4708">
      <w:pPr>
        <w:pStyle w:val="Heading1"/>
        <w:tabs>
          <w:tab w:val="clear" w:pos="360"/>
        </w:tabs>
        <w:rPr>
          <w:rFonts w:ascii="Times New Roman" w:hAnsi="Times New Roman" w:cs="Times New Roman"/>
          <w:bCs w:val="0"/>
          <w:sz w:val="24"/>
          <w:u w:val="none"/>
        </w:rPr>
      </w:pPr>
      <w:r w:rsidRPr="00100F52">
        <w:rPr>
          <w:rFonts w:ascii="Times New Roman" w:hAnsi="Times New Roman" w:cs="Times New Roman"/>
          <w:bCs w:val="0"/>
          <w:sz w:val="24"/>
          <w:u w:val="none"/>
        </w:rPr>
        <w:t>•</w:t>
      </w:r>
      <w:r w:rsidRPr="00100F52">
        <w:rPr>
          <w:rFonts w:ascii="Times New Roman" w:hAnsi="Times New Roman" w:cs="Times New Roman"/>
          <w:bCs w:val="0"/>
          <w:sz w:val="24"/>
          <w:u w:val="none"/>
        </w:rPr>
        <w:tab/>
        <w:t>requiring respondents to submit proprietary trade secret, or other confidential information unless the agency can demonstrate that it has instituted procedures to protect the information’s confidentiality to the extent permitted by law.</w:t>
      </w:r>
    </w:p>
    <w:p w:rsidR="00AD59F1" w:rsidRDefault="006D54EE" w:rsidP="00100F52">
      <w:pPr>
        <w:pStyle w:val="Heading1"/>
        <w:tabs>
          <w:tab w:val="clear" w:pos="360"/>
        </w:tabs>
        <w:ind w:left="360"/>
        <w:rPr>
          <w:rFonts w:ascii="Times New Roman" w:hAnsi="Times New Roman" w:cs="Times New Roman"/>
          <w:b w:val="0"/>
          <w:bCs w:val="0"/>
          <w:sz w:val="24"/>
          <w:u w:val="none"/>
        </w:rPr>
      </w:pPr>
      <w:r w:rsidRPr="006D54EE">
        <w:rPr>
          <w:rFonts w:ascii="Times New Roman" w:hAnsi="Times New Roman" w:cs="Times New Roman"/>
          <w:b w:val="0"/>
          <w:bCs w:val="0"/>
          <w:sz w:val="24"/>
          <w:u w:val="none"/>
        </w:rPr>
        <w:t xml:space="preserve">There is no requirement for respondents to submit proprietary trade secret, or other confidential information.  </w:t>
      </w:r>
    </w:p>
    <w:p w:rsidR="0034207C" w:rsidRDefault="0034207C" w:rsidP="0034207C">
      <w:pPr>
        <w:tabs>
          <w:tab w:val="left" w:pos="360"/>
        </w:tabs>
      </w:pPr>
    </w:p>
    <w:p w:rsidR="00100F52" w:rsidRPr="00100F52" w:rsidRDefault="00100F52" w:rsidP="00100F52">
      <w:pPr>
        <w:numPr>
          <w:ilvl w:val="0"/>
          <w:numId w:val="17"/>
        </w:numPr>
        <w:rPr>
          <w:b/>
          <w:bCs/>
          <w:sz w:val="24"/>
          <w:szCs w:val="24"/>
        </w:rPr>
      </w:pPr>
      <w:r w:rsidRPr="00100F5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00F52" w:rsidRPr="00100F52" w:rsidRDefault="00100F52" w:rsidP="004D4708">
      <w:pPr>
        <w:ind w:left="720"/>
        <w:rPr>
          <w:b/>
          <w:bCs/>
          <w:sz w:val="24"/>
          <w:szCs w:val="24"/>
        </w:rPr>
      </w:pPr>
      <w:r w:rsidRPr="00100F52">
        <w:rPr>
          <w:b/>
          <w:bCs/>
          <w:sz w:val="24"/>
          <w:szCs w:val="24"/>
        </w:rPr>
        <w:t>•</w:t>
      </w:r>
      <w:r w:rsidRPr="00100F52">
        <w:rPr>
          <w:b/>
          <w:bCs/>
          <w:sz w:val="24"/>
          <w:szCs w:val="24"/>
        </w:rPr>
        <w:tab/>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100F52" w:rsidRDefault="00100F52" w:rsidP="004D4708">
      <w:pPr>
        <w:ind w:left="720"/>
        <w:rPr>
          <w:bCs/>
          <w:sz w:val="24"/>
          <w:szCs w:val="24"/>
        </w:rPr>
      </w:pPr>
      <w:r w:rsidRPr="00100F52">
        <w:rPr>
          <w:b/>
          <w:bCs/>
          <w:sz w:val="24"/>
          <w:szCs w:val="24"/>
        </w:rPr>
        <w:t>•</w:t>
      </w:r>
      <w:r w:rsidRPr="00100F52">
        <w:rPr>
          <w:b/>
          <w:bCs/>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r w:rsidRPr="00100F52">
        <w:rPr>
          <w:bCs/>
          <w:sz w:val="24"/>
          <w:szCs w:val="24"/>
        </w:rPr>
        <w:t>.</w:t>
      </w:r>
    </w:p>
    <w:p w:rsidR="00100F52" w:rsidRDefault="00100F52" w:rsidP="00100F52">
      <w:pPr>
        <w:ind w:left="360"/>
        <w:rPr>
          <w:bCs/>
          <w:sz w:val="24"/>
          <w:szCs w:val="24"/>
        </w:rPr>
      </w:pPr>
    </w:p>
    <w:p w:rsidR="00AD59F1" w:rsidRPr="00827EF4" w:rsidRDefault="00AD59F1" w:rsidP="00100F52">
      <w:pPr>
        <w:ind w:left="360"/>
        <w:rPr>
          <w:bCs/>
          <w:sz w:val="24"/>
          <w:szCs w:val="24"/>
        </w:rPr>
      </w:pPr>
      <w:r w:rsidRPr="00827EF4">
        <w:rPr>
          <w:bCs/>
          <w:sz w:val="24"/>
          <w:szCs w:val="24"/>
        </w:rPr>
        <w:lastRenderedPageBreak/>
        <w:t>Information collect</w:t>
      </w:r>
      <w:r w:rsidR="00C2723B">
        <w:rPr>
          <w:bCs/>
          <w:sz w:val="24"/>
          <w:szCs w:val="24"/>
        </w:rPr>
        <w:t>ion</w:t>
      </w:r>
      <w:r w:rsidRPr="00827EF4">
        <w:rPr>
          <w:bCs/>
          <w:sz w:val="24"/>
          <w:szCs w:val="24"/>
        </w:rPr>
        <w:t xml:space="preserve"> is conducted in a manner consistent with the guidelines of 5 CFR 1320.6.  The Notice announcing this collection of information appeared in the </w:t>
      </w:r>
      <w:r w:rsidRPr="00827EF4">
        <w:rPr>
          <w:bCs/>
          <w:i/>
          <w:sz w:val="24"/>
          <w:szCs w:val="24"/>
        </w:rPr>
        <w:t>Federal Register</w:t>
      </w:r>
      <w:r w:rsidR="0034207C" w:rsidRPr="00827EF4">
        <w:rPr>
          <w:bCs/>
          <w:i/>
          <w:sz w:val="24"/>
          <w:szCs w:val="24"/>
        </w:rPr>
        <w:t xml:space="preserve"> </w:t>
      </w:r>
      <w:r w:rsidR="0034207C" w:rsidRPr="00827EF4">
        <w:rPr>
          <w:bCs/>
          <w:sz w:val="24"/>
          <w:szCs w:val="24"/>
        </w:rPr>
        <w:t xml:space="preserve">on </w:t>
      </w:r>
      <w:smartTag w:uri="urn:schemas-microsoft-com:office:smarttags" w:element="date">
        <w:smartTagPr>
          <w:attr w:name="Year" w:val="2008"/>
          <w:attr w:name="Day" w:val="9"/>
          <w:attr w:name="Month" w:val="7"/>
          <w:attr w:name="ls" w:val="trans"/>
        </w:smartTagPr>
        <w:r w:rsidR="00827EF4" w:rsidRPr="00827EF4">
          <w:rPr>
            <w:bCs/>
            <w:sz w:val="24"/>
            <w:szCs w:val="24"/>
          </w:rPr>
          <w:t>July 9, 2008</w:t>
        </w:r>
      </w:smartTag>
      <w:r w:rsidR="00827EF4" w:rsidRPr="00827EF4">
        <w:rPr>
          <w:bCs/>
          <w:sz w:val="24"/>
          <w:szCs w:val="24"/>
        </w:rPr>
        <w:t xml:space="preserve">, </w:t>
      </w:r>
      <w:r w:rsidR="00827EF4" w:rsidRPr="00827EF4">
        <w:rPr>
          <w:sz w:val="24"/>
          <w:szCs w:val="24"/>
        </w:rPr>
        <w:t xml:space="preserve">Vol. 73, No. 132, Page 39330.  </w:t>
      </w:r>
      <w:r w:rsidR="00BE081D">
        <w:rPr>
          <w:sz w:val="24"/>
          <w:szCs w:val="24"/>
        </w:rPr>
        <w:t>Three users of the form were contacted. Program Centers in Atlanta and Denver were contacted, as well as a Contract Administrator in Annapolis.</w:t>
      </w:r>
      <w:r w:rsidR="00AF41D6">
        <w:rPr>
          <w:sz w:val="24"/>
          <w:szCs w:val="24"/>
        </w:rPr>
        <w:t xml:space="preserve">  </w:t>
      </w:r>
      <w:r w:rsidR="00BE081D">
        <w:rPr>
          <w:sz w:val="24"/>
          <w:szCs w:val="24"/>
        </w:rPr>
        <w:t xml:space="preserve">No comments were received.  </w:t>
      </w:r>
    </w:p>
    <w:p w:rsidR="00BC3D75" w:rsidRPr="00BC3D75" w:rsidRDefault="00BC3D75" w:rsidP="00BC3D75">
      <w:pPr>
        <w:tabs>
          <w:tab w:val="left" w:pos="360"/>
        </w:tabs>
        <w:ind w:left="360"/>
        <w:rPr>
          <w:sz w:val="24"/>
        </w:rPr>
      </w:pPr>
    </w:p>
    <w:p w:rsidR="00100F52" w:rsidRPr="00D533F9" w:rsidRDefault="00100F52" w:rsidP="00100F52">
      <w:pPr>
        <w:pStyle w:val="ListParagraph"/>
        <w:numPr>
          <w:ilvl w:val="0"/>
          <w:numId w:val="19"/>
        </w:numPr>
        <w:rPr>
          <w:b/>
        </w:rPr>
      </w:pPr>
      <w:r w:rsidRPr="00D533F9">
        <w:rPr>
          <w:b/>
        </w:rPr>
        <w:t>Explain any decision to provide any payment or gift to respondents, other than remuneration of contractors or grantees.</w:t>
      </w:r>
    </w:p>
    <w:p w:rsidR="00100F52" w:rsidRDefault="00100F52" w:rsidP="00100F52">
      <w:pPr>
        <w:tabs>
          <w:tab w:val="left" w:pos="720"/>
        </w:tabs>
        <w:ind w:left="360" w:right="720"/>
        <w:rPr>
          <w:sz w:val="24"/>
        </w:rPr>
      </w:pPr>
    </w:p>
    <w:p w:rsidR="00AD59F1" w:rsidRDefault="00AD59F1" w:rsidP="00100F52">
      <w:pPr>
        <w:tabs>
          <w:tab w:val="left" w:pos="720"/>
        </w:tabs>
        <w:ind w:left="360" w:right="720"/>
        <w:rPr>
          <w:sz w:val="24"/>
        </w:rPr>
      </w:pPr>
      <w:r>
        <w:rPr>
          <w:sz w:val="24"/>
        </w:rPr>
        <w:t xml:space="preserve">There </w:t>
      </w:r>
      <w:r w:rsidR="00C2723B">
        <w:rPr>
          <w:sz w:val="24"/>
        </w:rPr>
        <w:t>are</w:t>
      </w:r>
      <w:r>
        <w:rPr>
          <w:sz w:val="24"/>
        </w:rPr>
        <w:t xml:space="preserve"> no gifts or payments</w:t>
      </w:r>
      <w:r w:rsidR="00C2723B">
        <w:rPr>
          <w:sz w:val="24"/>
        </w:rPr>
        <w:t xml:space="preserve"> of any kind</w:t>
      </w:r>
      <w:r>
        <w:rPr>
          <w:sz w:val="24"/>
        </w:rPr>
        <w:t xml:space="preserve"> given to respondents.</w:t>
      </w:r>
    </w:p>
    <w:p w:rsidR="00AD59F1" w:rsidRDefault="00AD59F1">
      <w:pPr>
        <w:tabs>
          <w:tab w:val="left" w:pos="360"/>
          <w:tab w:val="left" w:pos="720"/>
        </w:tabs>
        <w:ind w:right="720"/>
        <w:rPr>
          <w:sz w:val="24"/>
        </w:rPr>
      </w:pPr>
    </w:p>
    <w:p w:rsidR="00100F52" w:rsidRPr="00D533F9" w:rsidRDefault="00100F52" w:rsidP="00100F52">
      <w:pPr>
        <w:pStyle w:val="ListParagraph"/>
        <w:numPr>
          <w:ilvl w:val="0"/>
          <w:numId w:val="19"/>
        </w:numPr>
        <w:rPr>
          <w:b/>
        </w:rPr>
      </w:pPr>
      <w:r w:rsidRPr="00D533F9">
        <w:rPr>
          <w:b/>
        </w:rPr>
        <w:t>Describe any assurance of confidentiality provided to respondents and the basis for assurance in statute, regulation or agency policy.</w:t>
      </w:r>
    </w:p>
    <w:p w:rsidR="00FD2CF2" w:rsidRDefault="00FD2CF2" w:rsidP="00FD2CF2">
      <w:pPr>
        <w:tabs>
          <w:tab w:val="left" w:pos="-720"/>
          <w:tab w:val="left" w:pos="0"/>
        </w:tabs>
        <w:suppressAutoHyphens/>
        <w:ind w:left="360"/>
        <w:rPr>
          <w:sz w:val="22"/>
        </w:rPr>
      </w:pPr>
    </w:p>
    <w:p w:rsidR="00951045" w:rsidRPr="005219C7" w:rsidRDefault="00951045" w:rsidP="00951045">
      <w:pPr>
        <w:ind w:left="360"/>
        <w:rPr>
          <w:sz w:val="24"/>
          <w:szCs w:val="24"/>
        </w:rPr>
      </w:pPr>
      <w:r w:rsidRPr="005219C7">
        <w:rPr>
          <w:sz w:val="24"/>
          <w:szCs w:val="24"/>
        </w:rPr>
        <w:t xml:space="preserve">HUD does not promise confidentiality.  The integrity and availability of data in EIV is important. Much of the data needs to be protected from unanticipated or unintentional modification, as well as improper and unauthorized use or disclosure.  HUD restricts the use of this information to HUD approved officials, CAs under contract with HUD and O/As; thus, the data is protected accordingly.  </w:t>
      </w:r>
    </w:p>
    <w:p w:rsidR="00951045" w:rsidRPr="005219C7" w:rsidRDefault="00951045" w:rsidP="0095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r w:rsidRPr="005219C7">
        <w:rPr>
          <w:rFonts w:ascii="Times New Roman" w:hAnsi="Times New Roman" w:cs="Times New Roman"/>
          <w:sz w:val="24"/>
          <w:szCs w:val="24"/>
        </w:rPr>
        <w:tab/>
      </w:r>
    </w:p>
    <w:p w:rsidR="00AD59F1" w:rsidRPr="005219C7" w:rsidRDefault="00951045" w:rsidP="0095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r w:rsidRPr="005219C7">
        <w:rPr>
          <w:rFonts w:ascii="Times New Roman" w:hAnsi="Times New Roman" w:cs="Times New Roman"/>
          <w:sz w:val="24"/>
          <w:szCs w:val="24"/>
        </w:rPr>
        <w:t>Vulnerabilities and corresponding security measures include: (1) only persons with Web Access Subsystem (WASS) User IDs and passwords may access the EIV system; (2) access to the EIV system is controlled using EIV's security module, which controls a user's access to particular modules based on the user's role and security access level; (3) User IDs are used to identify access to sensitive data by users; (4) data corruption/destruction: MF users do not have write access to databases that contain income information obtained by HUD from third parties.  HUD users’ write access is limited to user administration by authorized personnel.  This will eliminate the risk of data destruction or corruption.</w:t>
      </w:r>
    </w:p>
    <w:p w:rsidR="00951045" w:rsidRPr="00951045" w:rsidRDefault="00951045" w:rsidP="00951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Verdana" w:hAnsi="Verdana" w:cs="Times New Roman"/>
        </w:rPr>
      </w:pPr>
    </w:p>
    <w:p w:rsidR="00100F52" w:rsidRPr="00D533F9" w:rsidRDefault="00100F52" w:rsidP="00100F52">
      <w:pPr>
        <w:pStyle w:val="ListParagraph"/>
        <w:numPr>
          <w:ilvl w:val="0"/>
          <w:numId w:val="19"/>
        </w:numPr>
        <w:rPr>
          <w:b/>
        </w:rPr>
      </w:pPr>
      <w:r w:rsidRPr="00D533F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00F52" w:rsidRDefault="00100F52" w:rsidP="00100F52">
      <w:pPr>
        <w:tabs>
          <w:tab w:val="left" w:pos="720"/>
        </w:tabs>
        <w:ind w:left="360" w:right="720"/>
        <w:rPr>
          <w:sz w:val="24"/>
        </w:rPr>
      </w:pPr>
    </w:p>
    <w:p w:rsidR="00951045" w:rsidRPr="005219C7" w:rsidRDefault="00951045" w:rsidP="00951045">
      <w:pPr>
        <w:ind w:firstLine="360"/>
        <w:rPr>
          <w:sz w:val="24"/>
          <w:szCs w:val="24"/>
        </w:rPr>
      </w:pPr>
      <w:r w:rsidRPr="005219C7">
        <w:rPr>
          <w:sz w:val="24"/>
          <w:szCs w:val="24"/>
        </w:rPr>
        <w:t>HUD does not require the asking of private or sensitive questions of the respondents or third parties.</w:t>
      </w:r>
    </w:p>
    <w:p w:rsidR="00FD2CF2" w:rsidRPr="00FD2CF2" w:rsidRDefault="00FD2CF2" w:rsidP="00FD2CF2">
      <w:pPr>
        <w:pStyle w:val="BodyTextIndent"/>
        <w:keepNext/>
        <w:rPr>
          <w:rFonts w:ascii="Times New Roman" w:hAnsi="Times New Roman" w:cs="Times New Roman"/>
          <w:b w:val="0"/>
          <w:sz w:val="24"/>
          <w:szCs w:val="24"/>
        </w:rPr>
      </w:pPr>
    </w:p>
    <w:p w:rsidR="00100F52" w:rsidRDefault="00100F52" w:rsidP="00100F52">
      <w:pPr>
        <w:pStyle w:val="ListParagraph"/>
        <w:numPr>
          <w:ilvl w:val="0"/>
          <w:numId w:val="19"/>
        </w:numPr>
        <w:rPr>
          <w:b/>
        </w:rPr>
      </w:pPr>
      <w:r w:rsidRPr="00D533F9">
        <w:rPr>
          <w:b/>
        </w:rPr>
        <w:t>Provide estimates of the hour burden of the collection of information.  The statement should:</w:t>
      </w:r>
    </w:p>
    <w:p w:rsidR="00100F52" w:rsidRPr="00D533F9" w:rsidRDefault="00100F52" w:rsidP="00100F52">
      <w:pPr>
        <w:pStyle w:val="ListParagraph"/>
        <w:numPr>
          <w:ilvl w:val="0"/>
          <w:numId w:val="25"/>
        </w:numPr>
        <w:rPr>
          <w:b/>
        </w:rPr>
      </w:pPr>
      <w:proofErr w:type="gramStart"/>
      <w:r w:rsidRPr="00D533F9">
        <w:rPr>
          <w:b/>
        </w:rPr>
        <w:t>indicate</w:t>
      </w:r>
      <w:proofErr w:type="gramEnd"/>
      <w:r w:rsidRPr="00D533F9">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100F52" w:rsidRPr="00D533F9" w:rsidRDefault="00100F52" w:rsidP="00100F52">
      <w:pPr>
        <w:pStyle w:val="ListParagraph"/>
        <w:numPr>
          <w:ilvl w:val="0"/>
          <w:numId w:val="25"/>
        </w:numPr>
        <w:rPr>
          <w:b/>
        </w:rPr>
      </w:pPr>
      <w:r w:rsidRPr="00D533F9">
        <w:rPr>
          <w:b/>
        </w:rPr>
        <w:t>if this request covers more than one form, provide separate hour burden estimates for each form and aggregate the hour burdens in Item 13 of form OMB 83-I; and</w:t>
      </w:r>
    </w:p>
    <w:p w:rsidR="00100F52" w:rsidRDefault="00100F52" w:rsidP="00100F52">
      <w:pPr>
        <w:pStyle w:val="ListParagraph"/>
        <w:numPr>
          <w:ilvl w:val="0"/>
          <w:numId w:val="25"/>
        </w:numPr>
        <w:rPr>
          <w:b/>
        </w:rPr>
      </w:pPr>
      <w:proofErr w:type="gramStart"/>
      <w:r w:rsidRPr="00D533F9">
        <w:rPr>
          <w:b/>
        </w:rPr>
        <w:t>provide</w:t>
      </w:r>
      <w:proofErr w:type="gramEnd"/>
      <w:r w:rsidRPr="00D533F9">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00F52" w:rsidRPr="00D533F9" w:rsidRDefault="00100F52" w:rsidP="00100F52">
      <w:pPr>
        <w:pStyle w:val="ListParagraph"/>
        <w:ind w:left="1080"/>
        <w:rPr>
          <w:b/>
        </w:rPr>
      </w:pPr>
    </w:p>
    <w:tbl>
      <w:tblPr>
        <w:tblStyle w:val="TableGrid"/>
        <w:tblW w:w="10985" w:type="dxa"/>
        <w:tblLayout w:type="fixed"/>
        <w:tblCellMar>
          <w:left w:w="0" w:type="dxa"/>
          <w:right w:w="115" w:type="dxa"/>
        </w:tblCellMar>
        <w:tblLook w:val="04A0"/>
      </w:tblPr>
      <w:tblGrid>
        <w:gridCol w:w="1445"/>
        <w:gridCol w:w="1530"/>
        <w:gridCol w:w="1350"/>
        <w:gridCol w:w="1350"/>
        <w:gridCol w:w="1260"/>
        <w:gridCol w:w="1260"/>
        <w:gridCol w:w="1350"/>
        <w:gridCol w:w="1440"/>
      </w:tblGrid>
      <w:tr w:rsidR="00C2723B" w:rsidRPr="00C2723B" w:rsidTr="00ED60A0">
        <w:trPr>
          <w:trHeight w:val="300"/>
        </w:trPr>
        <w:tc>
          <w:tcPr>
            <w:tcW w:w="1445" w:type="dxa"/>
            <w:noWrap/>
            <w:hideMark/>
          </w:tcPr>
          <w:p w:rsidR="00C2723B" w:rsidRPr="00C2723B" w:rsidRDefault="00C2723B" w:rsidP="00ED60A0">
            <w:pPr>
              <w:ind w:left="360"/>
              <w:rPr>
                <w:sz w:val="24"/>
              </w:rPr>
            </w:pPr>
          </w:p>
        </w:tc>
        <w:tc>
          <w:tcPr>
            <w:tcW w:w="9540" w:type="dxa"/>
            <w:gridSpan w:val="7"/>
            <w:noWrap/>
            <w:hideMark/>
          </w:tcPr>
          <w:p w:rsidR="00C2723B" w:rsidRPr="00C2723B" w:rsidRDefault="00C2723B" w:rsidP="00ED60A0">
            <w:pPr>
              <w:ind w:left="360"/>
              <w:rPr>
                <w:b/>
                <w:bCs/>
                <w:sz w:val="24"/>
              </w:rPr>
            </w:pPr>
            <w:r w:rsidRPr="00C2723B">
              <w:rPr>
                <w:b/>
                <w:bCs/>
                <w:sz w:val="24"/>
              </w:rPr>
              <w:t>Estimates of the Hour burden of the Collection of Information</w:t>
            </w:r>
          </w:p>
        </w:tc>
      </w:tr>
      <w:tr w:rsidR="00ED60A0" w:rsidRPr="00C2723B" w:rsidTr="00ED60A0">
        <w:trPr>
          <w:trHeight w:val="139"/>
        </w:trPr>
        <w:tc>
          <w:tcPr>
            <w:tcW w:w="1445" w:type="dxa"/>
            <w:noWrap/>
            <w:hideMark/>
          </w:tcPr>
          <w:p w:rsidR="00C2723B" w:rsidRPr="00C2723B" w:rsidRDefault="00C2723B" w:rsidP="00ED60A0">
            <w:pPr>
              <w:ind w:left="360"/>
              <w:rPr>
                <w:sz w:val="24"/>
              </w:rPr>
            </w:pPr>
          </w:p>
        </w:tc>
        <w:tc>
          <w:tcPr>
            <w:tcW w:w="1530" w:type="dxa"/>
            <w:noWrap/>
            <w:hideMark/>
          </w:tcPr>
          <w:p w:rsidR="00C2723B" w:rsidRPr="00C2723B" w:rsidRDefault="00C2723B" w:rsidP="00ED60A0">
            <w:pPr>
              <w:ind w:left="360"/>
              <w:rPr>
                <w:sz w:val="24"/>
              </w:rPr>
            </w:pPr>
          </w:p>
        </w:tc>
        <w:tc>
          <w:tcPr>
            <w:tcW w:w="1350" w:type="dxa"/>
            <w:noWrap/>
            <w:hideMark/>
          </w:tcPr>
          <w:p w:rsidR="00C2723B" w:rsidRPr="00C2723B" w:rsidRDefault="00C2723B" w:rsidP="00ED60A0">
            <w:pPr>
              <w:ind w:left="360"/>
              <w:rPr>
                <w:sz w:val="24"/>
              </w:rPr>
            </w:pPr>
          </w:p>
        </w:tc>
        <w:tc>
          <w:tcPr>
            <w:tcW w:w="1350" w:type="dxa"/>
            <w:noWrap/>
            <w:hideMark/>
          </w:tcPr>
          <w:p w:rsidR="00C2723B" w:rsidRPr="00C2723B" w:rsidRDefault="00C2723B" w:rsidP="00ED60A0">
            <w:pPr>
              <w:ind w:left="360"/>
              <w:rPr>
                <w:sz w:val="24"/>
              </w:rPr>
            </w:pPr>
          </w:p>
        </w:tc>
        <w:tc>
          <w:tcPr>
            <w:tcW w:w="1260" w:type="dxa"/>
            <w:noWrap/>
            <w:hideMark/>
          </w:tcPr>
          <w:p w:rsidR="00C2723B" w:rsidRPr="00C2723B" w:rsidRDefault="00C2723B" w:rsidP="00ED60A0">
            <w:pPr>
              <w:ind w:left="360"/>
              <w:rPr>
                <w:sz w:val="24"/>
              </w:rPr>
            </w:pPr>
          </w:p>
        </w:tc>
        <w:tc>
          <w:tcPr>
            <w:tcW w:w="1260" w:type="dxa"/>
            <w:noWrap/>
            <w:hideMark/>
          </w:tcPr>
          <w:p w:rsidR="00C2723B" w:rsidRPr="00C2723B" w:rsidRDefault="00C2723B" w:rsidP="00ED60A0">
            <w:pPr>
              <w:ind w:left="360"/>
              <w:rPr>
                <w:sz w:val="24"/>
              </w:rPr>
            </w:pPr>
          </w:p>
        </w:tc>
        <w:tc>
          <w:tcPr>
            <w:tcW w:w="1350" w:type="dxa"/>
            <w:noWrap/>
            <w:hideMark/>
          </w:tcPr>
          <w:p w:rsidR="00C2723B" w:rsidRPr="00C2723B" w:rsidRDefault="00C2723B" w:rsidP="00ED60A0">
            <w:pPr>
              <w:ind w:left="360"/>
              <w:rPr>
                <w:sz w:val="24"/>
              </w:rPr>
            </w:pPr>
          </w:p>
        </w:tc>
        <w:tc>
          <w:tcPr>
            <w:tcW w:w="1440" w:type="dxa"/>
            <w:noWrap/>
            <w:hideMark/>
          </w:tcPr>
          <w:p w:rsidR="00C2723B" w:rsidRPr="00C2723B" w:rsidRDefault="00C2723B" w:rsidP="00ED60A0">
            <w:pPr>
              <w:ind w:left="360"/>
              <w:rPr>
                <w:sz w:val="24"/>
              </w:rPr>
            </w:pPr>
          </w:p>
        </w:tc>
      </w:tr>
      <w:tr w:rsidR="00ED60A0" w:rsidRPr="0019408C" w:rsidTr="00ED60A0">
        <w:trPr>
          <w:trHeight w:val="631"/>
        </w:trPr>
        <w:tc>
          <w:tcPr>
            <w:tcW w:w="1445" w:type="dxa"/>
            <w:hideMark/>
          </w:tcPr>
          <w:p w:rsidR="00C2723B" w:rsidRPr="0019408C" w:rsidRDefault="00C2723B" w:rsidP="00ED60A0">
            <w:pPr>
              <w:ind w:left="360"/>
              <w:jc w:val="center"/>
              <w:rPr>
                <w:b/>
                <w:bCs/>
                <w:sz w:val="18"/>
                <w:szCs w:val="18"/>
              </w:rPr>
            </w:pPr>
            <w:r w:rsidRPr="0019408C">
              <w:rPr>
                <w:b/>
                <w:bCs/>
                <w:sz w:val="18"/>
                <w:szCs w:val="18"/>
              </w:rPr>
              <w:t>Information</w:t>
            </w:r>
            <w:r w:rsidRPr="0019408C">
              <w:rPr>
                <w:b/>
                <w:bCs/>
                <w:sz w:val="18"/>
                <w:szCs w:val="18"/>
              </w:rPr>
              <w:br/>
              <w:t>Collection</w:t>
            </w:r>
          </w:p>
          <w:p w:rsidR="00C2723B" w:rsidRPr="0019408C" w:rsidRDefault="00C2723B" w:rsidP="00ED60A0">
            <w:pPr>
              <w:ind w:left="360"/>
              <w:jc w:val="center"/>
              <w:rPr>
                <w:b/>
                <w:bCs/>
                <w:sz w:val="18"/>
                <w:szCs w:val="18"/>
              </w:rPr>
            </w:pPr>
          </w:p>
        </w:tc>
        <w:tc>
          <w:tcPr>
            <w:tcW w:w="1530" w:type="dxa"/>
            <w:hideMark/>
          </w:tcPr>
          <w:p w:rsidR="00C2723B" w:rsidRPr="0019408C" w:rsidRDefault="00C2723B" w:rsidP="00ED60A0">
            <w:pPr>
              <w:ind w:left="360"/>
              <w:jc w:val="center"/>
              <w:rPr>
                <w:b/>
                <w:bCs/>
                <w:sz w:val="18"/>
                <w:szCs w:val="18"/>
              </w:rPr>
            </w:pPr>
            <w:r w:rsidRPr="0019408C">
              <w:rPr>
                <w:b/>
                <w:bCs/>
                <w:sz w:val="18"/>
                <w:szCs w:val="18"/>
              </w:rPr>
              <w:t xml:space="preserve">Number </w:t>
            </w:r>
            <w:r w:rsidRPr="0019408C">
              <w:rPr>
                <w:b/>
                <w:bCs/>
                <w:sz w:val="18"/>
                <w:szCs w:val="18"/>
              </w:rPr>
              <w:br/>
              <w:t xml:space="preserve">of </w:t>
            </w:r>
            <w:r w:rsidRPr="0019408C">
              <w:rPr>
                <w:b/>
                <w:bCs/>
                <w:sz w:val="18"/>
                <w:szCs w:val="18"/>
              </w:rPr>
              <w:br/>
              <w:t>Respondents</w:t>
            </w:r>
          </w:p>
        </w:tc>
        <w:tc>
          <w:tcPr>
            <w:tcW w:w="1350" w:type="dxa"/>
            <w:hideMark/>
          </w:tcPr>
          <w:p w:rsidR="00C2723B" w:rsidRPr="0019408C" w:rsidRDefault="00C2723B" w:rsidP="00ED60A0">
            <w:pPr>
              <w:ind w:left="360"/>
              <w:jc w:val="center"/>
              <w:rPr>
                <w:b/>
                <w:bCs/>
                <w:sz w:val="18"/>
                <w:szCs w:val="18"/>
              </w:rPr>
            </w:pPr>
            <w:r w:rsidRPr="0019408C">
              <w:rPr>
                <w:b/>
                <w:bCs/>
                <w:sz w:val="18"/>
                <w:szCs w:val="18"/>
              </w:rPr>
              <w:t xml:space="preserve">Frequency </w:t>
            </w:r>
            <w:r w:rsidRPr="0019408C">
              <w:rPr>
                <w:b/>
                <w:bCs/>
                <w:sz w:val="18"/>
                <w:szCs w:val="18"/>
              </w:rPr>
              <w:br/>
              <w:t xml:space="preserve">of </w:t>
            </w:r>
            <w:r w:rsidRPr="0019408C">
              <w:rPr>
                <w:b/>
                <w:bCs/>
                <w:sz w:val="18"/>
                <w:szCs w:val="18"/>
              </w:rPr>
              <w:br/>
              <w:t>Response</w:t>
            </w:r>
          </w:p>
        </w:tc>
        <w:tc>
          <w:tcPr>
            <w:tcW w:w="1350" w:type="dxa"/>
            <w:hideMark/>
          </w:tcPr>
          <w:p w:rsidR="00C2723B" w:rsidRPr="0019408C" w:rsidRDefault="00C2723B" w:rsidP="00ED60A0">
            <w:pPr>
              <w:ind w:left="360"/>
              <w:jc w:val="center"/>
              <w:rPr>
                <w:b/>
                <w:bCs/>
                <w:sz w:val="18"/>
                <w:szCs w:val="18"/>
              </w:rPr>
            </w:pPr>
            <w:r w:rsidRPr="0019408C">
              <w:rPr>
                <w:b/>
                <w:bCs/>
                <w:sz w:val="18"/>
                <w:szCs w:val="18"/>
              </w:rPr>
              <w:t xml:space="preserve">Total </w:t>
            </w:r>
            <w:r w:rsidRPr="0019408C">
              <w:rPr>
                <w:b/>
                <w:bCs/>
                <w:sz w:val="18"/>
                <w:szCs w:val="18"/>
              </w:rPr>
              <w:br/>
              <w:t xml:space="preserve">Annual </w:t>
            </w:r>
            <w:r w:rsidRPr="0019408C">
              <w:rPr>
                <w:b/>
                <w:bCs/>
                <w:sz w:val="18"/>
                <w:szCs w:val="18"/>
              </w:rPr>
              <w:br/>
              <w:t>Responses</w:t>
            </w:r>
          </w:p>
        </w:tc>
        <w:tc>
          <w:tcPr>
            <w:tcW w:w="1260" w:type="dxa"/>
            <w:hideMark/>
          </w:tcPr>
          <w:p w:rsidR="00C2723B" w:rsidRPr="0019408C" w:rsidRDefault="00C2723B" w:rsidP="00ED60A0">
            <w:pPr>
              <w:ind w:left="360"/>
              <w:jc w:val="center"/>
              <w:rPr>
                <w:b/>
                <w:bCs/>
                <w:sz w:val="18"/>
                <w:szCs w:val="18"/>
              </w:rPr>
            </w:pPr>
            <w:r w:rsidRPr="0019408C">
              <w:rPr>
                <w:b/>
                <w:bCs/>
                <w:sz w:val="18"/>
                <w:szCs w:val="18"/>
              </w:rPr>
              <w:t xml:space="preserve">Burden </w:t>
            </w:r>
            <w:r w:rsidRPr="0019408C">
              <w:rPr>
                <w:b/>
                <w:bCs/>
                <w:sz w:val="18"/>
                <w:szCs w:val="18"/>
              </w:rPr>
              <w:br/>
              <w:t xml:space="preserve">Hours per </w:t>
            </w:r>
            <w:r w:rsidRPr="0019408C">
              <w:rPr>
                <w:b/>
                <w:bCs/>
                <w:sz w:val="18"/>
                <w:szCs w:val="18"/>
              </w:rPr>
              <w:br/>
              <w:t>Response</w:t>
            </w:r>
          </w:p>
        </w:tc>
        <w:tc>
          <w:tcPr>
            <w:tcW w:w="1260" w:type="dxa"/>
            <w:hideMark/>
          </w:tcPr>
          <w:p w:rsidR="00C2723B" w:rsidRPr="0019408C" w:rsidRDefault="00C2723B" w:rsidP="00ED60A0">
            <w:pPr>
              <w:ind w:left="360"/>
              <w:jc w:val="center"/>
              <w:rPr>
                <w:b/>
                <w:bCs/>
                <w:sz w:val="18"/>
                <w:szCs w:val="18"/>
              </w:rPr>
            </w:pPr>
            <w:r w:rsidRPr="0019408C">
              <w:rPr>
                <w:b/>
                <w:bCs/>
                <w:sz w:val="18"/>
                <w:szCs w:val="18"/>
              </w:rPr>
              <w:t xml:space="preserve">Annual </w:t>
            </w:r>
            <w:r w:rsidRPr="0019408C">
              <w:rPr>
                <w:b/>
                <w:bCs/>
                <w:sz w:val="18"/>
                <w:szCs w:val="18"/>
              </w:rPr>
              <w:br/>
              <w:t xml:space="preserve">Burden </w:t>
            </w:r>
            <w:r w:rsidRPr="0019408C">
              <w:rPr>
                <w:b/>
                <w:bCs/>
                <w:sz w:val="18"/>
                <w:szCs w:val="18"/>
              </w:rPr>
              <w:br/>
              <w:t>Hours</w:t>
            </w:r>
          </w:p>
        </w:tc>
        <w:tc>
          <w:tcPr>
            <w:tcW w:w="1350" w:type="dxa"/>
            <w:hideMark/>
          </w:tcPr>
          <w:p w:rsidR="00C2723B" w:rsidRPr="0019408C" w:rsidRDefault="00C2723B" w:rsidP="00ED60A0">
            <w:pPr>
              <w:ind w:left="360"/>
              <w:jc w:val="center"/>
              <w:rPr>
                <w:b/>
                <w:bCs/>
                <w:sz w:val="18"/>
                <w:szCs w:val="18"/>
              </w:rPr>
            </w:pPr>
            <w:r w:rsidRPr="0019408C">
              <w:rPr>
                <w:b/>
                <w:bCs/>
                <w:sz w:val="18"/>
                <w:szCs w:val="18"/>
              </w:rPr>
              <w:t xml:space="preserve">Hourly </w:t>
            </w:r>
            <w:r w:rsidRPr="0019408C">
              <w:rPr>
                <w:b/>
                <w:bCs/>
                <w:sz w:val="18"/>
                <w:szCs w:val="18"/>
              </w:rPr>
              <w:br/>
              <w:t>Cost</w:t>
            </w:r>
          </w:p>
        </w:tc>
        <w:tc>
          <w:tcPr>
            <w:tcW w:w="1440" w:type="dxa"/>
            <w:hideMark/>
          </w:tcPr>
          <w:p w:rsidR="00C2723B" w:rsidRPr="0019408C" w:rsidRDefault="00C2723B" w:rsidP="00ED60A0">
            <w:pPr>
              <w:ind w:left="360"/>
              <w:jc w:val="center"/>
              <w:rPr>
                <w:b/>
                <w:bCs/>
                <w:sz w:val="18"/>
                <w:szCs w:val="18"/>
              </w:rPr>
            </w:pPr>
            <w:r w:rsidRPr="0019408C">
              <w:rPr>
                <w:b/>
                <w:bCs/>
                <w:sz w:val="18"/>
                <w:szCs w:val="18"/>
              </w:rPr>
              <w:t xml:space="preserve">Total </w:t>
            </w:r>
            <w:r w:rsidRPr="0019408C">
              <w:rPr>
                <w:b/>
                <w:bCs/>
                <w:sz w:val="18"/>
                <w:szCs w:val="18"/>
              </w:rPr>
              <w:br/>
              <w:t xml:space="preserve">Annual </w:t>
            </w:r>
            <w:r w:rsidRPr="0019408C">
              <w:rPr>
                <w:b/>
                <w:bCs/>
                <w:sz w:val="18"/>
                <w:szCs w:val="18"/>
              </w:rPr>
              <w:br/>
              <w:t>Cost</w:t>
            </w:r>
          </w:p>
        </w:tc>
      </w:tr>
      <w:tr w:rsidR="00ED60A0" w:rsidRPr="00ED60A0" w:rsidTr="00ED60A0">
        <w:trPr>
          <w:trHeight w:val="300"/>
        </w:trPr>
        <w:tc>
          <w:tcPr>
            <w:tcW w:w="1445" w:type="dxa"/>
            <w:hideMark/>
          </w:tcPr>
          <w:p w:rsidR="00C2723B" w:rsidRPr="00ED60A0" w:rsidRDefault="00C2723B" w:rsidP="00ED60A0">
            <w:pPr>
              <w:ind w:left="360"/>
              <w:rPr>
                <w:sz w:val="19"/>
                <w:szCs w:val="19"/>
              </w:rPr>
            </w:pPr>
            <w:r w:rsidRPr="00ED60A0">
              <w:rPr>
                <w:sz w:val="19"/>
                <w:szCs w:val="19"/>
              </w:rPr>
              <w:t>HUD-9834</w:t>
            </w:r>
          </w:p>
        </w:tc>
        <w:tc>
          <w:tcPr>
            <w:tcW w:w="1530" w:type="dxa"/>
            <w:noWrap/>
            <w:hideMark/>
          </w:tcPr>
          <w:p w:rsidR="00C2723B" w:rsidRPr="00ED60A0" w:rsidRDefault="00C2723B" w:rsidP="00ED60A0">
            <w:pPr>
              <w:ind w:left="360"/>
              <w:jc w:val="center"/>
              <w:rPr>
                <w:sz w:val="19"/>
                <w:szCs w:val="19"/>
              </w:rPr>
            </w:pPr>
            <w:r w:rsidRPr="00ED60A0">
              <w:rPr>
                <w:sz w:val="19"/>
                <w:szCs w:val="19"/>
              </w:rPr>
              <w:t>24,366</w:t>
            </w:r>
          </w:p>
        </w:tc>
        <w:tc>
          <w:tcPr>
            <w:tcW w:w="1350" w:type="dxa"/>
            <w:noWrap/>
            <w:hideMark/>
          </w:tcPr>
          <w:p w:rsidR="00C2723B" w:rsidRPr="00ED60A0" w:rsidRDefault="00C2723B" w:rsidP="00ED60A0">
            <w:pPr>
              <w:ind w:left="360"/>
              <w:jc w:val="center"/>
              <w:rPr>
                <w:sz w:val="19"/>
                <w:szCs w:val="19"/>
              </w:rPr>
            </w:pPr>
            <w:r w:rsidRPr="00ED60A0">
              <w:rPr>
                <w:sz w:val="19"/>
                <w:szCs w:val="19"/>
              </w:rPr>
              <w:t>1</w:t>
            </w:r>
          </w:p>
        </w:tc>
        <w:tc>
          <w:tcPr>
            <w:tcW w:w="1350" w:type="dxa"/>
            <w:noWrap/>
            <w:hideMark/>
          </w:tcPr>
          <w:p w:rsidR="00C2723B" w:rsidRPr="00ED60A0" w:rsidRDefault="00C2723B" w:rsidP="00ED60A0">
            <w:pPr>
              <w:ind w:left="360"/>
              <w:jc w:val="center"/>
              <w:rPr>
                <w:sz w:val="19"/>
                <w:szCs w:val="19"/>
              </w:rPr>
            </w:pPr>
            <w:r w:rsidRPr="00ED60A0">
              <w:rPr>
                <w:sz w:val="19"/>
                <w:szCs w:val="19"/>
              </w:rPr>
              <w:t>24,366</w:t>
            </w:r>
          </w:p>
        </w:tc>
        <w:tc>
          <w:tcPr>
            <w:tcW w:w="1260" w:type="dxa"/>
            <w:noWrap/>
            <w:hideMark/>
          </w:tcPr>
          <w:p w:rsidR="00C2723B" w:rsidRPr="00ED60A0" w:rsidRDefault="00C2723B" w:rsidP="00ED60A0">
            <w:pPr>
              <w:ind w:left="360"/>
              <w:jc w:val="center"/>
              <w:rPr>
                <w:sz w:val="19"/>
                <w:szCs w:val="19"/>
              </w:rPr>
            </w:pPr>
            <w:r w:rsidRPr="00ED60A0">
              <w:rPr>
                <w:sz w:val="19"/>
                <w:szCs w:val="19"/>
              </w:rPr>
              <w:t>8</w:t>
            </w:r>
          </w:p>
        </w:tc>
        <w:tc>
          <w:tcPr>
            <w:tcW w:w="1260" w:type="dxa"/>
            <w:noWrap/>
            <w:hideMark/>
          </w:tcPr>
          <w:p w:rsidR="00C2723B" w:rsidRPr="00ED60A0" w:rsidRDefault="00C2723B" w:rsidP="00ED60A0">
            <w:pPr>
              <w:ind w:left="360"/>
              <w:jc w:val="center"/>
              <w:rPr>
                <w:sz w:val="19"/>
                <w:szCs w:val="19"/>
              </w:rPr>
            </w:pPr>
            <w:r w:rsidRPr="00ED60A0">
              <w:rPr>
                <w:sz w:val="19"/>
                <w:szCs w:val="19"/>
              </w:rPr>
              <w:t>194,928</w:t>
            </w:r>
          </w:p>
        </w:tc>
        <w:tc>
          <w:tcPr>
            <w:tcW w:w="1350" w:type="dxa"/>
            <w:noWrap/>
            <w:hideMark/>
          </w:tcPr>
          <w:p w:rsidR="00C2723B" w:rsidRPr="00ED60A0" w:rsidRDefault="00C2723B" w:rsidP="00ED60A0">
            <w:pPr>
              <w:ind w:left="360"/>
              <w:jc w:val="center"/>
              <w:rPr>
                <w:sz w:val="19"/>
                <w:szCs w:val="19"/>
              </w:rPr>
            </w:pPr>
            <w:r w:rsidRPr="00ED60A0">
              <w:rPr>
                <w:sz w:val="19"/>
                <w:szCs w:val="19"/>
              </w:rPr>
              <w:t>$  30.19</w:t>
            </w:r>
          </w:p>
        </w:tc>
        <w:tc>
          <w:tcPr>
            <w:tcW w:w="1440" w:type="dxa"/>
            <w:noWrap/>
            <w:hideMark/>
          </w:tcPr>
          <w:p w:rsidR="00C2723B" w:rsidRPr="00ED60A0" w:rsidRDefault="00C2723B" w:rsidP="00ED60A0">
            <w:pPr>
              <w:ind w:left="360"/>
              <w:jc w:val="center"/>
              <w:rPr>
                <w:sz w:val="19"/>
                <w:szCs w:val="19"/>
              </w:rPr>
            </w:pPr>
            <w:r w:rsidRPr="00ED60A0">
              <w:rPr>
                <w:sz w:val="19"/>
                <w:szCs w:val="19"/>
              </w:rPr>
              <w:t>$  5,884,876</w:t>
            </w:r>
          </w:p>
        </w:tc>
      </w:tr>
      <w:tr w:rsidR="00ED60A0" w:rsidRPr="00ED60A0" w:rsidTr="00ED60A0">
        <w:trPr>
          <w:trHeight w:val="302"/>
        </w:trPr>
        <w:tc>
          <w:tcPr>
            <w:tcW w:w="1445" w:type="dxa"/>
            <w:noWrap/>
            <w:hideMark/>
          </w:tcPr>
          <w:p w:rsidR="00C2723B" w:rsidRPr="00ED60A0" w:rsidRDefault="00C2723B" w:rsidP="00ED60A0">
            <w:pPr>
              <w:ind w:left="360"/>
              <w:rPr>
                <w:sz w:val="19"/>
                <w:szCs w:val="19"/>
              </w:rPr>
            </w:pPr>
            <w:r w:rsidRPr="00ED60A0">
              <w:rPr>
                <w:sz w:val="19"/>
                <w:szCs w:val="19"/>
              </w:rPr>
              <w:t>Total</w:t>
            </w:r>
          </w:p>
        </w:tc>
        <w:tc>
          <w:tcPr>
            <w:tcW w:w="1530" w:type="dxa"/>
            <w:noWrap/>
            <w:hideMark/>
          </w:tcPr>
          <w:p w:rsidR="00C2723B" w:rsidRPr="00ED60A0" w:rsidRDefault="00C2723B" w:rsidP="00ED60A0">
            <w:pPr>
              <w:ind w:left="360"/>
              <w:jc w:val="center"/>
              <w:rPr>
                <w:sz w:val="19"/>
                <w:szCs w:val="19"/>
              </w:rPr>
            </w:pPr>
            <w:r w:rsidRPr="00ED60A0">
              <w:rPr>
                <w:sz w:val="19"/>
                <w:szCs w:val="19"/>
              </w:rPr>
              <w:t>24,366</w:t>
            </w:r>
          </w:p>
        </w:tc>
        <w:tc>
          <w:tcPr>
            <w:tcW w:w="1350" w:type="dxa"/>
            <w:noWrap/>
            <w:hideMark/>
          </w:tcPr>
          <w:p w:rsidR="00C2723B" w:rsidRPr="00ED60A0" w:rsidRDefault="00C2723B" w:rsidP="00ED60A0">
            <w:pPr>
              <w:ind w:left="360"/>
              <w:jc w:val="center"/>
              <w:rPr>
                <w:sz w:val="19"/>
                <w:szCs w:val="19"/>
              </w:rPr>
            </w:pPr>
          </w:p>
        </w:tc>
        <w:tc>
          <w:tcPr>
            <w:tcW w:w="1350" w:type="dxa"/>
            <w:noWrap/>
            <w:hideMark/>
          </w:tcPr>
          <w:p w:rsidR="00C2723B" w:rsidRPr="00ED60A0" w:rsidRDefault="00C2723B" w:rsidP="00ED60A0">
            <w:pPr>
              <w:ind w:left="360"/>
              <w:jc w:val="center"/>
              <w:rPr>
                <w:sz w:val="19"/>
                <w:szCs w:val="19"/>
              </w:rPr>
            </w:pPr>
            <w:r w:rsidRPr="00ED60A0">
              <w:rPr>
                <w:sz w:val="19"/>
                <w:szCs w:val="19"/>
              </w:rPr>
              <w:t>24,366</w:t>
            </w:r>
          </w:p>
        </w:tc>
        <w:tc>
          <w:tcPr>
            <w:tcW w:w="1260" w:type="dxa"/>
            <w:noWrap/>
            <w:hideMark/>
          </w:tcPr>
          <w:p w:rsidR="00C2723B" w:rsidRPr="00ED60A0" w:rsidRDefault="00C2723B" w:rsidP="00ED60A0">
            <w:pPr>
              <w:ind w:left="360"/>
              <w:jc w:val="center"/>
              <w:rPr>
                <w:sz w:val="19"/>
                <w:szCs w:val="19"/>
              </w:rPr>
            </w:pPr>
          </w:p>
        </w:tc>
        <w:tc>
          <w:tcPr>
            <w:tcW w:w="1260" w:type="dxa"/>
            <w:noWrap/>
            <w:hideMark/>
          </w:tcPr>
          <w:p w:rsidR="00C2723B" w:rsidRPr="00ED60A0" w:rsidRDefault="00C2723B" w:rsidP="00ED60A0">
            <w:pPr>
              <w:ind w:left="360"/>
              <w:jc w:val="center"/>
              <w:rPr>
                <w:sz w:val="19"/>
                <w:szCs w:val="19"/>
              </w:rPr>
            </w:pPr>
            <w:r w:rsidRPr="00ED60A0">
              <w:rPr>
                <w:sz w:val="19"/>
                <w:szCs w:val="19"/>
              </w:rPr>
              <w:t>194,928</w:t>
            </w:r>
          </w:p>
        </w:tc>
        <w:tc>
          <w:tcPr>
            <w:tcW w:w="1350" w:type="dxa"/>
            <w:noWrap/>
            <w:hideMark/>
          </w:tcPr>
          <w:p w:rsidR="00C2723B" w:rsidRPr="00ED60A0" w:rsidRDefault="00C2723B" w:rsidP="00ED60A0">
            <w:pPr>
              <w:ind w:left="360"/>
              <w:jc w:val="center"/>
              <w:rPr>
                <w:sz w:val="19"/>
                <w:szCs w:val="19"/>
              </w:rPr>
            </w:pPr>
          </w:p>
        </w:tc>
        <w:tc>
          <w:tcPr>
            <w:tcW w:w="1440" w:type="dxa"/>
            <w:noWrap/>
            <w:hideMark/>
          </w:tcPr>
          <w:p w:rsidR="00C2723B" w:rsidRPr="00ED60A0" w:rsidRDefault="00C2723B" w:rsidP="00ED60A0">
            <w:pPr>
              <w:ind w:left="360"/>
              <w:jc w:val="center"/>
              <w:rPr>
                <w:sz w:val="19"/>
                <w:szCs w:val="19"/>
              </w:rPr>
            </w:pPr>
            <w:r w:rsidRPr="00ED60A0">
              <w:rPr>
                <w:sz w:val="19"/>
                <w:szCs w:val="19"/>
              </w:rPr>
              <w:t>$  5,884,876</w:t>
            </w:r>
          </w:p>
        </w:tc>
      </w:tr>
    </w:tbl>
    <w:p w:rsidR="00D30277" w:rsidRDefault="00D30277" w:rsidP="00932A98">
      <w:pPr>
        <w:tabs>
          <w:tab w:val="left" w:pos="720"/>
        </w:tabs>
        <w:ind w:left="360"/>
        <w:rPr>
          <w:b/>
          <w:color w:val="800000"/>
        </w:rPr>
      </w:pPr>
    </w:p>
    <w:p w:rsidR="004D4708" w:rsidRDefault="004D4708" w:rsidP="00932A98">
      <w:pPr>
        <w:tabs>
          <w:tab w:val="left" w:pos="720"/>
        </w:tabs>
        <w:ind w:left="360"/>
        <w:rPr>
          <w:b/>
          <w:color w:val="800000"/>
        </w:rPr>
      </w:pPr>
    </w:p>
    <w:p w:rsidR="006044E4" w:rsidRPr="00D30277" w:rsidRDefault="00932A98" w:rsidP="006044E4">
      <w:pPr>
        <w:numPr>
          <w:ilvl w:val="1"/>
          <w:numId w:val="19"/>
        </w:numPr>
        <w:tabs>
          <w:tab w:val="left" w:pos="720"/>
        </w:tabs>
        <w:rPr>
          <w:color w:val="800000"/>
        </w:rPr>
      </w:pPr>
      <w:r w:rsidRPr="00D30277">
        <w:rPr>
          <w:color w:val="800000"/>
        </w:rPr>
        <w:t xml:space="preserve">Number of </w:t>
      </w:r>
      <w:r w:rsidR="000F5A23" w:rsidRPr="00D30277">
        <w:rPr>
          <w:color w:val="800000"/>
        </w:rPr>
        <w:t xml:space="preserve">owners/agents </w:t>
      </w:r>
      <w:r w:rsidRPr="00D30277">
        <w:rPr>
          <w:color w:val="800000"/>
        </w:rPr>
        <w:t xml:space="preserve">is based on data obtained from HUD systems.  </w:t>
      </w:r>
    </w:p>
    <w:p w:rsidR="00932A98" w:rsidRPr="00D30277" w:rsidRDefault="006044E4" w:rsidP="006044E4">
      <w:pPr>
        <w:numPr>
          <w:ilvl w:val="1"/>
          <w:numId w:val="19"/>
        </w:numPr>
        <w:tabs>
          <w:tab w:val="left" w:pos="720"/>
        </w:tabs>
        <w:rPr>
          <w:color w:val="800000"/>
        </w:rPr>
      </w:pPr>
      <w:r w:rsidRPr="00D30277">
        <w:rPr>
          <w:color w:val="800000"/>
        </w:rPr>
        <w:t>H</w:t>
      </w:r>
      <w:r w:rsidR="00932A98" w:rsidRPr="00D30277">
        <w:rPr>
          <w:color w:val="800000"/>
        </w:rPr>
        <w:t xml:space="preserve">ourly cost for owners/agents is based on data obtained from </w:t>
      </w:r>
      <w:hyperlink r:id="rId7" w:history="1">
        <w:r w:rsidR="00932A98" w:rsidRPr="00D30277">
          <w:rPr>
            <w:rStyle w:val="Hyperlink"/>
            <w:color w:val="800000"/>
          </w:rPr>
          <w:t>www.payscale.com</w:t>
        </w:r>
      </w:hyperlink>
      <w:r w:rsidR="00932A98" w:rsidRPr="00D30277">
        <w:rPr>
          <w:color w:val="800000"/>
        </w:rPr>
        <w:t xml:space="preserve"> for the owner or owner’s staff to gather and provide the necessary information.  Note that the cost per hour may vary depending on locality.</w:t>
      </w:r>
    </w:p>
    <w:p w:rsidR="006044E4" w:rsidRPr="009E4E5F" w:rsidRDefault="007E0262" w:rsidP="000F5A23">
      <w:pPr>
        <w:numPr>
          <w:ilvl w:val="1"/>
          <w:numId w:val="19"/>
        </w:numPr>
        <w:tabs>
          <w:tab w:val="left" w:pos="360"/>
        </w:tabs>
        <w:rPr>
          <w:color w:val="800000"/>
        </w:rPr>
      </w:pPr>
      <w:r w:rsidRPr="009E4E5F">
        <w:rPr>
          <w:color w:val="800000"/>
        </w:rPr>
        <w:t>T</w:t>
      </w:r>
      <w:r w:rsidR="006044E4" w:rsidRPr="009E4E5F">
        <w:rPr>
          <w:color w:val="800000"/>
        </w:rPr>
        <w:t xml:space="preserve">otal </w:t>
      </w:r>
      <w:r w:rsidRPr="009E4E5F">
        <w:rPr>
          <w:color w:val="800000"/>
        </w:rPr>
        <w:t xml:space="preserve">number of responses is based on </w:t>
      </w:r>
      <w:r w:rsidR="006044E4" w:rsidRPr="009E4E5F">
        <w:rPr>
          <w:color w:val="800000"/>
        </w:rPr>
        <w:t xml:space="preserve">annual on-site </w:t>
      </w:r>
      <w:r w:rsidRPr="009E4E5F">
        <w:rPr>
          <w:color w:val="800000"/>
        </w:rPr>
        <w:t>reviews performed by CAs, which normally ran</w:t>
      </w:r>
      <w:r w:rsidR="006044E4" w:rsidRPr="009E4E5F">
        <w:rPr>
          <w:color w:val="800000"/>
        </w:rPr>
        <w:t>ges</w:t>
      </w:r>
      <w:r w:rsidRPr="009E4E5F">
        <w:rPr>
          <w:color w:val="800000"/>
        </w:rPr>
        <w:t xml:space="preserve"> from 15,000 – 17,000 per year</w:t>
      </w:r>
      <w:r w:rsidR="003B57F7" w:rsidRPr="009E4E5F">
        <w:rPr>
          <w:color w:val="800000"/>
        </w:rPr>
        <w:t>.</w:t>
      </w:r>
      <w:r w:rsidRPr="009E4E5F">
        <w:rPr>
          <w:color w:val="800000"/>
        </w:rPr>
        <w:t xml:space="preserve">  </w:t>
      </w:r>
    </w:p>
    <w:p w:rsidR="003A7D47" w:rsidRPr="009E4E5F" w:rsidRDefault="000F5A23" w:rsidP="000F5A23">
      <w:pPr>
        <w:numPr>
          <w:ilvl w:val="1"/>
          <w:numId w:val="19"/>
        </w:numPr>
        <w:tabs>
          <w:tab w:val="left" w:pos="360"/>
        </w:tabs>
        <w:rPr>
          <w:color w:val="800000"/>
        </w:rPr>
      </w:pPr>
      <w:r w:rsidRPr="009E4E5F">
        <w:rPr>
          <w:color w:val="800000"/>
        </w:rPr>
        <w:t xml:space="preserve">The frequency of reviews </w:t>
      </w:r>
      <w:r w:rsidR="003A7D47" w:rsidRPr="009E4E5F">
        <w:rPr>
          <w:color w:val="800000"/>
        </w:rPr>
        <w:t>is estimated at one per year</w:t>
      </w:r>
      <w:r w:rsidR="009E4E5F" w:rsidRPr="009E4E5F">
        <w:rPr>
          <w:color w:val="800000"/>
        </w:rPr>
        <w:t xml:space="preserve"> per project based on the CA</w:t>
      </w:r>
      <w:r w:rsidR="003A7D47" w:rsidRPr="009E4E5F">
        <w:rPr>
          <w:color w:val="800000"/>
        </w:rPr>
        <w:t xml:space="preserve"> </w:t>
      </w:r>
      <w:r w:rsidRPr="009E4E5F">
        <w:rPr>
          <w:color w:val="800000"/>
        </w:rPr>
        <w:t>port</w:t>
      </w:r>
      <w:r w:rsidR="009E4E5F" w:rsidRPr="009E4E5F">
        <w:rPr>
          <w:color w:val="800000"/>
        </w:rPr>
        <w:t>f</w:t>
      </w:r>
      <w:r w:rsidRPr="009E4E5F">
        <w:rPr>
          <w:color w:val="800000"/>
        </w:rPr>
        <w:t xml:space="preserve">olio.  </w:t>
      </w:r>
      <w:r w:rsidR="007E0262" w:rsidRPr="009E4E5F">
        <w:rPr>
          <w:color w:val="800000"/>
        </w:rPr>
        <w:t xml:space="preserve">The number of reviews performed by CAs is not constant and could change due to reasons beyond HUD’s control (e.g., Owners may opt-out of the contract). </w:t>
      </w:r>
      <w:r w:rsidRPr="009E4E5F">
        <w:rPr>
          <w:color w:val="800000"/>
        </w:rPr>
        <w:t xml:space="preserve"> </w:t>
      </w:r>
    </w:p>
    <w:p w:rsidR="0019408C" w:rsidRDefault="0019408C" w:rsidP="006331A0">
      <w:pPr>
        <w:keepLines/>
        <w:tabs>
          <w:tab w:val="left" w:pos="720"/>
        </w:tabs>
      </w:pPr>
    </w:p>
    <w:p w:rsidR="004D4708" w:rsidRDefault="004D4708" w:rsidP="004D4708">
      <w:pPr>
        <w:pStyle w:val="ListParagraph"/>
        <w:numPr>
          <w:ilvl w:val="0"/>
          <w:numId w:val="19"/>
        </w:numPr>
        <w:rPr>
          <w:b/>
        </w:rPr>
      </w:pPr>
      <w:r w:rsidRPr="004D4708">
        <w:rPr>
          <w:b/>
        </w:rPr>
        <w:t xml:space="preserve">Provide an estimate of the total annual cost burden to respondents or record keepers resulting from the collection of information (do not include the cost of any hour burden shown in items 12 and 14).  </w:t>
      </w:r>
    </w:p>
    <w:p w:rsidR="004D4708" w:rsidRPr="00D533F9" w:rsidRDefault="004D4708" w:rsidP="004D4708">
      <w:pPr>
        <w:pStyle w:val="ListParagraph"/>
        <w:numPr>
          <w:ilvl w:val="0"/>
          <w:numId w:val="28"/>
        </w:numPr>
        <w:rPr>
          <w:b/>
        </w:rPr>
      </w:pPr>
      <w:r w:rsidRPr="00D533F9">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D4708" w:rsidRPr="00D533F9" w:rsidRDefault="004D4708" w:rsidP="004D4708">
      <w:pPr>
        <w:pStyle w:val="ListParagraph"/>
        <w:numPr>
          <w:ilvl w:val="0"/>
          <w:numId w:val="27"/>
        </w:numPr>
        <w:rPr>
          <w:b/>
        </w:rPr>
      </w:pPr>
      <w:r w:rsidRPr="00D533F9">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4708" w:rsidRPr="00D533F9" w:rsidRDefault="004D4708" w:rsidP="004D4708">
      <w:pPr>
        <w:pStyle w:val="ListParagraph"/>
        <w:numPr>
          <w:ilvl w:val="0"/>
          <w:numId w:val="27"/>
        </w:numPr>
      </w:pPr>
      <w:r w:rsidRPr="00D533F9">
        <w:rPr>
          <w:b/>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D533F9">
          <w:rPr>
            <w:b/>
          </w:rPr>
          <w:t>October 1, 1995</w:t>
        </w:r>
      </w:smartTag>
      <w:r w:rsidRPr="00D533F9">
        <w:rPr>
          <w:b/>
        </w:rPr>
        <w:t>, (2) to achieve regulatory compliance with requirements not associated with the information collection, (3) for reasons other than to provide information or keep records for the government, or (4) as part of customary and usual business or private practices.</w:t>
      </w:r>
    </w:p>
    <w:p w:rsidR="004D4708" w:rsidRDefault="004D4708" w:rsidP="006331A0">
      <w:pPr>
        <w:numPr>
          <w:ilvl w:val="0"/>
          <w:numId w:val="19"/>
        </w:numPr>
        <w:rPr>
          <w:sz w:val="24"/>
        </w:rPr>
      </w:pPr>
      <w:r w:rsidRPr="004D4708">
        <w:rPr>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D4708" w:rsidRDefault="004D4708" w:rsidP="004D4708">
      <w:pPr>
        <w:ind w:left="360"/>
        <w:rPr>
          <w:sz w:val="24"/>
        </w:rPr>
      </w:pPr>
    </w:p>
    <w:p w:rsidR="006331A0" w:rsidRDefault="006331A0" w:rsidP="004D4708">
      <w:pPr>
        <w:ind w:left="360"/>
        <w:rPr>
          <w:sz w:val="24"/>
        </w:rPr>
      </w:pPr>
      <w:r>
        <w:rPr>
          <w:sz w:val="24"/>
        </w:rPr>
        <w:t xml:space="preserve">There are no additional capital or start-up costs.  There are not total operation and maintenance purchase of services components required for collecting this information.  </w:t>
      </w:r>
    </w:p>
    <w:p w:rsidR="006331A0" w:rsidRDefault="006331A0" w:rsidP="006331A0">
      <w:pPr>
        <w:rPr>
          <w:sz w:val="24"/>
        </w:rPr>
      </w:pPr>
    </w:p>
    <w:p w:rsidR="004D4708" w:rsidRPr="004D4708" w:rsidRDefault="004D4708" w:rsidP="003C4449">
      <w:pPr>
        <w:pStyle w:val="ListParagraph"/>
        <w:ind w:left="360"/>
      </w:pPr>
      <w:r w:rsidRPr="003C4449">
        <w:rPr>
          <w:b/>
        </w:rPr>
        <w:t>Explain the reasons of any program changes or adjustments reported in Items 13 and 14 of the OMB form 83-I.</w:t>
      </w:r>
    </w:p>
    <w:p w:rsidR="004D4708" w:rsidRDefault="004D4708" w:rsidP="004D4708">
      <w:pPr>
        <w:ind w:left="360"/>
        <w:rPr>
          <w:sz w:val="24"/>
        </w:rPr>
      </w:pPr>
    </w:p>
    <w:tbl>
      <w:tblPr>
        <w:tblStyle w:val="TableGrid"/>
        <w:tblW w:w="0" w:type="auto"/>
        <w:tblLook w:val="04A0"/>
      </w:tblPr>
      <w:tblGrid>
        <w:gridCol w:w="1516"/>
        <w:gridCol w:w="1557"/>
        <w:gridCol w:w="1396"/>
        <w:gridCol w:w="1367"/>
        <w:gridCol w:w="1297"/>
        <w:gridCol w:w="1157"/>
        <w:gridCol w:w="1268"/>
        <w:gridCol w:w="1530"/>
      </w:tblGrid>
      <w:tr w:rsidR="0019408C" w:rsidRPr="0019408C" w:rsidTr="0019408C">
        <w:trPr>
          <w:trHeight w:val="300"/>
        </w:trPr>
        <w:tc>
          <w:tcPr>
            <w:tcW w:w="7133" w:type="dxa"/>
            <w:gridSpan w:val="5"/>
            <w:noWrap/>
            <w:hideMark/>
          </w:tcPr>
          <w:p w:rsidR="0019408C" w:rsidRPr="0019408C" w:rsidRDefault="0019408C" w:rsidP="0019408C">
            <w:pPr>
              <w:tabs>
                <w:tab w:val="left" w:pos="360"/>
              </w:tabs>
              <w:ind w:left="360"/>
              <w:rPr>
                <w:b/>
                <w:bCs/>
                <w:sz w:val="24"/>
              </w:rPr>
            </w:pPr>
            <w:r w:rsidRPr="0019408C">
              <w:rPr>
                <w:b/>
                <w:bCs/>
                <w:sz w:val="24"/>
              </w:rPr>
              <w:t>Estimates of Annualized Cost to the Federal Government</w:t>
            </w:r>
          </w:p>
        </w:tc>
        <w:tc>
          <w:tcPr>
            <w:tcW w:w="1157" w:type="dxa"/>
            <w:noWrap/>
            <w:hideMark/>
          </w:tcPr>
          <w:p w:rsidR="0019408C" w:rsidRPr="0019408C" w:rsidRDefault="0019408C" w:rsidP="0019408C">
            <w:pPr>
              <w:tabs>
                <w:tab w:val="left" w:pos="360"/>
              </w:tabs>
              <w:ind w:left="360"/>
              <w:rPr>
                <w:sz w:val="24"/>
              </w:rPr>
            </w:pPr>
          </w:p>
        </w:tc>
        <w:tc>
          <w:tcPr>
            <w:tcW w:w="1268" w:type="dxa"/>
            <w:noWrap/>
            <w:hideMark/>
          </w:tcPr>
          <w:p w:rsidR="0019408C" w:rsidRPr="0019408C" w:rsidRDefault="0019408C" w:rsidP="0019408C">
            <w:pPr>
              <w:tabs>
                <w:tab w:val="left" w:pos="360"/>
              </w:tabs>
              <w:ind w:left="360"/>
              <w:rPr>
                <w:sz w:val="24"/>
              </w:rPr>
            </w:pPr>
          </w:p>
        </w:tc>
        <w:tc>
          <w:tcPr>
            <w:tcW w:w="1530" w:type="dxa"/>
            <w:noWrap/>
            <w:hideMark/>
          </w:tcPr>
          <w:p w:rsidR="0019408C" w:rsidRPr="0019408C" w:rsidRDefault="0019408C" w:rsidP="0019408C">
            <w:pPr>
              <w:tabs>
                <w:tab w:val="left" w:pos="360"/>
              </w:tabs>
              <w:ind w:left="360"/>
              <w:rPr>
                <w:sz w:val="24"/>
              </w:rPr>
            </w:pPr>
          </w:p>
        </w:tc>
      </w:tr>
      <w:tr w:rsidR="0019408C" w:rsidRPr="0019408C" w:rsidTr="0019408C">
        <w:trPr>
          <w:trHeight w:val="139"/>
        </w:trPr>
        <w:tc>
          <w:tcPr>
            <w:tcW w:w="1516" w:type="dxa"/>
            <w:noWrap/>
            <w:hideMark/>
          </w:tcPr>
          <w:p w:rsidR="0019408C" w:rsidRPr="0019408C" w:rsidRDefault="0019408C" w:rsidP="0019408C">
            <w:pPr>
              <w:tabs>
                <w:tab w:val="left" w:pos="360"/>
              </w:tabs>
              <w:ind w:left="360"/>
              <w:rPr>
                <w:sz w:val="24"/>
              </w:rPr>
            </w:pPr>
          </w:p>
        </w:tc>
        <w:tc>
          <w:tcPr>
            <w:tcW w:w="1557" w:type="dxa"/>
            <w:noWrap/>
            <w:hideMark/>
          </w:tcPr>
          <w:p w:rsidR="0019408C" w:rsidRPr="0019408C" w:rsidRDefault="0019408C" w:rsidP="0019408C">
            <w:pPr>
              <w:tabs>
                <w:tab w:val="left" w:pos="360"/>
              </w:tabs>
              <w:ind w:left="360"/>
              <w:rPr>
                <w:sz w:val="24"/>
              </w:rPr>
            </w:pPr>
          </w:p>
        </w:tc>
        <w:tc>
          <w:tcPr>
            <w:tcW w:w="1396" w:type="dxa"/>
            <w:noWrap/>
            <w:hideMark/>
          </w:tcPr>
          <w:p w:rsidR="0019408C" w:rsidRPr="0019408C" w:rsidRDefault="0019408C" w:rsidP="0019408C">
            <w:pPr>
              <w:tabs>
                <w:tab w:val="left" w:pos="360"/>
              </w:tabs>
              <w:ind w:left="360"/>
              <w:rPr>
                <w:sz w:val="24"/>
              </w:rPr>
            </w:pPr>
          </w:p>
        </w:tc>
        <w:tc>
          <w:tcPr>
            <w:tcW w:w="1367" w:type="dxa"/>
            <w:noWrap/>
            <w:hideMark/>
          </w:tcPr>
          <w:p w:rsidR="0019408C" w:rsidRPr="0019408C" w:rsidRDefault="0019408C" w:rsidP="0019408C">
            <w:pPr>
              <w:tabs>
                <w:tab w:val="left" w:pos="360"/>
              </w:tabs>
              <w:ind w:left="360"/>
              <w:rPr>
                <w:sz w:val="24"/>
              </w:rPr>
            </w:pPr>
          </w:p>
        </w:tc>
        <w:tc>
          <w:tcPr>
            <w:tcW w:w="1297" w:type="dxa"/>
            <w:noWrap/>
            <w:hideMark/>
          </w:tcPr>
          <w:p w:rsidR="0019408C" w:rsidRPr="0019408C" w:rsidRDefault="0019408C" w:rsidP="0019408C">
            <w:pPr>
              <w:tabs>
                <w:tab w:val="left" w:pos="360"/>
              </w:tabs>
              <w:ind w:left="360"/>
              <w:rPr>
                <w:sz w:val="24"/>
              </w:rPr>
            </w:pPr>
          </w:p>
        </w:tc>
        <w:tc>
          <w:tcPr>
            <w:tcW w:w="1157" w:type="dxa"/>
            <w:noWrap/>
            <w:hideMark/>
          </w:tcPr>
          <w:p w:rsidR="0019408C" w:rsidRPr="0019408C" w:rsidRDefault="0019408C" w:rsidP="0019408C">
            <w:pPr>
              <w:tabs>
                <w:tab w:val="left" w:pos="360"/>
              </w:tabs>
              <w:ind w:left="360"/>
              <w:rPr>
                <w:sz w:val="24"/>
              </w:rPr>
            </w:pPr>
          </w:p>
        </w:tc>
        <w:tc>
          <w:tcPr>
            <w:tcW w:w="1268" w:type="dxa"/>
            <w:noWrap/>
            <w:hideMark/>
          </w:tcPr>
          <w:p w:rsidR="0019408C" w:rsidRPr="0019408C" w:rsidRDefault="0019408C" w:rsidP="0019408C">
            <w:pPr>
              <w:tabs>
                <w:tab w:val="left" w:pos="360"/>
              </w:tabs>
              <w:ind w:left="360"/>
              <w:rPr>
                <w:sz w:val="24"/>
              </w:rPr>
            </w:pPr>
          </w:p>
        </w:tc>
        <w:tc>
          <w:tcPr>
            <w:tcW w:w="1530" w:type="dxa"/>
            <w:noWrap/>
            <w:hideMark/>
          </w:tcPr>
          <w:p w:rsidR="0019408C" w:rsidRPr="0019408C" w:rsidRDefault="0019408C" w:rsidP="0019408C">
            <w:pPr>
              <w:tabs>
                <w:tab w:val="left" w:pos="360"/>
              </w:tabs>
              <w:ind w:left="360"/>
              <w:rPr>
                <w:sz w:val="24"/>
              </w:rPr>
            </w:pPr>
          </w:p>
        </w:tc>
      </w:tr>
      <w:tr w:rsidR="0019408C" w:rsidRPr="0019408C" w:rsidTr="0019408C">
        <w:trPr>
          <w:trHeight w:val="900"/>
        </w:trPr>
        <w:tc>
          <w:tcPr>
            <w:tcW w:w="1516" w:type="dxa"/>
            <w:hideMark/>
          </w:tcPr>
          <w:p w:rsidR="0019408C" w:rsidRPr="0019408C" w:rsidRDefault="0019408C" w:rsidP="0019408C">
            <w:pPr>
              <w:tabs>
                <w:tab w:val="left" w:pos="360"/>
              </w:tabs>
              <w:ind w:left="360"/>
              <w:jc w:val="center"/>
              <w:rPr>
                <w:b/>
                <w:bCs/>
                <w:sz w:val="18"/>
                <w:szCs w:val="18"/>
              </w:rPr>
            </w:pPr>
            <w:r w:rsidRPr="0019408C">
              <w:rPr>
                <w:b/>
                <w:bCs/>
                <w:sz w:val="18"/>
                <w:szCs w:val="18"/>
              </w:rPr>
              <w:t>Information</w:t>
            </w:r>
            <w:r w:rsidRPr="0019408C">
              <w:rPr>
                <w:b/>
                <w:bCs/>
                <w:sz w:val="18"/>
                <w:szCs w:val="18"/>
              </w:rPr>
              <w:br/>
              <w:t>Collection</w:t>
            </w:r>
          </w:p>
        </w:tc>
        <w:tc>
          <w:tcPr>
            <w:tcW w:w="1557"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Number </w:t>
            </w:r>
            <w:r w:rsidRPr="0019408C">
              <w:rPr>
                <w:b/>
                <w:bCs/>
                <w:sz w:val="18"/>
                <w:szCs w:val="18"/>
              </w:rPr>
              <w:br/>
              <w:t xml:space="preserve">of </w:t>
            </w:r>
            <w:r w:rsidRPr="0019408C">
              <w:rPr>
                <w:b/>
                <w:bCs/>
                <w:sz w:val="18"/>
                <w:szCs w:val="18"/>
              </w:rPr>
              <w:br/>
              <w:t>Respondents</w:t>
            </w:r>
          </w:p>
        </w:tc>
        <w:tc>
          <w:tcPr>
            <w:tcW w:w="1396"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Frequency </w:t>
            </w:r>
            <w:r w:rsidRPr="0019408C">
              <w:rPr>
                <w:b/>
                <w:bCs/>
                <w:sz w:val="18"/>
                <w:szCs w:val="18"/>
              </w:rPr>
              <w:br/>
              <w:t xml:space="preserve">of </w:t>
            </w:r>
            <w:r w:rsidRPr="0019408C">
              <w:rPr>
                <w:b/>
                <w:bCs/>
                <w:sz w:val="18"/>
                <w:szCs w:val="18"/>
              </w:rPr>
              <w:br/>
              <w:t>Response</w:t>
            </w:r>
          </w:p>
        </w:tc>
        <w:tc>
          <w:tcPr>
            <w:tcW w:w="1367"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Total </w:t>
            </w:r>
            <w:r w:rsidRPr="0019408C">
              <w:rPr>
                <w:b/>
                <w:bCs/>
                <w:sz w:val="18"/>
                <w:szCs w:val="18"/>
              </w:rPr>
              <w:br/>
              <w:t xml:space="preserve">Annual </w:t>
            </w:r>
            <w:r w:rsidRPr="0019408C">
              <w:rPr>
                <w:b/>
                <w:bCs/>
                <w:sz w:val="18"/>
                <w:szCs w:val="18"/>
              </w:rPr>
              <w:br/>
              <w:t>Responses</w:t>
            </w:r>
          </w:p>
        </w:tc>
        <w:tc>
          <w:tcPr>
            <w:tcW w:w="1297"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Burden </w:t>
            </w:r>
            <w:r w:rsidRPr="0019408C">
              <w:rPr>
                <w:b/>
                <w:bCs/>
                <w:sz w:val="18"/>
                <w:szCs w:val="18"/>
              </w:rPr>
              <w:br/>
              <w:t xml:space="preserve">Hours per </w:t>
            </w:r>
            <w:r w:rsidRPr="0019408C">
              <w:rPr>
                <w:b/>
                <w:bCs/>
                <w:sz w:val="18"/>
                <w:szCs w:val="18"/>
              </w:rPr>
              <w:br/>
              <w:t>Response</w:t>
            </w:r>
          </w:p>
        </w:tc>
        <w:tc>
          <w:tcPr>
            <w:tcW w:w="1157"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Annual </w:t>
            </w:r>
            <w:r w:rsidRPr="0019408C">
              <w:rPr>
                <w:b/>
                <w:bCs/>
                <w:sz w:val="18"/>
                <w:szCs w:val="18"/>
              </w:rPr>
              <w:br/>
              <w:t xml:space="preserve">Burden </w:t>
            </w:r>
            <w:r w:rsidRPr="0019408C">
              <w:rPr>
                <w:b/>
                <w:bCs/>
                <w:sz w:val="18"/>
                <w:szCs w:val="18"/>
              </w:rPr>
              <w:br/>
              <w:t>Hours</w:t>
            </w:r>
          </w:p>
        </w:tc>
        <w:tc>
          <w:tcPr>
            <w:tcW w:w="1268"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Hourly </w:t>
            </w:r>
            <w:r w:rsidRPr="0019408C">
              <w:rPr>
                <w:b/>
                <w:bCs/>
                <w:sz w:val="18"/>
                <w:szCs w:val="18"/>
              </w:rPr>
              <w:br/>
              <w:t>Cost</w:t>
            </w:r>
          </w:p>
        </w:tc>
        <w:tc>
          <w:tcPr>
            <w:tcW w:w="1530" w:type="dxa"/>
            <w:hideMark/>
          </w:tcPr>
          <w:p w:rsidR="0019408C" w:rsidRPr="0019408C" w:rsidRDefault="0019408C" w:rsidP="0019408C">
            <w:pPr>
              <w:tabs>
                <w:tab w:val="left" w:pos="360"/>
              </w:tabs>
              <w:ind w:left="360"/>
              <w:jc w:val="center"/>
              <w:rPr>
                <w:b/>
                <w:bCs/>
                <w:sz w:val="18"/>
                <w:szCs w:val="18"/>
              </w:rPr>
            </w:pPr>
            <w:r w:rsidRPr="0019408C">
              <w:rPr>
                <w:b/>
                <w:bCs/>
                <w:sz w:val="18"/>
                <w:szCs w:val="18"/>
              </w:rPr>
              <w:t xml:space="preserve">Total </w:t>
            </w:r>
            <w:r w:rsidRPr="0019408C">
              <w:rPr>
                <w:b/>
                <w:bCs/>
                <w:sz w:val="18"/>
                <w:szCs w:val="18"/>
              </w:rPr>
              <w:br/>
              <w:t xml:space="preserve">Annual </w:t>
            </w:r>
            <w:r w:rsidRPr="0019408C">
              <w:rPr>
                <w:b/>
                <w:bCs/>
                <w:sz w:val="18"/>
                <w:szCs w:val="18"/>
              </w:rPr>
              <w:br/>
              <w:t>Cost</w:t>
            </w:r>
          </w:p>
        </w:tc>
      </w:tr>
      <w:tr w:rsidR="0019408C" w:rsidRPr="0019408C" w:rsidTr="0019408C">
        <w:trPr>
          <w:trHeight w:val="300"/>
        </w:trPr>
        <w:tc>
          <w:tcPr>
            <w:tcW w:w="1516" w:type="dxa"/>
            <w:hideMark/>
          </w:tcPr>
          <w:p w:rsidR="0019408C" w:rsidRPr="0019408C" w:rsidRDefault="0019408C" w:rsidP="0019408C">
            <w:pPr>
              <w:tabs>
                <w:tab w:val="left" w:pos="360"/>
              </w:tabs>
              <w:ind w:left="360"/>
              <w:jc w:val="center"/>
              <w:rPr>
                <w:sz w:val="18"/>
                <w:szCs w:val="18"/>
              </w:rPr>
            </w:pPr>
            <w:r w:rsidRPr="0019408C">
              <w:rPr>
                <w:sz w:val="18"/>
                <w:szCs w:val="18"/>
              </w:rPr>
              <w:t>HUD-9834</w:t>
            </w:r>
          </w:p>
        </w:tc>
        <w:tc>
          <w:tcPr>
            <w:tcW w:w="1557" w:type="dxa"/>
            <w:noWrap/>
            <w:hideMark/>
          </w:tcPr>
          <w:p w:rsidR="0019408C" w:rsidRPr="0019408C" w:rsidRDefault="0019408C" w:rsidP="0019408C">
            <w:pPr>
              <w:tabs>
                <w:tab w:val="left" w:pos="360"/>
              </w:tabs>
              <w:ind w:left="360"/>
              <w:jc w:val="center"/>
              <w:rPr>
                <w:sz w:val="18"/>
                <w:szCs w:val="18"/>
              </w:rPr>
            </w:pPr>
            <w:r w:rsidRPr="0019408C">
              <w:rPr>
                <w:sz w:val="18"/>
                <w:szCs w:val="18"/>
              </w:rPr>
              <w:t>24,366</w:t>
            </w:r>
          </w:p>
        </w:tc>
        <w:tc>
          <w:tcPr>
            <w:tcW w:w="1396" w:type="dxa"/>
            <w:noWrap/>
            <w:hideMark/>
          </w:tcPr>
          <w:p w:rsidR="0019408C" w:rsidRPr="0019408C" w:rsidRDefault="0019408C" w:rsidP="0019408C">
            <w:pPr>
              <w:tabs>
                <w:tab w:val="left" w:pos="360"/>
              </w:tabs>
              <w:ind w:left="360"/>
              <w:jc w:val="center"/>
              <w:rPr>
                <w:sz w:val="18"/>
                <w:szCs w:val="18"/>
              </w:rPr>
            </w:pPr>
            <w:r w:rsidRPr="0019408C">
              <w:rPr>
                <w:sz w:val="18"/>
                <w:szCs w:val="18"/>
              </w:rPr>
              <w:t>1</w:t>
            </w:r>
          </w:p>
        </w:tc>
        <w:tc>
          <w:tcPr>
            <w:tcW w:w="1367" w:type="dxa"/>
            <w:noWrap/>
            <w:hideMark/>
          </w:tcPr>
          <w:p w:rsidR="0019408C" w:rsidRPr="0019408C" w:rsidRDefault="0019408C" w:rsidP="0019408C">
            <w:pPr>
              <w:tabs>
                <w:tab w:val="left" w:pos="360"/>
              </w:tabs>
              <w:ind w:left="360"/>
              <w:jc w:val="center"/>
              <w:rPr>
                <w:sz w:val="18"/>
                <w:szCs w:val="18"/>
              </w:rPr>
            </w:pPr>
            <w:r w:rsidRPr="0019408C">
              <w:rPr>
                <w:sz w:val="18"/>
                <w:szCs w:val="18"/>
              </w:rPr>
              <w:t>24,366</w:t>
            </w:r>
          </w:p>
        </w:tc>
        <w:tc>
          <w:tcPr>
            <w:tcW w:w="1297" w:type="dxa"/>
            <w:noWrap/>
            <w:hideMark/>
          </w:tcPr>
          <w:p w:rsidR="0019408C" w:rsidRPr="0019408C" w:rsidRDefault="0019408C" w:rsidP="0019408C">
            <w:pPr>
              <w:tabs>
                <w:tab w:val="left" w:pos="360"/>
              </w:tabs>
              <w:ind w:left="360"/>
              <w:jc w:val="center"/>
              <w:rPr>
                <w:sz w:val="18"/>
                <w:szCs w:val="18"/>
              </w:rPr>
            </w:pPr>
            <w:r w:rsidRPr="0019408C">
              <w:rPr>
                <w:sz w:val="18"/>
                <w:szCs w:val="18"/>
              </w:rPr>
              <w:t>0.75</w:t>
            </w:r>
          </w:p>
        </w:tc>
        <w:tc>
          <w:tcPr>
            <w:tcW w:w="1157" w:type="dxa"/>
            <w:noWrap/>
            <w:hideMark/>
          </w:tcPr>
          <w:p w:rsidR="0019408C" w:rsidRPr="0019408C" w:rsidRDefault="0019408C" w:rsidP="0019408C">
            <w:pPr>
              <w:tabs>
                <w:tab w:val="left" w:pos="360"/>
              </w:tabs>
              <w:ind w:left="360"/>
              <w:jc w:val="center"/>
              <w:rPr>
                <w:sz w:val="18"/>
                <w:szCs w:val="18"/>
              </w:rPr>
            </w:pPr>
            <w:r w:rsidRPr="0019408C">
              <w:rPr>
                <w:sz w:val="18"/>
                <w:szCs w:val="18"/>
              </w:rPr>
              <w:t>18,275</w:t>
            </w:r>
          </w:p>
        </w:tc>
        <w:tc>
          <w:tcPr>
            <w:tcW w:w="1268" w:type="dxa"/>
            <w:noWrap/>
            <w:hideMark/>
          </w:tcPr>
          <w:p w:rsidR="0019408C" w:rsidRPr="0019408C" w:rsidRDefault="0019408C" w:rsidP="0019408C">
            <w:pPr>
              <w:tabs>
                <w:tab w:val="left" w:pos="360"/>
              </w:tabs>
              <w:ind w:left="360"/>
              <w:jc w:val="center"/>
              <w:rPr>
                <w:sz w:val="18"/>
                <w:szCs w:val="18"/>
              </w:rPr>
            </w:pPr>
            <w:r w:rsidRPr="0019408C">
              <w:rPr>
                <w:sz w:val="18"/>
                <w:szCs w:val="18"/>
              </w:rPr>
              <w:t>$  28.88</w:t>
            </w:r>
          </w:p>
        </w:tc>
        <w:tc>
          <w:tcPr>
            <w:tcW w:w="1530" w:type="dxa"/>
            <w:noWrap/>
            <w:hideMark/>
          </w:tcPr>
          <w:p w:rsidR="0019408C" w:rsidRPr="0019408C" w:rsidRDefault="0019408C" w:rsidP="0019408C">
            <w:pPr>
              <w:tabs>
                <w:tab w:val="left" w:pos="360"/>
              </w:tabs>
              <w:ind w:left="360"/>
              <w:jc w:val="center"/>
              <w:rPr>
                <w:sz w:val="18"/>
                <w:szCs w:val="18"/>
              </w:rPr>
            </w:pPr>
            <w:r w:rsidRPr="0019408C">
              <w:rPr>
                <w:sz w:val="18"/>
                <w:szCs w:val="18"/>
              </w:rPr>
              <w:t>$     527,768</w:t>
            </w:r>
          </w:p>
        </w:tc>
      </w:tr>
      <w:tr w:rsidR="0019408C" w:rsidRPr="0019408C" w:rsidTr="0019408C">
        <w:trPr>
          <w:trHeight w:val="300"/>
        </w:trPr>
        <w:tc>
          <w:tcPr>
            <w:tcW w:w="1516" w:type="dxa"/>
            <w:noWrap/>
            <w:hideMark/>
          </w:tcPr>
          <w:p w:rsidR="0019408C" w:rsidRPr="0019408C" w:rsidRDefault="0019408C" w:rsidP="0019408C">
            <w:pPr>
              <w:tabs>
                <w:tab w:val="left" w:pos="360"/>
              </w:tabs>
              <w:ind w:left="360"/>
              <w:jc w:val="center"/>
              <w:rPr>
                <w:sz w:val="18"/>
                <w:szCs w:val="18"/>
              </w:rPr>
            </w:pPr>
            <w:r w:rsidRPr="0019408C">
              <w:rPr>
                <w:sz w:val="18"/>
                <w:szCs w:val="18"/>
              </w:rPr>
              <w:t>Total</w:t>
            </w:r>
          </w:p>
        </w:tc>
        <w:tc>
          <w:tcPr>
            <w:tcW w:w="1557" w:type="dxa"/>
            <w:noWrap/>
            <w:hideMark/>
          </w:tcPr>
          <w:p w:rsidR="0019408C" w:rsidRPr="0019408C" w:rsidRDefault="0019408C" w:rsidP="0019408C">
            <w:pPr>
              <w:tabs>
                <w:tab w:val="left" w:pos="360"/>
              </w:tabs>
              <w:ind w:left="360"/>
              <w:jc w:val="center"/>
              <w:rPr>
                <w:sz w:val="18"/>
                <w:szCs w:val="18"/>
              </w:rPr>
            </w:pPr>
            <w:r w:rsidRPr="0019408C">
              <w:rPr>
                <w:sz w:val="18"/>
                <w:szCs w:val="18"/>
              </w:rPr>
              <w:t>24,366</w:t>
            </w:r>
          </w:p>
        </w:tc>
        <w:tc>
          <w:tcPr>
            <w:tcW w:w="1396" w:type="dxa"/>
            <w:noWrap/>
            <w:hideMark/>
          </w:tcPr>
          <w:p w:rsidR="0019408C" w:rsidRPr="0019408C" w:rsidRDefault="0019408C" w:rsidP="0019408C">
            <w:pPr>
              <w:tabs>
                <w:tab w:val="left" w:pos="360"/>
              </w:tabs>
              <w:ind w:left="360"/>
              <w:jc w:val="center"/>
              <w:rPr>
                <w:sz w:val="18"/>
                <w:szCs w:val="18"/>
              </w:rPr>
            </w:pPr>
          </w:p>
        </w:tc>
        <w:tc>
          <w:tcPr>
            <w:tcW w:w="1367" w:type="dxa"/>
            <w:noWrap/>
            <w:hideMark/>
          </w:tcPr>
          <w:p w:rsidR="0019408C" w:rsidRPr="0019408C" w:rsidRDefault="0019408C" w:rsidP="0019408C">
            <w:pPr>
              <w:tabs>
                <w:tab w:val="left" w:pos="360"/>
              </w:tabs>
              <w:ind w:left="360"/>
              <w:jc w:val="center"/>
              <w:rPr>
                <w:sz w:val="18"/>
                <w:szCs w:val="18"/>
              </w:rPr>
            </w:pPr>
            <w:r w:rsidRPr="0019408C">
              <w:rPr>
                <w:sz w:val="18"/>
                <w:szCs w:val="18"/>
              </w:rPr>
              <w:t>24,366</w:t>
            </w:r>
          </w:p>
        </w:tc>
        <w:tc>
          <w:tcPr>
            <w:tcW w:w="1297" w:type="dxa"/>
            <w:noWrap/>
            <w:hideMark/>
          </w:tcPr>
          <w:p w:rsidR="0019408C" w:rsidRPr="0019408C" w:rsidRDefault="0019408C" w:rsidP="0019408C">
            <w:pPr>
              <w:tabs>
                <w:tab w:val="left" w:pos="360"/>
              </w:tabs>
              <w:ind w:left="360"/>
              <w:jc w:val="center"/>
              <w:rPr>
                <w:sz w:val="18"/>
                <w:szCs w:val="18"/>
              </w:rPr>
            </w:pPr>
            <w:r w:rsidRPr="0019408C">
              <w:rPr>
                <w:sz w:val="18"/>
                <w:szCs w:val="18"/>
              </w:rPr>
              <w:t>0.75</w:t>
            </w:r>
          </w:p>
        </w:tc>
        <w:tc>
          <w:tcPr>
            <w:tcW w:w="1157" w:type="dxa"/>
            <w:noWrap/>
            <w:hideMark/>
          </w:tcPr>
          <w:p w:rsidR="0019408C" w:rsidRPr="0019408C" w:rsidRDefault="0019408C" w:rsidP="0019408C">
            <w:pPr>
              <w:tabs>
                <w:tab w:val="left" w:pos="360"/>
              </w:tabs>
              <w:ind w:left="360"/>
              <w:jc w:val="center"/>
              <w:rPr>
                <w:sz w:val="18"/>
                <w:szCs w:val="18"/>
              </w:rPr>
            </w:pPr>
            <w:r w:rsidRPr="0019408C">
              <w:rPr>
                <w:sz w:val="18"/>
                <w:szCs w:val="18"/>
              </w:rPr>
              <w:t>18,275</w:t>
            </w:r>
          </w:p>
        </w:tc>
        <w:tc>
          <w:tcPr>
            <w:tcW w:w="1268" w:type="dxa"/>
            <w:noWrap/>
            <w:hideMark/>
          </w:tcPr>
          <w:p w:rsidR="0019408C" w:rsidRPr="0019408C" w:rsidRDefault="0019408C" w:rsidP="0019408C">
            <w:pPr>
              <w:tabs>
                <w:tab w:val="left" w:pos="360"/>
              </w:tabs>
              <w:ind w:left="360"/>
              <w:jc w:val="center"/>
              <w:rPr>
                <w:sz w:val="18"/>
                <w:szCs w:val="18"/>
              </w:rPr>
            </w:pPr>
          </w:p>
        </w:tc>
        <w:tc>
          <w:tcPr>
            <w:tcW w:w="1530" w:type="dxa"/>
            <w:noWrap/>
            <w:hideMark/>
          </w:tcPr>
          <w:p w:rsidR="0019408C" w:rsidRPr="0019408C" w:rsidRDefault="0019408C" w:rsidP="0019408C">
            <w:pPr>
              <w:tabs>
                <w:tab w:val="left" w:pos="360"/>
              </w:tabs>
              <w:ind w:left="360"/>
              <w:jc w:val="center"/>
              <w:rPr>
                <w:sz w:val="18"/>
                <w:szCs w:val="18"/>
              </w:rPr>
            </w:pPr>
            <w:r w:rsidRPr="0019408C">
              <w:rPr>
                <w:sz w:val="18"/>
                <w:szCs w:val="18"/>
              </w:rPr>
              <w:t>$     527,768</w:t>
            </w:r>
          </w:p>
        </w:tc>
      </w:tr>
    </w:tbl>
    <w:p w:rsidR="00E72253" w:rsidRPr="00673C5B" w:rsidRDefault="004044AA">
      <w:pPr>
        <w:tabs>
          <w:tab w:val="left" w:pos="360"/>
        </w:tabs>
        <w:ind w:left="360"/>
        <w:rPr>
          <w:color w:val="800000"/>
        </w:rPr>
      </w:pPr>
      <w:r w:rsidRPr="00673C5B">
        <w:rPr>
          <w:color w:val="800000"/>
        </w:rPr>
        <w:t xml:space="preserve">*The estimated number of respondents is based on the number of insured projects in HUD systems that are reviewed by HUD staff and must comply with the on-site management review requirements.  </w:t>
      </w:r>
    </w:p>
    <w:p w:rsidR="00AD59F1" w:rsidRPr="00E72253" w:rsidRDefault="004044AA">
      <w:pPr>
        <w:tabs>
          <w:tab w:val="left" w:pos="360"/>
        </w:tabs>
        <w:ind w:left="360"/>
        <w:rPr>
          <w:color w:val="800000"/>
        </w:rPr>
      </w:pPr>
      <w:r w:rsidRPr="00673C5B">
        <w:rPr>
          <w:color w:val="800000"/>
        </w:rPr>
        <w:t xml:space="preserve">**The hourly cost for HUD staff is based on the hourly pay </w:t>
      </w:r>
      <w:r w:rsidR="00036908" w:rsidRPr="00673C5B">
        <w:rPr>
          <w:color w:val="800000"/>
        </w:rPr>
        <w:t xml:space="preserve">from </w:t>
      </w:r>
      <w:hyperlink r:id="rId8" w:history="1">
        <w:r w:rsidR="00036908" w:rsidRPr="00673C5B">
          <w:rPr>
            <w:rStyle w:val="Hyperlink"/>
            <w:color w:val="800000"/>
          </w:rPr>
          <w:t>www.opm.gov</w:t>
        </w:r>
      </w:hyperlink>
      <w:r w:rsidR="00036908" w:rsidRPr="00673C5B">
        <w:rPr>
          <w:color w:val="800000"/>
        </w:rPr>
        <w:t xml:space="preserve"> </w:t>
      </w:r>
      <w:r w:rsidRPr="00673C5B">
        <w:rPr>
          <w:color w:val="800000"/>
        </w:rPr>
        <w:t>for a GS-12 to conduct the on-site review.</w:t>
      </w:r>
      <w:r w:rsidRPr="00E72253">
        <w:rPr>
          <w:color w:val="800000"/>
        </w:rPr>
        <w:t xml:space="preserve">  </w:t>
      </w:r>
    </w:p>
    <w:p w:rsidR="00AD59F1" w:rsidRPr="00E72253" w:rsidRDefault="00AD59F1">
      <w:pPr>
        <w:tabs>
          <w:tab w:val="left" w:pos="360"/>
        </w:tabs>
        <w:rPr>
          <w:color w:val="800000"/>
        </w:rPr>
      </w:pPr>
    </w:p>
    <w:p w:rsidR="003C4449" w:rsidRPr="003C4449" w:rsidRDefault="003C4449" w:rsidP="003C4449">
      <w:pPr>
        <w:keepLines/>
        <w:spacing w:after="80"/>
        <w:ind w:left="360"/>
      </w:pPr>
      <w:r w:rsidRPr="003C4449">
        <w:t xml:space="preserve">  </w:t>
      </w:r>
    </w:p>
    <w:p w:rsidR="003C4449" w:rsidRDefault="003C4449" w:rsidP="003C4449">
      <w:pPr>
        <w:pStyle w:val="ListParagraph"/>
        <w:keepLines/>
        <w:numPr>
          <w:ilvl w:val="0"/>
          <w:numId w:val="19"/>
        </w:numPr>
        <w:spacing w:after="80"/>
      </w:pPr>
      <w:r w:rsidRPr="003C4449">
        <w:t>This is a revision of a currently approved collection.</w:t>
      </w:r>
      <w:r>
        <w:t xml:space="preserve"> </w:t>
      </w:r>
      <w:r w:rsidRPr="003C4449">
        <w:t>Adjustments were made based on the current estimated number of projects in HUD systems required to respond to on-site management reviews.</w:t>
      </w:r>
      <w:r>
        <w:t xml:space="preserve">  Review </w:t>
      </w:r>
      <w:r w:rsidRPr="003C4449">
        <w:t xml:space="preserve">of new </w:t>
      </w:r>
      <w:r w:rsidR="001463D7">
        <w:t xml:space="preserve">program requirements </w:t>
      </w:r>
      <w:r w:rsidRPr="003C4449">
        <w:t>are i</w:t>
      </w:r>
      <w:r w:rsidR="002D78E1">
        <w:t xml:space="preserve">ncluded in this form, which accounts for the </w:t>
      </w:r>
      <w:r w:rsidRPr="003C4449">
        <w:t>additional time burden is anticipated.</w:t>
      </w:r>
    </w:p>
    <w:p w:rsidR="002D78E1" w:rsidRPr="003C4449" w:rsidRDefault="002D78E1" w:rsidP="002D78E1">
      <w:pPr>
        <w:pStyle w:val="ListParagraph"/>
        <w:keepLines/>
        <w:spacing w:after="80"/>
        <w:ind w:left="360"/>
      </w:pPr>
    </w:p>
    <w:p w:rsidR="004D4708" w:rsidRPr="004D4708" w:rsidRDefault="004D4708" w:rsidP="004D4708">
      <w:pPr>
        <w:pStyle w:val="ListParagraph"/>
        <w:numPr>
          <w:ilvl w:val="0"/>
          <w:numId w:val="19"/>
        </w:numPr>
        <w:rPr>
          <w:b/>
        </w:rPr>
      </w:pPr>
      <w:r w:rsidRPr="004D4708">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63D7" w:rsidRPr="001463D7" w:rsidRDefault="001463D7" w:rsidP="001463D7">
      <w:pPr>
        <w:pStyle w:val="ListParagraph"/>
        <w:tabs>
          <w:tab w:val="left" w:pos="720"/>
        </w:tabs>
        <w:ind w:left="360" w:right="720"/>
      </w:pPr>
    </w:p>
    <w:p w:rsidR="004D4708" w:rsidRPr="001463D7" w:rsidRDefault="001463D7" w:rsidP="001463D7">
      <w:pPr>
        <w:pStyle w:val="ListParagraph"/>
        <w:numPr>
          <w:ilvl w:val="0"/>
          <w:numId w:val="19"/>
        </w:numPr>
        <w:tabs>
          <w:tab w:val="left" w:pos="720"/>
        </w:tabs>
        <w:ind w:right="720"/>
      </w:pPr>
      <w:r w:rsidRPr="001463D7">
        <w:t>The results of this reporting will not be published.</w:t>
      </w:r>
    </w:p>
    <w:p w:rsidR="003C4449" w:rsidRPr="003C4449" w:rsidRDefault="003C4449" w:rsidP="003C4449">
      <w:pPr>
        <w:pStyle w:val="ListParagraph"/>
        <w:keepLines/>
        <w:spacing w:after="80"/>
        <w:ind w:left="360"/>
      </w:pPr>
    </w:p>
    <w:p w:rsidR="004D4708" w:rsidRDefault="004D4708" w:rsidP="004D4708">
      <w:pPr>
        <w:pStyle w:val="ListParagraph"/>
        <w:numPr>
          <w:ilvl w:val="0"/>
          <w:numId w:val="19"/>
        </w:numPr>
        <w:rPr>
          <w:b/>
        </w:rPr>
      </w:pPr>
      <w:r w:rsidRPr="004D4708">
        <w:rPr>
          <w:b/>
        </w:rPr>
        <w:t>If seeking approval to not display the expiration date for OMB approval of the information collection, explain the reasons that display would be inappropriate.</w:t>
      </w:r>
    </w:p>
    <w:p w:rsidR="001463D7" w:rsidRPr="001463D7" w:rsidRDefault="001463D7" w:rsidP="001463D7">
      <w:pPr>
        <w:pStyle w:val="ListParagraph"/>
        <w:rPr>
          <w:b/>
        </w:rPr>
      </w:pPr>
    </w:p>
    <w:p w:rsidR="001463D7" w:rsidRPr="001463D7" w:rsidRDefault="001463D7" w:rsidP="001463D7">
      <w:pPr>
        <w:pStyle w:val="ListParagraph"/>
        <w:ind w:left="360"/>
      </w:pPr>
      <w:r w:rsidRPr="001463D7">
        <w:t>Not seeking approval to not display the expiration date.</w:t>
      </w:r>
    </w:p>
    <w:p w:rsidR="00AD59F1" w:rsidRDefault="00AD59F1">
      <w:pPr>
        <w:tabs>
          <w:tab w:val="left" w:pos="360"/>
          <w:tab w:val="left" w:pos="720"/>
        </w:tabs>
        <w:ind w:right="720"/>
        <w:rPr>
          <w:sz w:val="24"/>
        </w:rPr>
      </w:pPr>
    </w:p>
    <w:p w:rsidR="004D4708" w:rsidRPr="004D4708" w:rsidRDefault="004D4708" w:rsidP="004D4708">
      <w:pPr>
        <w:pStyle w:val="ListParagraph"/>
        <w:numPr>
          <w:ilvl w:val="0"/>
          <w:numId w:val="19"/>
        </w:numPr>
        <w:rPr>
          <w:b/>
        </w:rPr>
      </w:pPr>
      <w:r w:rsidRPr="004D4708">
        <w:rPr>
          <w:b/>
        </w:rPr>
        <w:t>Explain each exception to the certification statement identified in item 19</w:t>
      </w:r>
      <w:r w:rsidR="00A01BB5">
        <w:rPr>
          <w:b/>
        </w:rPr>
        <w:t>of the OMB 83-I</w:t>
      </w:r>
      <w:r w:rsidRPr="004D4708">
        <w:rPr>
          <w:b/>
        </w:rPr>
        <w:t>.</w:t>
      </w:r>
    </w:p>
    <w:p w:rsidR="004D4708" w:rsidRDefault="004D4708" w:rsidP="004D4708">
      <w:pPr>
        <w:tabs>
          <w:tab w:val="left" w:pos="720"/>
        </w:tabs>
        <w:ind w:left="360" w:right="720"/>
        <w:rPr>
          <w:sz w:val="24"/>
        </w:rPr>
      </w:pPr>
    </w:p>
    <w:p w:rsidR="00AD59F1" w:rsidRDefault="00AD59F1" w:rsidP="00B35A5D">
      <w:pPr>
        <w:keepLines/>
        <w:spacing w:after="80"/>
        <w:ind w:left="360"/>
        <w:rPr>
          <w:sz w:val="24"/>
        </w:rPr>
      </w:pPr>
      <w:r>
        <w:rPr>
          <w:sz w:val="24"/>
        </w:rPr>
        <w:t>There are no exceptions to the certification statement identified in item 19.</w:t>
      </w:r>
    </w:p>
    <w:p w:rsidR="00AD59F1" w:rsidRDefault="00AD59F1">
      <w:pPr>
        <w:tabs>
          <w:tab w:val="left" w:pos="360"/>
          <w:tab w:val="left" w:pos="720"/>
        </w:tabs>
        <w:rPr>
          <w:sz w:val="24"/>
        </w:rPr>
      </w:pPr>
    </w:p>
    <w:p w:rsidR="00AD59F1" w:rsidRDefault="00AD59F1">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B. </w:t>
      </w:r>
      <w:r>
        <w:rPr>
          <w:b/>
          <w:sz w:val="24"/>
        </w:rPr>
        <w:tab/>
        <w:t>Collections of Information Employing Statistical Methods</w:t>
      </w:r>
    </w:p>
    <w:p w:rsidR="00AD59F1" w:rsidRDefault="00AD59F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AD59F1" w:rsidRDefault="00AD59F1">
      <w:pPr>
        <w:tabs>
          <w:tab w:val="left" w:pos="360"/>
          <w:tab w:val="left" w:pos="720"/>
        </w:tabs>
        <w:ind w:left="720" w:right="720"/>
        <w:rPr>
          <w:sz w:val="24"/>
        </w:rPr>
      </w:pPr>
      <w:r>
        <w:rPr>
          <w:sz w:val="24"/>
        </w:rPr>
        <w:t>There are no statistical methods used in this collection.</w:t>
      </w:r>
    </w:p>
    <w:p w:rsidR="00AD59F1" w:rsidRDefault="00AD59F1">
      <w:pPr>
        <w:pStyle w:val="Header"/>
        <w:tabs>
          <w:tab w:val="clear" w:pos="4320"/>
          <w:tab w:val="clear" w:pos="8640"/>
          <w:tab w:val="left" w:pos="4395"/>
        </w:tabs>
        <w:rPr>
          <w:sz w:val="24"/>
        </w:rPr>
      </w:pPr>
    </w:p>
    <w:sectPr w:rsidR="00AD59F1" w:rsidSect="005D3658">
      <w:footerReference w:type="first" r:id="rId9"/>
      <w:pgSz w:w="12240" w:h="15840"/>
      <w:pgMar w:top="475" w:right="576" w:bottom="475" w:left="605" w:header="475" w:footer="475" w:gutter="0"/>
      <w:pgNumType w:start="1"/>
      <w:cols w:space="480" w:equalWidth="0">
        <w:col w:w="10944"/>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BB" w:rsidRDefault="005F3DBB">
      <w:r>
        <w:separator/>
      </w:r>
    </w:p>
  </w:endnote>
  <w:endnote w:type="continuationSeparator" w:id="0">
    <w:p w:rsidR="005F3DBB" w:rsidRDefault="005F3D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BB" w:rsidRDefault="005F3DB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p w:rsidR="005F3DBB" w:rsidRDefault="00846967">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sidR="005F3DBB">
      <w:rPr>
        <w:rStyle w:val="PageNumber"/>
      </w:rPr>
      <w:instrText xml:space="preserve"> PAGE </w:instrText>
    </w:r>
    <w:r>
      <w:rPr>
        <w:rStyle w:val="PageNumber"/>
      </w:rPr>
      <w:fldChar w:fldCharType="separate"/>
    </w:r>
    <w:r w:rsidR="002D78E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BB" w:rsidRDefault="005F3DBB">
      <w:r>
        <w:separator/>
      </w:r>
    </w:p>
  </w:footnote>
  <w:footnote w:type="continuationSeparator" w:id="0">
    <w:p w:rsidR="005F3DBB" w:rsidRDefault="005F3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9C90DF6"/>
    <w:multiLevelType w:val="hybridMultilevel"/>
    <w:tmpl w:val="37343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64B87"/>
    <w:multiLevelType w:val="hybridMultilevel"/>
    <w:tmpl w:val="FCA4DAB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D33BD5"/>
    <w:multiLevelType w:val="hybridMultilevel"/>
    <w:tmpl w:val="03AE8A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95E6AA4"/>
    <w:multiLevelType w:val="hybridMultilevel"/>
    <w:tmpl w:val="CBF04BDC"/>
    <w:lvl w:ilvl="0" w:tplc="8FFEB0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BD14B3"/>
    <w:multiLevelType w:val="hybridMultilevel"/>
    <w:tmpl w:val="7DAE21F2"/>
    <w:lvl w:ilvl="0" w:tplc="D8082EAE">
      <w:start w:val="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700726"/>
    <w:multiLevelType w:val="hybridMultilevel"/>
    <w:tmpl w:val="C87CB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223362"/>
    <w:multiLevelType w:val="hybridMultilevel"/>
    <w:tmpl w:val="C930C81A"/>
    <w:lvl w:ilvl="0" w:tplc="D8082EAE">
      <w:start w:val="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DE2CEC"/>
    <w:multiLevelType w:val="hybridMultilevel"/>
    <w:tmpl w:val="CEE00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94161C"/>
    <w:multiLevelType w:val="hybridMultilevel"/>
    <w:tmpl w:val="CA56B8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DE2E2D"/>
    <w:multiLevelType w:val="hybridMultilevel"/>
    <w:tmpl w:val="7BF8781E"/>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1A0962"/>
    <w:multiLevelType w:val="singleLevel"/>
    <w:tmpl w:val="2CCACD46"/>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7">
    <w:nsid w:val="47C2153C"/>
    <w:multiLevelType w:val="hybridMultilevel"/>
    <w:tmpl w:val="C55AC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D13F72"/>
    <w:multiLevelType w:val="hybridMultilevel"/>
    <w:tmpl w:val="6A8AC47C"/>
    <w:lvl w:ilvl="0" w:tplc="D8082EAE">
      <w:start w:val="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9EC2BF8"/>
    <w:multiLevelType w:val="singleLevel"/>
    <w:tmpl w:val="01AEC908"/>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7E6F2F40"/>
    <w:multiLevelType w:val="hybridMultilevel"/>
    <w:tmpl w:val="3B6045F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3"/>
  </w:num>
  <w:num w:numId="4">
    <w:abstractNumId w:val="22"/>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9"/>
  </w:num>
  <w:num w:numId="10">
    <w:abstractNumId w:val="23"/>
  </w:num>
  <w:num w:numId="11">
    <w:abstractNumId w:val="23"/>
    <w:lvlOverride w:ilvl="0">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lvlOverride>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16"/>
  </w:num>
  <w:num w:numId="14">
    <w:abstractNumId w:val="25"/>
  </w:num>
  <w:num w:numId="15">
    <w:abstractNumId w:val="5"/>
  </w:num>
  <w:num w:numId="16">
    <w:abstractNumId w:val="8"/>
  </w:num>
  <w:num w:numId="17">
    <w:abstractNumId w:val="6"/>
  </w:num>
  <w:num w:numId="18">
    <w:abstractNumId w:val="14"/>
  </w:num>
  <w:num w:numId="19">
    <w:abstractNumId w:val="2"/>
  </w:num>
  <w:num w:numId="20">
    <w:abstractNumId w:val="9"/>
  </w:num>
  <w:num w:numId="21">
    <w:abstractNumId w:val="20"/>
  </w:num>
  <w:num w:numId="22">
    <w:abstractNumId w:val="11"/>
  </w:num>
  <w:num w:numId="23">
    <w:abstractNumId w:val="17"/>
  </w:num>
  <w:num w:numId="24">
    <w:abstractNumId w:val="13"/>
  </w:num>
  <w:num w:numId="25">
    <w:abstractNumId w:val="1"/>
  </w:num>
  <w:num w:numId="26">
    <w:abstractNumId w:val="4"/>
  </w:num>
  <w:num w:numId="27">
    <w:abstractNumId w:val="12"/>
  </w:num>
  <w:num w:numId="28">
    <w:abstractNumId w:val="10"/>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
  <w:rsids>
    <w:rsidRoot w:val="00ED34A3"/>
    <w:rsid w:val="0000621C"/>
    <w:rsid w:val="000079C7"/>
    <w:rsid w:val="000105B2"/>
    <w:rsid w:val="000106CF"/>
    <w:rsid w:val="00036908"/>
    <w:rsid w:val="0005768A"/>
    <w:rsid w:val="00080968"/>
    <w:rsid w:val="000B09F2"/>
    <w:rsid w:val="000E4CF6"/>
    <w:rsid w:val="000F5A23"/>
    <w:rsid w:val="0010091A"/>
    <w:rsid w:val="00100F52"/>
    <w:rsid w:val="001463D7"/>
    <w:rsid w:val="00156689"/>
    <w:rsid w:val="00161759"/>
    <w:rsid w:val="001727FF"/>
    <w:rsid w:val="0018629E"/>
    <w:rsid w:val="0019408C"/>
    <w:rsid w:val="001E1749"/>
    <w:rsid w:val="001E70DB"/>
    <w:rsid w:val="00215F0A"/>
    <w:rsid w:val="00225CDD"/>
    <w:rsid w:val="002464DC"/>
    <w:rsid w:val="0025127B"/>
    <w:rsid w:val="00291068"/>
    <w:rsid w:val="002D78E1"/>
    <w:rsid w:val="002E6CB4"/>
    <w:rsid w:val="00305B3F"/>
    <w:rsid w:val="00334400"/>
    <w:rsid w:val="0034207C"/>
    <w:rsid w:val="00363DC3"/>
    <w:rsid w:val="00372832"/>
    <w:rsid w:val="003A7D47"/>
    <w:rsid w:val="003B57F7"/>
    <w:rsid w:val="003B5C45"/>
    <w:rsid w:val="003C3C6B"/>
    <w:rsid w:val="003C4449"/>
    <w:rsid w:val="004044AA"/>
    <w:rsid w:val="00412341"/>
    <w:rsid w:val="00425D2F"/>
    <w:rsid w:val="00450A41"/>
    <w:rsid w:val="00453C31"/>
    <w:rsid w:val="00467CBF"/>
    <w:rsid w:val="00474E50"/>
    <w:rsid w:val="00477B2C"/>
    <w:rsid w:val="00490CFF"/>
    <w:rsid w:val="004C1DC4"/>
    <w:rsid w:val="004D098A"/>
    <w:rsid w:val="004D4708"/>
    <w:rsid w:val="004D7D8A"/>
    <w:rsid w:val="005110D0"/>
    <w:rsid w:val="005219C7"/>
    <w:rsid w:val="00544E7D"/>
    <w:rsid w:val="00557593"/>
    <w:rsid w:val="00561A63"/>
    <w:rsid w:val="00584DD8"/>
    <w:rsid w:val="00586610"/>
    <w:rsid w:val="005D1162"/>
    <w:rsid w:val="005D3658"/>
    <w:rsid w:val="005E464C"/>
    <w:rsid w:val="005F3794"/>
    <w:rsid w:val="005F3DBB"/>
    <w:rsid w:val="006044E4"/>
    <w:rsid w:val="00622F26"/>
    <w:rsid w:val="00630239"/>
    <w:rsid w:val="006331A0"/>
    <w:rsid w:val="00642622"/>
    <w:rsid w:val="00662590"/>
    <w:rsid w:val="00673C5B"/>
    <w:rsid w:val="0069653B"/>
    <w:rsid w:val="006A57D2"/>
    <w:rsid w:val="006C3B60"/>
    <w:rsid w:val="006D54EE"/>
    <w:rsid w:val="006E2935"/>
    <w:rsid w:val="006F14C3"/>
    <w:rsid w:val="006F4C62"/>
    <w:rsid w:val="00715209"/>
    <w:rsid w:val="00761F07"/>
    <w:rsid w:val="00772B44"/>
    <w:rsid w:val="007918EF"/>
    <w:rsid w:val="00793FC5"/>
    <w:rsid w:val="007B0697"/>
    <w:rsid w:val="007B4142"/>
    <w:rsid w:val="007C1DB4"/>
    <w:rsid w:val="007C6494"/>
    <w:rsid w:val="007D42A8"/>
    <w:rsid w:val="007E0262"/>
    <w:rsid w:val="00826086"/>
    <w:rsid w:val="00827EF4"/>
    <w:rsid w:val="00846967"/>
    <w:rsid w:val="00866ABB"/>
    <w:rsid w:val="00880045"/>
    <w:rsid w:val="00880E63"/>
    <w:rsid w:val="008B3E6C"/>
    <w:rsid w:val="008E64F5"/>
    <w:rsid w:val="008F5B83"/>
    <w:rsid w:val="00903816"/>
    <w:rsid w:val="00905F91"/>
    <w:rsid w:val="00932A98"/>
    <w:rsid w:val="009453A8"/>
    <w:rsid w:val="00951045"/>
    <w:rsid w:val="00971DD8"/>
    <w:rsid w:val="00976AA8"/>
    <w:rsid w:val="009C3175"/>
    <w:rsid w:val="009D3417"/>
    <w:rsid w:val="009E4E5F"/>
    <w:rsid w:val="00A01BB5"/>
    <w:rsid w:val="00A53252"/>
    <w:rsid w:val="00A73F7E"/>
    <w:rsid w:val="00AD4DCC"/>
    <w:rsid w:val="00AD59F1"/>
    <w:rsid w:val="00AF3D8D"/>
    <w:rsid w:val="00AF41D6"/>
    <w:rsid w:val="00B21444"/>
    <w:rsid w:val="00B35A5D"/>
    <w:rsid w:val="00B35D82"/>
    <w:rsid w:val="00B360A7"/>
    <w:rsid w:val="00B3652C"/>
    <w:rsid w:val="00B93A99"/>
    <w:rsid w:val="00BA212B"/>
    <w:rsid w:val="00BC3D75"/>
    <w:rsid w:val="00BD250B"/>
    <w:rsid w:val="00BD5B23"/>
    <w:rsid w:val="00BE081D"/>
    <w:rsid w:val="00BF1D0B"/>
    <w:rsid w:val="00C2723B"/>
    <w:rsid w:val="00C454F0"/>
    <w:rsid w:val="00C867CD"/>
    <w:rsid w:val="00C949C0"/>
    <w:rsid w:val="00CC097A"/>
    <w:rsid w:val="00CE792D"/>
    <w:rsid w:val="00D21F6B"/>
    <w:rsid w:val="00D30277"/>
    <w:rsid w:val="00D40C9F"/>
    <w:rsid w:val="00D52BFF"/>
    <w:rsid w:val="00D65979"/>
    <w:rsid w:val="00E36AB4"/>
    <w:rsid w:val="00E60C63"/>
    <w:rsid w:val="00E72253"/>
    <w:rsid w:val="00E87412"/>
    <w:rsid w:val="00E97464"/>
    <w:rsid w:val="00ED34A3"/>
    <w:rsid w:val="00ED60A0"/>
    <w:rsid w:val="00F21FD1"/>
    <w:rsid w:val="00F2219B"/>
    <w:rsid w:val="00F468EF"/>
    <w:rsid w:val="00F81A64"/>
    <w:rsid w:val="00F82278"/>
    <w:rsid w:val="00FD2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658"/>
    <w:pPr>
      <w:overflowPunct w:val="0"/>
      <w:autoSpaceDE w:val="0"/>
      <w:autoSpaceDN w:val="0"/>
      <w:adjustRightInd w:val="0"/>
      <w:textAlignment w:val="baseline"/>
    </w:pPr>
  </w:style>
  <w:style w:type="paragraph" w:styleId="Heading1">
    <w:name w:val="heading 1"/>
    <w:basedOn w:val="Normal"/>
    <w:next w:val="Normal"/>
    <w:qFormat/>
    <w:rsid w:val="005D3658"/>
    <w:pPr>
      <w:keepNext/>
      <w:tabs>
        <w:tab w:val="left" w:pos="360"/>
      </w:tabs>
      <w:ind w:left="720"/>
      <w:outlineLvl w:val="0"/>
    </w:pPr>
    <w:rPr>
      <w:rFonts w:ascii="Arial" w:hAnsi="Arial" w:cs="Arial"/>
      <w:b/>
      <w:bCs/>
      <w:sz w:val="22"/>
      <w:u w:val="single"/>
    </w:rPr>
  </w:style>
  <w:style w:type="paragraph" w:styleId="Heading2">
    <w:name w:val="heading 2"/>
    <w:basedOn w:val="Normal"/>
    <w:next w:val="Normal"/>
    <w:qFormat/>
    <w:rsid w:val="005D3658"/>
    <w:pPr>
      <w:keepNext/>
      <w:overflowPunct/>
      <w:autoSpaceDE/>
      <w:autoSpaceDN/>
      <w:adjustRightInd/>
      <w:jc w:val="center"/>
      <w:textAlignment w:val="auto"/>
      <w:outlineLvl w:val="1"/>
    </w:pPr>
    <w:rPr>
      <w:rFonts w:ascii="Arial" w:hAnsi="Arial"/>
      <w:b/>
      <w:bCs/>
      <w:sz w:val="24"/>
    </w:rPr>
  </w:style>
  <w:style w:type="paragraph" w:styleId="Heading3">
    <w:name w:val="heading 3"/>
    <w:basedOn w:val="Normal"/>
    <w:next w:val="Normal"/>
    <w:qFormat/>
    <w:rsid w:val="005D3658"/>
    <w:pPr>
      <w:keepNext/>
      <w:outlineLvl w:val="2"/>
    </w:pPr>
    <w:rPr>
      <w:rFonts w:ascii="Arial" w:hAnsi="Arial"/>
      <w:b/>
    </w:rPr>
  </w:style>
  <w:style w:type="paragraph" w:styleId="Heading4">
    <w:name w:val="heading 4"/>
    <w:basedOn w:val="Normal"/>
    <w:next w:val="Normal"/>
    <w:qFormat/>
    <w:rsid w:val="005D3658"/>
    <w:pPr>
      <w:keepNext/>
      <w:ind w:left="360" w:firstLine="7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658"/>
    <w:pPr>
      <w:tabs>
        <w:tab w:val="center" w:pos="4320"/>
        <w:tab w:val="right" w:pos="8640"/>
      </w:tabs>
    </w:pPr>
  </w:style>
  <w:style w:type="paragraph" w:styleId="Footer">
    <w:name w:val="footer"/>
    <w:basedOn w:val="Normal"/>
    <w:rsid w:val="005D3658"/>
    <w:pPr>
      <w:tabs>
        <w:tab w:val="center" w:pos="4320"/>
        <w:tab w:val="right" w:pos="8640"/>
      </w:tabs>
    </w:pPr>
  </w:style>
  <w:style w:type="character" w:styleId="PageNumber">
    <w:name w:val="page number"/>
    <w:basedOn w:val="DefaultParagraphFont"/>
    <w:rsid w:val="005D3658"/>
  </w:style>
  <w:style w:type="paragraph" w:styleId="Title">
    <w:name w:val="Title"/>
    <w:basedOn w:val="Normal"/>
    <w:qFormat/>
    <w:rsid w:val="005D3658"/>
    <w:pPr>
      <w:jc w:val="center"/>
    </w:pPr>
    <w:rPr>
      <w:rFonts w:ascii="Helvetica" w:hAnsi="Helvetica"/>
      <w:b/>
      <w:sz w:val="28"/>
    </w:rPr>
  </w:style>
  <w:style w:type="paragraph" w:styleId="BodyTextIndent">
    <w:name w:val="Body Text Indent"/>
    <w:basedOn w:val="Normal"/>
    <w:rsid w:val="005D3658"/>
    <w:pPr>
      <w:tabs>
        <w:tab w:val="left" w:pos="360"/>
        <w:tab w:val="left" w:pos="720"/>
      </w:tabs>
      <w:ind w:left="360"/>
    </w:pPr>
    <w:rPr>
      <w:rFonts w:ascii="Arial" w:hAnsi="Arial" w:cs="Arial"/>
      <w:b/>
      <w:bCs/>
      <w:noProof/>
      <w:sz w:val="18"/>
    </w:rPr>
  </w:style>
  <w:style w:type="paragraph" w:styleId="BodyTextIndent2">
    <w:name w:val="Body Text Indent 2"/>
    <w:basedOn w:val="Normal"/>
    <w:rsid w:val="005D3658"/>
    <w:pPr>
      <w:tabs>
        <w:tab w:val="left" w:pos="360"/>
      </w:tabs>
      <w:ind w:left="720"/>
    </w:pPr>
    <w:rPr>
      <w:rFonts w:ascii="Arial" w:hAnsi="Arial" w:cs="Arial"/>
      <w:i/>
      <w:iCs/>
    </w:rPr>
  </w:style>
  <w:style w:type="paragraph" w:styleId="BodyTextIndent3">
    <w:name w:val="Body Text Indent 3"/>
    <w:basedOn w:val="Normal"/>
    <w:rsid w:val="005D3658"/>
    <w:pPr>
      <w:tabs>
        <w:tab w:val="left" w:pos="360"/>
        <w:tab w:val="left" w:pos="720"/>
      </w:tabs>
      <w:ind w:left="720"/>
    </w:pPr>
    <w:rPr>
      <w:rFonts w:ascii="Arial" w:hAnsi="Arial" w:cs="Arial"/>
    </w:rPr>
  </w:style>
  <w:style w:type="paragraph" w:styleId="HTMLPreformatted">
    <w:name w:val="HTML Preformatted"/>
    <w:basedOn w:val="Normal"/>
    <w:link w:val="HTMLPreformattedChar"/>
    <w:uiPriority w:val="99"/>
    <w:rsid w:val="005D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alloonText">
    <w:name w:val="Balloon Text"/>
    <w:basedOn w:val="Normal"/>
    <w:semiHidden/>
    <w:rsid w:val="00B35D82"/>
    <w:rPr>
      <w:rFonts w:ascii="Tahoma" w:hAnsi="Tahoma" w:cs="Tahoma"/>
      <w:sz w:val="16"/>
      <w:szCs w:val="16"/>
    </w:rPr>
  </w:style>
  <w:style w:type="character" w:styleId="Hyperlink">
    <w:name w:val="Hyperlink"/>
    <w:basedOn w:val="DefaultParagraphFont"/>
    <w:rsid w:val="00036908"/>
    <w:rPr>
      <w:color w:val="0000FF"/>
      <w:u w:val="single"/>
    </w:rPr>
  </w:style>
  <w:style w:type="paragraph" w:styleId="ListParagraph">
    <w:name w:val="List Paragraph"/>
    <w:basedOn w:val="Normal"/>
    <w:uiPriority w:val="34"/>
    <w:qFormat/>
    <w:rsid w:val="006D54EE"/>
    <w:pPr>
      <w:overflowPunct/>
      <w:autoSpaceDE/>
      <w:autoSpaceDN/>
      <w:adjustRightInd/>
      <w:ind w:left="720"/>
      <w:contextualSpacing/>
      <w:textAlignment w:val="auto"/>
    </w:pPr>
    <w:rPr>
      <w:sz w:val="24"/>
      <w:szCs w:val="24"/>
    </w:rPr>
  </w:style>
  <w:style w:type="table" w:styleId="TableGrid">
    <w:name w:val="Table Grid"/>
    <w:basedOn w:val="TableNormal"/>
    <w:rsid w:val="00C27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951045"/>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divs>
    <w:div w:id="734354779">
      <w:bodyDiv w:val="1"/>
      <w:marLeft w:val="0"/>
      <w:marRight w:val="0"/>
      <w:marTop w:val="0"/>
      <w:marBottom w:val="0"/>
      <w:divBdr>
        <w:top w:val="none" w:sz="0" w:space="0" w:color="auto"/>
        <w:left w:val="none" w:sz="0" w:space="0" w:color="auto"/>
        <w:bottom w:val="none" w:sz="0" w:space="0" w:color="auto"/>
        <w:right w:val="none" w:sz="0" w:space="0" w:color="auto"/>
      </w:divBdr>
    </w:div>
    <w:div w:id="1453791776">
      <w:bodyDiv w:val="1"/>
      <w:marLeft w:val="0"/>
      <w:marRight w:val="0"/>
      <w:marTop w:val="0"/>
      <w:marBottom w:val="0"/>
      <w:divBdr>
        <w:top w:val="none" w:sz="0" w:space="0" w:color="auto"/>
        <w:left w:val="none" w:sz="0" w:space="0" w:color="auto"/>
        <w:bottom w:val="none" w:sz="0" w:space="0" w:color="auto"/>
        <w:right w:val="none" w:sz="0" w:space="0" w:color="auto"/>
      </w:divBdr>
    </w:div>
    <w:div w:id="1661687395">
      <w:bodyDiv w:val="1"/>
      <w:marLeft w:val="0"/>
      <w:marRight w:val="0"/>
      <w:marTop w:val="0"/>
      <w:marBottom w:val="0"/>
      <w:divBdr>
        <w:top w:val="none" w:sz="0" w:space="0" w:color="auto"/>
        <w:left w:val="none" w:sz="0" w:space="0" w:color="auto"/>
        <w:bottom w:val="none" w:sz="0" w:space="0" w:color="auto"/>
        <w:right w:val="none" w:sz="0" w:space="0" w:color="auto"/>
      </w:divBdr>
    </w:div>
    <w:div w:id="19677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ettings" Target="settings.xml"/><Relationship Id="rId7" Type="http://schemas.openxmlformats.org/officeDocument/2006/relationships/hyperlink" Target="http://www.paysca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2856</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18778</CharactersWithSpaces>
  <SharedDoc>false</SharedDoc>
  <HLinks>
    <vt:vector size="24" baseType="variant">
      <vt:variant>
        <vt:i4>3670113</vt:i4>
      </vt:variant>
      <vt:variant>
        <vt:i4>133</vt:i4>
      </vt:variant>
      <vt:variant>
        <vt:i4>0</vt:i4>
      </vt:variant>
      <vt:variant>
        <vt:i4>5</vt:i4>
      </vt:variant>
      <vt:variant>
        <vt:lpwstr>http://www.opm.gov/</vt:lpwstr>
      </vt:variant>
      <vt:variant>
        <vt:lpwstr/>
      </vt:variant>
      <vt:variant>
        <vt:i4>4390984</vt:i4>
      </vt:variant>
      <vt:variant>
        <vt:i4>130</vt:i4>
      </vt:variant>
      <vt:variant>
        <vt:i4>0</vt:i4>
      </vt:variant>
      <vt:variant>
        <vt:i4>5</vt:i4>
      </vt:variant>
      <vt:variant>
        <vt:lpwstr>http://www.payscale.com/</vt:lpwstr>
      </vt:variant>
      <vt:variant>
        <vt:lpwstr/>
      </vt:variant>
      <vt:variant>
        <vt:i4>4390984</vt:i4>
      </vt:variant>
      <vt:variant>
        <vt:i4>127</vt:i4>
      </vt:variant>
      <vt:variant>
        <vt:i4>0</vt:i4>
      </vt:variant>
      <vt:variant>
        <vt:i4>5</vt:i4>
      </vt:variant>
      <vt:variant>
        <vt:lpwstr>http://www.payscale.com/</vt:lpwstr>
      </vt:variant>
      <vt:variant>
        <vt:lpwstr/>
      </vt:variant>
      <vt:variant>
        <vt:i4>4390984</vt:i4>
      </vt:variant>
      <vt:variant>
        <vt:i4>124</vt:i4>
      </vt:variant>
      <vt:variant>
        <vt:i4>0</vt:i4>
      </vt:variant>
      <vt:variant>
        <vt:i4>5</vt:i4>
      </vt:variant>
      <vt:variant>
        <vt:lpwstr>http://www.payscale.com/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9</cp:revision>
  <cp:lastPrinted>2011-05-09T18:46:00Z</cp:lastPrinted>
  <dcterms:created xsi:type="dcterms:W3CDTF">2011-11-29T19:08:00Z</dcterms:created>
  <dcterms:modified xsi:type="dcterms:W3CDTF">2011-11-30T18:03:00Z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1522364575</vt:i4>
  </property>
  <property fmtid="{D5CDD505-2E9C-101B-9397-08002B2CF9AE}" pid="4" name="_EmailSubject">
    <vt:lpwstr>Time to Renew  2502-0178</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PreviousAdHocReviewCycleID">
    <vt:i4>1025063095</vt:i4>
  </property>
  <property fmtid="{D5CDD505-2E9C-101B-9397-08002B2CF9AE}" pid="8" name="_ReviewingToolsShownOnce">
    <vt:lpwstr/>
  </property>
</Properties>
</file>