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4BA" w:rsidRDefault="001D24BA">
      <w:pPr>
        <w:tabs>
          <w:tab w:val="center" w:pos="4680"/>
        </w:tabs>
        <w:jc w:val="center"/>
        <w:rPr>
          <w:b/>
          <w:bCs/>
        </w:rPr>
      </w:pPr>
      <w:r>
        <w:rPr>
          <w:b/>
          <w:bCs/>
        </w:rPr>
        <w:t>SUPPORTING STATEMENT</w:t>
      </w:r>
    </w:p>
    <w:p w:rsidR="001D24BA" w:rsidRDefault="001D24BA">
      <w:pPr>
        <w:tabs>
          <w:tab w:val="center" w:pos="4680"/>
        </w:tabs>
        <w:jc w:val="center"/>
      </w:pPr>
      <w:r>
        <w:rPr>
          <w:b/>
          <w:bCs/>
        </w:rPr>
        <w:t>ENVIRONMENTAL PROTECTION AGENCY</w:t>
      </w:r>
    </w:p>
    <w:p w:rsidR="001D24BA" w:rsidRDefault="001D24BA">
      <w:pPr>
        <w:tabs>
          <w:tab w:val="center" w:pos="4680"/>
        </w:tabs>
      </w:pPr>
    </w:p>
    <w:p w:rsidR="001D24BA" w:rsidRDefault="001D24BA">
      <w:r>
        <w:rPr>
          <w:b/>
          <w:bCs/>
        </w:rPr>
        <w:t>New Source Performance Standards (NSPS) for Stationary Spark Ignition Internal Combustion Engines (40 CFR Part 60, Subpart JJJJ) (Renewal)</w:t>
      </w:r>
    </w:p>
    <w:p w:rsidR="001D24BA" w:rsidRDefault="001D24BA"/>
    <w:p w:rsidR="001D24BA" w:rsidRDefault="001D24BA">
      <w:pPr>
        <w:rPr>
          <w:b/>
        </w:rPr>
      </w:pPr>
      <w:r>
        <w:rPr>
          <w:b/>
        </w:rPr>
        <w:t>1.</w:t>
      </w:r>
      <w:r>
        <w:rPr>
          <w:b/>
          <w:bCs/>
        </w:rPr>
        <w:t xml:space="preserve">  Identification of the Information Collection</w:t>
      </w:r>
    </w:p>
    <w:p w:rsidR="001D24BA" w:rsidRDefault="001D24BA">
      <w:pPr>
        <w:rPr>
          <w:b/>
          <w:bCs/>
        </w:rPr>
      </w:pPr>
    </w:p>
    <w:p w:rsidR="00DB08ED" w:rsidRDefault="001D24BA" w:rsidP="00260DA5">
      <w:pPr>
        <w:ind w:firstLine="720"/>
        <w:rPr>
          <w:b/>
        </w:rPr>
      </w:pPr>
      <w:r>
        <w:rPr>
          <w:b/>
          <w:bCs/>
        </w:rPr>
        <w:t>1</w:t>
      </w:r>
      <w:r>
        <w:rPr>
          <w:b/>
        </w:rPr>
        <w:t>(a</w:t>
      </w:r>
      <w:proofErr w:type="gramStart"/>
      <w:r>
        <w:rPr>
          <w:b/>
        </w:rPr>
        <w:t xml:space="preserve">) </w:t>
      </w:r>
      <w:r>
        <w:rPr>
          <w:b/>
          <w:bCs/>
        </w:rPr>
        <w:t xml:space="preserve"> </w:t>
      </w:r>
      <w:r>
        <w:rPr>
          <w:b/>
        </w:rPr>
        <w:t>Title</w:t>
      </w:r>
      <w:proofErr w:type="gramEnd"/>
      <w:r>
        <w:rPr>
          <w:b/>
        </w:rPr>
        <w:t xml:space="preserve"> of the Information Collection</w:t>
      </w:r>
    </w:p>
    <w:p w:rsidR="00DB08ED" w:rsidRDefault="00DB08ED" w:rsidP="00260DA5">
      <w:pPr>
        <w:ind w:firstLine="720"/>
        <w:rPr>
          <w:b/>
        </w:rPr>
      </w:pPr>
    </w:p>
    <w:p w:rsidR="00260DA5" w:rsidRDefault="001D24BA" w:rsidP="00DB08ED">
      <w:pPr>
        <w:ind w:left="-864" w:firstLine="720"/>
        <w:jc w:val="both"/>
      </w:pPr>
      <w:r>
        <w:t xml:space="preserve">NSPS for Stationary Spark Ignition Internal Combustion Engines (40 CFR </w:t>
      </w:r>
      <w:proofErr w:type="gramStart"/>
      <w:r>
        <w:t>Part</w:t>
      </w:r>
      <w:proofErr w:type="gramEnd"/>
      <w:r>
        <w:t xml:space="preserve"> 60, </w:t>
      </w:r>
    </w:p>
    <w:p w:rsidR="00DB08ED" w:rsidRDefault="001D24BA" w:rsidP="00DB08ED">
      <w:pPr>
        <w:ind w:left="-864" w:firstLine="720"/>
        <w:jc w:val="both"/>
        <w:rPr>
          <w:bCs/>
        </w:rPr>
      </w:pPr>
      <w:r>
        <w:t>Subpart JJJJ)</w:t>
      </w:r>
      <w:r>
        <w:rPr>
          <w:bCs/>
        </w:rPr>
        <w:t xml:space="preserve"> (Renewal)</w:t>
      </w:r>
      <w:r w:rsidR="00260DA5">
        <w:t xml:space="preserve">, </w:t>
      </w:r>
      <w:r w:rsidR="00260DA5">
        <w:rPr>
          <w:bCs/>
        </w:rPr>
        <w:t>EPA ICR Number 2227.03, OMB Control Number 2060-0610</w:t>
      </w:r>
      <w:r w:rsidR="00DB08ED">
        <w:rPr>
          <w:bCs/>
        </w:rPr>
        <w:t xml:space="preserve"> </w:t>
      </w:r>
    </w:p>
    <w:p w:rsidR="00DB08ED" w:rsidRDefault="00DB08ED" w:rsidP="00DB08ED">
      <w:pPr>
        <w:ind w:left="-864" w:firstLine="720"/>
        <w:jc w:val="both"/>
        <w:rPr>
          <w:b/>
          <w:bCs/>
        </w:rPr>
      </w:pPr>
      <w:r>
        <w:rPr>
          <w:bCs/>
        </w:rPr>
        <w:t xml:space="preserve">     </w:t>
      </w:r>
    </w:p>
    <w:p w:rsidR="001D24BA" w:rsidRDefault="00DB08ED">
      <w:pPr>
        <w:ind w:firstLine="720"/>
        <w:rPr>
          <w:b/>
        </w:rPr>
      </w:pPr>
      <w:r>
        <w:rPr>
          <w:b/>
        </w:rPr>
        <w:t>1</w:t>
      </w:r>
      <w:r w:rsidR="001D24BA">
        <w:rPr>
          <w:b/>
        </w:rPr>
        <w:t>(b</w:t>
      </w:r>
      <w:proofErr w:type="gramStart"/>
      <w:r w:rsidR="001D24BA">
        <w:rPr>
          <w:b/>
        </w:rPr>
        <w:t>)</w:t>
      </w:r>
      <w:r w:rsidR="001D24BA">
        <w:rPr>
          <w:b/>
          <w:bCs/>
        </w:rPr>
        <w:t xml:space="preserve">  </w:t>
      </w:r>
      <w:r w:rsidR="001D24BA">
        <w:rPr>
          <w:b/>
        </w:rPr>
        <w:t>Short</w:t>
      </w:r>
      <w:proofErr w:type="gramEnd"/>
      <w:r w:rsidR="001D24BA">
        <w:rPr>
          <w:b/>
        </w:rPr>
        <w:t xml:space="preserve"> Characterization</w:t>
      </w:r>
      <w:r w:rsidR="001D24BA">
        <w:rPr>
          <w:b/>
          <w:bCs/>
        </w:rPr>
        <w:t>/Abstract</w:t>
      </w:r>
    </w:p>
    <w:p w:rsidR="001D24BA" w:rsidRDefault="001D24BA">
      <w:pPr>
        <w:ind w:firstLine="720"/>
      </w:pPr>
    </w:p>
    <w:p w:rsidR="001D24BA" w:rsidRDefault="001D24BA">
      <w:pPr>
        <w:ind w:firstLine="720"/>
      </w:pPr>
      <w:r>
        <w:t xml:space="preserve">This supporting statement addresses information collection activities that would be imposed by the “Standards of Performance for Stationary Spark Ignition Internal Combustion Engines” </w:t>
      </w:r>
      <w:r w:rsidR="00DB08ED">
        <w:t>(</w:t>
      </w:r>
      <w:r>
        <w:t xml:space="preserve">40 CFR </w:t>
      </w:r>
      <w:proofErr w:type="gramStart"/>
      <w:r>
        <w:t>part</w:t>
      </w:r>
      <w:proofErr w:type="gramEnd"/>
      <w:r>
        <w:t xml:space="preserve"> 60, subpart JJJJ</w:t>
      </w:r>
      <w:r w:rsidR="00DB08ED">
        <w:t>)</w:t>
      </w:r>
      <w:r>
        <w:t xml:space="preserve">.  These standards fulfill the requirements of section 111 of the Clean Air Act (CAA) as amended in 1990, which requires the EPA to promulgate standards for stationary internal combustion engines.  The EPA has determined that for purposes of promulgating New Source Performance Standards (NSPS) regulations, the stationary internal combustion engine source category should be split into two source categories: Compression Ignition (CI) engines and Spark Ignition (SI) engines.  The NSPS for Stationary CI Engines were published on July 11, 2006 (71 </w:t>
      </w:r>
      <w:r>
        <w:rPr>
          <w:u w:val="single"/>
        </w:rPr>
        <w:t>FR</w:t>
      </w:r>
      <w:r>
        <w:t xml:space="preserve"> 39154). </w:t>
      </w:r>
    </w:p>
    <w:p w:rsidR="001D24BA" w:rsidRDefault="001D24BA">
      <w:pPr>
        <w:ind w:firstLine="720"/>
      </w:pPr>
    </w:p>
    <w:p w:rsidR="001D24BA" w:rsidRDefault="001D24BA">
      <w:pPr>
        <w:ind w:firstLine="720"/>
      </w:pPr>
      <w:r>
        <w:t xml:space="preserve">The information collection activities in this Information Collection Request (ICR) include: initial notifications for non-certified engines greater than 500 hp; records of engine maintenance for all SI internal combustion engines (ICE); records of operating hours for emergency SI ICE; performance test data for owners and operators of non-certified stationary SI engines; and test data and activities associated with obtaining engine certification for engine manufacturers.  The information collection activities will enable the EPA to determine initial and continuous compliance with the requirements of the final rule.  </w:t>
      </w:r>
    </w:p>
    <w:p w:rsidR="001D24BA" w:rsidRDefault="001D24BA">
      <w:pPr>
        <w:ind w:firstLine="720"/>
      </w:pPr>
    </w:p>
    <w:p w:rsidR="001D24BA" w:rsidRDefault="001D24BA">
      <w:pPr>
        <w:ind w:firstLine="720"/>
      </w:pPr>
      <w:r>
        <w:t xml:space="preserve">The Office of Management and Budget (OMB) approved the current Information Collection Request (ICR) without any “Terms of Clearance”.  </w:t>
      </w:r>
    </w:p>
    <w:p w:rsidR="001D24BA" w:rsidRDefault="001D24BA">
      <w:pPr>
        <w:ind w:firstLine="720"/>
      </w:pPr>
    </w:p>
    <w:p w:rsidR="001D24BA" w:rsidRDefault="001D24BA">
      <w:pPr>
        <w:ind w:firstLine="720"/>
      </w:pPr>
      <w:r>
        <w:t xml:space="preserve">The burden to the “Affected Public” may be below found in Table 1: Annual Respondent Burden and Cost – NSPS </w:t>
      </w:r>
      <w:r>
        <w:rPr>
          <w:bCs/>
        </w:rPr>
        <w:t xml:space="preserve">for Stationary Spark Ignition Internal Combustion Engines (40 CFR Part 60, Subpart JJJJ) (Renewal).  The burden to the “Federal government” is attributed entirely to work performed by Federal employees or government contractors; this burden may be found below in Table 2: Average Annual EPA Burden – NSPS for Stationary Spark Ignition Internal Combustion Engines (40 CFR Part 60, Subpart JJJJ) (Renewal). </w:t>
      </w:r>
    </w:p>
    <w:p w:rsidR="001D24BA" w:rsidRDefault="001D24BA">
      <w:pPr>
        <w:ind w:firstLine="720"/>
      </w:pPr>
    </w:p>
    <w:p w:rsidR="00DB08ED" w:rsidRDefault="00DB08ED">
      <w:pPr>
        <w:rPr>
          <w:b/>
        </w:rPr>
      </w:pPr>
    </w:p>
    <w:p w:rsidR="001D24BA" w:rsidRDefault="001D24BA">
      <w:pPr>
        <w:rPr>
          <w:b/>
        </w:rPr>
      </w:pPr>
      <w:r>
        <w:rPr>
          <w:b/>
        </w:rPr>
        <w:t>2.  Need for and Use of the Collection</w:t>
      </w:r>
    </w:p>
    <w:p w:rsidR="001D24BA" w:rsidRDefault="001D24BA"/>
    <w:p w:rsidR="001D24BA" w:rsidRDefault="001D24BA">
      <w:pPr>
        <w:ind w:firstLine="720"/>
        <w:rPr>
          <w:b/>
        </w:rPr>
      </w:pPr>
      <w:r>
        <w:rPr>
          <w:b/>
        </w:rPr>
        <w:t>2(a</w:t>
      </w:r>
      <w:proofErr w:type="gramStart"/>
      <w:r>
        <w:rPr>
          <w:b/>
        </w:rPr>
        <w:t>)  Need</w:t>
      </w:r>
      <w:proofErr w:type="gramEnd"/>
      <w:r>
        <w:rPr>
          <w:b/>
        </w:rPr>
        <w:t>/Authority for the Collection</w:t>
      </w:r>
    </w:p>
    <w:p w:rsidR="001D24BA" w:rsidRDefault="001D24BA">
      <w:pPr>
        <w:ind w:firstLine="720"/>
      </w:pPr>
    </w:p>
    <w:p w:rsidR="001D24BA" w:rsidRDefault="001D24BA">
      <w:pPr>
        <w:ind w:firstLine="720"/>
      </w:pPr>
      <w:r>
        <w:t>The EPA is required under section 111 of the CAA to establish standards of performance for new stationary sources that reflect the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The Agency refers to this charge as selecting the best demonstrated technology.  Section 111 also requires that the Administrator review and, if appropriate, revise such standards every four years.</w:t>
      </w:r>
    </w:p>
    <w:p w:rsidR="001D24BA" w:rsidRDefault="001D24BA">
      <w:pPr>
        <w:ind w:firstLine="720"/>
      </w:pPr>
    </w:p>
    <w:p w:rsidR="001D24BA" w:rsidRDefault="001D24BA">
      <w:pPr>
        <w:ind w:firstLine="720"/>
      </w:pPr>
      <w:r>
        <w:t>In addition, section 114(a) states that:</w:t>
      </w:r>
    </w:p>
    <w:p w:rsidR="001D24BA" w:rsidRDefault="001D24BA">
      <w:pPr>
        <w:ind w:firstLine="720"/>
      </w:pPr>
    </w:p>
    <w:p w:rsidR="001D24BA" w:rsidRDefault="001D24BA">
      <w:pPr>
        <w:ind w:left="1440" w:right="1440"/>
      </w:pPr>
      <w:r>
        <w:t>. . . the Administrator may require any owner or operator subject to any requirement of this Act to (A) establish and maintain such records; (B) make such reports; (C) install, use, and maintain such monitoring equipment or methods (in accordance with such methods at such locations, at such intervals, and in such manner as the Administrator shall prescribe); (D) sample such emissions;      (E) keep records on control equipment parameters, production variables or other indirect data when direct monitoring of emissions is impractical; (F) submit compliance certifications; and (G) provide such other information as he may reasonably require.</w:t>
      </w:r>
    </w:p>
    <w:p w:rsidR="001D24BA" w:rsidRDefault="001D24BA">
      <w:pPr>
        <w:ind w:firstLine="720"/>
      </w:pPr>
    </w:p>
    <w:p w:rsidR="001D24BA" w:rsidRDefault="001D24BA">
      <w:pPr>
        <w:ind w:firstLine="720"/>
      </w:pPr>
      <w:r>
        <w:t>Certain reports are necessary to enable the Administrator to identify stationary SI engines subject to the regulation and to determine if the standards are being achieved.</w:t>
      </w:r>
    </w:p>
    <w:p w:rsidR="001D24BA" w:rsidRDefault="001D24BA">
      <w:pPr>
        <w:ind w:firstLine="720"/>
      </w:pPr>
    </w:p>
    <w:p w:rsidR="001D24BA" w:rsidRDefault="001D24BA">
      <w:pPr>
        <w:pBdr>
          <w:top w:val="single" w:sz="6" w:space="0" w:color="FFFFFF"/>
          <w:left w:val="single" w:sz="6" w:space="0" w:color="FFFFFF"/>
          <w:bottom w:val="single" w:sz="6" w:space="0" w:color="FFFFFF"/>
          <w:right w:val="single" w:sz="6" w:space="0" w:color="FFFFFF"/>
        </w:pBdr>
        <w:ind w:firstLine="720"/>
      </w:pPr>
      <w:r>
        <w:rPr>
          <w:b/>
          <w:bCs/>
        </w:rPr>
        <w:t>2</w:t>
      </w:r>
      <w:r>
        <w:rPr>
          <w:b/>
        </w:rPr>
        <w:t>(b</w:t>
      </w:r>
      <w:proofErr w:type="gramStart"/>
      <w:r>
        <w:rPr>
          <w:b/>
        </w:rPr>
        <w:t>)</w:t>
      </w:r>
      <w:r>
        <w:rPr>
          <w:b/>
          <w:bCs/>
        </w:rPr>
        <w:t xml:space="preserve">  </w:t>
      </w:r>
      <w:r>
        <w:rPr>
          <w:b/>
        </w:rPr>
        <w:t>Practical</w:t>
      </w:r>
      <w:proofErr w:type="gramEnd"/>
      <w:r>
        <w:rPr>
          <w:b/>
        </w:rPr>
        <w:t xml:space="preserve"> Utility/Users of the Data</w:t>
      </w:r>
    </w:p>
    <w:p w:rsidR="001D24BA" w:rsidRDefault="001D24BA">
      <w:pPr>
        <w:ind w:firstLine="720"/>
      </w:pPr>
    </w:p>
    <w:p w:rsidR="001D24BA" w:rsidRDefault="001D24BA">
      <w:pPr>
        <w:ind w:firstLine="720"/>
      </w:pPr>
      <w:r>
        <w:t>The information will be used by the EPA to identify sources subject to the NSPS and ensure that the emission standards are being met.  Records and reports are necessary to enable the EPA to identify facilities that may not be in compliance with the requirements.  Based on reported information, EPA will decide which facilities should be inspected and what records or units should be inspected at the facilities.  The records that facilities maintain will indicate to EPA whether facility personnel are operating and maintaining the equipment properly.</w:t>
      </w:r>
    </w:p>
    <w:p w:rsidR="001D24BA" w:rsidRDefault="001D24BA">
      <w:pPr>
        <w:ind w:firstLine="720"/>
      </w:pPr>
    </w:p>
    <w:p w:rsidR="001D24BA" w:rsidRDefault="001D24BA">
      <w:pPr>
        <w:ind w:firstLine="720"/>
      </w:pPr>
      <w:r>
        <w:t>The recordkeeping and reporting requirements in the standards ensure compliance with the applicable regulations which where promulgated in accordance with the Clean Air Act.  The collected information is also used for targeting inspections and as evidence in legal proceedings.</w:t>
      </w:r>
    </w:p>
    <w:p w:rsidR="001D24BA" w:rsidRDefault="001D24BA">
      <w:pPr>
        <w:ind w:firstLine="720"/>
      </w:pPr>
    </w:p>
    <w:p w:rsidR="001D24BA" w:rsidRDefault="001D24BA">
      <w:pPr>
        <w:pBdr>
          <w:top w:val="single" w:sz="6" w:space="0" w:color="FFFFFF"/>
          <w:left w:val="single" w:sz="6" w:space="0" w:color="FFFFFF"/>
          <w:bottom w:val="single" w:sz="6" w:space="0" w:color="FFFFFF"/>
          <w:right w:val="single" w:sz="6" w:space="0" w:color="FFFFFF"/>
        </w:pBdr>
        <w:rPr>
          <w:b/>
        </w:rPr>
      </w:pPr>
      <w:r>
        <w:rPr>
          <w:b/>
          <w:bCs/>
        </w:rPr>
        <w:t xml:space="preserve">3.  </w:t>
      </w:r>
      <w:r>
        <w:rPr>
          <w:b/>
        </w:rPr>
        <w:t>Non-duplication</w:t>
      </w:r>
      <w:r>
        <w:rPr>
          <w:b/>
          <w:bCs/>
        </w:rPr>
        <w:t>, Consultations, and Other Collection Criteria</w:t>
      </w:r>
    </w:p>
    <w:p w:rsidR="001D24BA" w:rsidRDefault="001D24BA">
      <w:pPr>
        <w:ind w:firstLine="720"/>
        <w:rPr>
          <w:b/>
          <w:bCs/>
        </w:rPr>
      </w:pPr>
    </w:p>
    <w:p w:rsidR="001D24BA" w:rsidRDefault="001D24BA">
      <w:pPr>
        <w:pBdr>
          <w:top w:val="single" w:sz="6" w:space="0" w:color="FFFFFF"/>
          <w:left w:val="single" w:sz="6" w:space="0" w:color="FFFFFF"/>
          <w:bottom w:val="single" w:sz="6" w:space="0" w:color="FFFFFF"/>
          <w:right w:val="single" w:sz="6" w:space="0" w:color="FFFFFF"/>
        </w:pBdr>
        <w:ind w:firstLine="720"/>
      </w:pPr>
      <w:r>
        <w:t xml:space="preserve">The requested recordkeeping and reporting are required under 40 CFR part 60, subpart JJJJ. </w:t>
      </w:r>
      <w:r>
        <w:rPr>
          <w:b/>
          <w:bCs/>
        </w:rPr>
        <w:t>3(a</w:t>
      </w:r>
      <w:proofErr w:type="gramStart"/>
      <w:r>
        <w:rPr>
          <w:b/>
          <w:bCs/>
        </w:rPr>
        <w:t>)  Non</w:t>
      </w:r>
      <w:proofErr w:type="gramEnd"/>
      <w:r>
        <w:rPr>
          <w:b/>
          <w:bCs/>
        </w:rPr>
        <w:t>-duplication</w:t>
      </w:r>
    </w:p>
    <w:p w:rsidR="001D24BA" w:rsidRDefault="001D24BA">
      <w:pPr>
        <w:ind w:firstLine="720"/>
      </w:pPr>
    </w:p>
    <w:p w:rsidR="001D24BA" w:rsidRDefault="001D24BA">
      <w:pPr>
        <w:ind w:firstLine="720"/>
      </w:pPr>
      <w:r>
        <w:lastRenderedPageBreak/>
        <w:t>Duplication in the reporting of stationary SI engine information is not anticipated.  If the standard has not been delegated, the information is sent to the appropriate EPA regional office.  Otherwise, the information is sent directly to the delegated state or local agency.  If a state or local agency has adopted its own similar regulation to implement the Federal regulation, a copy of the report submitted to the state or local agency can be sent to the Administrator in lieu of the report required by the Federal standard.  Therefore, no duplication exists.</w:t>
      </w:r>
    </w:p>
    <w:p w:rsidR="001D24BA" w:rsidRDefault="001D24BA">
      <w:pPr>
        <w:ind w:firstLine="720"/>
      </w:pPr>
    </w:p>
    <w:p w:rsidR="001D24BA" w:rsidRDefault="001D24BA">
      <w:pPr>
        <w:pBdr>
          <w:top w:val="single" w:sz="6" w:space="0" w:color="FFFFFF"/>
          <w:left w:val="single" w:sz="6" w:space="0" w:color="FFFFFF"/>
          <w:bottom w:val="single" w:sz="6" w:space="0" w:color="FFFFFF"/>
          <w:right w:val="single" w:sz="6" w:space="0" w:color="FFFFFF"/>
        </w:pBdr>
        <w:ind w:firstLine="720"/>
      </w:pPr>
      <w:r>
        <w:rPr>
          <w:b/>
          <w:bCs/>
        </w:rPr>
        <w:t>3</w:t>
      </w:r>
      <w:r>
        <w:rPr>
          <w:b/>
        </w:rPr>
        <w:t>(b</w:t>
      </w:r>
      <w:proofErr w:type="gramStart"/>
      <w:r>
        <w:rPr>
          <w:b/>
        </w:rPr>
        <w:t>)</w:t>
      </w:r>
      <w:r>
        <w:rPr>
          <w:b/>
          <w:bCs/>
        </w:rPr>
        <w:t xml:space="preserve">  </w:t>
      </w:r>
      <w:r>
        <w:rPr>
          <w:b/>
        </w:rPr>
        <w:t>Public</w:t>
      </w:r>
      <w:proofErr w:type="gramEnd"/>
      <w:r>
        <w:rPr>
          <w:b/>
        </w:rPr>
        <w:t xml:space="preserve"> Notice Required Prior to ICR Submission to OMB</w:t>
      </w:r>
    </w:p>
    <w:p w:rsidR="001D24BA" w:rsidRDefault="001D24BA">
      <w:pPr>
        <w:ind w:firstLine="720"/>
      </w:pPr>
    </w:p>
    <w:p w:rsidR="001D24BA" w:rsidRDefault="001D24BA">
      <w:pPr>
        <w:ind w:firstLine="720"/>
      </w:pPr>
      <w:r>
        <w:t xml:space="preserve">An announcement of a public comment period for the renewal of this ICR was published in the </w:t>
      </w:r>
      <w:r>
        <w:rPr>
          <w:u w:val="single"/>
        </w:rPr>
        <w:t>Federal Register</w:t>
      </w:r>
      <w:r>
        <w:t xml:space="preserve"> (75 </w:t>
      </w:r>
      <w:r>
        <w:rPr>
          <w:u w:val="single"/>
        </w:rPr>
        <w:t>FR</w:t>
      </w:r>
      <w:r>
        <w:t xml:space="preserve"> 30812</w:t>
      </w:r>
      <w:proofErr w:type="gramStart"/>
      <w:r>
        <w:t>)on</w:t>
      </w:r>
      <w:proofErr w:type="gramEnd"/>
      <w:r>
        <w:t xml:space="preserve"> June 2, 2010.  No comments were received on the burden published in the </w:t>
      </w:r>
      <w:r>
        <w:rPr>
          <w:u w:val="single"/>
        </w:rPr>
        <w:t>Federal Register</w:t>
      </w:r>
      <w:r>
        <w:t xml:space="preserve">.  </w:t>
      </w:r>
    </w:p>
    <w:p w:rsidR="001D24BA" w:rsidRDefault="001D24BA">
      <w:pPr>
        <w:ind w:firstLine="720"/>
      </w:pPr>
    </w:p>
    <w:p w:rsidR="001D24BA" w:rsidRDefault="001D24BA">
      <w:pPr>
        <w:pBdr>
          <w:top w:val="single" w:sz="6" w:space="0" w:color="FFFFFF"/>
          <w:left w:val="single" w:sz="6" w:space="0" w:color="FFFFFF"/>
          <w:bottom w:val="single" w:sz="6" w:space="0" w:color="FFFFFF"/>
          <w:right w:val="single" w:sz="6" w:space="0" w:color="FFFFFF"/>
        </w:pBdr>
        <w:ind w:firstLine="720"/>
      </w:pPr>
      <w:r>
        <w:rPr>
          <w:b/>
          <w:bCs/>
        </w:rPr>
        <w:t>3</w:t>
      </w:r>
      <w:r>
        <w:rPr>
          <w:b/>
        </w:rPr>
        <w:t>(c</w:t>
      </w:r>
      <w:proofErr w:type="gramStart"/>
      <w:r>
        <w:rPr>
          <w:b/>
        </w:rPr>
        <w:t>)</w:t>
      </w:r>
      <w:r>
        <w:rPr>
          <w:b/>
          <w:bCs/>
        </w:rPr>
        <w:t xml:space="preserve">  </w:t>
      </w:r>
      <w:r>
        <w:rPr>
          <w:b/>
        </w:rPr>
        <w:t>Consultations</w:t>
      </w:r>
      <w:proofErr w:type="gramEnd"/>
    </w:p>
    <w:p w:rsidR="001D24BA" w:rsidRDefault="001D24BA">
      <w:pPr>
        <w:ind w:firstLine="720"/>
      </w:pPr>
    </w:p>
    <w:p w:rsidR="001D24BA" w:rsidRDefault="001D24BA">
      <w:pPr>
        <w:ind w:firstLine="720"/>
      </w:pPr>
      <w:r>
        <w:t>EPA has met with the Engine Manufacturers Association (EMA) on several occasions, as well as other affected entities that will be subject to the new emission standards.  The public also had the opportunity to review and comment on the proposed NSPS and the ICR during the specified comment period.</w:t>
      </w:r>
    </w:p>
    <w:p w:rsidR="001D24BA" w:rsidRDefault="001D24BA">
      <w:pPr>
        <w:ind w:firstLine="720"/>
      </w:pPr>
    </w:p>
    <w:p w:rsidR="001D24BA" w:rsidRDefault="001D24BA">
      <w:pPr>
        <w:pBdr>
          <w:top w:val="single" w:sz="6" w:space="0" w:color="FFFFFF"/>
          <w:left w:val="single" w:sz="6" w:space="0" w:color="FFFFFF"/>
          <w:bottom w:val="single" w:sz="6" w:space="0" w:color="FFFFFF"/>
          <w:right w:val="single" w:sz="6" w:space="0" w:color="FFFFFF"/>
        </w:pBdr>
        <w:ind w:firstLine="720"/>
      </w:pPr>
      <w:r>
        <w:rPr>
          <w:b/>
          <w:bCs/>
        </w:rPr>
        <w:t>3</w:t>
      </w:r>
      <w:r>
        <w:rPr>
          <w:b/>
        </w:rPr>
        <w:t>(d</w:t>
      </w:r>
      <w:proofErr w:type="gramStart"/>
      <w:r>
        <w:rPr>
          <w:b/>
        </w:rPr>
        <w:t>)</w:t>
      </w:r>
      <w:r>
        <w:rPr>
          <w:b/>
          <w:bCs/>
        </w:rPr>
        <w:t xml:space="preserve">  </w:t>
      </w:r>
      <w:r>
        <w:rPr>
          <w:b/>
        </w:rPr>
        <w:t>Effects</w:t>
      </w:r>
      <w:proofErr w:type="gramEnd"/>
      <w:r>
        <w:rPr>
          <w:b/>
        </w:rPr>
        <w:t xml:space="preserve"> of Less Frequent Collection</w:t>
      </w:r>
    </w:p>
    <w:p w:rsidR="001D24BA" w:rsidRDefault="001D24BA">
      <w:pPr>
        <w:ind w:firstLine="720"/>
      </w:pPr>
    </w:p>
    <w:p w:rsidR="001D24BA" w:rsidRDefault="001D24BA">
      <w:pPr>
        <w:ind w:firstLine="720"/>
      </w:pPr>
      <w: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1D24BA" w:rsidRDefault="001D24BA">
      <w:pPr>
        <w:ind w:firstLine="720"/>
      </w:pPr>
    </w:p>
    <w:p w:rsidR="001D24BA" w:rsidRDefault="001D24BA">
      <w:pPr>
        <w:pBdr>
          <w:top w:val="single" w:sz="6" w:space="0" w:color="FFFFFF"/>
          <w:left w:val="single" w:sz="6" w:space="0" w:color="FFFFFF"/>
          <w:bottom w:val="single" w:sz="6" w:space="0" w:color="FFFFFF"/>
          <w:right w:val="single" w:sz="6" w:space="0" w:color="FFFFFF"/>
        </w:pBdr>
        <w:ind w:firstLine="720"/>
      </w:pPr>
      <w:r>
        <w:rPr>
          <w:b/>
          <w:bCs/>
        </w:rPr>
        <w:t>3</w:t>
      </w:r>
      <w:r>
        <w:rPr>
          <w:b/>
        </w:rPr>
        <w:t>(e</w:t>
      </w:r>
      <w:proofErr w:type="gramStart"/>
      <w:r>
        <w:rPr>
          <w:b/>
        </w:rPr>
        <w:t>)</w:t>
      </w:r>
      <w:r>
        <w:rPr>
          <w:b/>
          <w:bCs/>
        </w:rPr>
        <w:t xml:space="preserve">  </w:t>
      </w:r>
      <w:r>
        <w:rPr>
          <w:b/>
        </w:rPr>
        <w:t>General</w:t>
      </w:r>
      <w:proofErr w:type="gramEnd"/>
      <w:r>
        <w:rPr>
          <w:b/>
        </w:rPr>
        <w:t xml:space="preserve"> Guidelines</w:t>
      </w:r>
    </w:p>
    <w:p w:rsidR="001D24BA" w:rsidRDefault="001D24BA">
      <w:pPr>
        <w:ind w:firstLine="720"/>
      </w:pPr>
    </w:p>
    <w:p w:rsidR="001D24BA" w:rsidRDefault="001D24BA">
      <w:pPr>
        <w:ind w:firstLine="720"/>
      </w:pPr>
      <w:r>
        <w:t>These reporting or recordkeeping requirements do not violate any of the regulations promulgated by OMB under 5 CFR part 1320, section 1320.5.</w:t>
      </w:r>
    </w:p>
    <w:p w:rsidR="001D24BA" w:rsidRDefault="001D24BA">
      <w:pPr>
        <w:ind w:firstLine="720"/>
      </w:pPr>
    </w:p>
    <w:p w:rsidR="001D24BA" w:rsidRDefault="001D24BA">
      <w:pPr>
        <w:pBdr>
          <w:top w:val="single" w:sz="6" w:space="0" w:color="FFFFFF"/>
          <w:left w:val="single" w:sz="6" w:space="0" w:color="FFFFFF"/>
          <w:bottom w:val="single" w:sz="6" w:space="0" w:color="FFFFFF"/>
          <w:right w:val="single" w:sz="6" w:space="0" w:color="FFFFFF"/>
        </w:pBdr>
        <w:ind w:firstLine="720"/>
      </w:pPr>
      <w:r>
        <w:rPr>
          <w:b/>
          <w:bCs/>
        </w:rPr>
        <w:t>3</w:t>
      </w:r>
      <w:r>
        <w:rPr>
          <w:b/>
        </w:rPr>
        <w:t>(f</w:t>
      </w:r>
      <w:proofErr w:type="gramStart"/>
      <w:r>
        <w:rPr>
          <w:b/>
        </w:rPr>
        <w:t>)</w:t>
      </w:r>
      <w:r>
        <w:rPr>
          <w:b/>
          <w:bCs/>
        </w:rPr>
        <w:t xml:space="preserve">  </w:t>
      </w:r>
      <w:r>
        <w:rPr>
          <w:b/>
        </w:rPr>
        <w:t>Confidentiality</w:t>
      </w:r>
      <w:proofErr w:type="gramEnd"/>
    </w:p>
    <w:p w:rsidR="001D24BA" w:rsidRDefault="001D24BA">
      <w:pPr>
        <w:ind w:firstLine="720"/>
      </w:pPr>
    </w:p>
    <w:p w:rsidR="001D24BA" w:rsidRDefault="001D24BA">
      <w:pPr>
        <w:ind w:firstLine="720"/>
      </w:pPr>
      <w: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rsidR="001D24BA" w:rsidRDefault="001D24BA">
      <w:pPr>
        <w:ind w:firstLine="720"/>
      </w:pPr>
    </w:p>
    <w:p w:rsidR="001D24BA" w:rsidRDefault="001D24BA">
      <w:pPr>
        <w:pBdr>
          <w:top w:val="single" w:sz="6" w:space="0" w:color="FFFFFF"/>
          <w:left w:val="single" w:sz="6" w:space="0" w:color="FFFFFF"/>
          <w:bottom w:val="single" w:sz="6" w:space="0" w:color="FFFFFF"/>
          <w:right w:val="single" w:sz="6" w:space="0" w:color="FFFFFF"/>
        </w:pBdr>
        <w:ind w:firstLine="720"/>
      </w:pPr>
      <w:r>
        <w:rPr>
          <w:b/>
          <w:bCs/>
        </w:rPr>
        <w:t>3</w:t>
      </w:r>
      <w:r>
        <w:rPr>
          <w:b/>
        </w:rPr>
        <w:t>(g</w:t>
      </w:r>
      <w:proofErr w:type="gramStart"/>
      <w:r>
        <w:rPr>
          <w:b/>
        </w:rPr>
        <w:t>)</w:t>
      </w:r>
      <w:r>
        <w:rPr>
          <w:b/>
          <w:bCs/>
        </w:rPr>
        <w:t xml:space="preserve">  </w:t>
      </w:r>
      <w:r>
        <w:rPr>
          <w:b/>
        </w:rPr>
        <w:t>Sensitive</w:t>
      </w:r>
      <w:proofErr w:type="gramEnd"/>
      <w:r>
        <w:rPr>
          <w:b/>
        </w:rPr>
        <w:t xml:space="preserve"> Questions</w:t>
      </w:r>
    </w:p>
    <w:p w:rsidR="001D24BA" w:rsidRDefault="001D24BA">
      <w:pPr>
        <w:ind w:firstLine="720"/>
      </w:pPr>
    </w:p>
    <w:p w:rsidR="001D24BA" w:rsidRDefault="001D24BA">
      <w:pPr>
        <w:ind w:firstLine="720"/>
      </w:pPr>
      <w:r>
        <w:t xml:space="preserve">The reporting or recordkeeping requirements in the standard do not include sensitive </w:t>
      </w:r>
      <w:r>
        <w:lastRenderedPageBreak/>
        <w:t>questions.</w:t>
      </w:r>
    </w:p>
    <w:p w:rsidR="001D24BA" w:rsidRDefault="001D24BA">
      <w:pPr>
        <w:ind w:firstLine="720"/>
      </w:pPr>
    </w:p>
    <w:p w:rsidR="001D24BA" w:rsidRDefault="001D24BA">
      <w:pPr>
        <w:rPr>
          <w:b/>
        </w:rPr>
      </w:pPr>
      <w:r>
        <w:rPr>
          <w:b/>
        </w:rPr>
        <w:t>4.  The Respondents and the Information Requested</w:t>
      </w:r>
    </w:p>
    <w:p w:rsidR="001D24BA" w:rsidRDefault="001D24BA"/>
    <w:p w:rsidR="001D24BA" w:rsidRDefault="001D24BA">
      <w:pPr>
        <w:pBdr>
          <w:top w:val="single" w:sz="6" w:space="0" w:color="FFFFFF"/>
          <w:left w:val="single" w:sz="6" w:space="0" w:color="FFFFFF"/>
          <w:bottom w:val="single" w:sz="6" w:space="0" w:color="FFFFFF"/>
          <w:right w:val="single" w:sz="6" w:space="0" w:color="FFFFFF"/>
        </w:pBdr>
        <w:ind w:firstLine="720"/>
      </w:pPr>
      <w:r>
        <w:rPr>
          <w:b/>
          <w:bCs/>
        </w:rPr>
        <w:t>4(a</w:t>
      </w:r>
      <w:proofErr w:type="gramStart"/>
      <w:r>
        <w:rPr>
          <w:b/>
          <w:bCs/>
        </w:rPr>
        <w:t>)  Respondents</w:t>
      </w:r>
      <w:proofErr w:type="gramEnd"/>
      <w:r>
        <w:rPr>
          <w:b/>
          <w:bCs/>
        </w:rPr>
        <w:t>/SIC Codes</w:t>
      </w:r>
    </w:p>
    <w:p w:rsidR="001D24BA" w:rsidRDefault="001D24BA">
      <w:pPr>
        <w:ind w:firstLine="720"/>
      </w:pPr>
    </w:p>
    <w:p w:rsidR="001D24BA" w:rsidRDefault="001D24BA">
      <w:pPr>
        <w:ind w:firstLine="720"/>
      </w:pPr>
      <w:r>
        <w:t>Respondents are owners or operators of new, modified or reconstructed stationary SI ICE, as well as manufacturers of stationary SI ICE.  These standards affect any industry, state, local, or tribal government using a stationary SI internal combustion engine.  The North American Industrial Classification System (NAICS) codes for facilities using stationary SI ICE affected by the regulation include:  2211 (Electric Power Generation, Transmission, or Distribution); 622110 (Medical and Surgical Hospitals); 335312 (Motor and Generator Manufacturing); 33391 (Pump and Compressor Manufacturing); 333992 (Welding and Soldering Equipment Manufacturing); 486210 (Pipeline Transportation of Natural Gas); 211111 (Crude Petroleum and Natural Gas Production); 2111112 (Natural Gas Liquids Producers); and 92811 (National security).</w:t>
      </w:r>
    </w:p>
    <w:p w:rsidR="001D24BA" w:rsidRDefault="001D24BA">
      <w:pPr>
        <w:ind w:firstLine="720"/>
      </w:pPr>
    </w:p>
    <w:p w:rsidR="001D24BA" w:rsidRDefault="001D24BA">
      <w:pPr>
        <w:pBdr>
          <w:top w:val="single" w:sz="6" w:space="0" w:color="FFFFFF"/>
          <w:left w:val="single" w:sz="6" w:space="0" w:color="FFFFFF"/>
          <w:bottom w:val="single" w:sz="6" w:space="0" w:color="FFFFFF"/>
          <w:right w:val="single" w:sz="6" w:space="0" w:color="FFFFFF"/>
        </w:pBdr>
        <w:ind w:firstLine="720"/>
      </w:pPr>
      <w:r>
        <w:rPr>
          <w:b/>
          <w:bCs/>
        </w:rPr>
        <w:t>4</w:t>
      </w:r>
      <w:r>
        <w:rPr>
          <w:b/>
        </w:rPr>
        <w:t>(b</w:t>
      </w:r>
      <w:proofErr w:type="gramStart"/>
      <w:r>
        <w:rPr>
          <w:b/>
        </w:rPr>
        <w:t>)</w:t>
      </w:r>
      <w:r>
        <w:rPr>
          <w:b/>
          <w:bCs/>
        </w:rPr>
        <w:t xml:space="preserve">  </w:t>
      </w:r>
      <w:r>
        <w:rPr>
          <w:b/>
        </w:rPr>
        <w:t>Information</w:t>
      </w:r>
      <w:proofErr w:type="gramEnd"/>
      <w:r>
        <w:rPr>
          <w:b/>
        </w:rPr>
        <w:t xml:space="preserve"> Requested</w:t>
      </w:r>
      <w:r>
        <w:t xml:space="preserve"> </w:t>
      </w:r>
    </w:p>
    <w:p w:rsidR="001D24BA" w:rsidRDefault="001D24BA"/>
    <w:p w:rsidR="001D24BA" w:rsidRDefault="001D24BA">
      <w:pPr>
        <w:pBdr>
          <w:top w:val="single" w:sz="6" w:space="0" w:color="FFFFFF"/>
          <w:left w:val="single" w:sz="6" w:space="0" w:color="FFFFFF"/>
          <w:bottom w:val="single" w:sz="6" w:space="0" w:color="FFFFFF"/>
          <w:right w:val="single" w:sz="6" w:space="0" w:color="FFFFFF"/>
        </w:pBdr>
        <w:ind w:firstLine="1440"/>
      </w:pPr>
      <w:r>
        <w:rPr>
          <w:b/>
        </w:rPr>
        <w:t>(i)</w:t>
      </w:r>
      <w:r>
        <w:rPr>
          <w:b/>
          <w:bCs/>
        </w:rPr>
        <w:t xml:space="preserve">  </w:t>
      </w:r>
      <w:r>
        <w:rPr>
          <w:b/>
        </w:rPr>
        <w:t>Data Items</w:t>
      </w:r>
    </w:p>
    <w:p w:rsidR="001D24BA" w:rsidRDefault="001D24BA">
      <w:pPr>
        <w:ind w:firstLine="720"/>
      </w:pPr>
    </w:p>
    <w:p w:rsidR="001D24BA" w:rsidRDefault="001D24BA">
      <w:pPr>
        <w:ind w:firstLine="720"/>
      </w:pPr>
      <w:r>
        <w:t xml:space="preserve">In this ICR, all the data that is recorded or reported is required by </w:t>
      </w:r>
      <w:r>
        <w:rPr>
          <w:bCs/>
        </w:rPr>
        <w:t xml:space="preserve">NSPS for Stationary Spark Ignition Internal Combustion Engines (40 CFR </w:t>
      </w:r>
      <w:proofErr w:type="gramStart"/>
      <w:r>
        <w:rPr>
          <w:bCs/>
        </w:rPr>
        <w:t>part</w:t>
      </w:r>
      <w:proofErr w:type="gramEnd"/>
      <w:r>
        <w:rPr>
          <w:bCs/>
        </w:rPr>
        <w:t xml:space="preserve"> 60, subpart JJJJ). </w:t>
      </w:r>
    </w:p>
    <w:p w:rsidR="001D24BA" w:rsidRDefault="001D24BA">
      <w:pPr>
        <w:ind w:firstLine="720"/>
      </w:pPr>
    </w:p>
    <w:p w:rsidR="001D24BA" w:rsidRDefault="001D24BA">
      <w:pPr>
        <w:ind w:firstLine="720"/>
      </w:pPr>
      <w:r>
        <w:t>A source must keep the following records:</w:t>
      </w:r>
    </w:p>
    <w:p w:rsidR="001D24BA" w:rsidRDefault="001D24BA">
      <w:pPr>
        <w:ind w:firstLine="720"/>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7110"/>
        <w:gridCol w:w="2250"/>
      </w:tblGrid>
      <w:tr w:rsidR="001D24BA">
        <w:trPr>
          <w:cantSplit/>
          <w:tblHeader/>
          <w:jc w:val="center"/>
        </w:trPr>
        <w:tc>
          <w:tcPr>
            <w:tcW w:w="9360" w:type="dxa"/>
            <w:gridSpan w:val="2"/>
          </w:tcPr>
          <w:p w:rsidR="001D24BA" w:rsidRDefault="001D24BA">
            <w:pPr>
              <w:jc w:val="center"/>
              <w:rPr>
                <w:b/>
              </w:rPr>
            </w:pPr>
            <w:r>
              <w:rPr>
                <w:b/>
              </w:rPr>
              <w:t>Recordkeeping</w:t>
            </w:r>
          </w:p>
        </w:tc>
      </w:tr>
      <w:tr w:rsidR="001D24BA">
        <w:trPr>
          <w:cantSplit/>
          <w:jc w:val="center"/>
        </w:trPr>
        <w:tc>
          <w:tcPr>
            <w:tcW w:w="7110" w:type="dxa"/>
          </w:tcPr>
          <w:p w:rsidR="001D24BA" w:rsidRDefault="001D24BA">
            <w:r>
              <w:t>Maintain records of initial notifications for sources with non-certified engines with a maximum hp greater than or equal to 500.</w:t>
            </w:r>
          </w:p>
        </w:tc>
        <w:tc>
          <w:tcPr>
            <w:tcW w:w="2250" w:type="dxa"/>
          </w:tcPr>
          <w:p w:rsidR="001D24BA" w:rsidRDefault="001D24BA">
            <w:r>
              <w:t>§60.4245(c)</w:t>
            </w:r>
          </w:p>
        </w:tc>
      </w:tr>
      <w:tr w:rsidR="001D24BA">
        <w:trPr>
          <w:cantSplit/>
          <w:jc w:val="center"/>
        </w:trPr>
        <w:tc>
          <w:tcPr>
            <w:tcW w:w="7110" w:type="dxa"/>
          </w:tcPr>
          <w:p w:rsidR="001D24BA" w:rsidRDefault="001D24BA">
            <w:r>
              <w:t>Maintain records of all maintenance conducted on any SI ICE.</w:t>
            </w:r>
          </w:p>
        </w:tc>
        <w:tc>
          <w:tcPr>
            <w:tcW w:w="2250" w:type="dxa"/>
          </w:tcPr>
          <w:p w:rsidR="001D24BA" w:rsidRDefault="001D24BA">
            <w:r>
              <w:t>§60.4245(a)(2)</w:t>
            </w:r>
          </w:p>
        </w:tc>
      </w:tr>
      <w:tr w:rsidR="001D24BA">
        <w:trPr>
          <w:cantSplit/>
          <w:jc w:val="center"/>
        </w:trPr>
        <w:tc>
          <w:tcPr>
            <w:tcW w:w="7110" w:type="dxa"/>
          </w:tcPr>
          <w:p w:rsidR="001D24BA" w:rsidRDefault="001D24BA">
            <w:r>
              <w:t>Maintain manufacturer’s certification information for any certified engine to demonstrate compliance.</w:t>
            </w:r>
          </w:p>
        </w:tc>
        <w:tc>
          <w:tcPr>
            <w:tcW w:w="2250" w:type="dxa"/>
          </w:tcPr>
          <w:p w:rsidR="001D24BA" w:rsidRDefault="001D24BA">
            <w:r>
              <w:t>§60.4245(a)(3)</w:t>
            </w:r>
          </w:p>
        </w:tc>
      </w:tr>
      <w:tr w:rsidR="001D24BA">
        <w:trPr>
          <w:cantSplit/>
          <w:jc w:val="center"/>
        </w:trPr>
        <w:tc>
          <w:tcPr>
            <w:tcW w:w="7110" w:type="dxa"/>
          </w:tcPr>
          <w:p w:rsidR="001D24BA" w:rsidRDefault="001D24BA">
            <w:r>
              <w:t>Maintain records of performance testing on any non-certified engine to demonstrate compliance.</w:t>
            </w:r>
          </w:p>
        </w:tc>
        <w:tc>
          <w:tcPr>
            <w:tcW w:w="2250" w:type="dxa"/>
          </w:tcPr>
          <w:p w:rsidR="001D24BA" w:rsidRDefault="001D24BA">
            <w:r>
              <w:t>§60.4245(a)(4)</w:t>
            </w:r>
          </w:p>
        </w:tc>
      </w:tr>
      <w:tr w:rsidR="001D24BA">
        <w:trPr>
          <w:cantSplit/>
          <w:jc w:val="center"/>
        </w:trPr>
        <w:tc>
          <w:tcPr>
            <w:tcW w:w="7110" w:type="dxa"/>
          </w:tcPr>
          <w:p w:rsidR="001D24BA" w:rsidRDefault="001D24BA">
            <w:r>
              <w:t>Maintain records of the hours of operation spent during non-emergency operation for emergency stationary SI ICE.</w:t>
            </w:r>
          </w:p>
        </w:tc>
        <w:tc>
          <w:tcPr>
            <w:tcW w:w="2250" w:type="dxa"/>
          </w:tcPr>
          <w:p w:rsidR="001D24BA" w:rsidRDefault="001D24BA">
            <w:r>
              <w:t>§60.4245(b)</w:t>
            </w:r>
          </w:p>
        </w:tc>
      </w:tr>
    </w:tbl>
    <w:p w:rsidR="001D24BA" w:rsidRDefault="001D24BA"/>
    <w:tbl>
      <w:tblPr>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000"/>
      </w:tblPr>
      <w:tblGrid>
        <w:gridCol w:w="7134"/>
        <w:gridCol w:w="2226"/>
      </w:tblGrid>
      <w:tr w:rsidR="001D24BA">
        <w:trPr>
          <w:cantSplit/>
          <w:tblHeader/>
          <w:jc w:val="center"/>
        </w:trPr>
        <w:tc>
          <w:tcPr>
            <w:tcW w:w="9270" w:type="dxa"/>
            <w:gridSpan w:val="2"/>
          </w:tcPr>
          <w:p w:rsidR="001D24BA" w:rsidRDefault="001D24BA">
            <w:pPr>
              <w:jc w:val="center"/>
              <w:rPr>
                <w:b/>
              </w:rPr>
            </w:pPr>
            <w:r>
              <w:rPr>
                <w:b/>
              </w:rPr>
              <w:t>Reporting</w:t>
            </w:r>
          </w:p>
        </w:tc>
      </w:tr>
      <w:tr w:rsidR="001D24BA">
        <w:trPr>
          <w:cantSplit/>
          <w:jc w:val="center"/>
        </w:trPr>
        <w:tc>
          <w:tcPr>
            <w:tcW w:w="7065" w:type="dxa"/>
          </w:tcPr>
          <w:p w:rsidR="001D24BA" w:rsidRDefault="001D24BA">
            <w:r>
              <w:t xml:space="preserve">Initial notification requirements for owners/operators of non-emergency non-certified stationary SI ICE with a maximum horsepower greater than or equal to 500 HP. </w:t>
            </w:r>
          </w:p>
        </w:tc>
        <w:tc>
          <w:tcPr>
            <w:tcW w:w="2205" w:type="dxa"/>
          </w:tcPr>
          <w:p w:rsidR="001D24BA" w:rsidRDefault="001D24BA">
            <w:r>
              <w:t xml:space="preserve">§60.7(a)(1) </w:t>
            </w:r>
          </w:p>
          <w:p w:rsidR="001D24BA" w:rsidRDefault="001D24BA">
            <w:r>
              <w:t>and</w:t>
            </w:r>
          </w:p>
          <w:p w:rsidR="001D24BA" w:rsidRDefault="001D24BA">
            <w:r>
              <w:t xml:space="preserve">§60.4245(c) </w:t>
            </w:r>
          </w:p>
        </w:tc>
      </w:tr>
      <w:tr w:rsidR="001D24BA">
        <w:trPr>
          <w:cantSplit/>
          <w:jc w:val="center"/>
        </w:trPr>
        <w:tc>
          <w:tcPr>
            <w:tcW w:w="7065" w:type="dxa"/>
          </w:tcPr>
          <w:p w:rsidR="001D24BA" w:rsidRDefault="001D24BA">
            <w:r>
              <w:t>For owners and operators of non-certified stationary SI ICE with a maximum hp greater than 500, a copy of their performance test that demonstrates compliance as conducted in §60.4244.</w:t>
            </w:r>
          </w:p>
        </w:tc>
        <w:tc>
          <w:tcPr>
            <w:tcW w:w="2205" w:type="dxa"/>
          </w:tcPr>
          <w:p w:rsidR="001D24BA" w:rsidRDefault="001D24BA">
            <w:r>
              <w:t>§60.4245(d)</w:t>
            </w:r>
          </w:p>
        </w:tc>
      </w:tr>
    </w:tbl>
    <w:p w:rsidR="001D24BA" w:rsidRDefault="001D24BA"/>
    <w:p w:rsidR="001D24BA" w:rsidRDefault="001D24BA">
      <w:pPr>
        <w:rPr>
          <w:u w:val="single"/>
        </w:rPr>
      </w:pPr>
      <w:r>
        <w:rPr>
          <w:u w:val="single"/>
        </w:rPr>
        <w:t>Electronic Reporting</w:t>
      </w:r>
    </w:p>
    <w:p w:rsidR="001D24BA" w:rsidRDefault="001D24BA">
      <w:pPr>
        <w:ind w:firstLine="720"/>
      </w:pPr>
    </w:p>
    <w:p w:rsidR="001D24BA" w:rsidRDefault="001D24BA">
      <w:pPr>
        <w:ind w:firstLine="720"/>
      </w:pPr>
      <w:r>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001D24BA" w:rsidRDefault="001D24BA">
      <w:pPr>
        <w:ind w:firstLine="720"/>
      </w:pPr>
    </w:p>
    <w:p w:rsidR="001D24BA" w:rsidRDefault="001D24BA">
      <w:pPr>
        <w:ind w:firstLine="720"/>
      </w:pPr>
      <w:r>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rsidR="001D24BA" w:rsidRDefault="001D24BA">
      <w:pPr>
        <w:ind w:firstLine="720"/>
      </w:pPr>
    </w:p>
    <w:p w:rsidR="001D24BA" w:rsidRDefault="001D24BA">
      <w:pPr>
        <w:ind w:left="1440"/>
        <w:rPr>
          <w:b/>
        </w:rPr>
      </w:pPr>
      <w:r>
        <w:rPr>
          <w:b/>
        </w:rPr>
        <w:t>(ii)  Respondent Activities</w:t>
      </w:r>
    </w:p>
    <w:p w:rsidR="001D24BA" w:rsidRDefault="001D24BA">
      <w:pPr>
        <w:ind w:firstLine="720"/>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9360"/>
      </w:tblGrid>
      <w:tr w:rsidR="001D24BA">
        <w:trPr>
          <w:cantSplit/>
          <w:tblHeader/>
          <w:jc w:val="center"/>
        </w:trPr>
        <w:tc>
          <w:tcPr>
            <w:tcW w:w="9360" w:type="dxa"/>
          </w:tcPr>
          <w:p w:rsidR="001D24BA" w:rsidRDefault="001D24BA">
            <w:pPr>
              <w:jc w:val="center"/>
              <w:rPr>
                <w:b/>
              </w:rPr>
            </w:pPr>
            <w:r>
              <w:rPr>
                <w:b/>
              </w:rPr>
              <w:t>Respondent Activities</w:t>
            </w:r>
          </w:p>
        </w:tc>
      </w:tr>
      <w:tr w:rsidR="001D24BA">
        <w:trPr>
          <w:cantSplit/>
          <w:jc w:val="center"/>
        </w:trPr>
        <w:tc>
          <w:tcPr>
            <w:tcW w:w="9360" w:type="dxa"/>
          </w:tcPr>
          <w:p w:rsidR="001D24BA" w:rsidRDefault="001D24BA">
            <w:r>
              <w:t>Read instructions.</w:t>
            </w:r>
          </w:p>
        </w:tc>
      </w:tr>
      <w:tr w:rsidR="001D24BA">
        <w:trPr>
          <w:cantSplit/>
          <w:jc w:val="center"/>
        </w:trPr>
        <w:tc>
          <w:tcPr>
            <w:tcW w:w="9360" w:type="dxa"/>
          </w:tcPr>
          <w:p w:rsidR="001D24BA" w:rsidRDefault="001D24BA">
            <w:pPr>
              <w:rPr>
                <w:highlight w:val="yellow"/>
              </w:rPr>
            </w:pPr>
            <w:r>
              <w:t xml:space="preserve">Perform required activities to certify stationary SI ICE to meet emission limitations for nitrogen oxides (NOx), carbon monoxide (CO), and hydrocarbons (HC), non-methane hydrocarbons (NMHC), and volatile organic compounds (VOC).   </w:t>
            </w:r>
          </w:p>
        </w:tc>
      </w:tr>
      <w:tr w:rsidR="001D24BA">
        <w:trPr>
          <w:cantSplit/>
          <w:jc w:val="center"/>
        </w:trPr>
        <w:tc>
          <w:tcPr>
            <w:tcW w:w="9360" w:type="dxa"/>
          </w:tcPr>
          <w:p w:rsidR="001D24BA" w:rsidRDefault="001D24BA">
            <w:r>
              <w:t>Gather existing information (performance test results from a similar engine, engine manufacturer or control device vendor information that shows the engine will meet emission limitations)</w:t>
            </w:r>
          </w:p>
        </w:tc>
      </w:tr>
      <w:tr w:rsidR="001D24BA">
        <w:trPr>
          <w:cantSplit/>
          <w:jc w:val="center"/>
        </w:trPr>
        <w:tc>
          <w:tcPr>
            <w:tcW w:w="9360" w:type="dxa"/>
          </w:tcPr>
          <w:p w:rsidR="001D24BA" w:rsidRDefault="001D24BA">
            <w:r>
              <w:t>Write the notifications and reports listed above.</w:t>
            </w:r>
          </w:p>
        </w:tc>
      </w:tr>
      <w:tr w:rsidR="001D24BA">
        <w:trPr>
          <w:cantSplit/>
          <w:jc w:val="center"/>
        </w:trPr>
        <w:tc>
          <w:tcPr>
            <w:tcW w:w="9360" w:type="dxa"/>
          </w:tcPr>
          <w:p w:rsidR="001D24BA" w:rsidRDefault="001D24BA">
            <w:r>
              <w:t xml:space="preserve">Record engine maintenance. </w:t>
            </w:r>
          </w:p>
        </w:tc>
      </w:tr>
      <w:tr w:rsidR="001D24BA">
        <w:trPr>
          <w:cantSplit/>
          <w:jc w:val="center"/>
        </w:trPr>
        <w:tc>
          <w:tcPr>
            <w:tcW w:w="9360" w:type="dxa"/>
          </w:tcPr>
          <w:p w:rsidR="001D24BA" w:rsidRDefault="001D24BA">
            <w:r>
              <w:t>Train personnel to be able to respond to a collection of information.</w:t>
            </w:r>
          </w:p>
        </w:tc>
      </w:tr>
      <w:tr w:rsidR="001D24BA">
        <w:trPr>
          <w:cantSplit/>
          <w:jc w:val="center"/>
        </w:trPr>
        <w:tc>
          <w:tcPr>
            <w:tcW w:w="9360" w:type="dxa"/>
          </w:tcPr>
          <w:p w:rsidR="001D24BA" w:rsidRDefault="001D24BA">
            <w:r>
              <w:t>Record hours in non-emergency operation</w:t>
            </w:r>
          </w:p>
        </w:tc>
      </w:tr>
    </w:tbl>
    <w:p w:rsidR="001D24BA" w:rsidRDefault="001D24BA"/>
    <w:p w:rsidR="001D24BA" w:rsidRDefault="001D24BA">
      <w:pPr>
        <w:rPr>
          <w:b/>
        </w:rPr>
      </w:pPr>
      <w:r>
        <w:rPr>
          <w:b/>
        </w:rPr>
        <w:t>5.  The Information Collected:  Agency Activities, Collection Methodology, and Information Management</w:t>
      </w:r>
    </w:p>
    <w:p w:rsidR="001D24BA" w:rsidRDefault="001D24BA"/>
    <w:p w:rsidR="001D24BA" w:rsidRDefault="001D24BA">
      <w:pPr>
        <w:ind w:left="720"/>
        <w:rPr>
          <w:b/>
        </w:rPr>
      </w:pPr>
      <w:r>
        <w:rPr>
          <w:b/>
        </w:rPr>
        <w:t>5(a</w:t>
      </w:r>
      <w:proofErr w:type="gramStart"/>
      <w:r>
        <w:rPr>
          <w:b/>
        </w:rPr>
        <w:t>)  Agency</w:t>
      </w:r>
      <w:proofErr w:type="gramEnd"/>
      <w:r>
        <w:rPr>
          <w:b/>
        </w:rPr>
        <w:t xml:space="preserve"> Activities  </w:t>
      </w:r>
    </w:p>
    <w:p w:rsidR="001D24BA" w:rsidRDefault="001D24BA">
      <w:pPr>
        <w:ind w:firstLine="720"/>
      </w:pPr>
    </w:p>
    <w:p w:rsidR="001D24BA" w:rsidRDefault="001D24BA">
      <w:pPr>
        <w:ind w:firstLine="720"/>
      </w:pPr>
      <w:r>
        <w:t>EPA conducts the following activities in connection with the acquisition, analysis, storage, and distribution of the required information.</w:t>
      </w:r>
    </w:p>
    <w:p w:rsidR="001D24BA" w:rsidRDefault="001D24BA">
      <w:pPr>
        <w:ind w:firstLine="720"/>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tblPr>
      <w:tblGrid>
        <w:gridCol w:w="9360"/>
      </w:tblGrid>
      <w:tr w:rsidR="001D24BA">
        <w:trPr>
          <w:cantSplit/>
          <w:tblHeader/>
          <w:jc w:val="center"/>
        </w:trPr>
        <w:tc>
          <w:tcPr>
            <w:tcW w:w="9360" w:type="dxa"/>
          </w:tcPr>
          <w:p w:rsidR="001D24BA" w:rsidRDefault="001D24BA">
            <w:pPr>
              <w:jc w:val="center"/>
              <w:rPr>
                <w:b/>
              </w:rPr>
            </w:pPr>
            <w:r>
              <w:rPr>
                <w:b/>
              </w:rPr>
              <w:t>Agency Activities</w:t>
            </w:r>
          </w:p>
        </w:tc>
      </w:tr>
      <w:tr w:rsidR="001D24BA">
        <w:trPr>
          <w:cantSplit/>
          <w:jc w:val="center"/>
        </w:trPr>
        <w:tc>
          <w:tcPr>
            <w:tcW w:w="9360" w:type="dxa"/>
          </w:tcPr>
          <w:p w:rsidR="001D24BA" w:rsidRDefault="001D24BA">
            <w:r>
              <w:t>Review initial notifications required to be submitted by industry.</w:t>
            </w:r>
          </w:p>
        </w:tc>
      </w:tr>
      <w:tr w:rsidR="001D24BA">
        <w:trPr>
          <w:cantSplit/>
          <w:jc w:val="center"/>
        </w:trPr>
        <w:tc>
          <w:tcPr>
            <w:tcW w:w="9360" w:type="dxa"/>
          </w:tcPr>
          <w:p w:rsidR="001D24BA" w:rsidRDefault="001D24BA">
            <w:r>
              <w:t xml:space="preserve">Review engine certification for non-certified engine. </w:t>
            </w:r>
          </w:p>
        </w:tc>
      </w:tr>
      <w:tr w:rsidR="001D24BA">
        <w:trPr>
          <w:cantSplit/>
          <w:jc w:val="center"/>
        </w:trPr>
        <w:tc>
          <w:tcPr>
            <w:tcW w:w="9360" w:type="dxa"/>
          </w:tcPr>
          <w:p w:rsidR="001D24BA" w:rsidRDefault="001D24BA">
            <w:r>
              <w:t xml:space="preserve">Review engine certification from nonroad to stationary. </w:t>
            </w:r>
          </w:p>
        </w:tc>
      </w:tr>
      <w:tr w:rsidR="001D24BA">
        <w:trPr>
          <w:cantSplit/>
          <w:jc w:val="center"/>
        </w:trPr>
        <w:tc>
          <w:tcPr>
            <w:tcW w:w="9360" w:type="dxa"/>
          </w:tcPr>
          <w:p w:rsidR="001D24BA" w:rsidRDefault="001D24BA">
            <w:r>
              <w:t xml:space="preserve">Review performance test reports. </w:t>
            </w:r>
          </w:p>
        </w:tc>
      </w:tr>
    </w:tbl>
    <w:p w:rsidR="001D24BA" w:rsidRDefault="001D24BA">
      <w:pPr>
        <w:ind w:left="720"/>
        <w:rPr>
          <w:b/>
        </w:rPr>
      </w:pPr>
      <w:r>
        <w:rPr>
          <w:b/>
        </w:rPr>
        <w:t>5(b</w:t>
      </w:r>
      <w:proofErr w:type="gramStart"/>
      <w:r>
        <w:rPr>
          <w:b/>
        </w:rPr>
        <w:t>)  Collection</w:t>
      </w:r>
      <w:proofErr w:type="gramEnd"/>
      <w:r>
        <w:rPr>
          <w:b/>
        </w:rPr>
        <w:t xml:space="preserve"> Methodology and Management</w:t>
      </w:r>
    </w:p>
    <w:p w:rsidR="001D24BA" w:rsidRDefault="001D24BA">
      <w:pPr>
        <w:ind w:firstLine="720"/>
      </w:pPr>
    </w:p>
    <w:p w:rsidR="001D24BA" w:rsidRDefault="001D24BA">
      <w:pPr>
        <w:ind w:firstLine="720"/>
      </w:pPr>
      <w:r>
        <w:t xml:space="preserve">Data obtained during periodic visits by EPA personnel, from records maintained by the respondents, and from information provided in notifications will be tabulated and published for internal EPA use in compliance and enforcement programs.  </w:t>
      </w:r>
    </w:p>
    <w:p w:rsidR="001D24BA" w:rsidRDefault="001D24BA">
      <w:pPr>
        <w:ind w:firstLine="720"/>
      </w:pPr>
    </w:p>
    <w:p w:rsidR="001D24BA" w:rsidRDefault="001D24BA">
      <w:pPr>
        <w:ind w:firstLine="720"/>
      </w:pPr>
      <w:r>
        <w:lastRenderedPageBreak/>
        <w:t>Information contained in the reports is entered into the Air Facility System (AFS) which is operated and maintained by the EPA Office of Compliance.  AFS is the EPA database for the collection, maintenance, and retrieval of compliance data for approximately 125,000 industrial and government-owned facilities.  EPA uses the AFS for tracking air pollution compliance and enforcement by local and state regulatory agencies, EPA regional offices and EPA headquarters.  EPA and its delegated Authorities can edit, store, retrieve, and analyze the data.</w:t>
      </w:r>
    </w:p>
    <w:p w:rsidR="001D24BA" w:rsidRDefault="001D24BA">
      <w:pPr>
        <w:ind w:firstLine="720"/>
      </w:pPr>
    </w:p>
    <w:p w:rsidR="001D24BA" w:rsidRDefault="001D24BA">
      <w:pPr>
        <w:ind w:firstLine="720"/>
      </w:pPr>
      <w:r>
        <w:t>The records required by this regulation must be retained by the owner/operator for two years.</w:t>
      </w:r>
    </w:p>
    <w:p w:rsidR="001D24BA" w:rsidRDefault="001D24BA">
      <w:pPr>
        <w:ind w:firstLine="720"/>
      </w:pPr>
    </w:p>
    <w:p w:rsidR="001D24BA" w:rsidRDefault="001D24BA">
      <w:pPr>
        <w:ind w:left="720"/>
        <w:rPr>
          <w:b/>
        </w:rPr>
      </w:pPr>
      <w:r>
        <w:rPr>
          <w:b/>
        </w:rPr>
        <w:t>5(c</w:t>
      </w:r>
      <w:proofErr w:type="gramStart"/>
      <w:r>
        <w:rPr>
          <w:b/>
        </w:rPr>
        <w:t>)  Small</w:t>
      </w:r>
      <w:proofErr w:type="gramEnd"/>
      <w:r>
        <w:rPr>
          <w:b/>
        </w:rPr>
        <w:t xml:space="preserve"> Entity Flexibility</w:t>
      </w:r>
    </w:p>
    <w:p w:rsidR="001D24BA" w:rsidRDefault="001D24BA">
      <w:pPr>
        <w:ind w:firstLine="720"/>
      </w:pPr>
    </w:p>
    <w:p w:rsidR="001D24BA" w:rsidRDefault="001D24BA">
      <w:pPr>
        <w:ind w:firstLine="720"/>
      </w:pPr>
      <w:r>
        <w:t xml:space="preserve">A majority of the respondents are large entities (i.e., large businesses).  However, the impact on small entities (i.e., small businesses) was taken into consideration during the development of the regulation.  The Agency conducted several meetings with industry trade associations to discuss regulatory options and the corresponding recordkeeping and reporting burden on industry.  The Agency considers the current recordkeeping and reporting requirements to be the minimum requirements needed to ensure compliance.  To the extent that larger businesses can use economies of scale to reduce their burden, the overall burden will be reduced.  Although the rule does not have a significant economic impact on a substantial number of small entities, the Agency nonetheless tried to reduce the impact. </w:t>
      </w:r>
    </w:p>
    <w:p w:rsidR="001D24BA" w:rsidRDefault="001D24BA">
      <w:pPr>
        <w:ind w:firstLine="720"/>
      </w:pPr>
    </w:p>
    <w:p w:rsidR="001D24BA" w:rsidRDefault="001D24BA">
      <w:pPr>
        <w:ind w:firstLine="720"/>
      </w:pPr>
      <w:r>
        <w:t xml:space="preserve">During development of the rule, five of the 21 businesses evaluated were small according to the Small Business Administration (SBA) small business size standard.  </w:t>
      </w:r>
      <w:proofErr w:type="gramStart"/>
      <w:r>
        <w:t>Applying this data to the respondent universe for this ICR results in approximately 24 percent or 3,940 small entities impacted by this ICR.</w:t>
      </w:r>
      <w:proofErr w:type="gramEnd"/>
    </w:p>
    <w:p w:rsidR="001D24BA" w:rsidRDefault="001D24BA">
      <w:pPr>
        <w:rPr>
          <w:b/>
          <w:bCs/>
        </w:rPr>
      </w:pPr>
    </w:p>
    <w:p w:rsidR="001D24BA" w:rsidRDefault="001D24BA">
      <w:pPr>
        <w:pBdr>
          <w:top w:val="single" w:sz="6" w:space="0" w:color="FFFFFF"/>
          <w:left w:val="single" w:sz="6" w:space="0" w:color="FFFFFF"/>
          <w:bottom w:val="single" w:sz="6" w:space="0" w:color="FFFFFF"/>
          <w:right w:val="single" w:sz="6" w:space="0" w:color="FFFFFF"/>
        </w:pBdr>
        <w:ind w:firstLine="720"/>
      </w:pPr>
      <w:r>
        <w:rPr>
          <w:b/>
          <w:bCs/>
        </w:rPr>
        <w:t>5(d</w:t>
      </w:r>
      <w:proofErr w:type="gramStart"/>
      <w:r>
        <w:rPr>
          <w:b/>
          <w:bCs/>
        </w:rPr>
        <w:t>)  Collection</w:t>
      </w:r>
      <w:proofErr w:type="gramEnd"/>
      <w:r>
        <w:rPr>
          <w:b/>
          <w:bCs/>
        </w:rPr>
        <w:t xml:space="preserve"> Schedule</w:t>
      </w:r>
    </w:p>
    <w:p w:rsidR="001D24BA" w:rsidRDefault="001D24BA">
      <w:pPr>
        <w:ind w:firstLine="720"/>
      </w:pPr>
    </w:p>
    <w:p w:rsidR="001D24BA" w:rsidRDefault="001D24BA">
      <w:pPr>
        <w:ind w:firstLine="720"/>
      </w:pPr>
      <w:r>
        <w:t xml:space="preserve">Owners and operators who must submit an initial notification must submit the initial notification no later than 30 days after the date construction or reconstruction commences.  Records of hours of operation for emergency stationary SI ICE and justification of why the engine was operated must be maintained continuously.  Owners and operators of non-certified SI ICE must conduct initial performance tests according to the schedule in 40 CFR 60.8(f).  Owners and operators of non-certified SI ICE that are greater than 500 hp must conduct subsequent performance tests every 3 years or 8,760 hours, whichever comes first.  Owners and operators of all SI ICE must record any maintenance conducted on the engine.  Other reporting requirements are associated with engine certification to the emission standards, which begin to apply as early as July 2007 for some engines.  </w:t>
      </w:r>
    </w:p>
    <w:p w:rsidR="001D24BA" w:rsidRDefault="001D24BA">
      <w:pPr>
        <w:ind w:firstLine="720"/>
        <w:rPr>
          <w:b/>
          <w:bCs/>
        </w:rPr>
      </w:pPr>
    </w:p>
    <w:p w:rsidR="001D24BA" w:rsidRDefault="001D24BA">
      <w:pPr>
        <w:rPr>
          <w:b/>
        </w:rPr>
      </w:pPr>
      <w:r>
        <w:rPr>
          <w:b/>
        </w:rPr>
        <w:t>6.  Estimating the Burden and Cost of the Collection</w:t>
      </w:r>
    </w:p>
    <w:p w:rsidR="001D24BA" w:rsidRDefault="001D24BA">
      <w:pPr>
        <w:ind w:firstLine="720"/>
      </w:pPr>
    </w:p>
    <w:p w:rsidR="001D24BA" w:rsidRDefault="001D24BA">
      <w:pPr>
        <w:ind w:firstLine="720"/>
      </w:pPr>
      <w:r>
        <w:t xml:space="preserve">Table 1 documents the computation of individual burdens for the recordkeeping and reporting requirements applicable to the industry for the subpart included in this ICR.  The individual burdens are expressed under standardized headings believed to be consistent with the </w:t>
      </w:r>
      <w:r>
        <w:lastRenderedPageBreak/>
        <w:t xml:space="preserve">concept of burden under the Paperwork Reduction Act.  </w:t>
      </w:r>
      <w:proofErr w:type="gramStart"/>
      <w:r>
        <w:t>Where appropriate, specific tasks and major assumptions have been identified.</w:t>
      </w:r>
      <w:proofErr w:type="gramEnd"/>
      <w:r>
        <w:t xml:space="preserve">  Responses to this information collection are mandatory.</w:t>
      </w:r>
    </w:p>
    <w:p w:rsidR="001D24BA" w:rsidRDefault="001D24BA">
      <w:pPr>
        <w:ind w:firstLine="720"/>
      </w:pPr>
    </w:p>
    <w:p w:rsidR="001D24BA" w:rsidRDefault="001D24BA">
      <w:pPr>
        <w:ind w:firstLine="720"/>
      </w:pPr>
      <w:r>
        <w:t>The Agency may not conduct or sponsor, and a person is not required to respond to, a collection of information unless it displays a currently valid OMB Control Number.</w:t>
      </w:r>
    </w:p>
    <w:p w:rsidR="001D24BA" w:rsidRDefault="001D24BA">
      <w:pPr>
        <w:ind w:firstLine="720"/>
      </w:pPr>
    </w:p>
    <w:p w:rsidR="001D24BA" w:rsidRDefault="001D24BA">
      <w:pPr>
        <w:pBdr>
          <w:top w:val="single" w:sz="6" w:space="0" w:color="FFFFFF"/>
          <w:left w:val="single" w:sz="6" w:space="0" w:color="FFFFFF"/>
          <w:bottom w:val="single" w:sz="6" w:space="0" w:color="FFFFFF"/>
          <w:right w:val="single" w:sz="6" w:space="0" w:color="FFFFFF"/>
        </w:pBdr>
        <w:ind w:firstLine="720"/>
      </w:pPr>
      <w:r>
        <w:rPr>
          <w:b/>
          <w:bCs/>
        </w:rPr>
        <w:t>6(a</w:t>
      </w:r>
      <w:proofErr w:type="gramStart"/>
      <w:r>
        <w:rPr>
          <w:b/>
          <w:bCs/>
        </w:rPr>
        <w:t>)  Estimating</w:t>
      </w:r>
      <w:proofErr w:type="gramEnd"/>
      <w:r>
        <w:rPr>
          <w:b/>
          <w:bCs/>
        </w:rPr>
        <w:t xml:space="preserve"> Respondent Burden</w:t>
      </w:r>
    </w:p>
    <w:p w:rsidR="001D24BA" w:rsidRDefault="001D24BA">
      <w:pPr>
        <w:ind w:firstLine="720"/>
      </w:pPr>
    </w:p>
    <w:p w:rsidR="001D24BA" w:rsidRDefault="001D24BA">
      <w:pPr>
        <w:ind w:firstLine="720"/>
      </w:pPr>
      <w:r>
        <w:t>The average annual burden to industry over the next three years from these recordkeeping and reporting requirements is estimated to be 22,634.  The recordkeeping hours shown in Table 1 are 20,101.  The reporting requirement hours shown in Table 1 are 2,533.  These hours are based on Agency studies and background documents from the development of the regulation, Agency knowledge and experience with the NSPS program, the previously approved ICR, and any comments received.</w:t>
      </w:r>
    </w:p>
    <w:p w:rsidR="001D24BA" w:rsidRDefault="001D24BA">
      <w:pPr>
        <w:ind w:firstLine="720"/>
      </w:pPr>
    </w:p>
    <w:p w:rsidR="001D24BA" w:rsidRDefault="001D24BA">
      <w:pPr>
        <w:ind w:firstLine="720"/>
        <w:rPr>
          <w:b/>
        </w:rPr>
      </w:pPr>
      <w:r>
        <w:rPr>
          <w:b/>
        </w:rPr>
        <w:t>6(b</w:t>
      </w:r>
      <w:proofErr w:type="gramStart"/>
      <w:r>
        <w:rPr>
          <w:b/>
        </w:rPr>
        <w:t>)  Estimating</w:t>
      </w:r>
      <w:proofErr w:type="gramEnd"/>
      <w:r>
        <w:rPr>
          <w:b/>
        </w:rPr>
        <w:t xml:space="preserve"> Respondent Costs</w:t>
      </w:r>
    </w:p>
    <w:p w:rsidR="001D24BA" w:rsidRDefault="001D24BA"/>
    <w:p w:rsidR="001D24BA" w:rsidRDefault="001D24BA">
      <w:pPr>
        <w:ind w:left="1440"/>
        <w:rPr>
          <w:b/>
        </w:rPr>
      </w:pPr>
      <w:r>
        <w:rPr>
          <w:b/>
        </w:rPr>
        <w:t xml:space="preserve">(i)  Estimating Labor Costs </w:t>
      </w:r>
    </w:p>
    <w:p w:rsidR="001D24BA" w:rsidRDefault="001D24BA">
      <w:pPr>
        <w:ind w:firstLine="720"/>
      </w:pPr>
    </w:p>
    <w:p w:rsidR="001D24BA" w:rsidRDefault="001D24BA">
      <w:pPr>
        <w:ind w:firstLine="720"/>
      </w:pPr>
      <w:r>
        <w:t xml:space="preserve">This ICR uses the following labor rates: </w:t>
      </w:r>
    </w:p>
    <w:p w:rsidR="001D24BA" w:rsidRDefault="001D24BA">
      <w:pPr>
        <w:ind w:firstLine="720"/>
      </w:pPr>
    </w:p>
    <w:p w:rsidR="001D24BA" w:rsidRDefault="001D24BA">
      <w:pPr>
        <w:ind w:left="1440"/>
      </w:pPr>
      <w:r>
        <w:t>Managerial</w:t>
      </w:r>
      <w:r>
        <w:tab/>
        <w:t xml:space="preserve">$116.05 ($55.26 + 110%)   </w:t>
      </w:r>
    </w:p>
    <w:p w:rsidR="001D24BA" w:rsidRDefault="001D24BA">
      <w:pPr>
        <w:ind w:left="1440"/>
      </w:pPr>
      <w:r>
        <w:t>Technical</w:t>
      </w:r>
      <w:r>
        <w:tab/>
        <w:t>$97.21 ($46.29 + 110%)</w:t>
      </w:r>
    </w:p>
    <w:p w:rsidR="001D24BA" w:rsidRDefault="001D24BA">
      <w:pPr>
        <w:ind w:left="1440"/>
      </w:pPr>
      <w:r>
        <w:t>Clerical</w:t>
      </w:r>
      <w:r>
        <w:tab/>
        <w:t>$48.87 ($23.27 + 110%)</w:t>
      </w:r>
    </w:p>
    <w:p w:rsidR="001D24BA" w:rsidRDefault="001D24BA"/>
    <w:p w:rsidR="001D24BA" w:rsidRDefault="001D24BA">
      <w:r>
        <w:t>These rates are from the U</w:t>
      </w:r>
      <w:r w:rsidR="000A19EF">
        <w:t>.</w:t>
      </w:r>
      <w:r>
        <w:t>S</w:t>
      </w:r>
      <w:r w:rsidR="000A19EF">
        <w:t>.</w:t>
      </w:r>
      <w:r>
        <w:t xml:space="preserve"> Department of Labor, Bureau of Labor Statistics, March 2010, Table 2. </w:t>
      </w:r>
      <w:proofErr w:type="gramStart"/>
      <w:r>
        <w:t>Civilian Workers, by Occupational and Industry group.</w:t>
      </w:r>
      <w:proofErr w:type="gramEnd"/>
      <w:r>
        <w:t xml:space="preserve">  The rates are from column 1, </w:t>
      </w:r>
      <w:r w:rsidR="000A19EF">
        <w:t>“</w:t>
      </w:r>
      <w:r>
        <w:t>Total Compensation.</w:t>
      </w:r>
      <w:r w:rsidR="000A19EF">
        <w:t>”</w:t>
      </w:r>
      <w:r>
        <w:t xml:space="preserve">  The rates have been increased by 110 percent to account for the benefit packages available to those employed by private industry.</w:t>
      </w:r>
    </w:p>
    <w:p w:rsidR="001D24BA" w:rsidRDefault="001D24BA"/>
    <w:p w:rsidR="001D24BA" w:rsidRDefault="001D24BA">
      <w:pPr>
        <w:pBdr>
          <w:top w:val="single" w:sz="6" w:space="0" w:color="FFFFFF"/>
          <w:left w:val="single" w:sz="6" w:space="0" w:color="FFFFFF"/>
          <w:bottom w:val="single" w:sz="6" w:space="0" w:color="FFFFFF"/>
          <w:right w:val="single" w:sz="6" w:space="0" w:color="FFFFFF"/>
        </w:pBdr>
        <w:ind w:firstLine="1440"/>
        <w:rPr>
          <w:b/>
          <w:bCs/>
        </w:rPr>
      </w:pPr>
      <w:r>
        <w:rPr>
          <w:b/>
          <w:bCs/>
        </w:rPr>
        <w:t>(ii)  Estimating Capital/Startup and Operation and Maintenance Costs</w:t>
      </w:r>
    </w:p>
    <w:p w:rsidR="001D24BA" w:rsidRDefault="001D24BA">
      <w:pPr>
        <w:ind w:firstLine="720"/>
      </w:pPr>
    </w:p>
    <w:p w:rsidR="001D24BA" w:rsidRDefault="001D24BA">
      <w:pPr>
        <w:ind w:firstLine="720"/>
      </w:pPr>
      <w: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rsidR="001D24BA" w:rsidRDefault="001D24BA">
      <w:pPr>
        <w:ind w:firstLine="720"/>
      </w:pPr>
    </w:p>
    <w:p w:rsidR="00DB08ED" w:rsidRDefault="00DB08ED">
      <w:pPr>
        <w:pBdr>
          <w:top w:val="single" w:sz="6" w:space="0" w:color="FFFFFF"/>
          <w:left w:val="single" w:sz="6" w:space="0" w:color="FFFFFF"/>
          <w:bottom w:val="single" w:sz="6" w:space="0" w:color="FFFFFF"/>
          <w:right w:val="single" w:sz="6" w:space="0" w:color="FFFFFF"/>
        </w:pBdr>
        <w:ind w:firstLine="1440"/>
        <w:rPr>
          <w:b/>
          <w:bCs/>
        </w:rPr>
      </w:pPr>
    </w:p>
    <w:p w:rsidR="00DB08ED" w:rsidRDefault="001D24BA">
      <w:pPr>
        <w:pBdr>
          <w:top w:val="single" w:sz="6" w:space="0" w:color="FFFFFF"/>
          <w:left w:val="single" w:sz="6" w:space="0" w:color="FFFFFF"/>
          <w:bottom w:val="single" w:sz="6" w:space="0" w:color="FFFFFF"/>
          <w:right w:val="single" w:sz="6" w:space="0" w:color="FFFFFF"/>
        </w:pBdr>
        <w:ind w:firstLine="1440"/>
      </w:pPr>
      <w:r>
        <w:rPr>
          <w:b/>
          <w:bCs/>
        </w:rPr>
        <w:t>(iii)  Capital/Startup vs. Operation and Maintenance (O&amp;M) Costs</w:t>
      </w:r>
    </w:p>
    <w:p w:rsidR="001D24BA" w:rsidRDefault="001D24BA">
      <w:pPr>
        <w:ind w:firstLine="720"/>
      </w:pPr>
      <w:r>
        <w:t xml:space="preserve">There is no capital/startup costs associated with this ICR. </w:t>
      </w:r>
    </w:p>
    <w:p w:rsidR="001D24BA" w:rsidRDefault="001D24BA">
      <w:pPr>
        <w:ind w:firstLine="720"/>
      </w:pPr>
    </w:p>
    <w:p w:rsidR="001D24BA" w:rsidRDefault="001D24BA">
      <w:pPr>
        <w:ind w:firstLine="720"/>
      </w:pPr>
      <w:r>
        <w:t xml:space="preserve">The total operation and maintenance (O&amp;M) costs for this ICR are $2,302,967.  This is </w:t>
      </w:r>
      <w:r w:rsidR="000A19EF">
        <w:t xml:space="preserve">   </w:t>
      </w:r>
      <w:r>
        <w:t xml:space="preserve">the average annual O&amp;M cost to industry over the next three years of the ICR.  The table below summarizes the various contributions to the average annual O&amp;M costs.  The costs for engine </w:t>
      </w:r>
      <w:r>
        <w:lastRenderedPageBreak/>
        <w:t>certifications for stationary use were taken from the previous ICR and adjusted based on the consumer price index increase of 9.8 percent between 2005 and 2010.  Based on the previous ICR, it is assumed that the cost for the initial certification test and subsequent retesting will be $1,000.</w:t>
      </w:r>
    </w:p>
    <w:p w:rsidR="001D24BA" w:rsidRDefault="001D24BA">
      <w:pPr>
        <w:ind w:firstLine="72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2"/>
        <w:gridCol w:w="2341"/>
        <w:gridCol w:w="2340"/>
        <w:gridCol w:w="2337"/>
      </w:tblGrid>
      <w:tr w:rsidR="001D24BA">
        <w:trPr>
          <w:cantSplit/>
          <w:jc w:val="center"/>
        </w:trPr>
        <w:tc>
          <w:tcPr>
            <w:tcW w:w="2394" w:type="dxa"/>
            <w:vAlign w:val="center"/>
          </w:tcPr>
          <w:p w:rsidR="001D24BA" w:rsidRDefault="001D24BA">
            <w:pPr>
              <w:jc w:val="center"/>
              <w:rPr>
                <w:sz w:val="20"/>
                <w:szCs w:val="20"/>
              </w:rPr>
            </w:pPr>
            <w:r>
              <w:rPr>
                <w:sz w:val="20"/>
                <w:szCs w:val="20"/>
              </w:rPr>
              <w:t>Burden Item</w:t>
            </w:r>
          </w:p>
        </w:tc>
        <w:tc>
          <w:tcPr>
            <w:tcW w:w="2394" w:type="dxa"/>
            <w:vAlign w:val="bottom"/>
          </w:tcPr>
          <w:p w:rsidR="001D24BA" w:rsidRDefault="001D24BA">
            <w:pPr>
              <w:jc w:val="center"/>
              <w:rPr>
                <w:sz w:val="20"/>
                <w:szCs w:val="20"/>
              </w:rPr>
            </w:pPr>
            <w:r>
              <w:rPr>
                <w:sz w:val="20"/>
                <w:szCs w:val="20"/>
              </w:rPr>
              <w:t>(A)</w:t>
            </w:r>
            <w:r>
              <w:rPr>
                <w:sz w:val="20"/>
                <w:szCs w:val="20"/>
              </w:rPr>
              <w:br/>
              <w:t>Number of Occurrences per Year</w:t>
            </w:r>
          </w:p>
        </w:tc>
        <w:tc>
          <w:tcPr>
            <w:tcW w:w="2394" w:type="dxa"/>
            <w:vAlign w:val="bottom"/>
          </w:tcPr>
          <w:p w:rsidR="001D24BA" w:rsidRDefault="001D24BA">
            <w:pPr>
              <w:jc w:val="center"/>
              <w:rPr>
                <w:sz w:val="20"/>
                <w:szCs w:val="20"/>
              </w:rPr>
            </w:pPr>
            <w:r>
              <w:rPr>
                <w:sz w:val="20"/>
                <w:szCs w:val="20"/>
              </w:rPr>
              <w:t>(B)</w:t>
            </w:r>
            <w:r>
              <w:rPr>
                <w:sz w:val="20"/>
                <w:szCs w:val="20"/>
              </w:rPr>
              <w:br/>
              <w:t>O&amp;M Cost per Occurrence</w:t>
            </w:r>
            <w:r>
              <w:rPr>
                <w:sz w:val="20"/>
                <w:szCs w:val="20"/>
                <w:vertAlign w:val="superscript"/>
              </w:rPr>
              <w:t>a</w:t>
            </w:r>
          </w:p>
        </w:tc>
        <w:tc>
          <w:tcPr>
            <w:tcW w:w="2394" w:type="dxa"/>
          </w:tcPr>
          <w:p w:rsidR="001D24BA" w:rsidRDefault="001D24BA">
            <w:pPr>
              <w:jc w:val="center"/>
              <w:rPr>
                <w:sz w:val="20"/>
                <w:szCs w:val="20"/>
              </w:rPr>
            </w:pPr>
            <w:r>
              <w:rPr>
                <w:sz w:val="20"/>
                <w:szCs w:val="20"/>
              </w:rPr>
              <w:t>(C)</w:t>
            </w:r>
          </w:p>
          <w:p w:rsidR="001D24BA" w:rsidRDefault="001D24BA">
            <w:pPr>
              <w:jc w:val="center"/>
              <w:rPr>
                <w:sz w:val="20"/>
                <w:szCs w:val="20"/>
              </w:rPr>
            </w:pPr>
            <w:r>
              <w:rPr>
                <w:sz w:val="20"/>
                <w:szCs w:val="20"/>
              </w:rPr>
              <w:t xml:space="preserve">Total O&amp;M Cost </w:t>
            </w:r>
          </w:p>
        </w:tc>
      </w:tr>
      <w:tr w:rsidR="001D24BA">
        <w:trPr>
          <w:cantSplit/>
          <w:jc w:val="center"/>
        </w:trPr>
        <w:tc>
          <w:tcPr>
            <w:tcW w:w="2394" w:type="dxa"/>
          </w:tcPr>
          <w:p w:rsidR="001D24BA" w:rsidRDefault="001D24BA">
            <w:pPr>
              <w:rPr>
                <w:sz w:val="20"/>
                <w:szCs w:val="20"/>
              </w:rPr>
            </w:pPr>
            <w:r>
              <w:rPr>
                <w:sz w:val="20"/>
                <w:szCs w:val="20"/>
              </w:rPr>
              <w:t>Engine Certification for Stationary Use</w:t>
            </w:r>
            <w:r>
              <w:rPr>
                <w:sz w:val="20"/>
                <w:szCs w:val="20"/>
                <w:vertAlign w:val="superscript"/>
              </w:rPr>
              <w:t>b</w:t>
            </w:r>
          </w:p>
        </w:tc>
        <w:tc>
          <w:tcPr>
            <w:tcW w:w="2394" w:type="dxa"/>
          </w:tcPr>
          <w:p w:rsidR="001D24BA" w:rsidRDefault="001D24BA">
            <w:pPr>
              <w:rPr>
                <w:sz w:val="20"/>
                <w:szCs w:val="20"/>
              </w:rPr>
            </w:pPr>
          </w:p>
        </w:tc>
        <w:tc>
          <w:tcPr>
            <w:tcW w:w="2394" w:type="dxa"/>
          </w:tcPr>
          <w:p w:rsidR="001D24BA" w:rsidRDefault="001D24BA">
            <w:pPr>
              <w:rPr>
                <w:sz w:val="20"/>
                <w:szCs w:val="20"/>
              </w:rPr>
            </w:pPr>
          </w:p>
        </w:tc>
        <w:tc>
          <w:tcPr>
            <w:tcW w:w="2394" w:type="dxa"/>
          </w:tcPr>
          <w:p w:rsidR="001D24BA" w:rsidRDefault="001D24BA">
            <w:pPr>
              <w:rPr>
                <w:sz w:val="20"/>
                <w:szCs w:val="20"/>
              </w:rPr>
            </w:pPr>
          </w:p>
        </w:tc>
      </w:tr>
      <w:tr w:rsidR="001D24BA">
        <w:trPr>
          <w:cantSplit/>
          <w:jc w:val="center"/>
        </w:trPr>
        <w:tc>
          <w:tcPr>
            <w:tcW w:w="2394" w:type="dxa"/>
            <w:vAlign w:val="bottom"/>
          </w:tcPr>
          <w:p w:rsidR="001D24BA" w:rsidRDefault="001D24BA">
            <w:pPr>
              <w:rPr>
                <w:sz w:val="20"/>
                <w:szCs w:val="20"/>
              </w:rPr>
            </w:pPr>
            <w:r>
              <w:rPr>
                <w:sz w:val="20"/>
                <w:szCs w:val="20"/>
              </w:rPr>
              <w:t xml:space="preserve">        - 25-300 hp </w:t>
            </w:r>
          </w:p>
        </w:tc>
        <w:tc>
          <w:tcPr>
            <w:tcW w:w="2394" w:type="dxa"/>
          </w:tcPr>
          <w:p w:rsidR="001D24BA" w:rsidRDefault="001D24BA">
            <w:pPr>
              <w:jc w:val="center"/>
              <w:rPr>
                <w:sz w:val="20"/>
                <w:szCs w:val="20"/>
              </w:rPr>
            </w:pPr>
            <w:r>
              <w:rPr>
                <w:sz w:val="20"/>
                <w:szCs w:val="20"/>
              </w:rPr>
              <w:t>91</w:t>
            </w:r>
          </w:p>
        </w:tc>
        <w:tc>
          <w:tcPr>
            <w:tcW w:w="2394" w:type="dxa"/>
          </w:tcPr>
          <w:p w:rsidR="001D24BA" w:rsidRDefault="001D24BA">
            <w:pPr>
              <w:jc w:val="center"/>
              <w:rPr>
                <w:sz w:val="20"/>
                <w:szCs w:val="20"/>
              </w:rPr>
            </w:pPr>
            <w:r>
              <w:rPr>
                <w:sz w:val="20"/>
                <w:szCs w:val="20"/>
              </w:rPr>
              <w:t>$14.27</w:t>
            </w:r>
          </w:p>
        </w:tc>
        <w:tc>
          <w:tcPr>
            <w:tcW w:w="2394" w:type="dxa"/>
          </w:tcPr>
          <w:p w:rsidR="001D24BA" w:rsidRDefault="001D24BA">
            <w:pPr>
              <w:jc w:val="center"/>
              <w:rPr>
                <w:sz w:val="20"/>
                <w:szCs w:val="20"/>
              </w:rPr>
            </w:pPr>
            <w:r>
              <w:rPr>
                <w:sz w:val="20"/>
                <w:szCs w:val="20"/>
              </w:rPr>
              <w:t>$1,298.57</w:t>
            </w:r>
          </w:p>
        </w:tc>
      </w:tr>
      <w:tr w:rsidR="001D24BA">
        <w:trPr>
          <w:cantSplit/>
          <w:jc w:val="center"/>
        </w:trPr>
        <w:tc>
          <w:tcPr>
            <w:tcW w:w="2394" w:type="dxa"/>
            <w:vAlign w:val="bottom"/>
          </w:tcPr>
          <w:p w:rsidR="001D24BA" w:rsidRDefault="001D24BA">
            <w:pPr>
              <w:rPr>
                <w:sz w:val="20"/>
                <w:szCs w:val="20"/>
              </w:rPr>
            </w:pPr>
            <w:r>
              <w:rPr>
                <w:sz w:val="20"/>
                <w:szCs w:val="20"/>
              </w:rPr>
              <w:t xml:space="preserve">        - 300-600 hp</w:t>
            </w:r>
          </w:p>
        </w:tc>
        <w:tc>
          <w:tcPr>
            <w:tcW w:w="2394" w:type="dxa"/>
          </w:tcPr>
          <w:p w:rsidR="001D24BA" w:rsidRDefault="001D24BA">
            <w:pPr>
              <w:jc w:val="center"/>
              <w:rPr>
                <w:sz w:val="20"/>
                <w:szCs w:val="20"/>
              </w:rPr>
            </w:pPr>
            <w:r>
              <w:rPr>
                <w:sz w:val="20"/>
                <w:szCs w:val="20"/>
              </w:rPr>
              <w:t>9</w:t>
            </w:r>
          </w:p>
        </w:tc>
        <w:tc>
          <w:tcPr>
            <w:tcW w:w="2394" w:type="dxa"/>
          </w:tcPr>
          <w:p w:rsidR="001D24BA" w:rsidRDefault="001D24BA">
            <w:pPr>
              <w:jc w:val="center"/>
              <w:rPr>
                <w:sz w:val="20"/>
                <w:szCs w:val="20"/>
              </w:rPr>
            </w:pPr>
            <w:r>
              <w:rPr>
                <w:sz w:val="20"/>
                <w:szCs w:val="20"/>
              </w:rPr>
              <w:t>$35.14</w:t>
            </w:r>
          </w:p>
        </w:tc>
        <w:tc>
          <w:tcPr>
            <w:tcW w:w="2394" w:type="dxa"/>
          </w:tcPr>
          <w:p w:rsidR="001D24BA" w:rsidRDefault="001D24BA">
            <w:pPr>
              <w:jc w:val="center"/>
              <w:rPr>
                <w:sz w:val="20"/>
                <w:szCs w:val="20"/>
              </w:rPr>
            </w:pPr>
            <w:r>
              <w:rPr>
                <w:sz w:val="20"/>
                <w:szCs w:val="20"/>
              </w:rPr>
              <w:t>$316.26</w:t>
            </w:r>
          </w:p>
        </w:tc>
      </w:tr>
      <w:tr w:rsidR="001D24BA">
        <w:trPr>
          <w:cantSplit/>
          <w:jc w:val="center"/>
        </w:trPr>
        <w:tc>
          <w:tcPr>
            <w:tcW w:w="2394" w:type="dxa"/>
            <w:vAlign w:val="bottom"/>
          </w:tcPr>
          <w:p w:rsidR="001D24BA" w:rsidRDefault="001D24BA">
            <w:pPr>
              <w:rPr>
                <w:sz w:val="20"/>
                <w:szCs w:val="20"/>
              </w:rPr>
            </w:pPr>
            <w:r>
              <w:rPr>
                <w:sz w:val="20"/>
                <w:szCs w:val="20"/>
              </w:rPr>
              <w:t xml:space="preserve">        - &gt;600 hp</w:t>
            </w:r>
          </w:p>
        </w:tc>
        <w:tc>
          <w:tcPr>
            <w:tcW w:w="2394" w:type="dxa"/>
          </w:tcPr>
          <w:p w:rsidR="001D24BA" w:rsidRDefault="001D24BA">
            <w:pPr>
              <w:jc w:val="center"/>
              <w:rPr>
                <w:sz w:val="20"/>
                <w:szCs w:val="20"/>
              </w:rPr>
            </w:pPr>
            <w:r>
              <w:rPr>
                <w:sz w:val="20"/>
                <w:szCs w:val="20"/>
              </w:rPr>
              <w:t>14</w:t>
            </w:r>
          </w:p>
        </w:tc>
        <w:tc>
          <w:tcPr>
            <w:tcW w:w="2394" w:type="dxa"/>
          </w:tcPr>
          <w:p w:rsidR="001D24BA" w:rsidRDefault="001D24BA">
            <w:pPr>
              <w:jc w:val="center"/>
              <w:rPr>
                <w:sz w:val="20"/>
                <w:szCs w:val="20"/>
              </w:rPr>
            </w:pPr>
            <w:r>
              <w:rPr>
                <w:sz w:val="20"/>
                <w:szCs w:val="20"/>
              </w:rPr>
              <w:t>$168</w:t>
            </w:r>
          </w:p>
        </w:tc>
        <w:tc>
          <w:tcPr>
            <w:tcW w:w="2394" w:type="dxa"/>
          </w:tcPr>
          <w:p w:rsidR="001D24BA" w:rsidRDefault="001D24BA">
            <w:pPr>
              <w:jc w:val="center"/>
              <w:rPr>
                <w:sz w:val="20"/>
                <w:szCs w:val="20"/>
              </w:rPr>
            </w:pPr>
            <w:r>
              <w:rPr>
                <w:sz w:val="20"/>
                <w:szCs w:val="20"/>
              </w:rPr>
              <w:t>$2,352</w:t>
            </w:r>
          </w:p>
        </w:tc>
      </w:tr>
      <w:tr w:rsidR="001D24BA">
        <w:trPr>
          <w:cantSplit/>
          <w:jc w:val="center"/>
        </w:trPr>
        <w:tc>
          <w:tcPr>
            <w:tcW w:w="2394" w:type="dxa"/>
          </w:tcPr>
          <w:p w:rsidR="001D24BA" w:rsidRDefault="001D24BA">
            <w:pPr>
              <w:rPr>
                <w:sz w:val="20"/>
                <w:szCs w:val="20"/>
              </w:rPr>
            </w:pPr>
            <w:r>
              <w:rPr>
                <w:sz w:val="20"/>
                <w:szCs w:val="20"/>
              </w:rPr>
              <w:t>Initial Test for Engines not Certified</w:t>
            </w:r>
          </w:p>
        </w:tc>
        <w:tc>
          <w:tcPr>
            <w:tcW w:w="2394" w:type="dxa"/>
          </w:tcPr>
          <w:p w:rsidR="001D24BA" w:rsidRDefault="001D24BA">
            <w:pPr>
              <w:jc w:val="center"/>
              <w:rPr>
                <w:sz w:val="20"/>
                <w:szCs w:val="20"/>
              </w:rPr>
            </w:pPr>
            <w:r>
              <w:rPr>
                <w:sz w:val="20"/>
                <w:szCs w:val="20"/>
              </w:rPr>
              <w:t>253</w:t>
            </w:r>
          </w:p>
        </w:tc>
        <w:tc>
          <w:tcPr>
            <w:tcW w:w="2394" w:type="dxa"/>
          </w:tcPr>
          <w:p w:rsidR="001D24BA" w:rsidRDefault="001D24BA">
            <w:pPr>
              <w:jc w:val="center"/>
              <w:rPr>
                <w:sz w:val="20"/>
                <w:szCs w:val="20"/>
              </w:rPr>
            </w:pPr>
            <w:r>
              <w:rPr>
                <w:sz w:val="20"/>
                <w:szCs w:val="20"/>
              </w:rPr>
              <w:t>$1,000</w:t>
            </w:r>
          </w:p>
        </w:tc>
        <w:tc>
          <w:tcPr>
            <w:tcW w:w="2394" w:type="dxa"/>
          </w:tcPr>
          <w:p w:rsidR="001D24BA" w:rsidRDefault="001D24BA">
            <w:pPr>
              <w:jc w:val="center"/>
              <w:rPr>
                <w:sz w:val="20"/>
                <w:szCs w:val="20"/>
              </w:rPr>
            </w:pPr>
            <w:r>
              <w:rPr>
                <w:sz w:val="20"/>
                <w:szCs w:val="20"/>
              </w:rPr>
              <w:t>$253,000</w:t>
            </w:r>
          </w:p>
        </w:tc>
      </w:tr>
      <w:tr w:rsidR="001D24BA">
        <w:trPr>
          <w:cantSplit/>
          <w:jc w:val="center"/>
        </w:trPr>
        <w:tc>
          <w:tcPr>
            <w:tcW w:w="2394" w:type="dxa"/>
          </w:tcPr>
          <w:p w:rsidR="001D24BA" w:rsidRDefault="001D24BA">
            <w:pPr>
              <w:rPr>
                <w:sz w:val="20"/>
                <w:szCs w:val="20"/>
              </w:rPr>
            </w:pPr>
            <w:r>
              <w:rPr>
                <w:sz w:val="20"/>
                <w:szCs w:val="20"/>
              </w:rPr>
              <w:t>Subsequent Performance Test for Engines &gt; 500 hp</w:t>
            </w:r>
            <w:r>
              <w:rPr>
                <w:sz w:val="20"/>
                <w:szCs w:val="20"/>
                <w:vertAlign w:val="superscript"/>
              </w:rPr>
              <w:t>c</w:t>
            </w:r>
          </w:p>
        </w:tc>
        <w:tc>
          <w:tcPr>
            <w:tcW w:w="2394" w:type="dxa"/>
          </w:tcPr>
          <w:p w:rsidR="001D24BA" w:rsidRDefault="001D24BA">
            <w:pPr>
              <w:jc w:val="center"/>
              <w:rPr>
                <w:sz w:val="20"/>
                <w:szCs w:val="20"/>
              </w:rPr>
            </w:pPr>
            <w:r>
              <w:rPr>
                <w:sz w:val="20"/>
                <w:szCs w:val="20"/>
              </w:rPr>
              <w:t>2,046</w:t>
            </w:r>
          </w:p>
        </w:tc>
        <w:tc>
          <w:tcPr>
            <w:tcW w:w="2394" w:type="dxa"/>
          </w:tcPr>
          <w:p w:rsidR="001D24BA" w:rsidRDefault="001D24BA">
            <w:pPr>
              <w:jc w:val="center"/>
              <w:rPr>
                <w:sz w:val="20"/>
                <w:szCs w:val="20"/>
              </w:rPr>
            </w:pPr>
            <w:r>
              <w:rPr>
                <w:sz w:val="20"/>
                <w:szCs w:val="20"/>
              </w:rPr>
              <w:t>$1,000</w:t>
            </w:r>
          </w:p>
        </w:tc>
        <w:tc>
          <w:tcPr>
            <w:tcW w:w="2394" w:type="dxa"/>
          </w:tcPr>
          <w:p w:rsidR="001D24BA" w:rsidRDefault="001D24BA">
            <w:pPr>
              <w:jc w:val="center"/>
              <w:rPr>
                <w:sz w:val="20"/>
                <w:szCs w:val="20"/>
              </w:rPr>
            </w:pPr>
            <w:r>
              <w:rPr>
                <w:sz w:val="20"/>
                <w:szCs w:val="20"/>
              </w:rPr>
              <w:t>$2,046,000</w:t>
            </w:r>
          </w:p>
        </w:tc>
      </w:tr>
      <w:tr w:rsidR="001D24BA">
        <w:trPr>
          <w:cantSplit/>
          <w:jc w:val="center"/>
        </w:trPr>
        <w:tc>
          <w:tcPr>
            <w:tcW w:w="2394" w:type="dxa"/>
          </w:tcPr>
          <w:p w:rsidR="001D24BA" w:rsidRDefault="001D24BA">
            <w:pPr>
              <w:rPr>
                <w:sz w:val="20"/>
                <w:szCs w:val="20"/>
              </w:rPr>
            </w:pPr>
            <w:r>
              <w:rPr>
                <w:sz w:val="20"/>
                <w:szCs w:val="20"/>
              </w:rPr>
              <w:t>Total Annual O&amp;M Cost</w:t>
            </w:r>
          </w:p>
        </w:tc>
        <w:tc>
          <w:tcPr>
            <w:tcW w:w="2394" w:type="dxa"/>
          </w:tcPr>
          <w:p w:rsidR="001D24BA" w:rsidRDefault="001D24BA">
            <w:pPr>
              <w:jc w:val="center"/>
              <w:rPr>
                <w:sz w:val="20"/>
                <w:szCs w:val="20"/>
              </w:rPr>
            </w:pPr>
          </w:p>
        </w:tc>
        <w:tc>
          <w:tcPr>
            <w:tcW w:w="2394" w:type="dxa"/>
          </w:tcPr>
          <w:p w:rsidR="001D24BA" w:rsidRDefault="001D24BA">
            <w:pPr>
              <w:jc w:val="center"/>
              <w:rPr>
                <w:sz w:val="20"/>
                <w:szCs w:val="20"/>
              </w:rPr>
            </w:pPr>
          </w:p>
        </w:tc>
        <w:tc>
          <w:tcPr>
            <w:tcW w:w="2394" w:type="dxa"/>
          </w:tcPr>
          <w:p w:rsidR="001D24BA" w:rsidRDefault="001D24BA">
            <w:pPr>
              <w:jc w:val="center"/>
              <w:rPr>
                <w:sz w:val="20"/>
                <w:szCs w:val="20"/>
              </w:rPr>
            </w:pPr>
            <w:r>
              <w:rPr>
                <w:sz w:val="20"/>
                <w:szCs w:val="20"/>
              </w:rPr>
              <w:t>$2,302,967</w:t>
            </w:r>
          </w:p>
        </w:tc>
      </w:tr>
    </w:tbl>
    <w:p w:rsidR="001D24BA" w:rsidRDefault="001D24BA">
      <w:pPr>
        <w:rPr>
          <w:sz w:val="20"/>
          <w:szCs w:val="20"/>
        </w:rPr>
      </w:pPr>
      <w:proofErr w:type="gramStart"/>
      <w:r>
        <w:rPr>
          <w:sz w:val="20"/>
          <w:szCs w:val="20"/>
          <w:vertAlign w:val="superscript"/>
        </w:rPr>
        <w:t>a</w:t>
      </w:r>
      <w:proofErr w:type="gramEnd"/>
      <w:r>
        <w:rPr>
          <w:sz w:val="20"/>
          <w:szCs w:val="20"/>
        </w:rPr>
        <w:t xml:space="preserve"> O&amp;M cost per occurrence for certifications for stationary was increased by 9.8 percent from the previous ICR to account for the increase in the average annual consumer price index (</w:t>
      </w:r>
      <w:hyperlink r:id="rId7" w:history="1">
        <w:r>
          <w:rPr>
            <w:rStyle w:val="Hyperlink"/>
            <w:color w:val="auto"/>
            <w:sz w:val="20"/>
            <w:szCs w:val="20"/>
          </w:rPr>
          <w:t>ftp://ftp.bls.gov/pub/special.requests/cpi/cpiai.txt</w:t>
        </w:r>
      </w:hyperlink>
      <w:r>
        <w:rPr>
          <w:sz w:val="20"/>
          <w:szCs w:val="20"/>
        </w:rPr>
        <w:t>)</w:t>
      </w:r>
    </w:p>
    <w:p w:rsidR="001D24BA" w:rsidRDefault="001D24BA">
      <w:pPr>
        <w:rPr>
          <w:sz w:val="20"/>
          <w:szCs w:val="20"/>
        </w:rPr>
      </w:pPr>
      <w:proofErr w:type="gramStart"/>
      <w:r>
        <w:rPr>
          <w:sz w:val="20"/>
          <w:szCs w:val="20"/>
          <w:vertAlign w:val="superscript"/>
        </w:rPr>
        <w:t>b</w:t>
      </w:r>
      <w:proofErr w:type="gramEnd"/>
      <w:r>
        <w:rPr>
          <w:sz w:val="20"/>
          <w:szCs w:val="20"/>
        </w:rPr>
        <w:t xml:space="preserve"> The distribution of new engine types is based on the same distribution from the previously approved ICR.</w:t>
      </w:r>
    </w:p>
    <w:p w:rsidR="001D24BA" w:rsidRDefault="001D24BA">
      <w:pPr>
        <w:rPr>
          <w:sz w:val="20"/>
          <w:szCs w:val="20"/>
        </w:rPr>
      </w:pPr>
      <w:r>
        <w:rPr>
          <w:sz w:val="20"/>
          <w:szCs w:val="20"/>
          <w:vertAlign w:val="superscript"/>
        </w:rPr>
        <w:t>c</w:t>
      </w:r>
      <w:r>
        <w:rPr>
          <w:sz w:val="20"/>
          <w:szCs w:val="20"/>
        </w:rPr>
        <w:t xml:space="preserve"> Previously certified engines &gt; 500-hp are required to conduct subsequent performance tests either after 3-years or 8,760 hours of operation after the initial performance test.  It is assumed that 12 percent of existing engines, or 2,046 existing engines, will be rated at &gt; 500 hp, have previously had an initial performance test conducted, and are now required to conduct a subsequent test over the next 3-year period.</w:t>
      </w:r>
    </w:p>
    <w:p w:rsidR="001D24BA" w:rsidRDefault="001D24BA">
      <w:pPr>
        <w:rPr>
          <w:sz w:val="20"/>
          <w:szCs w:val="20"/>
        </w:rPr>
      </w:pPr>
    </w:p>
    <w:p w:rsidR="001D24BA" w:rsidRDefault="001D24BA">
      <w:pPr>
        <w:pBdr>
          <w:top w:val="single" w:sz="6" w:space="0" w:color="FFFFFF"/>
          <w:left w:val="single" w:sz="6" w:space="0" w:color="FFFFFF"/>
          <w:bottom w:val="single" w:sz="6" w:space="0" w:color="FFFFFF"/>
          <w:right w:val="single" w:sz="6" w:space="0" w:color="FFFFFF"/>
        </w:pBdr>
        <w:ind w:firstLine="720"/>
      </w:pPr>
      <w:r>
        <w:rPr>
          <w:b/>
          <w:bCs/>
        </w:rPr>
        <w:t>6(c</w:t>
      </w:r>
      <w:proofErr w:type="gramStart"/>
      <w:r>
        <w:rPr>
          <w:b/>
          <w:bCs/>
        </w:rPr>
        <w:t>)  Estimating</w:t>
      </w:r>
      <w:proofErr w:type="gramEnd"/>
      <w:r>
        <w:rPr>
          <w:b/>
          <w:bCs/>
        </w:rPr>
        <w:t xml:space="preserve"> Agency Burden and Cost</w:t>
      </w:r>
    </w:p>
    <w:p w:rsidR="001D24BA" w:rsidRDefault="001D24BA">
      <w:pPr>
        <w:ind w:firstLine="720"/>
      </w:pPr>
    </w:p>
    <w:p w:rsidR="001D24BA" w:rsidRDefault="001D24BA">
      <w:pPr>
        <w:ind w:firstLine="720"/>
      </w:pPr>
      <w:r>
        <w:t xml:space="preserve">The only costs to the Agency are those costs associated with analysis of the reported information.  The EPA overall compliance and enforcement program includes activities such as the examination of records maintained by the respondents, periodic inspection of sources of emissions, and the publication and distribution of collected information. </w:t>
      </w:r>
    </w:p>
    <w:p w:rsidR="001D24BA" w:rsidRDefault="001D24BA">
      <w:pPr>
        <w:ind w:firstLine="720"/>
      </w:pPr>
    </w:p>
    <w:p w:rsidR="001D24BA" w:rsidRDefault="001D24BA">
      <w:pPr>
        <w:ind w:firstLine="720"/>
      </w:pPr>
      <w:r>
        <w:t>The average annual Agency cost during the three years of the ICR is estimated to be $2</w:t>
      </w:r>
      <w:r w:rsidR="000A19EF">
        <w:t>41,398</w:t>
      </w:r>
      <w:r>
        <w:t xml:space="preserve">.  </w:t>
      </w:r>
    </w:p>
    <w:p w:rsidR="001D24BA" w:rsidRDefault="001D24BA">
      <w:pPr>
        <w:ind w:firstLine="720"/>
      </w:pPr>
    </w:p>
    <w:p w:rsidR="001D24BA" w:rsidRDefault="001D24BA">
      <w:pPr>
        <w:ind w:firstLine="720"/>
      </w:pPr>
      <w:r>
        <w:t>This cost is based on the average hourly labor rate as follows:</w:t>
      </w:r>
    </w:p>
    <w:p w:rsidR="001D24BA" w:rsidRDefault="001D24BA">
      <w:pPr>
        <w:ind w:firstLine="720"/>
      </w:pPr>
    </w:p>
    <w:p w:rsidR="001D24BA" w:rsidRDefault="001D24BA">
      <w:r>
        <w:tab/>
      </w:r>
      <w:r>
        <w:tab/>
        <w:t>Managerial</w:t>
      </w:r>
      <w:r>
        <w:tab/>
        <w:t xml:space="preserve">$62.27 (GS-13, Step 5, $38.92 + 60%) </w:t>
      </w:r>
    </w:p>
    <w:p w:rsidR="001D24BA" w:rsidRDefault="001D24BA">
      <w:r>
        <w:tab/>
      </w:r>
      <w:r>
        <w:tab/>
        <w:t>Technical</w:t>
      </w:r>
      <w:r>
        <w:tab/>
        <w:t>$46.21 (GS-12, Step 1, $28.88 + 60%)</w:t>
      </w:r>
    </w:p>
    <w:p w:rsidR="001D24BA" w:rsidRDefault="001D24BA">
      <w:r>
        <w:tab/>
      </w:r>
      <w:r>
        <w:tab/>
        <w:t>Clerical</w:t>
      </w:r>
      <w:r>
        <w:tab/>
        <w:t>$25.01 (GS-6, Step 3, $15.63 + 60%)</w:t>
      </w:r>
    </w:p>
    <w:p w:rsidR="001D24BA" w:rsidRDefault="000A19EF">
      <w:r>
        <w:t>T</w:t>
      </w:r>
      <w:r w:rsidR="001D24BA">
        <w:t xml:space="preserve">hese rates are from the Office of Personnel Management (OPM), 2010 General Schedule, which excludes </w:t>
      </w:r>
      <w:proofErr w:type="gramStart"/>
      <w:r w:rsidR="001D24BA">
        <w:t>locality</w:t>
      </w:r>
      <w:proofErr w:type="gramEnd"/>
      <w:r w:rsidR="001D24BA">
        <w:t xml:space="preserve"> rates of pay.  The rates have been increased by 60 percent to account for the benefit packages available to government employees.  These rates can be obtained from the OPM web site, </w:t>
      </w:r>
      <w:r w:rsidR="001D24BA" w:rsidRPr="000A19EF">
        <w:rPr>
          <w:u w:val="single"/>
        </w:rPr>
        <w:t>http//:www.opm.gov/oca/payrates/index/htm</w:t>
      </w:r>
      <w:r w:rsidR="001D24BA">
        <w:t>.  Details upon which this estimate is based appear below in Table 2: Average Annual EPA Burden– NSPS for Stationary Spark Ignition Internal Combustion Engines (40 CFR Part 60, Subpart JJJJ)</w:t>
      </w:r>
      <w:r>
        <w:t xml:space="preserve"> (Renewal)</w:t>
      </w:r>
      <w:r w:rsidR="001D24BA">
        <w:t xml:space="preserve">. </w:t>
      </w:r>
    </w:p>
    <w:p w:rsidR="001D24BA" w:rsidRDefault="001D24BA"/>
    <w:p w:rsidR="001D24BA" w:rsidRDefault="001D24BA">
      <w:pPr>
        <w:ind w:firstLine="720"/>
        <w:rPr>
          <w:b/>
        </w:rPr>
      </w:pPr>
      <w:r>
        <w:rPr>
          <w:b/>
        </w:rPr>
        <w:t>6(d</w:t>
      </w:r>
      <w:proofErr w:type="gramStart"/>
      <w:r>
        <w:rPr>
          <w:b/>
        </w:rPr>
        <w:t>)  Estimating</w:t>
      </w:r>
      <w:proofErr w:type="gramEnd"/>
      <w:r>
        <w:rPr>
          <w:b/>
        </w:rPr>
        <w:t xml:space="preserve"> the Respondent Universe and Total Burden and Costs</w:t>
      </w:r>
    </w:p>
    <w:p w:rsidR="001D24BA" w:rsidRDefault="001D24BA">
      <w:pPr>
        <w:ind w:firstLine="720"/>
        <w:rPr>
          <w:b/>
          <w:bCs/>
        </w:rPr>
      </w:pPr>
    </w:p>
    <w:p w:rsidR="001D24BA" w:rsidRDefault="001D24BA">
      <w:pPr>
        <w:ind w:firstLine="720"/>
      </w:pPr>
      <w:r>
        <w:t xml:space="preserve">Based on our research for this ICR, on average over the next three years, approximately 16,546 existing respondents will be subject to the standard.  It is estimated that an additional 253 respondents per year will become subject.  The overall average number of respondents, as shown in the table below, is 17,052 per year.  </w:t>
      </w:r>
    </w:p>
    <w:p w:rsidR="001D24BA" w:rsidRDefault="001D24BA">
      <w:pPr>
        <w:ind w:firstLine="720"/>
      </w:pPr>
    </w:p>
    <w:p w:rsidR="001D24BA" w:rsidRDefault="001D24BA">
      <w:pPr>
        <w:ind w:firstLine="720"/>
      </w:pPr>
      <w:r>
        <w:t xml:space="preserve">The number of respondents is calculated using the following table that addresses the three years covered by this ICR.  </w:t>
      </w:r>
    </w:p>
    <w:p w:rsidR="001D24BA" w:rsidRDefault="001D24BA">
      <w:pPr>
        <w:ind w:firstLine="720"/>
      </w:pPr>
    </w:p>
    <w:tbl>
      <w:tblPr>
        <w:tblW w:w="936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10" w:type="dxa"/>
          <w:right w:w="110" w:type="dxa"/>
        </w:tblCellMar>
        <w:tblLook w:val="0000"/>
      </w:tblPr>
      <w:tblGrid>
        <w:gridCol w:w="901"/>
        <w:gridCol w:w="1597"/>
        <w:gridCol w:w="1282"/>
        <w:gridCol w:w="2340"/>
        <w:gridCol w:w="1800"/>
        <w:gridCol w:w="1440"/>
      </w:tblGrid>
      <w:tr w:rsidR="001D24BA">
        <w:trPr>
          <w:cantSplit/>
          <w:tblHeader/>
          <w:jc w:val="center"/>
        </w:trPr>
        <w:tc>
          <w:tcPr>
            <w:tcW w:w="9360" w:type="dxa"/>
            <w:gridSpan w:val="6"/>
          </w:tcPr>
          <w:p w:rsidR="001D24BA" w:rsidRDefault="001D24BA">
            <w:pPr>
              <w:jc w:val="center"/>
              <w:rPr>
                <w:b/>
              </w:rPr>
            </w:pPr>
            <w:r>
              <w:rPr>
                <w:b/>
              </w:rPr>
              <w:t>Number of Respondents</w:t>
            </w:r>
          </w:p>
        </w:tc>
      </w:tr>
      <w:tr w:rsidR="001D24BA">
        <w:trPr>
          <w:cantSplit/>
          <w:jc w:val="center"/>
        </w:trPr>
        <w:tc>
          <w:tcPr>
            <w:tcW w:w="901" w:type="dxa"/>
          </w:tcPr>
          <w:p w:rsidR="001D24BA" w:rsidRDefault="001D24BA">
            <w:pPr>
              <w:jc w:val="center"/>
              <w:rPr>
                <w:sz w:val="20"/>
                <w:szCs w:val="20"/>
              </w:rPr>
            </w:pPr>
          </w:p>
        </w:tc>
        <w:tc>
          <w:tcPr>
            <w:tcW w:w="2879" w:type="dxa"/>
            <w:gridSpan w:val="2"/>
          </w:tcPr>
          <w:p w:rsidR="001D24BA" w:rsidRDefault="001D24BA">
            <w:pPr>
              <w:jc w:val="center"/>
              <w:rPr>
                <w:sz w:val="20"/>
                <w:szCs w:val="20"/>
              </w:rPr>
            </w:pPr>
            <w:r>
              <w:rPr>
                <w:sz w:val="20"/>
                <w:szCs w:val="20"/>
              </w:rPr>
              <w:t>Respondents That Submit Reports</w:t>
            </w:r>
          </w:p>
        </w:tc>
        <w:tc>
          <w:tcPr>
            <w:tcW w:w="2340" w:type="dxa"/>
          </w:tcPr>
          <w:p w:rsidR="001D24BA" w:rsidRDefault="001D24BA">
            <w:pPr>
              <w:jc w:val="center"/>
              <w:rPr>
                <w:sz w:val="20"/>
                <w:szCs w:val="20"/>
              </w:rPr>
            </w:pPr>
            <w:r>
              <w:rPr>
                <w:sz w:val="20"/>
                <w:szCs w:val="20"/>
              </w:rPr>
              <w:t>Respondents That Do Not Submit Any Reports</w:t>
            </w:r>
          </w:p>
        </w:tc>
        <w:tc>
          <w:tcPr>
            <w:tcW w:w="3240" w:type="dxa"/>
            <w:gridSpan w:val="2"/>
          </w:tcPr>
          <w:p w:rsidR="001D24BA" w:rsidRDefault="001D24BA">
            <w:pPr>
              <w:jc w:val="center"/>
              <w:rPr>
                <w:sz w:val="20"/>
                <w:szCs w:val="20"/>
              </w:rPr>
            </w:pPr>
          </w:p>
        </w:tc>
      </w:tr>
      <w:tr w:rsidR="001D24BA">
        <w:trPr>
          <w:cantSplit/>
          <w:jc w:val="center"/>
        </w:trPr>
        <w:tc>
          <w:tcPr>
            <w:tcW w:w="901" w:type="dxa"/>
          </w:tcPr>
          <w:p w:rsidR="001D24BA" w:rsidRDefault="001D24BA">
            <w:pPr>
              <w:jc w:val="center"/>
              <w:rPr>
                <w:sz w:val="20"/>
                <w:szCs w:val="20"/>
              </w:rPr>
            </w:pPr>
            <w:r>
              <w:rPr>
                <w:sz w:val="20"/>
                <w:szCs w:val="20"/>
              </w:rPr>
              <w:t>Year</w:t>
            </w:r>
          </w:p>
        </w:tc>
        <w:tc>
          <w:tcPr>
            <w:tcW w:w="1597" w:type="dxa"/>
          </w:tcPr>
          <w:p w:rsidR="001D24BA" w:rsidRDefault="001D24BA">
            <w:pPr>
              <w:jc w:val="center"/>
              <w:rPr>
                <w:sz w:val="20"/>
                <w:szCs w:val="20"/>
              </w:rPr>
            </w:pPr>
            <w:r>
              <w:rPr>
                <w:sz w:val="20"/>
                <w:szCs w:val="20"/>
              </w:rPr>
              <w:t>(A)</w:t>
            </w:r>
          </w:p>
          <w:p w:rsidR="001D24BA" w:rsidRDefault="001D24BA">
            <w:pPr>
              <w:jc w:val="center"/>
              <w:rPr>
                <w:sz w:val="20"/>
                <w:szCs w:val="20"/>
              </w:rPr>
            </w:pPr>
            <w:r>
              <w:rPr>
                <w:sz w:val="20"/>
                <w:szCs w:val="20"/>
              </w:rPr>
              <w:t xml:space="preserve">Number of New Respondents </w:t>
            </w:r>
            <w:r>
              <w:rPr>
                <w:sz w:val="20"/>
                <w:szCs w:val="20"/>
                <w:vertAlign w:val="superscript"/>
              </w:rPr>
              <w:t>a</w:t>
            </w:r>
          </w:p>
        </w:tc>
        <w:tc>
          <w:tcPr>
            <w:tcW w:w="1282" w:type="dxa"/>
          </w:tcPr>
          <w:p w:rsidR="001D24BA" w:rsidRDefault="001D24BA">
            <w:pPr>
              <w:jc w:val="center"/>
              <w:rPr>
                <w:sz w:val="20"/>
                <w:szCs w:val="20"/>
              </w:rPr>
            </w:pPr>
            <w:r>
              <w:rPr>
                <w:sz w:val="20"/>
                <w:szCs w:val="20"/>
              </w:rPr>
              <w:t>(B)</w:t>
            </w:r>
          </w:p>
          <w:p w:rsidR="001D24BA" w:rsidRDefault="001D24BA">
            <w:pPr>
              <w:jc w:val="center"/>
              <w:rPr>
                <w:sz w:val="20"/>
                <w:szCs w:val="20"/>
              </w:rPr>
            </w:pPr>
            <w:r>
              <w:rPr>
                <w:sz w:val="20"/>
                <w:szCs w:val="20"/>
              </w:rPr>
              <w:t>Number of Existing Respondents</w:t>
            </w:r>
          </w:p>
        </w:tc>
        <w:tc>
          <w:tcPr>
            <w:tcW w:w="2340" w:type="dxa"/>
          </w:tcPr>
          <w:p w:rsidR="001D24BA" w:rsidRDefault="001D24BA">
            <w:pPr>
              <w:jc w:val="center"/>
              <w:rPr>
                <w:sz w:val="20"/>
                <w:szCs w:val="20"/>
              </w:rPr>
            </w:pPr>
            <w:r>
              <w:rPr>
                <w:sz w:val="20"/>
                <w:szCs w:val="20"/>
              </w:rPr>
              <w:t>(C)</w:t>
            </w:r>
          </w:p>
          <w:p w:rsidR="001D24BA" w:rsidRDefault="001D24BA">
            <w:pPr>
              <w:jc w:val="center"/>
              <w:rPr>
                <w:sz w:val="20"/>
                <w:szCs w:val="20"/>
              </w:rPr>
            </w:pPr>
            <w:r>
              <w:rPr>
                <w:sz w:val="20"/>
                <w:szCs w:val="20"/>
              </w:rPr>
              <w:t>Number of Existing Respondents that keep records but do not submit reports</w:t>
            </w:r>
          </w:p>
        </w:tc>
        <w:tc>
          <w:tcPr>
            <w:tcW w:w="1800" w:type="dxa"/>
          </w:tcPr>
          <w:p w:rsidR="001D24BA" w:rsidRDefault="001D24BA">
            <w:pPr>
              <w:jc w:val="center"/>
              <w:rPr>
                <w:sz w:val="20"/>
                <w:szCs w:val="20"/>
              </w:rPr>
            </w:pPr>
            <w:r>
              <w:rPr>
                <w:sz w:val="20"/>
                <w:szCs w:val="20"/>
              </w:rPr>
              <w:t>(D)</w:t>
            </w:r>
          </w:p>
          <w:p w:rsidR="001D24BA" w:rsidRDefault="001D24BA">
            <w:pPr>
              <w:jc w:val="center"/>
              <w:rPr>
                <w:sz w:val="20"/>
                <w:szCs w:val="20"/>
              </w:rPr>
            </w:pPr>
            <w:r>
              <w:rPr>
                <w:sz w:val="20"/>
                <w:szCs w:val="20"/>
              </w:rPr>
              <w:t>Number of Existing Respondents That Are Also New Respondents</w:t>
            </w:r>
          </w:p>
        </w:tc>
        <w:tc>
          <w:tcPr>
            <w:tcW w:w="1440" w:type="dxa"/>
          </w:tcPr>
          <w:p w:rsidR="001D24BA" w:rsidRDefault="001D24BA">
            <w:pPr>
              <w:jc w:val="center"/>
              <w:rPr>
                <w:sz w:val="20"/>
                <w:szCs w:val="20"/>
              </w:rPr>
            </w:pPr>
            <w:r>
              <w:rPr>
                <w:sz w:val="20"/>
                <w:szCs w:val="20"/>
              </w:rPr>
              <w:t>(E)</w:t>
            </w:r>
          </w:p>
          <w:p w:rsidR="001D24BA" w:rsidRDefault="001D24BA">
            <w:pPr>
              <w:jc w:val="center"/>
              <w:rPr>
                <w:sz w:val="20"/>
                <w:szCs w:val="20"/>
              </w:rPr>
            </w:pPr>
            <w:r>
              <w:rPr>
                <w:sz w:val="20"/>
                <w:szCs w:val="20"/>
              </w:rPr>
              <w:t>Number of Respondents</w:t>
            </w:r>
          </w:p>
          <w:p w:rsidR="001D24BA" w:rsidRDefault="001D24BA">
            <w:pPr>
              <w:jc w:val="center"/>
              <w:rPr>
                <w:sz w:val="20"/>
                <w:szCs w:val="20"/>
              </w:rPr>
            </w:pPr>
            <w:r>
              <w:rPr>
                <w:sz w:val="20"/>
                <w:szCs w:val="20"/>
              </w:rPr>
              <w:t>(E=A+B+C-D)</w:t>
            </w:r>
          </w:p>
        </w:tc>
      </w:tr>
      <w:tr w:rsidR="001D24BA">
        <w:trPr>
          <w:cantSplit/>
          <w:jc w:val="center"/>
        </w:trPr>
        <w:tc>
          <w:tcPr>
            <w:tcW w:w="901" w:type="dxa"/>
          </w:tcPr>
          <w:p w:rsidR="001D24BA" w:rsidRDefault="001D24BA">
            <w:pPr>
              <w:jc w:val="center"/>
              <w:rPr>
                <w:sz w:val="20"/>
                <w:szCs w:val="20"/>
              </w:rPr>
            </w:pPr>
            <w:r>
              <w:rPr>
                <w:sz w:val="20"/>
                <w:szCs w:val="20"/>
              </w:rPr>
              <w:t>1</w:t>
            </w:r>
          </w:p>
        </w:tc>
        <w:tc>
          <w:tcPr>
            <w:tcW w:w="1597" w:type="dxa"/>
          </w:tcPr>
          <w:p w:rsidR="001D24BA" w:rsidRDefault="001D24BA">
            <w:pPr>
              <w:jc w:val="center"/>
              <w:rPr>
                <w:sz w:val="20"/>
                <w:szCs w:val="20"/>
              </w:rPr>
            </w:pPr>
            <w:r>
              <w:rPr>
                <w:sz w:val="20"/>
                <w:szCs w:val="20"/>
              </w:rPr>
              <w:t>253</w:t>
            </w:r>
          </w:p>
        </w:tc>
        <w:tc>
          <w:tcPr>
            <w:tcW w:w="1282" w:type="dxa"/>
          </w:tcPr>
          <w:p w:rsidR="001D24BA" w:rsidRDefault="001D24BA">
            <w:pPr>
              <w:jc w:val="center"/>
              <w:rPr>
                <w:sz w:val="20"/>
                <w:szCs w:val="20"/>
              </w:rPr>
            </w:pPr>
            <w:r>
              <w:rPr>
                <w:sz w:val="20"/>
                <w:szCs w:val="20"/>
              </w:rPr>
              <w:t>16,546</w:t>
            </w:r>
          </w:p>
        </w:tc>
        <w:tc>
          <w:tcPr>
            <w:tcW w:w="2340" w:type="dxa"/>
          </w:tcPr>
          <w:p w:rsidR="001D24BA" w:rsidRDefault="001D24BA">
            <w:pPr>
              <w:jc w:val="center"/>
              <w:rPr>
                <w:sz w:val="20"/>
                <w:szCs w:val="20"/>
              </w:rPr>
            </w:pPr>
            <w:r>
              <w:rPr>
                <w:sz w:val="20"/>
                <w:szCs w:val="20"/>
              </w:rPr>
              <w:t>0</w:t>
            </w:r>
          </w:p>
        </w:tc>
        <w:tc>
          <w:tcPr>
            <w:tcW w:w="1800" w:type="dxa"/>
          </w:tcPr>
          <w:p w:rsidR="001D24BA" w:rsidRDefault="001D24BA">
            <w:pPr>
              <w:jc w:val="center"/>
              <w:rPr>
                <w:sz w:val="20"/>
                <w:szCs w:val="20"/>
              </w:rPr>
            </w:pPr>
            <w:r>
              <w:rPr>
                <w:sz w:val="20"/>
                <w:szCs w:val="20"/>
              </w:rPr>
              <w:t>0</w:t>
            </w:r>
          </w:p>
        </w:tc>
        <w:tc>
          <w:tcPr>
            <w:tcW w:w="1440" w:type="dxa"/>
          </w:tcPr>
          <w:p w:rsidR="001D24BA" w:rsidRDefault="001D24BA">
            <w:pPr>
              <w:jc w:val="center"/>
              <w:rPr>
                <w:sz w:val="20"/>
                <w:szCs w:val="20"/>
              </w:rPr>
            </w:pPr>
            <w:r>
              <w:rPr>
                <w:sz w:val="20"/>
                <w:szCs w:val="20"/>
              </w:rPr>
              <w:t>16,799</w:t>
            </w:r>
          </w:p>
        </w:tc>
      </w:tr>
      <w:tr w:rsidR="001D24BA">
        <w:trPr>
          <w:cantSplit/>
          <w:jc w:val="center"/>
        </w:trPr>
        <w:tc>
          <w:tcPr>
            <w:tcW w:w="901" w:type="dxa"/>
          </w:tcPr>
          <w:p w:rsidR="001D24BA" w:rsidRDefault="001D24BA">
            <w:pPr>
              <w:jc w:val="center"/>
              <w:rPr>
                <w:sz w:val="20"/>
                <w:szCs w:val="20"/>
              </w:rPr>
            </w:pPr>
            <w:r>
              <w:rPr>
                <w:sz w:val="20"/>
                <w:szCs w:val="20"/>
              </w:rPr>
              <w:t>2</w:t>
            </w:r>
          </w:p>
        </w:tc>
        <w:tc>
          <w:tcPr>
            <w:tcW w:w="1597" w:type="dxa"/>
          </w:tcPr>
          <w:p w:rsidR="001D24BA" w:rsidRDefault="001D24BA">
            <w:pPr>
              <w:jc w:val="center"/>
              <w:rPr>
                <w:sz w:val="20"/>
                <w:szCs w:val="20"/>
              </w:rPr>
            </w:pPr>
            <w:r>
              <w:rPr>
                <w:sz w:val="20"/>
                <w:szCs w:val="20"/>
              </w:rPr>
              <w:t>253</w:t>
            </w:r>
          </w:p>
        </w:tc>
        <w:tc>
          <w:tcPr>
            <w:tcW w:w="1282" w:type="dxa"/>
          </w:tcPr>
          <w:p w:rsidR="001D24BA" w:rsidRDefault="001D24BA">
            <w:pPr>
              <w:jc w:val="center"/>
              <w:rPr>
                <w:sz w:val="20"/>
                <w:szCs w:val="20"/>
              </w:rPr>
            </w:pPr>
            <w:r>
              <w:rPr>
                <w:sz w:val="20"/>
                <w:szCs w:val="20"/>
              </w:rPr>
              <w:t>16,799</w:t>
            </w:r>
          </w:p>
        </w:tc>
        <w:tc>
          <w:tcPr>
            <w:tcW w:w="2340" w:type="dxa"/>
          </w:tcPr>
          <w:p w:rsidR="001D24BA" w:rsidRDefault="001D24BA">
            <w:pPr>
              <w:jc w:val="center"/>
              <w:rPr>
                <w:sz w:val="20"/>
                <w:szCs w:val="20"/>
              </w:rPr>
            </w:pPr>
            <w:r>
              <w:rPr>
                <w:sz w:val="20"/>
                <w:szCs w:val="20"/>
              </w:rPr>
              <w:t>0</w:t>
            </w:r>
          </w:p>
        </w:tc>
        <w:tc>
          <w:tcPr>
            <w:tcW w:w="1800" w:type="dxa"/>
          </w:tcPr>
          <w:p w:rsidR="001D24BA" w:rsidRDefault="001D24BA">
            <w:pPr>
              <w:jc w:val="center"/>
              <w:rPr>
                <w:sz w:val="20"/>
                <w:szCs w:val="20"/>
              </w:rPr>
            </w:pPr>
            <w:r>
              <w:rPr>
                <w:sz w:val="20"/>
                <w:szCs w:val="20"/>
              </w:rPr>
              <w:t>0</w:t>
            </w:r>
          </w:p>
        </w:tc>
        <w:tc>
          <w:tcPr>
            <w:tcW w:w="1440" w:type="dxa"/>
          </w:tcPr>
          <w:p w:rsidR="001D24BA" w:rsidRDefault="001D24BA">
            <w:pPr>
              <w:jc w:val="center"/>
              <w:rPr>
                <w:sz w:val="20"/>
                <w:szCs w:val="20"/>
              </w:rPr>
            </w:pPr>
            <w:r>
              <w:rPr>
                <w:sz w:val="20"/>
                <w:szCs w:val="20"/>
              </w:rPr>
              <w:t>17,052</w:t>
            </w:r>
          </w:p>
        </w:tc>
      </w:tr>
      <w:tr w:rsidR="001D24BA">
        <w:trPr>
          <w:cantSplit/>
          <w:jc w:val="center"/>
        </w:trPr>
        <w:tc>
          <w:tcPr>
            <w:tcW w:w="901" w:type="dxa"/>
          </w:tcPr>
          <w:p w:rsidR="001D24BA" w:rsidRDefault="001D24BA">
            <w:pPr>
              <w:jc w:val="center"/>
              <w:rPr>
                <w:sz w:val="20"/>
                <w:szCs w:val="20"/>
              </w:rPr>
            </w:pPr>
            <w:r>
              <w:rPr>
                <w:sz w:val="20"/>
                <w:szCs w:val="20"/>
              </w:rPr>
              <w:t>3</w:t>
            </w:r>
          </w:p>
        </w:tc>
        <w:tc>
          <w:tcPr>
            <w:tcW w:w="1597" w:type="dxa"/>
          </w:tcPr>
          <w:p w:rsidR="001D24BA" w:rsidRDefault="001D24BA">
            <w:pPr>
              <w:jc w:val="center"/>
              <w:rPr>
                <w:sz w:val="20"/>
                <w:szCs w:val="20"/>
              </w:rPr>
            </w:pPr>
            <w:r>
              <w:rPr>
                <w:sz w:val="20"/>
                <w:szCs w:val="20"/>
              </w:rPr>
              <w:t>253</w:t>
            </w:r>
          </w:p>
        </w:tc>
        <w:tc>
          <w:tcPr>
            <w:tcW w:w="1282" w:type="dxa"/>
          </w:tcPr>
          <w:p w:rsidR="001D24BA" w:rsidRDefault="001D24BA">
            <w:pPr>
              <w:jc w:val="center"/>
              <w:rPr>
                <w:sz w:val="20"/>
                <w:szCs w:val="20"/>
              </w:rPr>
            </w:pPr>
            <w:r>
              <w:rPr>
                <w:sz w:val="20"/>
                <w:szCs w:val="20"/>
              </w:rPr>
              <w:t>17,052</w:t>
            </w:r>
          </w:p>
        </w:tc>
        <w:tc>
          <w:tcPr>
            <w:tcW w:w="2340" w:type="dxa"/>
          </w:tcPr>
          <w:p w:rsidR="001D24BA" w:rsidRDefault="001D24BA">
            <w:pPr>
              <w:jc w:val="center"/>
              <w:rPr>
                <w:sz w:val="20"/>
                <w:szCs w:val="20"/>
              </w:rPr>
            </w:pPr>
            <w:r>
              <w:rPr>
                <w:sz w:val="20"/>
                <w:szCs w:val="20"/>
              </w:rPr>
              <w:t>0</w:t>
            </w:r>
          </w:p>
        </w:tc>
        <w:tc>
          <w:tcPr>
            <w:tcW w:w="1800" w:type="dxa"/>
          </w:tcPr>
          <w:p w:rsidR="001D24BA" w:rsidRDefault="001D24BA">
            <w:pPr>
              <w:jc w:val="center"/>
              <w:rPr>
                <w:sz w:val="20"/>
                <w:szCs w:val="20"/>
              </w:rPr>
            </w:pPr>
            <w:r>
              <w:rPr>
                <w:sz w:val="20"/>
                <w:szCs w:val="20"/>
              </w:rPr>
              <w:t>0</w:t>
            </w:r>
          </w:p>
        </w:tc>
        <w:tc>
          <w:tcPr>
            <w:tcW w:w="1440" w:type="dxa"/>
          </w:tcPr>
          <w:p w:rsidR="001D24BA" w:rsidRDefault="001D24BA">
            <w:pPr>
              <w:jc w:val="center"/>
              <w:rPr>
                <w:sz w:val="20"/>
                <w:szCs w:val="20"/>
              </w:rPr>
            </w:pPr>
            <w:r>
              <w:rPr>
                <w:sz w:val="20"/>
                <w:szCs w:val="20"/>
              </w:rPr>
              <w:t>17,305</w:t>
            </w:r>
          </w:p>
        </w:tc>
      </w:tr>
      <w:tr w:rsidR="001D24BA">
        <w:trPr>
          <w:cantSplit/>
          <w:jc w:val="center"/>
        </w:trPr>
        <w:tc>
          <w:tcPr>
            <w:tcW w:w="901" w:type="dxa"/>
          </w:tcPr>
          <w:p w:rsidR="001D24BA" w:rsidRDefault="001D24BA">
            <w:pPr>
              <w:rPr>
                <w:sz w:val="20"/>
                <w:szCs w:val="20"/>
              </w:rPr>
            </w:pPr>
            <w:r>
              <w:rPr>
                <w:sz w:val="20"/>
                <w:szCs w:val="20"/>
              </w:rPr>
              <w:t>Average</w:t>
            </w:r>
          </w:p>
        </w:tc>
        <w:tc>
          <w:tcPr>
            <w:tcW w:w="1597" w:type="dxa"/>
          </w:tcPr>
          <w:p w:rsidR="001D24BA" w:rsidRDefault="001D24BA">
            <w:pPr>
              <w:jc w:val="center"/>
              <w:rPr>
                <w:sz w:val="20"/>
                <w:szCs w:val="20"/>
              </w:rPr>
            </w:pPr>
            <w:r>
              <w:rPr>
                <w:sz w:val="20"/>
                <w:szCs w:val="20"/>
              </w:rPr>
              <w:t>253</w:t>
            </w:r>
          </w:p>
        </w:tc>
        <w:tc>
          <w:tcPr>
            <w:tcW w:w="1282" w:type="dxa"/>
          </w:tcPr>
          <w:p w:rsidR="001D24BA" w:rsidRDefault="001D24BA">
            <w:pPr>
              <w:jc w:val="center"/>
              <w:rPr>
                <w:sz w:val="20"/>
                <w:szCs w:val="20"/>
              </w:rPr>
            </w:pPr>
            <w:r>
              <w:rPr>
                <w:sz w:val="20"/>
                <w:szCs w:val="20"/>
              </w:rPr>
              <w:t>16,799</w:t>
            </w:r>
          </w:p>
        </w:tc>
        <w:tc>
          <w:tcPr>
            <w:tcW w:w="2340" w:type="dxa"/>
          </w:tcPr>
          <w:p w:rsidR="001D24BA" w:rsidRDefault="001D24BA">
            <w:pPr>
              <w:jc w:val="center"/>
              <w:rPr>
                <w:sz w:val="20"/>
                <w:szCs w:val="20"/>
              </w:rPr>
            </w:pPr>
          </w:p>
        </w:tc>
        <w:tc>
          <w:tcPr>
            <w:tcW w:w="1800" w:type="dxa"/>
          </w:tcPr>
          <w:p w:rsidR="001D24BA" w:rsidRDefault="001D24BA">
            <w:pPr>
              <w:jc w:val="center"/>
              <w:rPr>
                <w:sz w:val="20"/>
                <w:szCs w:val="20"/>
              </w:rPr>
            </w:pPr>
          </w:p>
        </w:tc>
        <w:tc>
          <w:tcPr>
            <w:tcW w:w="1440" w:type="dxa"/>
          </w:tcPr>
          <w:p w:rsidR="001D24BA" w:rsidRDefault="001D24BA">
            <w:pPr>
              <w:jc w:val="center"/>
              <w:rPr>
                <w:sz w:val="20"/>
                <w:szCs w:val="20"/>
              </w:rPr>
            </w:pPr>
            <w:r>
              <w:rPr>
                <w:sz w:val="20"/>
                <w:szCs w:val="20"/>
              </w:rPr>
              <w:t>17,052</w:t>
            </w:r>
          </w:p>
        </w:tc>
      </w:tr>
    </w:tbl>
    <w:p w:rsidR="001D24BA" w:rsidRDefault="001D24BA">
      <w:pPr>
        <w:rPr>
          <w:sz w:val="20"/>
          <w:szCs w:val="20"/>
        </w:rPr>
      </w:pPr>
      <w:proofErr w:type="gramStart"/>
      <w:r>
        <w:rPr>
          <w:sz w:val="20"/>
          <w:szCs w:val="20"/>
          <w:vertAlign w:val="superscript"/>
        </w:rPr>
        <w:t>a</w:t>
      </w:r>
      <w:proofErr w:type="gramEnd"/>
      <w:r>
        <w:rPr>
          <w:sz w:val="20"/>
          <w:szCs w:val="20"/>
        </w:rPr>
        <w:t xml:space="preserve"> New respondents include sources with constructed, reconstructed, and modified affected facilities.  </w:t>
      </w:r>
    </w:p>
    <w:p w:rsidR="001D24BA" w:rsidRDefault="001D24BA">
      <w:pPr>
        <w:ind w:firstLine="720"/>
      </w:pPr>
    </w:p>
    <w:p w:rsidR="001D24BA" w:rsidRDefault="001D24BA">
      <w:pPr>
        <w:ind w:firstLine="720"/>
      </w:pPr>
      <w:r>
        <w:t xml:space="preserve">Column D is subtracted to avoid double-counting respondents.  As shown above, the average Number of Respondents over the three-year period of this ICR is 17,052. </w:t>
      </w:r>
    </w:p>
    <w:p w:rsidR="001D24BA" w:rsidRDefault="001D24BA">
      <w:pPr>
        <w:ind w:firstLine="720"/>
      </w:pPr>
    </w:p>
    <w:p w:rsidR="001D24BA" w:rsidRDefault="001D24BA">
      <w:pPr>
        <w:ind w:firstLine="720"/>
      </w:pPr>
      <w:r>
        <w:rPr>
          <w:color w:val="000000"/>
        </w:rPr>
        <w:t xml:space="preserve">The total number of annual responses per year is calculated using the following table: </w:t>
      </w:r>
    </w:p>
    <w:p w:rsidR="001D24BA" w:rsidRDefault="001D24BA">
      <w:pPr>
        <w:ind w:firstLine="720"/>
        <w:rPr>
          <w:color w:val="000000"/>
          <w:lang w:eastAsia="zh-TW"/>
        </w:rPr>
      </w:pPr>
    </w:p>
    <w:tbl>
      <w:tblPr>
        <w:tblW w:w="936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255"/>
        <w:gridCol w:w="1202"/>
        <w:gridCol w:w="1202"/>
        <w:gridCol w:w="1202"/>
        <w:gridCol w:w="1159"/>
        <w:gridCol w:w="1269"/>
        <w:gridCol w:w="1071"/>
      </w:tblGrid>
      <w:tr w:rsidR="001D24BA">
        <w:trPr>
          <w:cantSplit/>
          <w:jc w:val="center"/>
        </w:trPr>
        <w:tc>
          <w:tcPr>
            <w:tcW w:w="2255" w:type="dxa"/>
          </w:tcPr>
          <w:p w:rsidR="001D24BA" w:rsidRDefault="001D24BA">
            <w:pPr>
              <w:pBdr>
                <w:top w:val="single" w:sz="6" w:space="0" w:color="FFFFFF"/>
                <w:left w:val="single" w:sz="6" w:space="0" w:color="FFFFFF"/>
                <w:bottom w:val="single" w:sz="6" w:space="0" w:color="FFFFFF"/>
                <w:right w:val="single" w:sz="6" w:space="0" w:color="FFFFFF"/>
              </w:pBdr>
              <w:jc w:val="center"/>
              <w:rPr>
                <w:color w:val="000000"/>
                <w:sz w:val="20"/>
              </w:rPr>
            </w:pPr>
            <w:r>
              <w:rPr>
                <w:color w:val="000000"/>
                <w:sz w:val="20"/>
              </w:rPr>
              <w:t>(A)</w:t>
            </w:r>
          </w:p>
          <w:p w:rsidR="001D24BA" w:rsidRDefault="001D24BA">
            <w:pPr>
              <w:pBdr>
                <w:top w:val="single" w:sz="6" w:space="0" w:color="FFFFFF"/>
                <w:left w:val="single" w:sz="6" w:space="0" w:color="FFFFFF"/>
                <w:bottom w:val="single" w:sz="6" w:space="0" w:color="FFFFFF"/>
                <w:right w:val="single" w:sz="6" w:space="0" w:color="FFFFFF"/>
              </w:pBdr>
              <w:jc w:val="center"/>
              <w:rPr>
                <w:color w:val="000000"/>
                <w:sz w:val="20"/>
              </w:rPr>
            </w:pPr>
            <w:r>
              <w:rPr>
                <w:color w:val="000000"/>
                <w:sz w:val="20"/>
              </w:rPr>
              <w:t>Information Collection Activity</w:t>
            </w:r>
          </w:p>
        </w:tc>
        <w:tc>
          <w:tcPr>
            <w:tcW w:w="1202" w:type="dxa"/>
          </w:tcPr>
          <w:p w:rsidR="001D24BA" w:rsidRDefault="001D24BA">
            <w:pPr>
              <w:jc w:val="center"/>
              <w:rPr>
                <w:sz w:val="20"/>
                <w:szCs w:val="20"/>
              </w:rPr>
            </w:pPr>
            <w:r>
              <w:rPr>
                <w:sz w:val="20"/>
                <w:szCs w:val="20"/>
              </w:rPr>
              <w:t>(A)</w:t>
            </w:r>
          </w:p>
          <w:p w:rsidR="001D24BA" w:rsidRDefault="001D24BA">
            <w:pPr>
              <w:jc w:val="center"/>
              <w:rPr>
                <w:sz w:val="20"/>
                <w:szCs w:val="20"/>
              </w:rPr>
            </w:pPr>
            <w:r>
              <w:rPr>
                <w:sz w:val="20"/>
                <w:szCs w:val="20"/>
              </w:rPr>
              <w:t xml:space="preserve">Annual Number of New Respondents </w:t>
            </w:r>
          </w:p>
        </w:tc>
        <w:tc>
          <w:tcPr>
            <w:tcW w:w="1202" w:type="dxa"/>
          </w:tcPr>
          <w:p w:rsidR="001D24BA" w:rsidRDefault="001D24BA">
            <w:pPr>
              <w:jc w:val="center"/>
              <w:rPr>
                <w:sz w:val="20"/>
                <w:szCs w:val="20"/>
              </w:rPr>
            </w:pPr>
            <w:r>
              <w:rPr>
                <w:sz w:val="20"/>
                <w:szCs w:val="20"/>
              </w:rPr>
              <w:t>(B)</w:t>
            </w:r>
          </w:p>
          <w:p w:rsidR="001D24BA" w:rsidRDefault="001D24BA">
            <w:pPr>
              <w:jc w:val="center"/>
              <w:rPr>
                <w:sz w:val="20"/>
                <w:szCs w:val="20"/>
              </w:rPr>
            </w:pPr>
            <w:r>
              <w:rPr>
                <w:sz w:val="20"/>
                <w:szCs w:val="20"/>
              </w:rPr>
              <w:t>Number of Reports for New Respondents</w:t>
            </w:r>
          </w:p>
        </w:tc>
        <w:tc>
          <w:tcPr>
            <w:tcW w:w="1202" w:type="dxa"/>
          </w:tcPr>
          <w:p w:rsidR="001D24BA" w:rsidRDefault="001D24BA">
            <w:pPr>
              <w:jc w:val="center"/>
              <w:rPr>
                <w:sz w:val="20"/>
                <w:szCs w:val="20"/>
              </w:rPr>
            </w:pPr>
            <w:r>
              <w:rPr>
                <w:sz w:val="20"/>
                <w:szCs w:val="20"/>
              </w:rPr>
              <w:t>(C)</w:t>
            </w:r>
          </w:p>
          <w:p w:rsidR="001D24BA" w:rsidRDefault="001D24BA">
            <w:pPr>
              <w:jc w:val="center"/>
              <w:rPr>
                <w:sz w:val="20"/>
                <w:szCs w:val="20"/>
              </w:rPr>
            </w:pPr>
            <w:r>
              <w:rPr>
                <w:sz w:val="20"/>
                <w:szCs w:val="20"/>
              </w:rPr>
              <w:t>Number of Existing Respondents</w:t>
            </w:r>
          </w:p>
        </w:tc>
        <w:tc>
          <w:tcPr>
            <w:tcW w:w="1159" w:type="dxa"/>
          </w:tcPr>
          <w:p w:rsidR="001D24BA" w:rsidRDefault="001D24BA">
            <w:pPr>
              <w:jc w:val="center"/>
              <w:rPr>
                <w:sz w:val="20"/>
                <w:szCs w:val="20"/>
              </w:rPr>
            </w:pPr>
            <w:r>
              <w:rPr>
                <w:sz w:val="20"/>
                <w:szCs w:val="20"/>
              </w:rPr>
              <w:t xml:space="preserve">(D) </w:t>
            </w:r>
            <w:r>
              <w:rPr>
                <w:sz w:val="20"/>
                <w:szCs w:val="20"/>
                <w:vertAlign w:val="superscript"/>
              </w:rPr>
              <w:t>a</w:t>
            </w:r>
          </w:p>
          <w:p w:rsidR="001D24BA" w:rsidRDefault="001D24BA">
            <w:pPr>
              <w:jc w:val="center"/>
              <w:rPr>
                <w:sz w:val="20"/>
                <w:szCs w:val="20"/>
              </w:rPr>
            </w:pPr>
            <w:r>
              <w:rPr>
                <w:sz w:val="20"/>
                <w:szCs w:val="20"/>
              </w:rPr>
              <w:t>Number of Reports for Existing Respondents</w:t>
            </w:r>
          </w:p>
        </w:tc>
        <w:tc>
          <w:tcPr>
            <w:tcW w:w="1269" w:type="dxa"/>
          </w:tcPr>
          <w:p w:rsidR="001D24BA" w:rsidRDefault="001D24BA">
            <w:pPr>
              <w:jc w:val="center"/>
              <w:rPr>
                <w:sz w:val="20"/>
                <w:szCs w:val="20"/>
              </w:rPr>
            </w:pPr>
            <w:r>
              <w:rPr>
                <w:sz w:val="20"/>
                <w:szCs w:val="20"/>
              </w:rPr>
              <w:t>(E)</w:t>
            </w:r>
          </w:p>
          <w:p w:rsidR="001D24BA" w:rsidRDefault="001D24BA">
            <w:pPr>
              <w:jc w:val="center"/>
              <w:rPr>
                <w:sz w:val="20"/>
                <w:szCs w:val="20"/>
              </w:rPr>
            </w:pPr>
            <w:r>
              <w:rPr>
                <w:sz w:val="20"/>
                <w:szCs w:val="20"/>
              </w:rPr>
              <w:t>Number of Existing Respondents That Keep Records but Do Not Submit Reports</w:t>
            </w:r>
          </w:p>
        </w:tc>
        <w:tc>
          <w:tcPr>
            <w:tcW w:w="1071" w:type="dxa"/>
          </w:tcPr>
          <w:p w:rsidR="001D24BA" w:rsidRDefault="001D24BA">
            <w:pPr>
              <w:jc w:val="center"/>
              <w:rPr>
                <w:sz w:val="20"/>
                <w:szCs w:val="20"/>
              </w:rPr>
            </w:pPr>
            <w:r>
              <w:rPr>
                <w:sz w:val="20"/>
                <w:szCs w:val="20"/>
              </w:rPr>
              <w:t>(F)</w:t>
            </w:r>
          </w:p>
          <w:p w:rsidR="001D24BA" w:rsidRDefault="001D24BA">
            <w:pPr>
              <w:jc w:val="center"/>
              <w:rPr>
                <w:sz w:val="20"/>
                <w:szCs w:val="20"/>
              </w:rPr>
            </w:pPr>
            <w:r>
              <w:rPr>
                <w:sz w:val="20"/>
                <w:szCs w:val="20"/>
              </w:rPr>
              <w:t>Total Annual Responses</w:t>
            </w:r>
          </w:p>
          <w:p w:rsidR="001D24BA" w:rsidRDefault="001D24BA">
            <w:pPr>
              <w:jc w:val="center"/>
              <w:rPr>
                <w:sz w:val="20"/>
                <w:szCs w:val="20"/>
              </w:rPr>
            </w:pPr>
            <w:r>
              <w:rPr>
                <w:sz w:val="20"/>
                <w:szCs w:val="20"/>
              </w:rPr>
              <w:t>F=(A×B) + (C×D)+E</w:t>
            </w:r>
          </w:p>
        </w:tc>
      </w:tr>
      <w:tr w:rsidR="001D24BA">
        <w:trPr>
          <w:cantSplit/>
          <w:jc w:val="center"/>
        </w:trPr>
        <w:tc>
          <w:tcPr>
            <w:tcW w:w="2255" w:type="dxa"/>
          </w:tcPr>
          <w:p w:rsidR="001D24BA" w:rsidRDefault="001D24BA">
            <w:pPr>
              <w:pBdr>
                <w:top w:val="single" w:sz="6" w:space="0" w:color="FFFFFF"/>
                <w:left w:val="single" w:sz="6" w:space="0" w:color="FFFFFF"/>
                <w:bottom w:val="single" w:sz="6" w:space="0" w:color="FFFFFF"/>
                <w:right w:val="single" w:sz="6" w:space="0" w:color="FFFFFF"/>
              </w:pBdr>
              <w:spacing w:after="52"/>
              <w:rPr>
                <w:sz w:val="20"/>
                <w:szCs w:val="20"/>
                <w:lang w:eastAsia="zh-TW"/>
              </w:rPr>
            </w:pPr>
            <w:r>
              <w:rPr>
                <w:sz w:val="20"/>
                <w:szCs w:val="20"/>
                <w:lang w:eastAsia="zh-TW"/>
              </w:rPr>
              <w:t>Initial notification (&gt;500 hp non-certified engines)</w:t>
            </w:r>
          </w:p>
        </w:tc>
        <w:tc>
          <w:tcPr>
            <w:tcW w:w="1202"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r>
              <w:rPr>
                <w:color w:val="000000"/>
                <w:sz w:val="20"/>
              </w:rPr>
              <w:t>30</w:t>
            </w:r>
          </w:p>
        </w:tc>
        <w:tc>
          <w:tcPr>
            <w:tcW w:w="1202"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r>
              <w:rPr>
                <w:color w:val="000000"/>
                <w:sz w:val="20"/>
              </w:rPr>
              <w:t>1</w:t>
            </w:r>
          </w:p>
        </w:tc>
        <w:tc>
          <w:tcPr>
            <w:tcW w:w="1202"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r>
              <w:rPr>
                <w:color w:val="000000"/>
                <w:sz w:val="20"/>
              </w:rPr>
              <w:t>0</w:t>
            </w:r>
          </w:p>
        </w:tc>
        <w:tc>
          <w:tcPr>
            <w:tcW w:w="1159"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r>
              <w:rPr>
                <w:color w:val="000000"/>
                <w:sz w:val="20"/>
              </w:rPr>
              <w:t>0</w:t>
            </w:r>
          </w:p>
        </w:tc>
        <w:tc>
          <w:tcPr>
            <w:tcW w:w="1269"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r>
              <w:rPr>
                <w:color w:val="000000"/>
                <w:sz w:val="20"/>
              </w:rPr>
              <w:t>n/a</w:t>
            </w:r>
          </w:p>
        </w:tc>
        <w:tc>
          <w:tcPr>
            <w:tcW w:w="1071"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r>
              <w:rPr>
                <w:color w:val="000000"/>
                <w:sz w:val="20"/>
              </w:rPr>
              <w:t>30</w:t>
            </w:r>
          </w:p>
        </w:tc>
      </w:tr>
      <w:tr w:rsidR="001D24BA">
        <w:trPr>
          <w:cantSplit/>
          <w:jc w:val="center"/>
        </w:trPr>
        <w:tc>
          <w:tcPr>
            <w:tcW w:w="2255" w:type="dxa"/>
          </w:tcPr>
          <w:p w:rsidR="001D24BA" w:rsidRDefault="001D24BA">
            <w:pPr>
              <w:pBdr>
                <w:top w:val="single" w:sz="6" w:space="0" w:color="FFFFFF"/>
                <w:left w:val="single" w:sz="6" w:space="0" w:color="FFFFFF"/>
                <w:bottom w:val="single" w:sz="6" w:space="0" w:color="FFFFFF"/>
                <w:right w:val="single" w:sz="6" w:space="0" w:color="FFFFFF"/>
              </w:pBdr>
              <w:spacing w:after="52"/>
              <w:rPr>
                <w:color w:val="000000"/>
                <w:sz w:val="20"/>
              </w:rPr>
            </w:pPr>
            <w:r>
              <w:rPr>
                <w:sz w:val="20"/>
                <w:szCs w:val="20"/>
                <w:lang w:eastAsia="zh-TW"/>
              </w:rPr>
              <w:t>Record Engine Maintenance</w:t>
            </w:r>
          </w:p>
        </w:tc>
        <w:tc>
          <w:tcPr>
            <w:tcW w:w="1202"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r>
              <w:rPr>
                <w:color w:val="000000"/>
                <w:sz w:val="20"/>
              </w:rPr>
              <w:t>253</w:t>
            </w:r>
          </w:p>
        </w:tc>
        <w:tc>
          <w:tcPr>
            <w:tcW w:w="1202"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r>
              <w:rPr>
                <w:color w:val="000000"/>
                <w:sz w:val="20"/>
              </w:rPr>
              <w:t>1</w:t>
            </w:r>
          </w:p>
        </w:tc>
        <w:tc>
          <w:tcPr>
            <w:tcW w:w="1202"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r>
              <w:rPr>
                <w:color w:val="000000"/>
                <w:sz w:val="20"/>
              </w:rPr>
              <w:t>16,799</w:t>
            </w:r>
          </w:p>
        </w:tc>
        <w:tc>
          <w:tcPr>
            <w:tcW w:w="1159"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r>
              <w:rPr>
                <w:color w:val="000000"/>
                <w:sz w:val="20"/>
              </w:rPr>
              <w:t>1</w:t>
            </w:r>
          </w:p>
        </w:tc>
        <w:tc>
          <w:tcPr>
            <w:tcW w:w="1269"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r>
              <w:rPr>
                <w:color w:val="000000"/>
                <w:sz w:val="20"/>
              </w:rPr>
              <w:t>n/a</w:t>
            </w:r>
          </w:p>
        </w:tc>
        <w:tc>
          <w:tcPr>
            <w:tcW w:w="1071"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r>
              <w:rPr>
                <w:color w:val="000000"/>
                <w:sz w:val="20"/>
              </w:rPr>
              <w:t>17,052</w:t>
            </w:r>
          </w:p>
        </w:tc>
      </w:tr>
      <w:tr w:rsidR="001D24BA">
        <w:trPr>
          <w:cantSplit/>
          <w:jc w:val="center"/>
        </w:trPr>
        <w:tc>
          <w:tcPr>
            <w:tcW w:w="2255" w:type="dxa"/>
          </w:tcPr>
          <w:p w:rsidR="001D24BA" w:rsidRDefault="001D24BA">
            <w:pPr>
              <w:pBdr>
                <w:top w:val="single" w:sz="6" w:space="0" w:color="FFFFFF"/>
                <w:left w:val="single" w:sz="6" w:space="0" w:color="FFFFFF"/>
                <w:bottom w:val="single" w:sz="6" w:space="0" w:color="FFFFFF"/>
                <w:right w:val="single" w:sz="6" w:space="0" w:color="FFFFFF"/>
              </w:pBdr>
              <w:spacing w:after="52"/>
              <w:rPr>
                <w:color w:val="000000"/>
                <w:sz w:val="20"/>
              </w:rPr>
            </w:pPr>
            <w:r>
              <w:rPr>
                <w:sz w:val="20"/>
                <w:szCs w:val="20"/>
                <w:lang w:eastAsia="zh-TW"/>
              </w:rPr>
              <w:t>Recording hours in non-emergency operation</w:t>
            </w:r>
          </w:p>
        </w:tc>
        <w:tc>
          <w:tcPr>
            <w:tcW w:w="1202"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r>
              <w:rPr>
                <w:color w:val="000000"/>
                <w:sz w:val="20"/>
              </w:rPr>
              <w:t>6</w:t>
            </w:r>
          </w:p>
        </w:tc>
        <w:tc>
          <w:tcPr>
            <w:tcW w:w="1202"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r>
              <w:rPr>
                <w:color w:val="000000"/>
                <w:sz w:val="20"/>
              </w:rPr>
              <w:t>1</w:t>
            </w:r>
          </w:p>
        </w:tc>
        <w:tc>
          <w:tcPr>
            <w:tcW w:w="1202"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r>
              <w:rPr>
                <w:color w:val="000000"/>
                <w:sz w:val="20"/>
              </w:rPr>
              <w:t>421</w:t>
            </w:r>
          </w:p>
        </w:tc>
        <w:tc>
          <w:tcPr>
            <w:tcW w:w="1159"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r>
              <w:rPr>
                <w:color w:val="000000"/>
                <w:sz w:val="20"/>
              </w:rPr>
              <w:t>1</w:t>
            </w:r>
          </w:p>
        </w:tc>
        <w:tc>
          <w:tcPr>
            <w:tcW w:w="1269"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r>
              <w:rPr>
                <w:color w:val="000000"/>
                <w:sz w:val="20"/>
              </w:rPr>
              <w:t>n/a</w:t>
            </w:r>
          </w:p>
        </w:tc>
        <w:tc>
          <w:tcPr>
            <w:tcW w:w="1071"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r>
              <w:rPr>
                <w:color w:val="000000"/>
                <w:sz w:val="20"/>
              </w:rPr>
              <w:t>427</w:t>
            </w:r>
          </w:p>
        </w:tc>
      </w:tr>
      <w:tr w:rsidR="001D24BA">
        <w:trPr>
          <w:cantSplit/>
          <w:jc w:val="center"/>
        </w:trPr>
        <w:tc>
          <w:tcPr>
            <w:tcW w:w="2255" w:type="dxa"/>
          </w:tcPr>
          <w:p w:rsidR="001D24BA" w:rsidRDefault="001D24BA">
            <w:pPr>
              <w:pBdr>
                <w:top w:val="single" w:sz="6" w:space="0" w:color="FFFFFF"/>
                <w:left w:val="single" w:sz="6" w:space="0" w:color="FFFFFF"/>
                <w:bottom w:val="single" w:sz="6" w:space="0" w:color="FFFFFF"/>
                <w:right w:val="single" w:sz="6" w:space="0" w:color="FFFFFF"/>
              </w:pBdr>
              <w:spacing w:after="52"/>
              <w:rPr>
                <w:color w:val="000000"/>
                <w:sz w:val="20"/>
              </w:rPr>
            </w:pPr>
            <w:r>
              <w:rPr>
                <w:color w:val="000000"/>
                <w:sz w:val="20"/>
              </w:rPr>
              <w:t>Total (rounded)</w:t>
            </w:r>
          </w:p>
        </w:tc>
        <w:tc>
          <w:tcPr>
            <w:tcW w:w="1202"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p>
        </w:tc>
        <w:tc>
          <w:tcPr>
            <w:tcW w:w="1202"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p>
        </w:tc>
        <w:tc>
          <w:tcPr>
            <w:tcW w:w="1202"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p>
        </w:tc>
        <w:tc>
          <w:tcPr>
            <w:tcW w:w="1159"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p>
        </w:tc>
        <w:tc>
          <w:tcPr>
            <w:tcW w:w="1269"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p>
        </w:tc>
        <w:tc>
          <w:tcPr>
            <w:tcW w:w="1071" w:type="dxa"/>
          </w:tcPr>
          <w:p w:rsidR="001D24BA" w:rsidRDefault="001D24BA">
            <w:pPr>
              <w:pBdr>
                <w:top w:val="single" w:sz="6" w:space="0" w:color="FFFFFF"/>
                <w:left w:val="single" w:sz="6" w:space="0" w:color="FFFFFF"/>
                <w:bottom w:val="single" w:sz="6" w:space="0" w:color="FFFFFF"/>
                <w:right w:val="single" w:sz="6" w:space="0" w:color="FFFFFF"/>
              </w:pBdr>
              <w:spacing w:after="52"/>
              <w:jc w:val="center"/>
              <w:rPr>
                <w:color w:val="000000"/>
                <w:sz w:val="20"/>
              </w:rPr>
            </w:pPr>
            <w:r>
              <w:rPr>
                <w:color w:val="000000"/>
                <w:sz w:val="20"/>
              </w:rPr>
              <w:t>17,509</w:t>
            </w:r>
          </w:p>
        </w:tc>
      </w:tr>
    </w:tbl>
    <w:p w:rsidR="001D24BA" w:rsidRDefault="001D24BA">
      <w:pPr>
        <w:ind w:firstLine="720"/>
        <w:rPr>
          <w:lang w:eastAsia="zh-TW"/>
        </w:rPr>
      </w:pPr>
    </w:p>
    <w:p w:rsidR="001D24BA" w:rsidRDefault="001D24BA">
      <w:pPr>
        <w:ind w:firstLine="720"/>
      </w:pPr>
      <w:r>
        <w:t xml:space="preserve">The number of Total Annual Responses is 17,509.  These responses include initial notifications, notifications of compliance status, and annual compliance reports; they do not count recordkeeping activities as a response. </w:t>
      </w:r>
    </w:p>
    <w:p w:rsidR="001D24BA" w:rsidRDefault="001D24BA">
      <w:pPr>
        <w:ind w:firstLine="720"/>
        <w:rPr>
          <w:highlight w:val="yellow"/>
        </w:rPr>
      </w:pPr>
    </w:p>
    <w:p w:rsidR="001D24BA" w:rsidRDefault="001D24BA">
      <w:pPr>
        <w:ind w:firstLine="720"/>
      </w:pPr>
      <w:r>
        <w:t xml:space="preserve">The total annual labor costs are $2,123,623.  Details regarding these estimates may be found below in Table 1: Annual Respondent Burden and Cost – </w:t>
      </w:r>
      <w:r>
        <w:rPr>
          <w:bCs/>
        </w:rPr>
        <w:t>NSPS for Stationary Spark Ignition Internal Combustion Engines</w:t>
      </w:r>
      <w:r>
        <w:t xml:space="preserve"> (</w:t>
      </w:r>
      <w:r w:rsidR="000A19EF">
        <w:t>40 CFR Part 60, Subpart JJJJ) (Renewal)</w:t>
      </w:r>
      <w:r>
        <w:t>.</w:t>
      </w:r>
    </w:p>
    <w:p w:rsidR="001D24BA" w:rsidRDefault="001D24BA">
      <w:pPr>
        <w:ind w:firstLine="720"/>
      </w:pPr>
    </w:p>
    <w:p w:rsidR="001D24BA" w:rsidRDefault="001D24BA">
      <w:pPr>
        <w:ind w:firstLine="720"/>
        <w:rPr>
          <w:sz w:val="18"/>
          <w:szCs w:val="18"/>
        </w:rPr>
      </w:pPr>
      <w:r>
        <w:t>The total annual capital/startup and O&amp;M costs to the regulated entities are $2,302,967.  The cost calculations are detailed in Section 6(b</w:t>
      </w:r>
      <w:proofErr w:type="gramStart"/>
      <w:r>
        <w:t>)(</w:t>
      </w:r>
      <w:proofErr w:type="gramEnd"/>
      <w:r>
        <w:t>iii), Capital/Startup vs. Operation and Maintenance (O&amp;M) Costs.</w:t>
      </w:r>
    </w:p>
    <w:p w:rsidR="001D24BA" w:rsidRDefault="001D24BA">
      <w:pPr>
        <w:ind w:firstLine="720"/>
      </w:pPr>
    </w:p>
    <w:p w:rsidR="001D24BA" w:rsidRDefault="001D24BA">
      <w:pPr>
        <w:ind w:firstLine="720"/>
        <w:rPr>
          <w:sz w:val="18"/>
          <w:szCs w:val="18"/>
        </w:rPr>
      </w:pPr>
      <w:r>
        <w:t>The average annual Agency burden and cost over next three years is estimated to be 5,</w:t>
      </w:r>
      <w:r w:rsidR="00D76B6D">
        <w:t>357</w:t>
      </w:r>
      <w:r>
        <w:t xml:space="preserve"> labor hours at a cost of $2</w:t>
      </w:r>
      <w:r w:rsidR="00D76B6D">
        <w:t>41,398</w:t>
      </w:r>
      <w:r>
        <w:t xml:space="preserve">.  See </w:t>
      </w:r>
      <w:r w:rsidR="00D76B6D">
        <w:t xml:space="preserve">below </w:t>
      </w:r>
      <w:r>
        <w:t xml:space="preserve">Table 2: Annual Agency Burden and Cost – </w:t>
      </w:r>
      <w:r>
        <w:rPr>
          <w:bCs/>
        </w:rPr>
        <w:t xml:space="preserve">NSPS for Stationary Spark Ignition Internal Combustion Engines (40 CFR </w:t>
      </w:r>
      <w:proofErr w:type="gramStart"/>
      <w:r w:rsidR="00D76B6D">
        <w:rPr>
          <w:bCs/>
        </w:rPr>
        <w:t>P</w:t>
      </w:r>
      <w:r>
        <w:rPr>
          <w:bCs/>
        </w:rPr>
        <w:t>art</w:t>
      </w:r>
      <w:proofErr w:type="gramEnd"/>
      <w:r>
        <w:rPr>
          <w:bCs/>
        </w:rPr>
        <w:t xml:space="preserve"> 60, </w:t>
      </w:r>
      <w:r w:rsidR="00D76B6D">
        <w:rPr>
          <w:bCs/>
        </w:rPr>
        <w:t>S</w:t>
      </w:r>
      <w:r>
        <w:rPr>
          <w:bCs/>
        </w:rPr>
        <w:t>ubpart JJJJ)</w:t>
      </w:r>
      <w:r w:rsidR="00D76B6D">
        <w:rPr>
          <w:bCs/>
        </w:rPr>
        <w:t xml:space="preserve"> (Renewal)</w:t>
      </w:r>
      <w:r>
        <w:t>.</w:t>
      </w:r>
    </w:p>
    <w:p w:rsidR="001D24BA" w:rsidRDefault="001D24BA">
      <w:pPr>
        <w:ind w:firstLine="720"/>
      </w:pPr>
    </w:p>
    <w:p w:rsidR="001D24BA" w:rsidRDefault="001D24BA">
      <w:pPr>
        <w:pBdr>
          <w:top w:val="single" w:sz="6" w:space="0" w:color="FFFFFF"/>
          <w:left w:val="single" w:sz="6" w:space="0" w:color="FFFFFF"/>
          <w:bottom w:val="single" w:sz="6" w:space="0" w:color="FFFFFF"/>
          <w:right w:val="single" w:sz="6" w:space="0" w:color="FFFFFF"/>
        </w:pBdr>
        <w:ind w:firstLine="720"/>
      </w:pPr>
      <w:r>
        <w:rPr>
          <w:b/>
          <w:bCs/>
        </w:rPr>
        <w:t>6(e</w:t>
      </w:r>
      <w:proofErr w:type="gramStart"/>
      <w:r>
        <w:rPr>
          <w:b/>
          <w:bCs/>
        </w:rPr>
        <w:t>)  Bottom</w:t>
      </w:r>
      <w:proofErr w:type="gramEnd"/>
      <w:r>
        <w:rPr>
          <w:b/>
          <w:bCs/>
        </w:rPr>
        <w:t xml:space="preserve"> Line Burden Hours and Cost Tables</w:t>
      </w:r>
    </w:p>
    <w:p w:rsidR="001D24BA" w:rsidRDefault="001D24BA">
      <w:pPr>
        <w:ind w:firstLine="720"/>
      </w:pPr>
    </w:p>
    <w:p w:rsidR="001D24BA" w:rsidRDefault="001D24BA">
      <w:pPr>
        <w:ind w:firstLine="720"/>
      </w:pPr>
      <w:r>
        <w:t xml:space="preserve">The detailed bottom line burden hours and cost calculations for the respondents and the Agency are shown in Tables 1 and 2 below, respectively, and summarized below.  </w:t>
      </w:r>
    </w:p>
    <w:p w:rsidR="001D24BA" w:rsidRDefault="001D24BA">
      <w:pPr>
        <w:ind w:firstLine="720"/>
      </w:pPr>
    </w:p>
    <w:p w:rsidR="001D24BA" w:rsidRDefault="001D24BA">
      <w:pPr>
        <w:pBdr>
          <w:top w:val="single" w:sz="6" w:space="0" w:color="FFFFFF"/>
          <w:left w:val="single" w:sz="6" w:space="0" w:color="FFFFFF"/>
          <w:bottom w:val="single" w:sz="6" w:space="0" w:color="FFFFFF"/>
          <w:right w:val="single" w:sz="6" w:space="0" w:color="FFFFFF"/>
        </w:pBdr>
        <w:ind w:firstLine="1440"/>
      </w:pPr>
      <w:r>
        <w:rPr>
          <w:b/>
          <w:bCs/>
        </w:rPr>
        <w:t>(i)  Respondent Tally</w:t>
      </w:r>
    </w:p>
    <w:p w:rsidR="001D24BA" w:rsidRDefault="001D24BA">
      <w:pPr>
        <w:ind w:firstLine="720"/>
      </w:pPr>
    </w:p>
    <w:p w:rsidR="001D24BA" w:rsidRDefault="001D24BA">
      <w:pPr>
        <w:ind w:firstLine="720"/>
      </w:pPr>
      <w:r>
        <w:t>The total annual labor hours are 22,634.  Details regarding these estimates may be found</w:t>
      </w:r>
      <w:r w:rsidR="00D76B6D">
        <w:t xml:space="preserve"> below </w:t>
      </w:r>
      <w:r>
        <w:t xml:space="preserve">in Table 1: Annual Respondent Burden and Cost – </w:t>
      </w:r>
      <w:r>
        <w:rPr>
          <w:bCs/>
        </w:rPr>
        <w:t xml:space="preserve">NSPS for Stationary Spark Ignition Internal Combustion Engines (40 CFR </w:t>
      </w:r>
      <w:r w:rsidR="00D76B6D">
        <w:rPr>
          <w:bCs/>
        </w:rPr>
        <w:t>P</w:t>
      </w:r>
      <w:r>
        <w:rPr>
          <w:bCs/>
        </w:rPr>
        <w:t xml:space="preserve">art 60, </w:t>
      </w:r>
      <w:r w:rsidR="00D76B6D">
        <w:rPr>
          <w:bCs/>
        </w:rPr>
        <w:t>S</w:t>
      </w:r>
      <w:r>
        <w:rPr>
          <w:bCs/>
        </w:rPr>
        <w:t>ubpart JJJJ)</w:t>
      </w:r>
      <w:r w:rsidR="00D76B6D">
        <w:rPr>
          <w:bCs/>
        </w:rPr>
        <w:t xml:space="preserve"> (Renewal)</w:t>
      </w:r>
      <w:r>
        <w:t>.  Furthermore, the annual public reporting and recordkeeping burden for this collection of information is estimated to average than 1 hour per response.</w:t>
      </w:r>
    </w:p>
    <w:p w:rsidR="001D24BA" w:rsidRDefault="001D24BA">
      <w:pPr>
        <w:ind w:firstLine="720"/>
      </w:pPr>
    </w:p>
    <w:p w:rsidR="001D24BA" w:rsidRDefault="001D24BA">
      <w:pPr>
        <w:ind w:firstLine="720"/>
      </w:pPr>
      <w:r>
        <w:t>The total annual capital/startup and O&amp;M costs to the regulated entity are $</w:t>
      </w:r>
      <w:proofErr w:type="gramStart"/>
      <w:r>
        <w:t>2,302,967 .</w:t>
      </w:r>
      <w:proofErr w:type="gramEnd"/>
      <w:r>
        <w:t xml:space="preserve">  The cost calculations are detailed in Section 6(b</w:t>
      </w:r>
      <w:proofErr w:type="gramStart"/>
      <w:r>
        <w:t>)(</w:t>
      </w:r>
      <w:proofErr w:type="gramEnd"/>
      <w:r>
        <w:t>iii), Capital/Startup vs. Operation and Maintenance (O&amp;M) Costs.</w:t>
      </w:r>
    </w:p>
    <w:p w:rsidR="001D24BA" w:rsidRDefault="001D24BA">
      <w:pPr>
        <w:ind w:firstLine="720"/>
      </w:pPr>
    </w:p>
    <w:p w:rsidR="001D24BA" w:rsidRDefault="001D24BA">
      <w:pPr>
        <w:pBdr>
          <w:top w:val="single" w:sz="6" w:space="0" w:color="FFFFFF"/>
          <w:left w:val="single" w:sz="6" w:space="0" w:color="FFFFFF"/>
          <w:bottom w:val="single" w:sz="6" w:space="0" w:color="FFFFFF"/>
          <w:right w:val="single" w:sz="6" w:space="0" w:color="FFFFFF"/>
        </w:pBdr>
        <w:ind w:firstLine="1440"/>
      </w:pPr>
      <w:r>
        <w:rPr>
          <w:b/>
          <w:bCs/>
        </w:rPr>
        <w:t>(ii)  The Agency Tally</w:t>
      </w:r>
    </w:p>
    <w:p w:rsidR="001D24BA" w:rsidRDefault="001D24BA">
      <w:pPr>
        <w:ind w:firstLine="720"/>
      </w:pPr>
    </w:p>
    <w:p w:rsidR="001D24BA" w:rsidRDefault="001D24BA">
      <w:pPr>
        <w:ind w:firstLine="720"/>
        <w:rPr>
          <w:lang w:eastAsia="zh-TW"/>
        </w:rPr>
      </w:pPr>
      <w:r>
        <w:t>The average annual Agency burden and cost over next three years is estimated to be 5,</w:t>
      </w:r>
      <w:r w:rsidR="00D76B6D">
        <w:t>357</w:t>
      </w:r>
      <w:r>
        <w:t xml:space="preserve"> labor hours at a cost of $241,398.  See </w:t>
      </w:r>
      <w:r w:rsidR="00D76B6D">
        <w:t xml:space="preserve">below </w:t>
      </w:r>
      <w:r>
        <w:t>Table 2</w:t>
      </w:r>
      <w:r>
        <w:rPr>
          <w:rFonts w:hint="eastAsia"/>
          <w:lang w:eastAsia="zh-TW"/>
        </w:rPr>
        <w:t>:</w:t>
      </w:r>
      <w:r>
        <w:t xml:space="preserve"> </w:t>
      </w:r>
      <w:r w:rsidR="00D76B6D">
        <w:t xml:space="preserve">Average </w:t>
      </w:r>
      <w:r>
        <w:t xml:space="preserve">Annual </w:t>
      </w:r>
      <w:proofErr w:type="gramStart"/>
      <w:r w:rsidR="00D76B6D">
        <w:t xml:space="preserve">EPA </w:t>
      </w:r>
      <w:r>
        <w:t xml:space="preserve"> Burden</w:t>
      </w:r>
      <w:proofErr w:type="gramEnd"/>
      <w:r>
        <w:rPr>
          <w:lang w:eastAsia="zh-TW"/>
        </w:rPr>
        <w:t xml:space="preserve">– NSPS </w:t>
      </w:r>
      <w:r>
        <w:t>for Stationary Spark Ignition Internal Combustion Engines (40 CFR Part 60, Subpart JJJJ)</w:t>
      </w:r>
      <w:r w:rsidR="00D76B6D">
        <w:t xml:space="preserve"> (Renewal)</w:t>
      </w:r>
      <w:r>
        <w:t>.</w:t>
      </w:r>
    </w:p>
    <w:p w:rsidR="001D24BA" w:rsidRDefault="001D24BA">
      <w:pPr>
        <w:ind w:firstLine="720"/>
        <w:rPr>
          <w:lang w:eastAsia="zh-TW"/>
        </w:rPr>
      </w:pPr>
    </w:p>
    <w:p w:rsidR="00DB08ED" w:rsidRDefault="00DB08ED">
      <w:pPr>
        <w:pBdr>
          <w:top w:val="single" w:sz="6" w:space="0" w:color="FFFFFF"/>
          <w:left w:val="single" w:sz="6" w:space="0" w:color="FFFFFF"/>
          <w:bottom w:val="single" w:sz="6" w:space="0" w:color="FFFFFF"/>
          <w:right w:val="single" w:sz="6" w:space="0" w:color="FFFFFF"/>
        </w:pBdr>
        <w:ind w:firstLine="720"/>
        <w:rPr>
          <w:b/>
          <w:bCs/>
        </w:rPr>
      </w:pPr>
    </w:p>
    <w:p w:rsidR="00DB08ED" w:rsidRDefault="00DB08ED">
      <w:pPr>
        <w:pBdr>
          <w:top w:val="single" w:sz="6" w:space="0" w:color="FFFFFF"/>
          <w:left w:val="single" w:sz="6" w:space="0" w:color="FFFFFF"/>
          <w:bottom w:val="single" w:sz="6" w:space="0" w:color="FFFFFF"/>
          <w:right w:val="single" w:sz="6" w:space="0" w:color="FFFFFF"/>
        </w:pBdr>
        <w:ind w:firstLine="720"/>
        <w:rPr>
          <w:b/>
          <w:bCs/>
        </w:rPr>
      </w:pPr>
    </w:p>
    <w:p w:rsidR="001D24BA" w:rsidRDefault="001D24BA">
      <w:pPr>
        <w:pBdr>
          <w:top w:val="single" w:sz="6" w:space="0" w:color="FFFFFF"/>
          <w:left w:val="single" w:sz="6" w:space="0" w:color="FFFFFF"/>
          <w:bottom w:val="single" w:sz="6" w:space="0" w:color="FFFFFF"/>
          <w:right w:val="single" w:sz="6" w:space="0" w:color="FFFFFF"/>
        </w:pBdr>
        <w:ind w:firstLine="720"/>
      </w:pPr>
      <w:r>
        <w:rPr>
          <w:b/>
          <w:bCs/>
        </w:rPr>
        <w:t>6(f</w:t>
      </w:r>
      <w:proofErr w:type="gramStart"/>
      <w:r>
        <w:rPr>
          <w:b/>
          <w:bCs/>
        </w:rPr>
        <w:t>)  Reasons</w:t>
      </w:r>
      <w:proofErr w:type="gramEnd"/>
      <w:r>
        <w:rPr>
          <w:b/>
          <w:bCs/>
        </w:rPr>
        <w:t xml:space="preserve"> for Change in Burden</w:t>
      </w:r>
    </w:p>
    <w:p w:rsidR="001D24BA" w:rsidRDefault="001D24BA">
      <w:pPr>
        <w:ind w:firstLine="720"/>
      </w:pPr>
    </w:p>
    <w:p w:rsidR="001D24BA" w:rsidRDefault="001D24BA">
      <w:pPr>
        <w:ind w:firstLine="720"/>
      </w:pPr>
      <w:r>
        <w:t xml:space="preserve">There is a decrease in the total estimated labor hour burden as currently identified in </w:t>
      </w:r>
      <w:r w:rsidR="00D76B6D">
        <w:t xml:space="preserve">         </w:t>
      </w:r>
      <w:r>
        <w:t xml:space="preserve">the OMB Inventory of Approved ICR Burdens because the rule is now fully implemented.  </w:t>
      </w:r>
      <w:r w:rsidR="00D76B6D">
        <w:t xml:space="preserve">         </w:t>
      </w:r>
      <w:r>
        <w:t xml:space="preserve">The previous ICR covered the initial phase of standard implementation which occurred over a three-year period.  This ICR shows the labor hour and cost burden after full implementation.  </w:t>
      </w:r>
      <w:r w:rsidR="00D76B6D">
        <w:t xml:space="preserve">    </w:t>
      </w:r>
      <w:r>
        <w:t>This decrease is not due to any program changes.</w:t>
      </w:r>
    </w:p>
    <w:p w:rsidR="001D24BA" w:rsidRDefault="001D24BA">
      <w:pPr>
        <w:ind w:firstLine="720"/>
      </w:pPr>
    </w:p>
    <w:p w:rsidR="001D24BA" w:rsidRDefault="001D24BA">
      <w:pPr>
        <w:ind w:firstLine="720"/>
      </w:pPr>
      <w:r>
        <w:t>The change in cost to Respondents and the Agency is due to both labor rate adjustments to reflect the most recent available estimates and an overall decrease in burden.</w:t>
      </w:r>
    </w:p>
    <w:p w:rsidR="001D24BA" w:rsidRDefault="001D24BA">
      <w:pPr>
        <w:ind w:firstLine="720"/>
      </w:pPr>
    </w:p>
    <w:p w:rsidR="001D24BA" w:rsidRDefault="001D24BA">
      <w:pPr>
        <w:pBdr>
          <w:top w:val="single" w:sz="6" w:space="0" w:color="FFFFFF"/>
          <w:left w:val="single" w:sz="6" w:space="0" w:color="FFFFFF"/>
          <w:bottom w:val="single" w:sz="6" w:space="0" w:color="FFFFFF"/>
          <w:right w:val="single" w:sz="6" w:space="0" w:color="FFFFFF"/>
        </w:pBdr>
        <w:ind w:firstLine="720"/>
      </w:pPr>
      <w:r>
        <w:rPr>
          <w:b/>
          <w:bCs/>
        </w:rPr>
        <w:t>6(g</w:t>
      </w:r>
      <w:proofErr w:type="gramStart"/>
      <w:r>
        <w:rPr>
          <w:b/>
          <w:bCs/>
        </w:rPr>
        <w:t>)  Burden</w:t>
      </w:r>
      <w:proofErr w:type="gramEnd"/>
      <w:r>
        <w:rPr>
          <w:b/>
          <w:bCs/>
        </w:rPr>
        <w:t xml:space="preserve"> Statement</w:t>
      </w:r>
    </w:p>
    <w:p w:rsidR="001D24BA" w:rsidRDefault="001D24BA">
      <w:pPr>
        <w:ind w:firstLine="720"/>
      </w:pPr>
    </w:p>
    <w:p w:rsidR="001D24BA" w:rsidRDefault="001D24BA">
      <w:pPr>
        <w:ind w:firstLine="720"/>
      </w:pPr>
      <w:r>
        <w:t>The annual public reporting and recordkeeping burden for this collection of information is estimated to average 1 hour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1D24BA" w:rsidRDefault="001D24BA">
      <w:pPr>
        <w:ind w:firstLine="720"/>
      </w:pPr>
    </w:p>
    <w:p w:rsidR="001D24BA" w:rsidRDefault="001D24BA">
      <w:pPr>
        <w:ind w:firstLine="720"/>
      </w:pPr>
      <w:r>
        <w:t>An agency may not conduct or sponsor, and a person is not required to respond to, a collection of information unless it displays a valid OMB Control Number.  The OMB Control Numbers for EPA regulations are listed at 40 CFR part 9 and 48 CFR chapter 15.</w:t>
      </w:r>
    </w:p>
    <w:p w:rsidR="001D24BA" w:rsidRDefault="001D24BA">
      <w:pPr>
        <w:ind w:firstLine="720"/>
      </w:pPr>
    </w:p>
    <w:p w:rsidR="001D24BA" w:rsidRDefault="001D24BA">
      <w:pPr>
        <w:ind w:firstLine="720"/>
      </w:pPr>
      <w: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EPA-HQ-OECA-2010-0347.  An electronic version of the public docket is available at </w:t>
      </w:r>
      <w:r w:rsidRPr="00D76B6D">
        <w:rPr>
          <w:u w:val="single"/>
        </w:rPr>
        <w:t>http://www.regulations.gov/</w:t>
      </w:r>
      <w:r>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566-1752.  Also, you can send comments to the Office of Information and Regulatory Affairs, Office of Management and Budget, 725 17th Street, NW, Washington, DC 20503, Attention: Desk Officer for EPA.  Please include the EPA Docket ID Number EPA-HQ-OECA-2010-0347 and OMB Control Number 2060-0610 in any correspondence. </w:t>
      </w:r>
    </w:p>
    <w:p w:rsidR="001D24BA" w:rsidRDefault="001D24BA">
      <w:pPr>
        <w:ind w:firstLine="720"/>
      </w:pPr>
    </w:p>
    <w:p w:rsidR="001D24BA" w:rsidRDefault="001D24BA">
      <w:pPr>
        <w:rPr>
          <w:b/>
          <w:bCs/>
        </w:rPr>
      </w:pPr>
      <w:r>
        <w:rPr>
          <w:b/>
          <w:bCs/>
        </w:rPr>
        <w:t>Part B of the Supporting Statement</w:t>
      </w:r>
    </w:p>
    <w:p w:rsidR="001D24BA" w:rsidRDefault="001D24BA">
      <w:pPr>
        <w:ind w:firstLine="720"/>
        <w:rPr>
          <w:b/>
          <w:bCs/>
        </w:rPr>
      </w:pPr>
    </w:p>
    <w:p w:rsidR="001D24BA" w:rsidRDefault="001D24BA">
      <w:pPr>
        <w:ind w:firstLine="720"/>
      </w:pPr>
      <w:r>
        <w:t>This part is not applicable because no statistical methods were used in collecting this information.</w:t>
      </w:r>
    </w:p>
    <w:p w:rsidR="001D24BA" w:rsidRDefault="001D24BA">
      <w:pPr>
        <w:ind w:firstLine="720"/>
      </w:pPr>
    </w:p>
    <w:p w:rsidR="001D24BA" w:rsidRDefault="001D24BA">
      <w:pPr>
        <w:sectPr w:rsidR="001D24BA">
          <w:headerReference w:type="default" r:id="rId8"/>
          <w:type w:val="continuous"/>
          <w:pgSz w:w="12240" w:h="15840" w:code="1"/>
          <w:pgMar w:top="1440" w:right="1440" w:bottom="1440" w:left="1440" w:header="1008" w:footer="0" w:gutter="0"/>
          <w:cols w:space="720"/>
          <w:noEndnote/>
          <w:titlePg/>
        </w:sectPr>
      </w:pPr>
    </w:p>
    <w:p w:rsidR="001D24BA" w:rsidRDefault="001D24BA">
      <w:pPr>
        <w:keepNext/>
        <w:rPr>
          <w:b/>
          <w:bCs/>
        </w:rPr>
      </w:pPr>
      <w:r>
        <w:rPr>
          <w:b/>
        </w:rPr>
        <w:lastRenderedPageBreak/>
        <w:t xml:space="preserve">Table </w:t>
      </w:r>
      <w:r w:rsidR="00E377B6">
        <w:rPr>
          <w:b/>
        </w:rPr>
        <w:fldChar w:fldCharType="begin"/>
      </w:r>
      <w:r>
        <w:rPr>
          <w:b/>
        </w:rPr>
        <w:instrText xml:space="preserve"> SEQ Table \* ARABIC </w:instrText>
      </w:r>
      <w:r w:rsidR="00E377B6">
        <w:rPr>
          <w:b/>
        </w:rPr>
        <w:fldChar w:fldCharType="separate"/>
      </w:r>
      <w:r>
        <w:rPr>
          <w:b/>
          <w:noProof/>
        </w:rPr>
        <w:t>1</w:t>
      </w:r>
      <w:r w:rsidR="00E377B6">
        <w:rPr>
          <w:b/>
        </w:rPr>
        <w:fldChar w:fldCharType="end"/>
      </w:r>
      <w:r>
        <w:rPr>
          <w:b/>
        </w:rPr>
        <w:t xml:space="preserve">: Annual Respondent Burden and Cost – </w:t>
      </w:r>
      <w:r>
        <w:rPr>
          <w:b/>
          <w:bCs/>
        </w:rPr>
        <w:t xml:space="preserve">NSPS for Stationary Spark Ignition Internal Combustion Engines </w:t>
      </w:r>
    </w:p>
    <w:p w:rsidR="001D24BA" w:rsidRDefault="001D24BA">
      <w:pPr>
        <w:keepNext/>
        <w:rPr>
          <w:b/>
          <w:bCs/>
        </w:rPr>
      </w:pPr>
      <w:r>
        <w:rPr>
          <w:b/>
          <w:bCs/>
        </w:rPr>
        <w:t>(40 CFR Part 60, Subpart JJJJ)</w:t>
      </w:r>
      <w:r w:rsidR="00D76B6D">
        <w:rPr>
          <w:b/>
          <w:bCs/>
        </w:rPr>
        <w:t xml:space="preserve"> (Renewal)</w:t>
      </w:r>
    </w:p>
    <w:p w:rsidR="001D24BA" w:rsidRDefault="001D24BA"/>
    <w:tbl>
      <w:tblPr>
        <w:tblW w:w="136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000"/>
      </w:tblPr>
      <w:tblGrid>
        <w:gridCol w:w="4050"/>
        <w:gridCol w:w="1170"/>
        <w:gridCol w:w="1170"/>
        <w:gridCol w:w="1170"/>
        <w:gridCol w:w="1170"/>
        <w:gridCol w:w="1260"/>
        <w:gridCol w:w="1170"/>
        <w:gridCol w:w="34"/>
        <w:gridCol w:w="1169"/>
        <w:gridCol w:w="1317"/>
      </w:tblGrid>
      <w:tr w:rsidR="001D24BA">
        <w:trPr>
          <w:cantSplit/>
          <w:trHeight w:val="985"/>
          <w:jc w:val="center"/>
        </w:trPr>
        <w:tc>
          <w:tcPr>
            <w:tcW w:w="4050" w:type="dxa"/>
            <w:vAlign w:val="center"/>
          </w:tcPr>
          <w:p w:rsidR="001D24BA" w:rsidRDefault="001D24BA">
            <w:pPr>
              <w:jc w:val="center"/>
              <w:rPr>
                <w:sz w:val="20"/>
                <w:szCs w:val="20"/>
                <w:lang w:eastAsia="zh-TW"/>
              </w:rPr>
            </w:pPr>
            <w:r>
              <w:rPr>
                <w:sz w:val="20"/>
                <w:szCs w:val="20"/>
                <w:lang w:eastAsia="zh-TW"/>
              </w:rPr>
              <w:t>Burden Item</w:t>
            </w:r>
          </w:p>
        </w:tc>
        <w:tc>
          <w:tcPr>
            <w:tcW w:w="1170" w:type="dxa"/>
          </w:tcPr>
          <w:p w:rsidR="001D24BA" w:rsidRDefault="001D24BA">
            <w:pPr>
              <w:widowControl/>
              <w:autoSpaceDE/>
              <w:autoSpaceDN/>
              <w:adjustRightInd/>
              <w:jc w:val="center"/>
              <w:rPr>
                <w:sz w:val="20"/>
                <w:szCs w:val="20"/>
                <w:lang w:eastAsia="zh-TW"/>
              </w:rPr>
            </w:pPr>
            <w:r>
              <w:rPr>
                <w:sz w:val="20"/>
                <w:szCs w:val="20"/>
                <w:lang w:eastAsia="zh-TW"/>
              </w:rPr>
              <w:t>Person-hours per occurrence</w:t>
            </w:r>
          </w:p>
          <w:p w:rsidR="001D24BA" w:rsidRDefault="001D24BA">
            <w:pPr>
              <w:jc w:val="center"/>
              <w:rPr>
                <w:sz w:val="20"/>
                <w:szCs w:val="20"/>
                <w:lang w:eastAsia="zh-TW"/>
              </w:rPr>
            </w:pPr>
            <w:r>
              <w:rPr>
                <w:sz w:val="20"/>
                <w:szCs w:val="20"/>
                <w:lang w:eastAsia="zh-TW"/>
              </w:rPr>
              <w:t>(A)</w:t>
            </w:r>
          </w:p>
        </w:tc>
        <w:tc>
          <w:tcPr>
            <w:tcW w:w="1170" w:type="dxa"/>
          </w:tcPr>
          <w:p w:rsidR="001D24BA" w:rsidRDefault="001D24BA">
            <w:pPr>
              <w:jc w:val="center"/>
              <w:rPr>
                <w:sz w:val="20"/>
                <w:szCs w:val="20"/>
                <w:lang w:eastAsia="zh-TW"/>
              </w:rPr>
            </w:pPr>
            <w:r>
              <w:rPr>
                <w:sz w:val="20"/>
                <w:szCs w:val="20"/>
                <w:lang w:eastAsia="zh-TW"/>
              </w:rPr>
              <w:t>Number of occurrences per year</w:t>
            </w:r>
          </w:p>
          <w:p w:rsidR="001D24BA" w:rsidRDefault="001D24BA">
            <w:pPr>
              <w:jc w:val="center"/>
              <w:rPr>
                <w:sz w:val="20"/>
                <w:szCs w:val="20"/>
                <w:lang w:eastAsia="zh-TW"/>
              </w:rPr>
            </w:pPr>
            <w:r>
              <w:rPr>
                <w:sz w:val="20"/>
                <w:szCs w:val="20"/>
                <w:lang w:eastAsia="zh-TW"/>
              </w:rPr>
              <w:t>(B)</w:t>
            </w:r>
          </w:p>
        </w:tc>
        <w:tc>
          <w:tcPr>
            <w:tcW w:w="1170" w:type="dxa"/>
          </w:tcPr>
          <w:p w:rsidR="001D24BA" w:rsidRDefault="001D24BA">
            <w:pPr>
              <w:widowControl/>
              <w:autoSpaceDE/>
              <w:autoSpaceDN/>
              <w:adjustRightInd/>
              <w:jc w:val="center"/>
              <w:rPr>
                <w:sz w:val="20"/>
                <w:szCs w:val="20"/>
                <w:lang w:eastAsia="zh-TW"/>
              </w:rPr>
            </w:pPr>
            <w:r>
              <w:rPr>
                <w:sz w:val="20"/>
                <w:szCs w:val="20"/>
                <w:lang w:eastAsia="zh-TW"/>
              </w:rPr>
              <w:t>Person-hours</w:t>
            </w:r>
          </w:p>
          <w:p w:rsidR="001D24BA" w:rsidRDefault="001D24BA">
            <w:pPr>
              <w:jc w:val="center"/>
              <w:rPr>
                <w:sz w:val="20"/>
                <w:szCs w:val="20"/>
                <w:lang w:eastAsia="zh-TW"/>
              </w:rPr>
            </w:pPr>
            <w:r>
              <w:rPr>
                <w:sz w:val="20"/>
                <w:szCs w:val="20"/>
                <w:lang w:eastAsia="zh-TW"/>
              </w:rPr>
              <w:t>per respondent</w:t>
            </w:r>
          </w:p>
          <w:p w:rsidR="001D24BA" w:rsidRDefault="001D24BA">
            <w:pPr>
              <w:jc w:val="center"/>
              <w:rPr>
                <w:sz w:val="20"/>
                <w:szCs w:val="20"/>
                <w:lang w:eastAsia="zh-TW"/>
              </w:rPr>
            </w:pPr>
            <w:r>
              <w:rPr>
                <w:sz w:val="20"/>
                <w:szCs w:val="20"/>
                <w:lang w:eastAsia="zh-TW"/>
              </w:rPr>
              <w:t>(C)=(A×B)</w:t>
            </w:r>
          </w:p>
        </w:tc>
        <w:tc>
          <w:tcPr>
            <w:tcW w:w="1170" w:type="dxa"/>
          </w:tcPr>
          <w:p w:rsidR="001D24BA" w:rsidRDefault="001D24BA">
            <w:pPr>
              <w:widowControl/>
              <w:autoSpaceDE/>
              <w:autoSpaceDN/>
              <w:adjustRightInd/>
              <w:jc w:val="center"/>
              <w:rPr>
                <w:sz w:val="20"/>
                <w:szCs w:val="20"/>
                <w:lang w:eastAsia="zh-TW"/>
              </w:rPr>
            </w:pPr>
            <w:r>
              <w:rPr>
                <w:sz w:val="20"/>
                <w:szCs w:val="20"/>
                <w:lang w:eastAsia="zh-TW"/>
              </w:rPr>
              <w:t>Respondents per year</w:t>
            </w:r>
          </w:p>
          <w:p w:rsidR="001D24BA" w:rsidRDefault="001D24BA">
            <w:pPr>
              <w:jc w:val="center"/>
              <w:rPr>
                <w:sz w:val="20"/>
                <w:szCs w:val="20"/>
                <w:lang w:eastAsia="zh-TW"/>
              </w:rPr>
            </w:pPr>
            <w:r>
              <w:rPr>
                <w:sz w:val="20"/>
                <w:szCs w:val="20"/>
                <w:lang w:eastAsia="zh-TW"/>
              </w:rPr>
              <w:t>(D)</w:t>
            </w:r>
          </w:p>
        </w:tc>
        <w:tc>
          <w:tcPr>
            <w:tcW w:w="1260" w:type="dxa"/>
          </w:tcPr>
          <w:p w:rsidR="001D24BA" w:rsidRDefault="001D24BA">
            <w:pPr>
              <w:widowControl/>
              <w:autoSpaceDE/>
              <w:autoSpaceDN/>
              <w:adjustRightInd/>
              <w:jc w:val="center"/>
              <w:rPr>
                <w:sz w:val="20"/>
                <w:szCs w:val="20"/>
                <w:lang w:eastAsia="zh-TW"/>
              </w:rPr>
            </w:pPr>
            <w:r>
              <w:rPr>
                <w:sz w:val="20"/>
                <w:szCs w:val="20"/>
                <w:lang w:eastAsia="zh-TW"/>
              </w:rPr>
              <w:t>Technical person-hours</w:t>
            </w:r>
          </w:p>
          <w:p w:rsidR="001D24BA" w:rsidRDefault="001D24BA">
            <w:pPr>
              <w:jc w:val="center"/>
              <w:rPr>
                <w:sz w:val="20"/>
                <w:szCs w:val="20"/>
                <w:lang w:eastAsia="zh-TW"/>
              </w:rPr>
            </w:pPr>
            <w:r>
              <w:rPr>
                <w:sz w:val="20"/>
                <w:szCs w:val="20"/>
                <w:lang w:eastAsia="zh-TW"/>
              </w:rPr>
              <w:t>(E)=(C×D)</w:t>
            </w:r>
          </w:p>
        </w:tc>
        <w:tc>
          <w:tcPr>
            <w:tcW w:w="1204" w:type="dxa"/>
            <w:gridSpan w:val="2"/>
          </w:tcPr>
          <w:p w:rsidR="001D24BA" w:rsidRDefault="001D24BA">
            <w:pPr>
              <w:widowControl/>
              <w:autoSpaceDE/>
              <w:autoSpaceDN/>
              <w:adjustRightInd/>
              <w:jc w:val="center"/>
              <w:rPr>
                <w:sz w:val="20"/>
                <w:szCs w:val="20"/>
                <w:lang w:eastAsia="zh-TW"/>
              </w:rPr>
            </w:pPr>
            <w:r>
              <w:rPr>
                <w:sz w:val="20"/>
                <w:szCs w:val="20"/>
                <w:lang w:eastAsia="zh-TW"/>
              </w:rPr>
              <w:t>Management person-hours</w:t>
            </w:r>
          </w:p>
          <w:p w:rsidR="001D24BA" w:rsidRDefault="001D24BA">
            <w:pPr>
              <w:jc w:val="center"/>
              <w:rPr>
                <w:sz w:val="20"/>
                <w:szCs w:val="20"/>
                <w:lang w:eastAsia="zh-TW"/>
              </w:rPr>
            </w:pPr>
            <w:r>
              <w:rPr>
                <w:sz w:val="20"/>
                <w:szCs w:val="20"/>
                <w:lang w:eastAsia="zh-TW"/>
              </w:rPr>
              <w:t>(F)=(E×0.05)</w:t>
            </w:r>
          </w:p>
        </w:tc>
        <w:tc>
          <w:tcPr>
            <w:tcW w:w="1169" w:type="dxa"/>
          </w:tcPr>
          <w:p w:rsidR="001D24BA" w:rsidRDefault="001D24BA">
            <w:pPr>
              <w:widowControl/>
              <w:autoSpaceDE/>
              <w:autoSpaceDN/>
              <w:adjustRightInd/>
              <w:jc w:val="center"/>
              <w:rPr>
                <w:sz w:val="20"/>
                <w:szCs w:val="20"/>
                <w:lang w:eastAsia="zh-TW"/>
              </w:rPr>
            </w:pPr>
            <w:r>
              <w:rPr>
                <w:sz w:val="20"/>
                <w:szCs w:val="20"/>
                <w:lang w:eastAsia="zh-TW"/>
              </w:rPr>
              <w:t>Clerical person-hours</w:t>
            </w:r>
          </w:p>
          <w:p w:rsidR="001D24BA" w:rsidRDefault="001D24BA">
            <w:pPr>
              <w:jc w:val="center"/>
              <w:rPr>
                <w:sz w:val="20"/>
                <w:szCs w:val="20"/>
                <w:lang w:eastAsia="zh-TW"/>
              </w:rPr>
            </w:pPr>
            <w:r>
              <w:rPr>
                <w:sz w:val="20"/>
                <w:szCs w:val="20"/>
                <w:lang w:eastAsia="zh-TW"/>
              </w:rPr>
              <w:t>(G)=(E×0.1)</w:t>
            </w:r>
          </w:p>
        </w:tc>
        <w:tc>
          <w:tcPr>
            <w:tcW w:w="1317" w:type="dxa"/>
          </w:tcPr>
          <w:p w:rsidR="001D24BA" w:rsidRDefault="001D24BA">
            <w:pPr>
              <w:widowControl/>
              <w:autoSpaceDE/>
              <w:autoSpaceDN/>
              <w:adjustRightInd/>
              <w:jc w:val="center"/>
              <w:rPr>
                <w:sz w:val="20"/>
                <w:szCs w:val="20"/>
                <w:lang w:eastAsia="zh-TW"/>
              </w:rPr>
            </w:pPr>
            <w:r>
              <w:rPr>
                <w:sz w:val="20"/>
                <w:szCs w:val="20"/>
                <w:lang w:eastAsia="zh-TW"/>
              </w:rPr>
              <w:t>Total Cost ($)</w:t>
            </w:r>
          </w:p>
          <w:p w:rsidR="001D24BA" w:rsidRDefault="001D24BA">
            <w:pPr>
              <w:widowControl/>
              <w:autoSpaceDE/>
              <w:autoSpaceDN/>
              <w:adjustRightInd/>
              <w:jc w:val="center"/>
              <w:rPr>
                <w:sz w:val="20"/>
                <w:szCs w:val="20"/>
                <w:lang w:eastAsia="zh-TW"/>
              </w:rPr>
            </w:pPr>
          </w:p>
        </w:tc>
      </w:tr>
      <w:tr w:rsidR="001D24BA">
        <w:trPr>
          <w:cantSplit/>
          <w:jc w:val="center"/>
        </w:trPr>
        <w:tc>
          <w:tcPr>
            <w:tcW w:w="4050" w:type="dxa"/>
            <w:noWrap/>
          </w:tcPr>
          <w:p w:rsidR="001D24BA" w:rsidRDefault="001D24BA">
            <w:pPr>
              <w:widowControl/>
              <w:autoSpaceDE/>
              <w:autoSpaceDN/>
              <w:adjustRightInd/>
              <w:rPr>
                <w:sz w:val="20"/>
                <w:szCs w:val="20"/>
                <w:lang w:eastAsia="zh-TW"/>
              </w:rPr>
            </w:pPr>
            <w:r>
              <w:rPr>
                <w:sz w:val="20"/>
                <w:szCs w:val="20"/>
                <w:lang w:eastAsia="zh-TW"/>
              </w:rPr>
              <w:t>1.  Applications</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N/A</w:t>
            </w: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260" w:type="dxa"/>
            <w:noWrap/>
          </w:tcPr>
          <w:p w:rsidR="001D24BA" w:rsidRDefault="001D24BA">
            <w:pPr>
              <w:widowControl/>
              <w:autoSpaceDE/>
              <w:autoSpaceDN/>
              <w:adjustRightInd/>
              <w:jc w:val="center"/>
              <w:rPr>
                <w:sz w:val="20"/>
                <w:szCs w:val="20"/>
                <w:lang w:eastAsia="zh-TW"/>
              </w:rPr>
            </w:pPr>
          </w:p>
        </w:tc>
        <w:tc>
          <w:tcPr>
            <w:tcW w:w="1204" w:type="dxa"/>
            <w:gridSpan w:val="2"/>
            <w:noWrap/>
          </w:tcPr>
          <w:p w:rsidR="001D24BA" w:rsidRDefault="001D24BA">
            <w:pPr>
              <w:widowControl/>
              <w:autoSpaceDE/>
              <w:autoSpaceDN/>
              <w:adjustRightInd/>
              <w:jc w:val="center"/>
              <w:rPr>
                <w:sz w:val="20"/>
                <w:szCs w:val="20"/>
                <w:lang w:eastAsia="zh-TW"/>
              </w:rPr>
            </w:pPr>
          </w:p>
        </w:tc>
        <w:tc>
          <w:tcPr>
            <w:tcW w:w="1169" w:type="dxa"/>
            <w:noWrap/>
          </w:tcPr>
          <w:p w:rsidR="001D24BA" w:rsidRDefault="001D24BA">
            <w:pPr>
              <w:widowControl/>
              <w:autoSpaceDE/>
              <w:autoSpaceDN/>
              <w:adjustRightInd/>
              <w:jc w:val="center"/>
              <w:rPr>
                <w:sz w:val="20"/>
                <w:szCs w:val="20"/>
                <w:lang w:eastAsia="zh-TW"/>
              </w:rPr>
            </w:pPr>
          </w:p>
        </w:tc>
        <w:tc>
          <w:tcPr>
            <w:tcW w:w="1317" w:type="dxa"/>
            <w:noWrap/>
          </w:tcPr>
          <w:p w:rsidR="001D24BA" w:rsidRDefault="001D24BA">
            <w:pPr>
              <w:widowControl/>
              <w:autoSpaceDE/>
              <w:autoSpaceDN/>
              <w:adjustRightInd/>
              <w:jc w:val="center"/>
              <w:rPr>
                <w:sz w:val="20"/>
                <w:szCs w:val="20"/>
                <w:lang w:eastAsia="zh-TW"/>
              </w:rPr>
            </w:pPr>
            <w:r>
              <w:rPr>
                <w:sz w:val="20"/>
                <w:szCs w:val="20"/>
                <w:lang w:eastAsia="zh-TW"/>
              </w:rPr>
              <w:t> </w:t>
            </w:r>
          </w:p>
        </w:tc>
      </w:tr>
      <w:tr w:rsidR="001D24BA">
        <w:trPr>
          <w:cantSplit/>
          <w:jc w:val="center"/>
        </w:trPr>
        <w:tc>
          <w:tcPr>
            <w:tcW w:w="4050" w:type="dxa"/>
            <w:noWrap/>
          </w:tcPr>
          <w:p w:rsidR="001D24BA" w:rsidRDefault="001D24BA">
            <w:pPr>
              <w:widowControl/>
              <w:autoSpaceDE/>
              <w:autoSpaceDN/>
              <w:adjustRightInd/>
              <w:rPr>
                <w:sz w:val="20"/>
                <w:szCs w:val="20"/>
                <w:lang w:eastAsia="zh-TW"/>
              </w:rPr>
            </w:pPr>
            <w:r>
              <w:rPr>
                <w:sz w:val="20"/>
                <w:szCs w:val="20"/>
                <w:lang w:eastAsia="zh-TW"/>
              </w:rPr>
              <w:t>2.  Surveys and Studies</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N/A</w:t>
            </w: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260" w:type="dxa"/>
            <w:noWrap/>
          </w:tcPr>
          <w:p w:rsidR="001D24BA" w:rsidRDefault="001D24BA">
            <w:pPr>
              <w:widowControl/>
              <w:autoSpaceDE/>
              <w:autoSpaceDN/>
              <w:adjustRightInd/>
              <w:jc w:val="center"/>
              <w:rPr>
                <w:sz w:val="20"/>
                <w:szCs w:val="20"/>
                <w:lang w:eastAsia="zh-TW"/>
              </w:rPr>
            </w:pPr>
          </w:p>
        </w:tc>
        <w:tc>
          <w:tcPr>
            <w:tcW w:w="1204" w:type="dxa"/>
            <w:gridSpan w:val="2"/>
            <w:noWrap/>
          </w:tcPr>
          <w:p w:rsidR="001D24BA" w:rsidRDefault="001D24BA">
            <w:pPr>
              <w:widowControl/>
              <w:autoSpaceDE/>
              <w:autoSpaceDN/>
              <w:adjustRightInd/>
              <w:jc w:val="center"/>
              <w:rPr>
                <w:sz w:val="20"/>
                <w:szCs w:val="20"/>
                <w:lang w:eastAsia="zh-TW"/>
              </w:rPr>
            </w:pPr>
          </w:p>
        </w:tc>
        <w:tc>
          <w:tcPr>
            <w:tcW w:w="1169" w:type="dxa"/>
            <w:noWrap/>
          </w:tcPr>
          <w:p w:rsidR="001D24BA" w:rsidRDefault="001D24BA">
            <w:pPr>
              <w:widowControl/>
              <w:autoSpaceDE/>
              <w:autoSpaceDN/>
              <w:adjustRightInd/>
              <w:jc w:val="center"/>
              <w:rPr>
                <w:sz w:val="20"/>
                <w:szCs w:val="20"/>
                <w:lang w:eastAsia="zh-TW"/>
              </w:rPr>
            </w:pPr>
          </w:p>
        </w:tc>
        <w:tc>
          <w:tcPr>
            <w:tcW w:w="1317" w:type="dxa"/>
            <w:noWrap/>
          </w:tcPr>
          <w:p w:rsidR="001D24BA" w:rsidRDefault="001D24BA">
            <w:pPr>
              <w:widowControl/>
              <w:autoSpaceDE/>
              <w:autoSpaceDN/>
              <w:adjustRightInd/>
              <w:jc w:val="center"/>
              <w:rPr>
                <w:sz w:val="20"/>
                <w:szCs w:val="20"/>
                <w:lang w:eastAsia="zh-TW"/>
              </w:rPr>
            </w:pPr>
            <w:r>
              <w:rPr>
                <w:sz w:val="20"/>
                <w:szCs w:val="20"/>
                <w:lang w:eastAsia="zh-TW"/>
              </w:rPr>
              <w:t> </w:t>
            </w:r>
          </w:p>
        </w:tc>
      </w:tr>
      <w:tr w:rsidR="001D24BA">
        <w:trPr>
          <w:cantSplit/>
          <w:jc w:val="center"/>
        </w:trPr>
        <w:tc>
          <w:tcPr>
            <w:tcW w:w="4050" w:type="dxa"/>
            <w:noWrap/>
          </w:tcPr>
          <w:p w:rsidR="001D24BA" w:rsidRDefault="001D24BA">
            <w:pPr>
              <w:widowControl/>
              <w:autoSpaceDE/>
              <w:autoSpaceDN/>
              <w:adjustRightInd/>
              <w:rPr>
                <w:sz w:val="20"/>
                <w:szCs w:val="20"/>
                <w:lang w:eastAsia="zh-TW"/>
              </w:rPr>
            </w:pPr>
            <w:r>
              <w:rPr>
                <w:sz w:val="20"/>
                <w:szCs w:val="20"/>
                <w:lang w:eastAsia="zh-TW"/>
              </w:rPr>
              <w:t>3.  Reporting Requirements</w:t>
            </w: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260" w:type="dxa"/>
            <w:noWrap/>
          </w:tcPr>
          <w:p w:rsidR="001D24BA" w:rsidRDefault="001D24BA">
            <w:pPr>
              <w:widowControl/>
              <w:autoSpaceDE/>
              <w:autoSpaceDN/>
              <w:adjustRightInd/>
              <w:jc w:val="center"/>
              <w:rPr>
                <w:sz w:val="20"/>
                <w:szCs w:val="20"/>
                <w:lang w:eastAsia="zh-TW"/>
              </w:rPr>
            </w:pPr>
          </w:p>
        </w:tc>
        <w:tc>
          <w:tcPr>
            <w:tcW w:w="1204" w:type="dxa"/>
            <w:gridSpan w:val="2"/>
            <w:noWrap/>
          </w:tcPr>
          <w:p w:rsidR="001D24BA" w:rsidRDefault="001D24BA">
            <w:pPr>
              <w:widowControl/>
              <w:autoSpaceDE/>
              <w:autoSpaceDN/>
              <w:adjustRightInd/>
              <w:jc w:val="center"/>
              <w:rPr>
                <w:sz w:val="20"/>
                <w:szCs w:val="20"/>
                <w:lang w:eastAsia="zh-TW"/>
              </w:rPr>
            </w:pPr>
          </w:p>
        </w:tc>
        <w:tc>
          <w:tcPr>
            <w:tcW w:w="1169" w:type="dxa"/>
            <w:noWrap/>
          </w:tcPr>
          <w:p w:rsidR="001D24BA" w:rsidRDefault="001D24BA">
            <w:pPr>
              <w:widowControl/>
              <w:autoSpaceDE/>
              <w:autoSpaceDN/>
              <w:adjustRightInd/>
              <w:jc w:val="center"/>
              <w:rPr>
                <w:sz w:val="20"/>
                <w:szCs w:val="20"/>
                <w:lang w:eastAsia="zh-TW"/>
              </w:rPr>
            </w:pPr>
          </w:p>
        </w:tc>
        <w:tc>
          <w:tcPr>
            <w:tcW w:w="1317" w:type="dxa"/>
            <w:noWrap/>
          </w:tcPr>
          <w:p w:rsidR="001D24BA" w:rsidRDefault="001D24BA">
            <w:pPr>
              <w:widowControl/>
              <w:autoSpaceDE/>
              <w:autoSpaceDN/>
              <w:adjustRightInd/>
              <w:jc w:val="center"/>
              <w:rPr>
                <w:sz w:val="20"/>
                <w:szCs w:val="20"/>
                <w:lang w:eastAsia="zh-TW"/>
              </w:rPr>
            </w:pPr>
            <w:r>
              <w:rPr>
                <w:sz w:val="20"/>
                <w:szCs w:val="20"/>
                <w:lang w:eastAsia="zh-TW"/>
              </w:rPr>
              <w:t> </w:t>
            </w:r>
          </w:p>
        </w:tc>
      </w:tr>
      <w:tr w:rsidR="001D24BA">
        <w:trPr>
          <w:cantSplit/>
          <w:jc w:val="center"/>
        </w:trPr>
        <w:tc>
          <w:tcPr>
            <w:tcW w:w="4050" w:type="dxa"/>
            <w:noWrap/>
          </w:tcPr>
          <w:p w:rsidR="001D24BA" w:rsidRDefault="001D24BA">
            <w:pPr>
              <w:widowControl/>
              <w:autoSpaceDE/>
              <w:autoSpaceDN/>
              <w:adjustRightInd/>
              <w:ind w:left="216"/>
              <w:rPr>
                <w:sz w:val="20"/>
                <w:szCs w:val="20"/>
                <w:lang w:eastAsia="zh-TW"/>
              </w:rPr>
            </w:pPr>
            <w:r>
              <w:rPr>
                <w:sz w:val="20"/>
                <w:szCs w:val="20"/>
                <w:lang w:eastAsia="zh-TW"/>
              </w:rPr>
              <w:t>A.  Read Instructions</w:t>
            </w:r>
            <w:r>
              <w:rPr>
                <w:sz w:val="20"/>
                <w:szCs w:val="20"/>
                <w:vertAlign w:val="superscript"/>
                <w:lang w:eastAsia="zh-TW"/>
              </w:rPr>
              <w:t>b</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0.5</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1</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0.5</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253</w:t>
            </w:r>
          </w:p>
        </w:tc>
        <w:tc>
          <w:tcPr>
            <w:tcW w:w="1260" w:type="dxa"/>
            <w:noWrap/>
          </w:tcPr>
          <w:p w:rsidR="001D24BA" w:rsidRDefault="001D24BA">
            <w:pPr>
              <w:widowControl/>
              <w:autoSpaceDE/>
              <w:autoSpaceDN/>
              <w:adjustRightInd/>
              <w:jc w:val="center"/>
              <w:rPr>
                <w:sz w:val="20"/>
                <w:szCs w:val="20"/>
                <w:lang w:eastAsia="zh-TW"/>
              </w:rPr>
            </w:pPr>
            <w:r>
              <w:rPr>
                <w:sz w:val="20"/>
                <w:szCs w:val="20"/>
                <w:lang w:eastAsia="zh-TW"/>
              </w:rPr>
              <w:t>126.5</w:t>
            </w:r>
          </w:p>
        </w:tc>
        <w:tc>
          <w:tcPr>
            <w:tcW w:w="1204" w:type="dxa"/>
            <w:gridSpan w:val="2"/>
            <w:noWrap/>
          </w:tcPr>
          <w:p w:rsidR="001D24BA" w:rsidRDefault="001D24BA">
            <w:pPr>
              <w:widowControl/>
              <w:autoSpaceDE/>
              <w:autoSpaceDN/>
              <w:adjustRightInd/>
              <w:jc w:val="center"/>
              <w:rPr>
                <w:sz w:val="20"/>
                <w:szCs w:val="20"/>
                <w:lang w:eastAsia="zh-TW"/>
              </w:rPr>
            </w:pPr>
            <w:r>
              <w:rPr>
                <w:sz w:val="20"/>
                <w:szCs w:val="20"/>
                <w:lang w:eastAsia="zh-TW"/>
              </w:rPr>
              <w:t>6.3</w:t>
            </w:r>
          </w:p>
        </w:tc>
        <w:tc>
          <w:tcPr>
            <w:tcW w:w="1169" w:type="dxa"/>
            <w:noWrap/>
          </w:tcPr>
          <w:p w:rsidR="001D24BA" w:rsidRDefault="001D24BA">
            <w:pPr>
              <w:widowControl/>
              <w:autoSpaceDE/>
              <w:autoSpaceDN/>
              <w:adjustRightInd/>
              <w:jc w:val="center"/>
              <w:rPr>
                <w:sz w:val="20"/>
                <w:szCs w:val="20"/>
                <w:lang w:eastAsia="zh-TW"/>
              </w:rPr>
            </w:pPr>
            <w:r>
              <w:rPr>
                <w:sz w:val="20"/>
                <w:szCs w:val="20"/>
                <w:lang w:eastAsia="zh-TW"/>
              </w:rPr>
              <w:t>12.7</w:t>
            </w:r>
          </w:p>
        </w:tc>
        <w:tc>
          <w:tcPr>
            <w:tcW w:w="1317" w:type="dxa"/>
            <w:noWrap/>
          </w:tcPr>
          <w:p w:rsidR="001D24BA" w:rsidRDefault="001D24BA">
            <w:pPr>
              <w:widowControl/>
              <w:autoSpaceDE/>
              <w:autoSpaceDN/>
              <w:adjustRightInd/>
              <w:jc w:val="center"/>
              <w:rPr>
                <w:sz w:val="20"/>
                <w:szCs w:val="20"/>
                <w:lang w:eastAsia="zh-TW"/>
              </w:rPr>
            </w:pPr>
            <w:r>
              <w:rPr>
                <w:sz w:val="20"/>
                <w:szCs w:val="20"/>
                <w:lang w:eastAsia="zh-TW"/>
              </w:rPr>
              <w:t>$13,649</w:t>
            </w:r>
          </w:p>
        </w:tc>
      </w:tr>
      <w:tr w:rsidR="001D24BA">
        <w:trPr>
          <w:cantSplit/>
          <w:jc w:val="center"/>
        </w:trPr>
        <w:tc>
          <w:tcPr>
            <w:tcW w:w="4050" w:type="dxa"/>
            <w:noWrap/>
          </w:tcPr>
          <w:p w:rsidR="001D24BA" w:rsidRDefault="001D24BA">
            <w:pPr>
              <w:widowControl/>
              <w:autoSpaceDE/>
              <w:autoSpaceDN/>
              <w:adjustRightInd/>
              <w:ind w:left="216"/>
              <w:rPr>
                <w:sz w:val="20"/>
                <w:szCs w:val="20"/>
                <w:lang w:eastAsia="zh-TW"/>
              </w:rPr>
            </w:pPr>
            <w:r>
              <w:rPr>
                <w:sz w:val="20"/>
                <w:szCs w:val="20"/>
                <w:lang w:eastAsia="zh-TW"/>
              </w:rPr>
              <w:t>B.  Required Activities</w:t>
            </w: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260" w:type="dxa"/>
            <w:noWrap/>
          </w:tcPr>
          <w:p w:rsidR="001D24BA" w:rsidRDefault="001D24BA">
            <w:pPr>
              <w:widowControl/>
              <w:autoSpaceDE/>
              <w:autoSpaceDN/>
              <w:adjustRightInd/>
              <w:jc w:val="center"/>
              <w:rPr>
                <w:sz w:val="20"/>
                <w:szCs w:val="20"/>
                <w:lang w:eastAsia="zh-TW"/>
              </w:rPr>
            </w:pPr>
          </w:p>
        </w:tc>
        <w:tc>
          <w:tcPr>
            <w:tcW w:w="1204" w:type="dxa"/>
            <w:gridSpan w:val="2"/>
            <w:noWrap/>
          </w:tcPr>
          <w:p w:rsidR="001D24BA" w:rsidRDefault="001D24BA">
            <w:pPr>
              <w:widowControl/>
              <w:autoSpaceDE/>
              <w:autoSpaceDN/>
              <w:adjustRightInd/>
              <w:jc w:val="center"/>
              <w:rPr>
                <w:sz w:val="20"/>
                <w:szCs w:val="20"/>
                <w:lang w:eastAsia="zh-TW"/>
              </w:rPr>
            </w:pPr>
          </w:p>
        </w:tc>
        <w:tc>
          <w:tcPr>
            <w:tcW w:w="1169" w:type="dxa"/>
            <w:noWrap/>
          </w:tcPr>
          <w:p w:rsidR="001D24BA" w:rsidRDefault="001D24BA">
            <w:pPr>
              <w:widowControl/>
              <w:autoSpaceDE/>
              <w:autoSpaceDN/>
              <w:adjustRightInd/>
              <w:jc w:val="center"/>
              <w:rPr>
                <w:sz w:val="20"/>
                <w:szCs w:val="20"/>
                <w:lang w:eastAsia="zh-TW"/>
              </w:rPr>
            </w:pPr>
          </w:p>
        </w:tc>
        <w:tc>
          <w:tcPr>
            <w:tcW w:w="1317" w:type="dxa"/>
            <w:noWrap/>
          </w:tcPr>
          <w:p w:rsidR="001D24BA" w:rsidRDefault="001D24BA">
            <w:pPr>
              <w:widowControl/>
              <w:autoSpaceDE/>
              <w:autoSpaceDN/>
              <w:adjustRightInd/>
              <w:jc w:val="center"/>
              <w:rPr>
                <w:sz w:val="20"/>
                <w:szCs w:val="20"/>
                <w:lang w:eastAsia="zh-TW"/>
              </w:rPr>
            </w:pPr>
            <w:r>
              <w:rPr>
                <w:sz w:val="20"/>
                <w:szCs w:val="20"/>
                <w:lang w:eastAsia="zh-TW"/>
              </w:rPr>
              <w:t> </w:t>
            </w:r>
          </w:p>
        </w:tc>
      </w:tr>
      <w:tr w:rsidR="001D24BA">
        <w:trPr>
          <w:cantSplit/>
          <w:jc w:val="center"/>
        </w:trPr>
        <w:tc>
          <w:tcPr>
            <w:tcW w:w="4050" w:type="dxa"/>
            <w:noWrap/>
          </w:tcPr>
          <w:p w:rsidR="001D24BA" w:rsidRDefault="001D24BA">
            <w:pPr>
              <w:widowControl/>
              <w:autoSpaceDE/>
              <w:autoSpaceDN/>
              <w:adjustRightInd/>
              <w:ind w:left="216"/>
              <w:rPr>
                <w:sz w:val="20"/>
                <w:szCs w:val="20"/>
                <w:lang w:eastAsia="zh-TW"/>
              </w:rPr>
            </w:pPr>
            <w:r>
              <w:rPr>
                <w:sz w:val="20"/>
                <w:szCs w:val="20"/>
                <w:lang w:eastAsia="zh-TW"/>
              </w:rPr>
              <w:t>C.  Gather Existing Information</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Included in 3D</w:t>
            </w: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260" w:type="dxa"/>
            <w:noWrap/>
          </w:tcPr>
          <w:p w:rsidR="001D24BA" w:rsidRDefault="001D24BA">
            <w:pPr>
              <w:widowControl/>
              <w:autoSpaceDE/>
              <w:autoSpaceDN/>
              <w:adjustRightInd/>
              <w:jc w:val="center"/>
              <w:rPr>
                <w:sz w:val="20"/>
                <w:szCs w:val="20"/>
                <w:lang w:eastAsia="zh-TW"/>
              </w:rPr>
            </w:pPr>
          </w:p>
        </w:tc>
        <w:tc>
          <w:tcPr>
            <w:tcW w:w="1204" w:type="dxa"/>
            <w:gridSpan w:val="2"/>
            <w:noWrap/>
          </w:tcPr>
          <w:p w:rsidR="001D24BA" w:rsidRDefault="001D24BA">
            <w:pPr>
              <w:widowControl/>
              <w:autoSpaceDE/>
              <w:autoSpaceDN/>
              <w:adjustRightInd/>
              <w:jc w:val="center"/>
              <w:rPr>
                <w:sz w:val="20"/>
                <w:szCs w:val="20"/>
                <w:lang w:eastAsia="zh-TW"/>
              </w:rPr>
            </w:pPr>
          </w:p>
        </w:tc>
        <w:tc>
          <w:tcPr>
            <w:tcW w:w="1169" w:type="dxa"/>
            <w:noWrap/>
          </w:tcPr>
          <w:p w:rsidR="001D24BA" w:rsidRDefault="001D24BA">
            <w:pPr>
              <w:widowControl/>
              <w:autoSpaceDE/>
              <w:autoSpaceDN/>
              <w:adjustRightInd/>
              <w:jc w:val="center"/>
              <w:rPr>
                <w:sz w:val="20"/>
                <w:szCs w:val="20"/>
                <w:lang w:eastAsia="zh-TW"/>
              </w:rPr>
            </w:pPr>
          </w:p>
        </w:tc>
        <w:tc>
          <w:tcPr>
            <w:tcW w:w="1317" w:type="dxa"/>
            <w:noWrap/>
          </w:tcPr>
          <w:p w:rsidR="001D24BA" w:rsidRDefault="001D24BA">
            <w:pPr>
              <w:widowControl/>
              <w:autoSpaceDE/>
              <w:autoSpaceDN/>
              <w:adjustRightInd/>
              <w:jc w:val="center"/>
              <w:rPr>
                <w:sz w:val="20"/>
                <w:szCs w:val="20"/>
                <w:lang w:eastAsia="zh-TW"/>
              </w:rPr>
            </w:pPr>
            <w:r>
              <w:rPr>
                <w:sz w:val="20"/>
                <w:szCs w:val="20"/>
                <w:lang w:eastAsia="zh-TW"/>
              </w:rPr>
              <w:t> </w:t>
            </w:r>
          </w:p>
        </w:tc>
      </w:tr>
      <w:tr w:rsidR="001D24BA">
        <w:trPr>
          <w:cantSplit/>
          <w:jc w:val="center"/>
        </w:trPr>
        <w:tc>
          <w:tcPr>
            <w:tcW w:w="4050" w:type="dxa"/>
            <w:noWrap/>
          </w:tcPr>
          <w:p w:rsidR="001D24BA" w:rsidRDefault="001D24BA">
            <w:pPr>
              <w:widowControl/>
              <w:autoSpaceDE/>
              <w:autoSpaceDN/>
              <w:adjustRightInd/>
              <w:ind w:left="216"/>
              <w:rPr>
                <w:sz w:val="20"/>
                <w:szCs w:val="20"/>
                <w:lang w:eastAsia="zh-TW"/>
              </w:rPr>
            </w:pPr>
            <w:r>
              <w:rPr>
                <w:sz w:val="20"/>
                <w:szCs w:val="20"/>
                <w:lang w:eastAsia="zh-TW"/>
              </w:rPr>
              <w:t>D.  Write Report</w:t>
            </w: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260" w:type="dxa"/>
            <w:noWrap/>
          </w:tcPr>
          <w:p w:rsidR="001D24BA" w:rsidRDefault="001D24BA">
            <w:pPr>
              <w:widowControl/>
              <w:autoSpaceDE/>
              <w:autoSpaceDN/>
              <w:adjustRightInd/>
              <w:jc w:val="center"/>
              <w:rPr>
                <w:sz w:val="20"/>
                <w:szCs w:val="20"/>
                <w:lang w:eastAsia="zh-TW"/>
              </w:rPr>
            </w:pPr>
          </w:p>
        </w:tc>
        <w:tc>
          <w:tcPr>
            <w:tcW w:w="1204" w:type="dxa"/>
            <w:gridSpan w:val="2"/>
            <w:noWrap/>
          </w:tcPr>
          <w:p w:rsidR="001D24BA" w:rsidRDefault="001D24BA">
            <w:pPr>
              <w:widowControl/>
              <w:autoSpaceDE/>
              <w:autoSpaceDN/>
              <w:adjustRightInd/>
              <w:jc w:val="center"/>
              <w:rPr>
                <w:sz w:val="20"/>
                <w:szCs w:val="20"/>
                <w:lang w:eastAsia="zh-TW"/>
              </w:rPr>
            </w:pPr>
          </w:p>
        </w:tc>
        <w:tc>
          <w:tcPr>
            <w:tcW w:w="1169" w:type="dxa"/>
            <w:noWrap/>
          </w:tcPr>
          <w:p w:rsidR="001D24BA" w:rsidRDefault="001D24BA">
            <w:pPr>
              <w:widowControl/>
              <w:autoSpaceDE/>
              <w:autoSpaceDN/>
              <w:adjustRightInd/>
              <w:jc w:val="center"/>
              <w:rPr>
                <w:sz w:val="20"/>
                <w:szCs w:val="20"/>
                <w:lang w:eastAsia="zh-TW"/>
              </w:rPr>
            </w:pPr>
          </w:p>
        </w:tc>
        <w:tc>
          <w:tcPr>
            <w:tcW w:w="1317" w:type="dxa"/>
            <w:noWrap/>
          </w:tcPr>
          <w:p w:rsidR="001D24BA" w:rsidRDefault="001D24BA">
            <w:pPr>
              <w:widowControl/>
              <w:autoSpaceDE/>
              <w:autoSpaceDN/>
              <w:adjustRightInd/>
              <w:jc w:val="center"/>
              <w:rPr>
                <w:sz w:val="20"/>
                <w:szCs w:val="20"/>
                <w:lang w:eastAsia="zh-TW"/>
              </w:rPr>
            </w:pPr>
            <w:r>
              <w:rPr>
                <w:sz w:val="20"/>
                <w:szCs w:val="20"/>
                <w:lang w:eastAsia="zh-TW"/>
              </w:rPr>
              <w:t> </w:t>
            </w:r>
          </w:p>
        </w:tc>
      </w:tr>
      <w:tr w:rsidR="001D24BA">
        <w:trPr>
          <w:cantSplit/>
          <w:jc w:val="center"/>
        </w:trPr>
        <w:tc>
          <w:tcPr>
            <w:tcW w:w="4050" w:type="dxa"/>
            <w:noWrap/>
          </w:tcPr>
          <w:p w:rsidR="001D24BA" w:rsidRDefault="001D24BA">
            <w:pPr>
              <w:widowControl/>
              <w:autoSpaceDE/>
              <w:autoSpaceDN/>
              <w:adjustRightInd/>
              <w:ind w:left="475"/>
              <w:rPr>
                <w:sz w:val="20"/>
                <w:szCs w:val="20"/>
                <w:lang w:eastAsia="zh-TW"/>
              </w:rPr>
            </w:pPr>
            <w:r>
              <w:rPr>
                <w:sz w:val="20"/>
                <w:szCs w:val="20"/>
                <w:lang w:eastAsia="zh-TW"/>
              </w:rPr>
              <w:t>-Initial notification (&gt;500 hp non-certified engines)</w:t>
            </w:r>
            <w:r>
              <w:rPr>
                <w:sz w:val="20"/>
                <w:szCs w:val="20"/>
                <w:vertAlign w:val="superscript"/>
                <w:lang w:eastAsia="zh-TW"/>
              </w:rPr>
              <w:t>b</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1</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1</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1</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30</w:t>
            </w:r>
          </w:p>
        </w:tc>
        <w:tc>
          <w:tcPr>
            <w:tcW w:w="1260" w:type="dxa"/>
            <w:noWrap/>
          </w:tcPr>
          <w:p w:rsidR="001D24BA" w:rsidRDefault="001D24BA">
            <w:pPr>
              <w:widowControl/>
              <w:autoSpaceDE/>
              <w:autoSpaceDN/>
              <w:adjustRightInd/>
              <w:jc w:val="center"/>
              <w:rPr>
                <w:sz w:val="20"/>
                <w:szCs w:val="20"/>
                <w:lang w:eastAsia="zh-TW"/>
              </w:rPr>
            </w:pPr>
            <w:r>
              <w:rPr>
                <w:sz w:val="20"/>
                <w:szCs w:val="20"/>
                <w:lang w:eastAsia="zh-TW"/>
              </w:rPr>
              <w:t>30</w:t>
            </w:r>
          </w:p>
        </w:tc>
        <w:tc>
          <w:tcPr>
            <w:tcW w:w="1204" w:type="dxa"/>
            <w:gridSpan w:val="2"/>
            <w:noWrap/>
          </w:tcPr>
          <w:p w:rsidR="001D24BA" w:rsidRDefault="001D24BA">
            <w:pPr>
              <w:widowControl/>
              <w:autoSpaceDE/>
              <w:autoSpaceDN/>
              <w:adjustRightInd/>
              <w:jc w:val="center"/>
              <w:rPr>
                <w:sz w:val="20"/>
                <w:szCs w:val="20"/>
                <w:lang w:eastAsia="zh-TW"/>
              </w:rPr>
            </w:pPr>
            <w:r>
              <w:rPr>
                <w:sz w:val="20"/>
                <w:szCs w:val="20"/>
                <w:lang w:eastAsia="zh-TW"/>
              </w:rPr>
              <w:t>1.5</w:t>
            </w:r>
          </w:p>
        </w:tc>
        <w:tc>
          <w:tcPr>
            <w:tcW w:w="1169" w:type="dxa"/>
            <w:noWrap/>
          </w:tcPr>
          <w:p w:rsidR="001D24BA" w:rsidRDefault="001D24BA">
            <w:pPr>
              <w:widowControl/>
              <w:autoSpaceDE/>
              <w:autoSpaceDN/>
              <w:adjustRightInd/>
              <w:jc w:val="center"/>
              <w:rPr>
                <w:sz w:val="20"/>
                <w:szCs w:val="20"/>
                <w:lang w:eastAsia="zh-TW"/>
              </w:rPr>
            </w:pPr>
            <w:r>
              <w:rPr>
                <w:sz w:val="20"/>
                <w:szCs w:val="20"/>
                <w:lang w:eastAsia="zh-TW"/>
              </w:rPr>
              <w:t>3</w:t>
            </w:r>
          </w:p>
        </w:tc>
        <w:tc>
          <w:tcPr>
            <w:tcW w:w="1317" w:type="dxa"/>
            <w:noWrap/>
          </w:tcPr>
          <w:p w:rsidR="001D24BA" w:rsidRDefault="001D24BA">
            <w:pPr>
              <w:widowControl/>
              <w:autoSpaceDE/>
              <w:autoSpaceDN/>
              <w:adjustRightInd/>
              <w:jc w:val="center"/>
              <w:rPr>
                <w:sz w:val="20"/>
                <w:szCs w:val="20"/>
                <w:lang w:eastAsia="zh-TW"/>
              </w:rPr>
            </w:pPr>
            <w:r>
              <w:rPr>
                <w:sz w:val="20"/>
                <w:szCs w:val="20"/>
                <w:lang w:eastAsia="zh-TW"/>
              </w:rPr>
              <w:t xml:space="preserve">$3,237 </w:t>
            </w:r>
          </w:p>
        </w:tc>
      </w:tr>
      <w:tr w:rsidR="001D24BA">
        <w:trPr>
          <w:cantSplit/>
          <w:jc w:val="center"/>
        </w:trPr>
        <w:tc>
          <w:tcPr>
            <w:tcW w:w="4050" w:type="dxa"/>
            <w:noWrap/>
          </w:tcPr>
          <w:p w:rsidR="001D24BA" w:rsidRDefault="001D24BA">
            <w:pPr>
              <w:widowControl/>
              <w:autoSpaceDE/>
              <w:autoSpaceDN/>
              <w:adjustRightInd/>
              <w:rPr>
                <w:sz w:val="20"/>
                <w:szCs w:val="20"/>
                <w:lang w:eastAsia="zh-TW"/>
              </w:rPr>
            </w:pPr>
            <w:r>
              <w:rPr>
                <w:sz w:val="20"/>
                <w:szCs w:val="20"/>
                <w:lang w:eastAsia="zh-TW"/>
              </w:rPr>
              <w:t>-Subsequent Performance Test (&gt;500 hp certified engines)</w:t>
            </w:r>
            <w:r>
              <w:rPr>
                <w:sz w:val="20"/>
                <w:szCs w:val="20"/>
                <w:vertAlign w:val="superscript"/>
                <w:lang w:eastAsia="zh-TW"/>
              </w:rPr>
              <w:t>c</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1</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1</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1</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2,046</w:t>
            </w:r>
          </w:p>
        </w:tc>
        <w:tc>
          <w:tcPr>
            <w:tcW w:w="1260" w:type="dxa"/>
            <w:noWrap/>
          </w:tcPr>
          <w:p w:rsidR="001D24BA" w:rsidRDefault="001D24BA">
            <w:pPr>
              <w:widowControl/>
              <w:autoSpaceDE/>
              <w:autoSpaceDN/>
              <w:adjustRightInd/>
              <w:jc w:val="center"/>
              <w:rPr>
                <w:sz w:val="20"/>
                <w:szCs w:val="20"/>
                <w:lang w:eastAsia="zh-TW"/>
              </w:rPr>
            </w:pPr>
            <w:r>
              <w:rPr>
                <w:sz w:val="20"/>
                <w:szCs w:val="20"/>
                <w:lang w:eastAsia="zh-TW"/>
              </w:rPr>
              <w:t>2,046</w:t>
            </w:r>
          </w:p>
        </w:tc>
        <w:tc>
          <w:tcPr>
            <w:tcW w:w="1170" w:type="dxa"/>
          </w:tcPr>
          <w:p w:rsidR="001D24BA" w:rsidRDefault="001D24BA">
            <w:pPr>
              <w:widowControl/>
              <w:autoSpaceDE/>
              <w:autoSpaceDN/>
              <w:adjustRightInd/>
              <w:jc w:val="center"/>
              <w:rPr>
                <w:sz w:val="20"/>
                <w:szCs w:val="20"/>
                <w:lang w:eastAsia="zh-TW"/>
              </w:rPr>
            </w:pPr>
            <w:r>
              <w:rPr>
                <w:sz w:val="20"/>
                <w:szCs w:val="20"/>
                <w:lang w:eastAsia="zh-TW"/>
              </w:rPr>
              <w:t>102.3</w:t>
            </w:r>
          </w:p>
        </w:tc>
        <w:tc>
          <w:tcPr>
            <w:tcW w:w="1203" w:type="dxa"/>
            <w:gridSpan w:val="2"/>
          </w:tcPr>
          <w:p w:rsidR="001D24BA" w:rsidRDefault="001D24BA">
            <w:pPr>
              <w:widowControl/>
              <w:autoSpaceDE/>
              <w:autoSpaceDN/>
              <w:adjustRightInd/>
              <w:jc w:val="center"/>
              <w:rPr>
                <w:sz w:val="20"/>
                <w:szCs w:val="20"/>
                <w:lang w:eastAsia="zh-TW"/>
              </w:rPr>
            </w:pPr>
            <w:r>
              <w:rPr>
                <w:sz w:val="20"/>
                <w:szCs w:val="20"/>
                <w:lang w:eastAsia="zh-TW"/>
              </w:rPr>
              <w:t>204.6</w:t>
            </w:r>
          </w:p>
        </w:tc>
        <w:tc>
          <w:tcPr>
            <w:tcW w:w="1317" w:type="dxa"/>
            <w:noWrap/>
          </w:tcPr>
          <w:p w:rsidR="001D24BA" w:rsidRDefault="001D24BA">
            <w:pPr>
              <w:widowControl/>
              <w:autoSpaceDE/>
              <w:autoSpaceDN/>
              <w:adjustRightInd/>
              <w:jc w:val="center"/>
              <w:rPr>
                <w:sz w:val="20"/>
                <w:szCs w:val="20"/>
                <w:lang w:eastAsia="zh-TW"/>
              </w:rPr>
            </w:pPr>
            <w:r>
              <w:rPr>
                <w:sz w:val="20"/>
                <w:szCs w:val="20"/>
                <w:lang w:eastAsia="zh-TW"/>
              </w:rPr>
              <w:t>$220,762</w:t>
            </w:r>
          </w:p>
        </w:tc>
      </w:tr>
      <w:tr w:rsidR="001D24BA">
        <w:trPr>
          <w:cantSplit/>
          <w:jc w:val="center"/>
        </w:trPr>
        <w:tc>
          <w:tcPr>
            <w:tcW w:w="4050" w:type="dxa"/>
            <w:noWrap/>
          </w:tcPr>
          <w:p w:rsidR="001D24BA" w:rsidRDefault="001D24BA">
            <w:pPr>
              <w:widowControl/>
              <w:autoSpaceDE/>
              <w:autoSpaceDN/>
              <w:adjustRightInd/>
              <w:rPr>
                <w:sz w:val="20"/>
                <w:szCs w:val="20"/>
                <w:lang w:eastAsia="zh-TW"/>
              </w:rPr>
            </w:pPr>
            <w:r>
              <w:rPr>
                <w:sz w:val="20"/>
                <w:szCs w:val="20"/>
                <w:lang w:eastAsia="zh-TW"/>
              </w:rPr>
              <w:t>Reporting Subtotal</w:t>
            </w: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3633" w:type="dxa"/>
            <w:gridSpan w:val="4"/>
            <w:noWrap/>
          </w:tcPr>
          <w:p w:rsidR="001D24BA" w:rsidRDefault="001D24BA">
            <w:pPr>
              <w:widowControl/>
              <w:autoSpaceDE/>
              <w:autoSpaceDN/>
              <w:adjustRightInd/>
              <w:jc w:val="center"/>
              <w:rPr>
                <w:sz w:val="20"/>
                <w:szCs w:val="20"/>
                <w:lang w:eastAsia="zh-TW"/>
              </w:rPr>
            </w:pPr>
            <w:r>
              <w:rPr>
                <w:sz w:val="20"/>
                <w:szCs w:val="20"/>
                <w:lang w:eastAsia="zh-TW"/>
              </w:rPr>
              <w:t>2,533</w:t>
            </w:r>
          </w:p>
        </w:tc>
        <w:tc>
          <w:tcPr>
            <w:tcW w:w="1317" w:type="dxa"/>
            <w:noWrap/>
          </w:tcPr>
          <w:p w:rsidR="001D24BA" w:rsidRDefault="001D24BA">
            <w:pPr>
              <w:widowControl/>
              <w:autoSpaceDE/>
              <w:autoSpaceDN/>
              <w:adjustRightInd/>
              <w:jc w:val="center"/>
              <w:rPr>
                <w:sz w:val="20"/>
                <w:szCs w:val="20"/>
                <w:lang w:eastAsia="zh-TW"/>
              </w:rPr>
            </w:pPr>
            <w:r>
              <w:rPr>
                <w:sz w:val="20"/>
                <w:szCs w:val="20"/>
                <w:lang w:eastAsia="zh-TW"/>
              </w:rPr>
              <w:t>$237,648</w:t>
            </w:r>
          </w:p>
        </w:tc>
      </w:tr>
      <w:tr w:rsidR="001D24BA">
        <w:trPr>
          <w:cantSplit/>
          <w:jc w:val="center"/>
        </w:trPr>
        <w:tc>
          <w:tcPr>
            <w:tcW w:w="4050" w:type="dxa"/>
            <w:noWrap/>
          </w:tcPr>
          <w:p w:rsidR="001D24BA" w:rsidRDefault="001D24BA">
            <w:pPr>
              <w:widowControl/>
              <w:autoSpaceDE/>
              <w:autoSpaceDN/>
              <w:adjustRightInd/>
              <w:rPr>
                <w:sz w:val="20"/>
                <w:szCs w:val="20"/>
                <w:lang w:eastAsia="zh-TW"/>
              </w:rPr>
            </w:pPr>
            <w:r>
              <w:rPr>
                <w:sz w:val="20"/>
                <w:szCs w:val="20"/>
                <w:lang w:eastAsia="zh-TW"/>
              </w:rPr>
              <w:t> </w:t>
            </w: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260" w:type="dxa"/>
            <w:noWrap/>
          </w:tcPr>
          <w:p w:rsidR="001D24BA" w:rsidRDefault="001D24BA">
            <w:pPr>
              <w:widowControl/>
              <w:autoSpaceDE/>
              <w:autoSpaceDN/>
              <w:adjustRightInd/>
              <w:jc w:val="center"/>
              <w:rPr>
                <w:sz w:val="20"/>
                <w:szCs w:val="20"/>
                <w:lang w:eastAsia="zh-TW"/>
              </w:rPr>
            </w:pPr>
          </w:p>
        </w:tc>
        <w:tc>
          <w:tcPr>
            <w:tcW w:w="1204" w:type="dxa"/>
            <w:gridSpan w:val="2"/>
            <w:noWrap/>
          </w:tcPr>
          <w:p w:rsidR="001D24BA" w:rsidRDefault="001D24BA">
            <w:pPr>
              <w:widowControl/>
              <w:autoSpaceDE/>
              <w:autoSpaceDN/>
              <w:adjustRightInd/>
              <w:jc w:val="center"/>
              <w:rPr>
                <w:sz w:val="20"/>
                <w:szCs w:val="20"/>
                <w:lang w:eastAsia="zh-TW"/>
              </w:rPr>
            </w:pPr>
          </w:p>
        </w:tc>
        <w:tc>
          <w:tcPr>
            <w:tcW w:w="1169" w:type="dxa"/>
            <w:noWrap/>
          </w:tcPr>
          <w:p w:rsidR="001D24BA" w:rsidRDefault="001D24BA">
            <w:pPr>
              <w:widowControl/>
              <w:autoSpaceDE/>
              <w:autoSpaceDN/>
              <w:adjustRightInd/>
              <w:jc w:val="center"/>
              <w:rPr>
                <w:sz w:val="20"/>
                <w:szCs w:val="20"/>
                <w:lang w:eastAsia="zh-TW"/>
              </w:rPr>
            </w:pPr>
          </w:p>
        </w:tc>
        <w:tc>
          <w:tcPr>
            <w:tcW w:w="1317" w:type="dxa"/>
            <w:noWrap/>
          </w:tcPr>
          <w:p w:rsidR="001D24BA" w:rsidRDefault="001D24BA">
            <w:pPr>
              <w:widowControl/>
              <w:autoSpaceDE/>
              <w:autoSpaceDN/>
              <w:adjustRightInd/>
              <w:jc w:val="center"/>
              <w:rPr>
                <w:sz w:val="20"/>
                <w:szCs w:val="20"/>
                <w:lang w:eastAsia="zh-TW"/>
              </w:rPr>
            </w:pPr>
            <w:r>
              <w:rPr>
                <w:sz w:val="20"/>
                <w:szCs w:val="20"/>
                <w:lang w:eastAsia="zh-TW"/>
              </w:rPr>
              <w:t> </w:t>
            </w:r>
          </w:p>
        </w:tc>
      </w:tr>
      <w:tr w:rsidR="001D24BA">
        <w:trPr>
          <w:cantSplit/>
          <w:jc w:val="center"/>
        </w:trPr>
        <w:tc>
          <w:tcPr>
            <w:tcW w:w="4050" w:type="dxa"/>
            <w:noWrap/>
          </w:tcPr>
          <w:p w:rsidR="001D24BA" w:rsidRDefault="001D24BA">
            <w:pPr>
              <w:widowControl/>
              <w:autoSpaceDE/>
              <w:autoSpaceDN/>
              <w:adjustRightInd/>
              <w:rPr>
                <w:sz w:val="20"/>
                <w:szCs w:val="20"/>
                <w:lang w:eastAsia="zh-TW"/>
              </w:rPr>
            </w:pPr>
            <w:r>
              <w:rPr>
                <w:sz w:val="20"/>
                <w:szCs w:val="20"/>
                <w:lang w:eastAsia="zh-TW"/>
              </w:rPr>
              <w:t>4.  Recordkeeping Requirements</w:t>
            </w: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260" w:type="dxa"/>
            <w:noWrap/>
          </w:tcPr>
          <w:p w:rsidR="001D24BA" w:rsidRDefault="001D24BA">
            <w:pPr>
              <w:widowControl/>
              <w:autoSpaceDE/>
              <w:autoSpaceDN/>
              <w:adjustRightInd/>
              <w:jc w:val="center"/>
              <w:rPr>
                <w:sz w:val="20"/>
                <w:szCs w:val="20"/>
                <w:lang w:eastAsia="zh-TW"/>
              </w:rPr>
            </w:pPr>
          </w:p>
        </w:tc>
        <w:tc>
          <w:tcPr>
            <w:tcW w:w="1204" w:type="dxa"/>
            <w:gridSpan w:val="2"/>
            <w:noWrap/>
          </w:tcPr>
          <w:p w:rsidR="001D24BA" w:rsidRDefault="001D24BA">
            <w:pPr>
              <w:widowControl/>
              <w:autoSpaceDE/>
              <w:autoSpaceDN/>
              <w:adjustRightInd/>
              <w:jc w:val="center"/>
              <w:rPr>
                <w:sz w:val="20"/>
                <w:szCs w:val="20"/>
                <w:lang w:eastAsia="zh-TW"/>
              </w:rPr>
            </w:pPr>
          </w:p>
        </w:tc>
        <w:tc>
          <w:tcPr>
            <w:tcW w:w="1169" w:type="dxa"/>
            <w:noWrap/>
          </w:tcPr>
          <w:p w:rsidR="001D24BA" w:rsidRDefault="001D24BA">
            <w:pPr>
              <w:widowControl/>
              <w:autoSpaceDE/>
              <w:autoSpaceDN/>
              <w:adjustRightInd/>
              <w:jc w:val="center"/>
              <w:rPr>
                <w:sz w:val="20"/>
                <w:szCs w:val="20"/>
                <w:lang w:eastAsia="zh-TW"/>
              </w:rPr>
            </w:pPr>
          </w:p>
        </w:tc>
        <w:tc>
          <w:tcPr>
            <w:tcW w:w="1317" w:type="dxa"/>
            <w:noWrap/>
          </w:tcPr>
          <w:p w:rsidR="001D24BA" w:rsidRDefault="001D24BA">
            <w:pPr>
              <w:widowControl/>
              <w:autoSpaceDE/>
              <w:autoSpaceDN/>
              <w:adjustRightInd/>
              <w:jc w:val="center"/>
              <w:rPr>
                <w:sz w:val="20"/>
                <w:szCs w:val="20"/>
                <w:lang w:eastAsia="zh-TW"/>
              </w:rPr>
            </w:pPr>
            <w:r>
              <w:rPr>
                <w:sz w:val="20"/>
                <w:szCs w:val="20"/>
                <w:lang w:eastAsia="zh-TW"/>
              </w:rPr>
              <w:t> </w:t>
            </w:r>
          </w:p>
        </w:tc>
      </w:tr>
      <w:tr w:rsidR="001D24BA">
        <w:trPr>
          <w:cantSplit/>
          <w:jc w:val="center"/>
        </w:trPr>
        <w:tc>
          <w:tcPr>
            <w:tcW w:w="4050" w:type="dxa"/>
            <w:noWrap/>
          </w:tcPr>
          <w:p w:rsidR="001D24BA" w:rsidRDefault="001D24BA">
            <w:pPr>
              <w:widowControl/>
              <w:autoSpaceDE/>
              <w:autoSpaceDN/>
              <w:adjustRightInd/>
              <w:ind w:left="216"/>
              <w:rPr>
                <w:sz w:val="20"/>
                <w:szCs w:val="20"/>
                <w:lang w:eastAsia="zh-TW"/>
              </w:rPr>
            </w:pPr>
            <w:r>
              <w:rPr>
                <w:sz w:val="20"/>
                <w:szCs w:val="20"/>
                <w:lang w:eastAsia="zh-TW"/>
              </w:rPr>
              <w:t>A.  Record Engine Maintenance</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1</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1</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1</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17,052</w:t>
            </w:r>
          </w:p>
        </w:tc>
        <w:tc>
          <w:tcPr>
            <w:tcW w:w="1260" w:type="dxa"/>
            <w:noWrap/>
          </w:tcPr>
          <w:p w:rsidR="001D24BA" w:rsidRDefault="001D24BA">
            <w:pPr>
              <w:widowControl/>
              <w:autoSpaceDE/>
              <w:autoSpaceDN/>
              <w:adjustRightInd/>
              <w:jc w:val="center"/>
              <w:rPr>
                <w:sz w:val="20"/>
                <w:szCs w:val="20"/>
                <w:lang w:eastAsia="zh-TW"/>
              </w:rPr>
            </w:pPr>
            <w:r>
              <w:rPr>
                <w:sz w:val="20"/>
                <w:szCs w:val="20"/>
                <w:lang w:eastAsia="zh-TW"/>
              </w:rPr>
              <w:t>17,052</w:t>
            </w:r>
          </w:p>
        </w:tc>
        <w:tc>
          <w:tcPr>
            <w:tcW w:w="1204" w:type="dxa"/>
            <w:gridSpan w:val="2"/>
            <w:noWrap/>
          </w:tcPr>
          <w:p w:rsidR="001D24BA" w:rsidRDefault="001D24BA">
            <w:pPr>
              <w:widowControl/>
              <w:autoSpaceDE/>
              <w:autoSpaceDN/>
              <w:adjustRightInd/>
              <w:jc w:val="center"/>
              <w:rPr>
                <w:sz w:val="20"/>
                <w:szCs w:val="20"/>
                <w:lang w:eastAsia="zh-TW"/>
              </w:rPr>
            </w:pPr>
            <w:r>
              <w:rPr>
                <w:sz w:val="20"/>
                <w:szCs w:val="20"/>
                <w:lang w:eastAsia="zh-TW"/>
              </w:rPr>
              <w:t>852.6</w:t>
            </w:r>
          </w:p>
        </w:tc>
        <w:tc>
          <w:tcPr>
            <w:tcW w:w="1169" w:type="dxa"/>
            <w:noWrap/>
          </w:tcPr>
          <w:p w:rsidR="001D24BA" w:rsidRDefault="001D24BA">
            <w:pPr>
              <w:widowControl/>
              <w:autoSpaceDE/>
              <w:autoSpaceDN/>
              <w:adjustRightInd/>
              <w:jc w:val="center"/>
              <w:rPr>
                <w:sz w:val="20"/>
                <w:szCs w:val="20"/>
                <w:lang w:eastAsia="zh-TW"/>
              </w:rPr>
            </w:pPr>
            <w:r>
              <w:rPr>
                <w:sz w:val="20"/>
                <w:szCs w:val="20"/>
                <w:lang w:eastAsia="zh-TW"/>
              </w:rPr>
              <w:t>1705.2</w:t>
            </w:r>
          </w:p>
        </w:tc>
        <w:tc>
          <w:tcPr>
            <w:tcW w:w="1317" w:type="dxa"/>
            <w:noWrap/>
          </w:tcPr>
          <w:p w:rsidR="001D24BA" w:rsidRDefault="001D24BA">
            <w:pPr>
              <w:widowControl/>
              <w:autoSpaceDE/>
              <w:autoSpaceDN/>
              <w:adjustRightInd/>
              <w:jc w:val="center"/>
              <w:rPr>
                <w:sz w:val="20"/>
                <w:szCs w:val="20"/>
                <w:lang w:eastAsia="zh-TW"/>
              </w:rPr>
            </w:pPr>
            <w:r>
              <w:rPr>
                <w:sz w:val="20"/>
                <w:szCs w:val="20"/>
                <w:lang w:eastAsia="zh-TW"/>
              </w:rPr>
              <w:t>$1,839,902</w:t>
            </w:r>
          </w:p>
        </w:tc>
      </w:tr>
      <w:tr w:rsidR="001D24BA">
        <w:trPr>
          <w:cantSplit/>
          <w:jc w:val="center"/>
        </w:trPr>
        <w:tc>
          <w:tcPr>
            <w:tcW w:w="4050" w:type="dxa"/>
            <w:noWrap/>
          </w:tcPr>
          <w:p w:rsidR="001D24BA" w:rsidRDefault="001D24BA">
            <w:pPr>
              <w:widowControl/>
              <w:autoSpaceDE/>
              <w:autoSpaceDN/>
              <w:adjustRightInd/>
              <w:ind w:left="216"/>
              <w:rPr>
                <w:sz w:val="20"/>
                <w:szCs w:val="20"/>
                <w:lang w:eastAsia="zh-TW"/>
              </w:rPr>
            </w:pPr>
            <w:r>
              <w:rPr>
                <w:sz w:val="20"/>
                <w:szCs w:val="20"/>
                <w:lang w:eastAsia="zh-TW"/>
              </w:rPr>
              <w:t>B.  Train personnel</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N/A</w:t>
            </w: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260" w:type="dxa"/>
            <w:noWrap/>
          </w:tcPr>
          <w:p w:rsidR="001D24BA" w:rsidRDefault="001D24BA">
            <w:pPr>
              <w:widowControl/>
              <w:autoSpaceDE/>
              <w:autoSpaceDN/>
              <w:adjustRightInd/>
              <w:jc w:val="center"/>
              <w:rPr>
                <w:sz w:val="20"/>
                <w:szCs w:val="20"/>
                <w:lang w:eastAsia="zh-TW"/>
              </w:rPr>
            </w:pPr>
          </w:p>
        </w:tc>
        <w:tc>
          <w:tcPr>
            <w:tcW w:w="1204" w:type="dxa"/>
            <w:gridSpan w:val="2"/>
            <w:noWrap/>
          </w:tcPr>
          <w:p w:rsidR="001D24BA" w:rsidRDefault="001D24BA">
            <w:pPr>
              <w:widowControl/>
              <w:autoSpaceDE/>
              <w:autoSpaceDN/>
              <w:adjustRightInd/>
              <w:jc w:val="center"/>
              <w:rPr>
                <w:sz w:val="20"/>
                <w:szCs w:val="20"/>
                <w:lang w:eastAsia="zh-TW"/>
              </w:rPr>
            </w:pPr>
          </w:p>
        </w:tc>
        <w:tc>
          <w:tcPr>
            <w:tcW w:w="1169" w:type="dxa"/>
            <w:noWrap/>
          </w:tcPr>
          <w:p w:rsidR="001D24BA" w:rsidRDefault="001D24BA">
            <w:pPr>
              <w:widowControl/>
              <w:autoSpaceDE/>
              <w:autoSpaceDN/>
              <w:adjustRightInd/>
              <w:jc w:val="center"/>
              <w:rPr>
                <w:sz w:val="20"/>
                <w:szCs w:val="20"/>
                <w:lang w:eastAsia="zh-TW"/>
              </w:rPr>
            </w:pPr>
          </w:p>
        </w:tc>
        <w:tc>
          <w:tcPr>
            <w:tcW w:w="1317" w:type="dxa"/>
            <w:noWrap/>
          </w:tcPr>
          <w:p w:rsidR="001D24BA" w:rsidRDefault="001D24BA">
            <w:pPr>
              <w:widowControl/>
              <w:autoSpaceDE/>
              <w:autoSpaceDN/>
              <w:adjustRightInd/>
              <w:jc w:val="center"/>
              <w:rPr>
                <w:sz w:val="20"/>
                <w:szCs w:val="20"/>
                <w:lang w:eastAsia="zh-TW"/>
              </w:rPr>
            </w:pPr>
            <w:r>
              <w:rPr>
                <w:sz w:val="20"/>
                <w:szCs w:val="20"/>
                <w:lang w:eastAsia="zh-TW"/>
              </w:rPr>
              <w:t> </w:t>
            </w:r>
          </w:p>
        </w:tc>
      </w:tr>
      <w:tr w:rsidR="001D24BA">
        <w:trPr>
          <w:cantSplit/>
          <w:jc w:val="center"/>
        </w:trPr>
        <w:tc>
          <w:tcPr>
            <w:tcW w:w="4050" w:type="dxa"/>
            <w:noWrap/>
          </w:tcPr>
          <w:p w:rsidR="001D24BA" w:rsidRDefault="001D24BA">
            <w:pPr>
              <w:widowControl/>
              <w:autoSpaceDE/>
              <w:autoSpaceDN/>
              <w:adjustRightInd/>
              <w:ind w:left="216"/>
              <w:rPr>
                <w:sz w:val="20"/>
                <w:szCs w:val="20"/>
                <w:lang w:eastAsia="zh-TW"/>
              </w:rPr>
            </w:pPr>
            <w:r>
              <w:rPr>
                <w:sz w:val="20"/>
                <w:szCs w:val="20"/>
                <w:lang w:eastAsia="zh-TW"/>
              </w:rPr>
              <w:t>C.  Recording hours in non-emergency operation</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1</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1</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1</w:t>
            </w:r>
          </w:p>
        </w:tc>
        <w:tc>
          <w:tcPr>
            <w:tcW w:w="1170" w:type="dxa"/>
            <w:noWrap/>
          </w:tcPr>
          <w:p w:rsidR="001D24BA" w:rsidRDefault="001D24BA">
            <w:pPr>
              <w:widowControl/>
              <w:autoSpaceDE/>
              <w:autoSpaceDN/>
              <w:adjustRightInd/>
              <w:jc w:val="center"/>
              <w:rPr>
                <w:sz w:val="20"/>
                <w:szCs w:val="20"/>
                <w:lang w:eastAsia="zh-TW"/>
              </w:rPr>
            </w:pPr>
            <w:r>
              <w:rPr>
                <w:sz w:val="20"/>
                <w:szCs w:val="20"/>
                <w:lang w:eastAsia="zh-TW"/>
              </w:rPr>
              <w:t>427</w:t>
            </w:r>
          </w:p>
        </w:tc>
        <w:tc>
          <w:tcPr>
            <w:tcW w:w="1260" w:type="dxa"/>
            <w:noWrap/>
          </w:tcPr>
          <w:p w:rsidR="001D24BA" w:rsidRDefault="001D24BA">
            <w:pPr>
              <w:widowControl/>
              <w:autoSpaceDE/>
              <w:autoSpaceDN/>
              <w:adjustRightInd/>
              <w:jc w:val="center"/>
              <w:rPr>
                <w:sz w:val="20"/>
                <w:szCs w:val="20"/>
                <w:lang w:eastAsia="zh-TW"/>
              </w:rPr>
            </w:pPr>
            <w:r>
              <w:rPr>
                <w:sz w:val="20"/>
                <w:szCs w:val="20"/>
                <w:lang w:eastAsia="zh-TW"/>
              </w:rPr>
              <w:t>427</w:t>
            </w:r>
          </w:p>
        </w:tc>
        <w:tc>
          <w:tcPr>
            <w:tcW w:w="1204" w:type="dxa"/>
            <w:gridSpan w:val="2"/>
            <w:noWrap/>
          </w:tcPr>
          <w:p w:rsidR="001D24BA" w:rsidRDefault="001D24BA">
            <w:pPr>
              <w:widowControl/>
              <w:autoSpaceDE/>
              <w:autoSpaceDN/>
              <w:adjustRightInd/>
              <w:jc w:val="center"/>
              <w:rPr>
                <w:sz w:val="20"/>
                <w:szCs w:val="20"/>
                <w:lang w:eastAsia="zh-TW"/>
              </w:rPr>
            </w:pPr>
            <w:r>
              <w:rPr>
                <w:sz w:val="20"/>
                <w:szCs w:val="20"/>
                <w:lang w:eastAsia="zh-TW"/>
              </w:rPr>
              <w:t>21.35</w:t>
            </w:r>
          </w:p>
        </w:tc>
        <w:tc>
          <w:tcPr>
            <w:tcW w:w="1169" w:type="dxa"/>
            <w:noWrap/>
          </w:tcPr>
          <w:p w:rsidR="001D24BA" w:rsidRDefault="001D24BA">
            <w:pPr>
              <w:widowControl/>
              <w:autoSpaceDE/>
              <w:autoSpaceDN/>
              <w:adjustRightInd/>
              <w:jc w:val="center"/>
              <w:rPr>
                <w:sz w:val="20"/>
                <w:szCs w:val="20"/>
                <w:lang w:eastAsia="zh-TW"/>
              </w:rPr>
            </w:pPr>
            <w:r>
              <w:rPr>
                <w:sz w:val="20"/>
                <w:szCs w:val="20"/>
                <w:lang w:eastAsia="zh-TW"/>
              </w:rPr>
              <w:t>42.7</w:t>
            </w:r>
          </w:p>
        </w:tc>
        <w:tc>
          <w:tcPr>
            <w:tcW w:w="1317" w:type="dxa"/>
            <w:noWrap/>
          </w:tcPr>
          <w:p w:rsidR="001D24BA" w:rsidRDefault="001D24BA">
            <w:pPr>
              <w:widowControl/>
              <w:autoSpaceDE/>
              <w:autoSpaceDN/>
              <w:adjustRightInd/>
              <w:jc w:val="center"/>
              <w:rPr>
                <w:sz w:val="20"/>
                <w:szCs w:val="20"/>
                <w:lang w:eastAsia="zh-TW"/>
              </w:rPr>
            </w:pPr>
            <w:r>
              <w:rPr>
                <w:sz w:val="20"/>
                <w:szCs w:val="20"/>
                <w:lang w:eastAsia="zh-TW"/>
              </w:rPr>
              <w:t>$46,073</w:t>
            </w:r>
          </w:p>
        </w:tc>
      </w:tr>
      <w:tr w:rsidR="001D24BA">
        <w:trPr>
          <w:cantSplit/>
          <w:jc w:val="center"/>
        </w:trPr>
        <w:tc>
          <w:tcPr>
            <w:tcW w:w="4050" w:type="dxa"/>
            <w:noWrap/>
          </w:tcPr>
          <w:p w:rsidR="001D24BA" w:rsidRDefault="001D24BA">
            <w:pPr>
              <w:widowControl/>
              <w:autoSpaceDE/>
              <w:autoSpaceDN/>
              <w:adjustRightInd/>
              <w:rPr>
                <w:sz w:val="20"/>
                <w:szCs w:val="20"/>
                <w:lang w:eastAsia="zh-TW"/>
              </w:rPr>
            </w:pPr>
            <w:r>
              <w:rPr>
                <w:sz w:val="20"/>
                <w:szCs w:val="20"/>
                <w:lang w:eastAsia="zh-TW"/>
              </w:rPr>
              <w:t>Recordkeeping Subtotal</w:t>
            </w: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3633" w:type="dxa"/>
            <w:gridSpan w:val="4"/>
            <w:noWrap/>
          </w:tcPr>
          <w:p w:rsidR="001D24BA" w:rsidRDefault="001D24BA">
            <w:pPr>
              <w:widowControl/>
              <w:autoSpaceDE/>
              <w:autoSpaceDN/>
              <w:adjustRightInd/>
              <w:jc w:val="center"/>
              <w:rPr>
                <w:sz w:val="20"/>
                <w:szCs w:val="20"/>
                <w:lang w:eastAsia="zh-TW"/>
              </w:rPr>
            </w:pPr>
            <w:r>
              <w:rPr>
                <w:sz w:val="20"/>
                <w:szCs w:val="20"/>
                <w:lang w:eastAsia="zh-TW"/>
              </w:rPr>
              <w:t>20,101</w:t>
            </w:r>
          </w:p>
        </w:tc>
        <w:tc>
          <w:tcPr>
            <w:tcW w:w="1317" w:type="dxa"/>
            <w:noWrap/>
          </w:tcPr>
          <w:p w:rsidR="001D24BA" w:rsidRDefault="001D24BA">
            <w:pPr>
              <w:widowControl/>
              <w:autoSpaceDE/>
              <w:autoSpaceDN/>
              <w:adjustRightInd/>
              <w:jc w:val="center"/>
              <w:rPr>
                <w:sz w:val="20"/>
                <w:szCs w:val="20"/>
                <w:lang w:eastAsia="zh-TW"/>
              </w:rPr>
            </w:pPr>
            <w:r>
              <w:rPr>
                <w:sz w:val="20"/>
                <w:szCs w:val="20"/>
                <w:lang w:eastAsia="zh-TW"/>
              </w:rPr>
              <w:t>$1,885,975</w:t>
            </w:r>
          </w:p>
        </w:tc>
      </w:tr>
      <w:tr w:rsidR="001D24BA">
        <w:trPr>
          <w:cantSplit/>
          <w:jc w:val="center"/>
        </w:trPr>
        <w:tc>
          <w:tcPr>
            <w:tcW w:w="4050" w:type="dxa"/>
            <w:noWrap/>
          </w:tcPr>
          <w:p w:rsidR="001D24BA" w:rsidRDefault="001D24BA">
            <w:pPr>
              <w:widowControl/>
              <w:autoSpaceDE/>
              <w:autoSpaceDN/>
              <w:adjustRightInd/>
              <w:rPr>
                <w:bCs/>
                <w:sz w:val="20"/>
                <w:szCs w:val="20"/>
                <w:lang w:eastAsia="zh-TW"/>
              </w:rPr>
            </w:pPr>
            <w:r>
              <w:rPr>
                <w:bCs/>
                <w:sz w:val="20"/>
                <w:szCs w:val="20"/>
                <w:lang w:eastAsia="zh-TW"/>
              </w:rPr>
              <w:t>TOTAL</w:t>
            </w: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1170" w:type="dxa"/>
            <w:noWrap/>
          </w:tcPr>
          <w:p w:rsidR="001D24BA" w:rsidRDefault="001D24BA">
            <w:pPr>
              <w:widowControl/>
              <w:autoSpaceDE/>
              <w:autoSpaceDN/>
              <w:adjustRightInd/>
              <w:jc w:val="center"/>
              <w:rPr>
                <w:sz w:val="20"/>
                <w:szCs w:val="20"/>
                <w:lang w:eastAsia="zh-TW"/>
              </w:rPr>
            </w:pPr>
          </w:p>
        </w:tc>
        <w:tc>
          <w:tcPr>
            <w:tcW w:w="3633" w:type="dxa"/>
            <w:gridSpan w:val="4"/>
            <w:noWrap/>
          </w:tcPr>
          <w:p w:rsidR="001D24BA" w:rsidRDefault="001D24BA">
            <w:pPr>
              <w:widowControl/>
              <w:autoSpaceDE/>
              <w:autoSpaceDN/>
              <w:adjustRightInd/>
              <w:jc w:val="center"/>
              <w:rPr>
                <w:bCs/>
                <w:sz w:val="20"/>
                <w:szCs w:val="20"/>
                <w:lang w:eastAsia="zh-TW"/>
              </w:rPr>
            </w:pPr>
            <w:r>
              <w:rPr>
                <w:bCs/>
                <w:sz w:val="20"/>
                <w:szCs w:val="20"/>
                <w:lang w:eastAsia="zh-TW"/>
              </w:rPr>
              <w:t>22,634</w:t>
            </w:r>
          </w:p>
        </w:tc>
        <w:tc>
          <w:tcPr>
            <w:tcW w:w="1317" w:type="dxa"/>
            <w:noWrap/>
          </w:tcPr>
          <w:p w:rsidR="001D24BA" w:rsidRDefault="001D24BA">
            <w:pPr>
              <w:widowControl/>
              <w:autoSpaceDE/>
              <w:autoSpaceDN/>
              <w:adjustRightInd/>
              <w:jc w:val="center"/>
              <w:rPr>
                <w:bCs/>
                <w:sz w:val="20"/>
                <w:szCs w:val="20"/>
                <w:lang w:eastAsia="zh-TW"/>
              </w:rPr>
            </w:pPr>
            <w:r>
              <w:rPr>
                <w:bCs/>
                <w:sz w:val="20"/>
                <w:szCs w:val="20"/>
                <w:lang w:eastAsia="zh-TW"/>
              </w:rPr>
              <w:t>$2,123,623</w:t>
            </w:r>
          </w:p>
        </w:tc>
      </w:tr>
    </w:tbl>
    <w:p w:rsidR="001D24BA" w:rsidRDefault="001D24BA">
      <w:pPr>
        <w:rPr>
          <w:b/>
          <w:sz w:val="20"/>
          <w:szCs w:val="20"/>
        </w:rPr>
      </w:pPr>
      <w:r>
        <w:rPr>
          <w:b/>
          <w:sz w:val="20"/>
          <w:szCs w:val="20"/>
        </w:rPr>
        <w:t>Assumptions:</w:t>
      </w:r>
    </w:p>
    <w:p w:rsidR="001D24BA" w:rsidRDefault="001D24BA">
      <w:pPr>
        <w:rPr>
          <w:sz w:val="20"/>
          <w:szCs w:val="20"/>
        </w:rPr>
      </w:pPr>
      <w:proofErr w:type="gramStart"/>
      <w:r>
        <w:rPr>
          <w:sz w:val="20"/>
          <w:szCs w:val="20"/>
          <w:vertAlign w:val="superscript"/>
        </w:rPr>
        <w:t>a</w:t>
      </w:r>
      <w:r>
        <w:rPr>
          <w:sz w:val="20"/>
          <w:szCs w:val="20"/>
        </w:rPr>
        <w:t xml:space="preserve">  Costs</w:t>
      </w:r>
      <w:proofErr w:type="gramEnd"/>
      <w:r>
        <w:rPr>
          <w:sz w:val="20"/>
          <w:szCs w:val="20"/>
        </w:rPr>
        <w:t xml:space="preserve"> are based on March 2010 Bureau of Labor Statistics, Employment Cost Trends total compensation index which includes wages, salaries, and benefits.  Costs are estimated using the following hourly rates: technical at $97.21, management at $116.05 and clerical at $48.87.  </w:t>
      </w:r>
    </w:p>
    <w:p w:rsidR="001D24BA" w:rsidRDefault="001D24BA">
      <w:pPr>
        <w:rPr>
          <w:sz w:val="20"/>
          <w:szCs w:val="20"/>
        </w:rPr>
      </w:pPr>
      <w:proofErr w:type="gramStart"/>
      <w:r>
        <w:rPr>
          <w:sz w:val="20"/>
          <w:szCs w:val="20"/>
          <w:vertAlign w:val="superscript"/>
        </w:rPr>
        <w:t>b</w:t>
      </w:r>
      <w:proofErr w:type="gramEnd"/>
      <w:r>
        <w:rPr>
          <w:sz w:val="20"/>
          <w:szCs w:val="20"/>
        </w:rPr>
        <w:t xml:space="preserve"> It is assumed that 253 non-certified new engines will become subject to the rule each year over the 3-year period.  Based on the estimated distribution of existing engines, it is assumed that 12 percent of new engines, or 30 new engines, will be rated at &gt;500 hp and require initial notification.</w:t>
      </w:r>
    </w:p>
    <w:p w:rsidR="001D24BA" w:rsidRDefault="001D24BA">
      <w:pPr>
        <w:rPr>
          <w:sz w:val="20"/>
          <w:szCs w:val="20"/>
        </w:rPr>
      </w:pPr>
      <w:r>
        <w:rPr>
          <w:sz w:val="20"/>
          <w:szCs w:val="20"/>
          <w:vertAlign w:val="superscript"/>
        </w:rPr>
        <w:t>c</w:t>
      </w:r>
      <w:r>
        <w:rPr>
          <w:sz w:val="20"/>
          <w:szCs w:val="20"/>
        </w:rPr>
        <w:t xml:space="preserve"> Previously certified engines &gt; 500-hp are required to conduct subsequent performance tests either after 3 years or 8,760 hours of operation after the initial performance test.  It is assumed that 12 percent of existing engines, or 2,046 existing engines will be rated at &gt; 500 hp and have previously had an initial performance test conducted and are now required to conduct a subsequent test over the next 3-year period.</w:t>
      </w:r>
    </w:p>
    <w:p w:rsidR="001D24BA" w:rsidRDefault="001D24BA">
      <w:pPr>
        <w:keepNext/>
        <w:rPr>
          <w:b/>
          <w:bCs/>
        </w:rPr>
      </w:pPr>
      <w:r>
        <w:rPr>
          <w:sz w:val="20"/>
          <w:szCs w:val="20"/>
        </w:rPr>
        <w:br w:type="page"/>
      </w:r>
      <w:r>
        <w:rPr>
          <w:b/>
        </w:rPr>
        <w:lastRenderedPageBreak/>
        <w:t xml:space="preserve">Table </w:t>
      </w:r>
      <w:r w:rsidR="00E377B6">
        <w:rPr>
          <w:b/>
        </w:rPr>
        <w:fldChar w:fldCharType="begin"/>
      </w:r>
      <w:r>
        <w:rPr>
          <w:b/>
        </w:rPr>
        <w:instrText xml:space="preserve"> SEQ Table \* ARABIC </w:instrText>
      </w:r>
      <w:r w:rsidR="00E377B6">
        <w:rPr>
          <w:b/>
        </w:rPr>
        <w:fldChar w:fldCharType="separate"/>
      </w:r>
      <w:r>
        <w:rPr>
          <w:b/>
          <w:noProof/>
        </w:rPr>
        <w:t>2</w:t>
      </w:r>
      <w:r w:rsidR="00E377B6">
        <w:rPr>
          <w:b/>
        </w:rPr>
        <w:fldChar w:fldCharType="end"/>
      </w:r>
      <w:r>
        <w:rPr>
          <w:b/>
        </w:rPr>
        <w:t xml:space="preserve">: Average Annual EPA Burden – </w:t>
      </w:r>
      <w:r>
        <w:rPr>
          <w:b/>
          <w:bCs/>
        </w:rPr>
        <w:t xml:space="preserve">NSPS for Stationary Spark Ignition Internal Combustion Engines </w:t>
      </w:r>
    </w:p>
    <w:p w:rsidR="001D24BA" w:rsidRDefault="001D24BA">
      <w:pPr>
        <w:keepNext/>
        <w:rPr>
          <w:b/>
          <w:bCs/>
        </w:rPr>
      </w:pPr>
      <w:r>
        <w:rPr>
          <w:b/>
          <w:bCs/>
        </w:rPr>
        <w:t>(40 CFR Part 60, Subpart JJJJ)</w:t>
      </w:r>
      <w:r w:rsidR="00D76B6D">
        <w:rPr>
          <w:b/>
          <w:bCs/>
        </w:rPr>
        <w:t xml:space="preserve"> (Renewal)</w:t>
      </w:r>
    </w:p>
    <w:p w:rsidR="001D24BA" w:rsidRDefault="001D24BA"/>
    <w:tbl>
      <w:tblPr>
        <w:tblW w:w="1368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000"/>
      </w:tblPr>
      <w:tblGrid>
        <w:gridCol w:w="5397"/>
        <w:gridCol w:w="1248"/>
        <w:gridCol w:w="1272"/>
        <w:gridCol w:w="1749"/>
        <w:gridCol w:w="1400"/>
        <w:gridCol w:w="1334"/>
        <w:gridCol w:w="1280"/>
      </w:tblGrid>
      <w:tr w:rsidR="001D24BA">
        <w:trPr>
          <w:cantSplit/>
          <w:trHeight w:val="920"/>
          <w:jc w:val="center"/>
        </w:trPr>
        <w:tc>
          <w:tcPr>
            <w:tcW w:w="5397" w:type="dxa"/>
            <w:tcBorders>
              <w:bottom w:val="single" w:sz="2" w:space="0" w:color="auto"/>
            </w:tcBorders>
            <w:noWrap/>
            <w:vAlign w:val="center"/>
          </w:tcPr>
          <w:p w:rsidR="001D24BA" w:rsidRDefault="001D24BA">
            <w:pPr>
              <w:jc w:val="center"/>
              <w:rPr>
                <w:sz w:val="20"/>
                <w:szCs w:val="20"/>
                <w:lang w:eastAsia="zh-TW"/>
              </w:rPr>
            </w:pPr>
            <w:r>
              <w:rPr>
                <w:sz w:val="20"/>
                <w:szCs w:val="20"/>
                <w:lang w:eastAsia="zh-TW"/>
              </w:rPr>
              <w:t>Activity</w:t>
            </w:r>
          </w:p>
        </w:tc>
        <w:tc>
          <w:tcPr>
            <w:tcW w:w="1248" w:type="dxa"/>
            <w:noWrap/>
          </w:tcPr>
          <w:p w:rsidR="001D24BA" w:rsidRDefault="001D24BA">
            <w:pPr>
              <w:jc w:val="center"/>
              <w:rPr>
                <w:lang w:eastAsia="zh-TW"/>
              </w:rPr>
            </w:pPr>
            <w:r>
              <w:rPr>
                <w:sz w:val="20"/>
                <w:szCs w:val="20"/>
                <w:lang w:eastAsia="zh-TW"/>
              </w:rPr>
              <w:t>EPA hours per operation</w:t>
            </w:r>
          </w:p>
          <w:p w:rsidR="001D24BA" w:rsidRDefault="001D24BA">
            <w:pPr>
              <w:jc w:val="center"/>
              <w:rPr>
                <w:lang w:eastAsia="zh-TW"/>
              </w:rPr>
            </w:pPr>
            <w:r>
              <w:rPr>
                <w:sz w:val="20"/>
                <w:szCs w:val="20"/>
                <w:lang w:eastAsia="zh-TW"/>
              </w:rPr>
              <w:t>(A)</w:t>
            </w:r>
          </w:p>
        </w:tc>
        <w:tc>
          <w:tcPr>
            <w:tcW w:w="1272" w:type="dxa"/>
            <w:noWrap/>
          </w:tcPr>
          <w:p w:rsidR="001D24BA" w:rsidRDefault="001D24BA">
            <w:pPr>
              <w:jc w:val="center"/>
              <w:rPr>
                <w:lang w:eastAsia="zh-TW"/>
              </w:rPr>
            </w:pPr>
            <w:r>
              <w:rPr>
                <w:sz w:val="20"/>
                <w:szCs w:val="20"/>
                <w:lang w:eastAsia="zh-TW"/>
              </w:rPr>
              <w:t>Operations per year</w:t>
            </w:r>
          </w:p>
          <w:p w:rsidR="001D24BA" w:rsidRDefault="001D24BA">
            <w:pPr>
              <w:jc w:val="center"/>
              <w:rPr>
                <w:lang w:eastAsia="zh-TW"/>
              </w:rPr>
            </w:pPr>
            <w:r>
              <w:rPr>
                <w:sz w:val="20"/>
                <w:szCs w:val="20"/>
                <w:lang w:eastAsia="zh-TW"/>
              </w:rPr>
              <w:t>(B)</w:t>
            </w:r>
          </w:p>
        </w:tc>
        <w:tc>
          <w:tcPr>
            <w:tcW w:w="1749" w:type="dxa"/>
            <w:noWrap/>
          </w:tcPr>
          <w:p w:rsidR="001D24BA" w:rsidRDefault="001D24BA">
            <w:pPr>
              <w:widowControl/>
              <w:autoSpaceDE/>
              <w:autoSpaceDN/>
              <w:adjustRightInd/>
              <w:jc w:val="center"/>
              <w:rPr>
                <w:sz w:val="20"/>
                <w:szCs w:val="20"/>
                <w:lang w:eastAsia="zh-TW"/>
              </w:rPr>
            </w:pPr>
            <w:r>
              <w:rPr>
                <w:sz w:val="20"/>
                <w:szCs w:val="20"/>
                <w:lang w:eastAsia="zh-TW"/>
              </w:rPr>
              <w:t>Technical person-hours per year</w:t>
            </w:r>
          </w:p>
          <w:p w:rsidR="001D24BA" w:rsidRDefault="001D24BA">
            <w:pPr>
              <w:jc w:val="center"/>
              <w:rPr>
                <w:sz w:val="20"/>
                <w:szCs w:val="20"/>
                <w:lang w:eastAsia="zh-TW"/>
              </w:rPr>
            </w:pPr>
            <w:r>
              <w:rPr>
                <w:sz w:val="20"/>
                <w:szCs w:val="20"/>
                <w:lang w:eastAsia="zh-TW"/>
              </w:rPr>
              <w:t>(C)=(A×B)</w:t>
            </w:r>
          </w:p>
        </w:tc>
        <w:tc>
          <w:tcPr>
            <w:tcW w:w="1400" w:type="dxa"/>
            <w:noWrap/>
          </w:tcPr>
          <w:p w:rsidR="001D24BA" w:rsidRDefault="001D24BA">
            <w:pPr>
              <w:jc w:val="center"/>
              <w:rPr>
                <w:sz w:val="20"/>
                <w:szCs w:val="20"/>
                <w:lang w:eastAsia="zh-TW"/>
              </w:rPr>
            </w:pPr>
            <w:r>
              <w:rPr>
                <w:sz w:val="20"/>
                <w:szCs w:val="20"/>
                <w:lang w:eastAsia="zh-TW"/>
              </w:rPr>
              <w:t>Management person-hours per year</w:t>
            </w:r>
          </w:p>
          <w:p w:rsidR="001D24BA" w:rsidRDefault="001D24BA">
            <w:pPr>
              <w:jc w:val="center"/>
              <w:rPr>
                <w:sz w:val="20"/>
                <w:szCs w:val="20"/>
                <w:lang w:eastAsia="zh-TW"/>
              </w:rPr>
            </w:pPr>
            <w:r>
              <w:rPr>
                <w:sz w:val="20"/>
                <w:szCs w:val="20"/>
                <w:lang w:eastAsia="zh-TW"/>
              </w:rPr>
              <w:t>(D)=(C×0.05)</w:t>
            </w:r>
          </w:p>
        </w:tc>
        <w:tc>
          <w:tcPr>
            <w:tcW w:w="1334" w:type="dxa"/>
            <w:noWrap/>
          </w:tcPr>
          <w:p w:rsidR="001D24BA" w:rsidRDefault="001D24BA">
            <w:pPr>
              <w:jc w:val="center"/>
              <w:rPr>
                <w:sz w:val="20"/>
                <w:szCs w:val="20"/>
                <w:lang w:eastAsia="zh-TW"/>
              </w:rPr>
            </w:pPr>
            <w:r>
              <w:rPr>
                <w:sz w:val="20"/>
                <w:szCs w:val="20"/>
                <w:lang w:eastAsia="zh-TW"/>
              </w:rPr>
              <w:t>Clerical person-hours per year</w:t>
            </w:r>
          </w:p>
          <w:p w:rsidR="001D24BA" w:rsidRDefault="001D24BA">
            <w:pPr>
              <w:jc w:val="center"/>
              <w:rPr>
                <w:sz w:val="20"/>
                <w:szCs w:val="20"/>
                <w:lang w:eastAsia="zh-TW"/>
              </w:rPr>
            </w:pPr>
            <w:r>
              <w:rPr>
                <w:sz w:val="20"/>
                <w:szCs w:val="20"/>
                <w:lang w:eastAsia="zh-TW"/>
              </w:rPr>
              <w:t>(E)=(C×0.1)</w:t>
            </w:r>
          </w:p>
        </w:tc>
        <w:tc>
          <w:tcPr>
            <w:tcW w:w="1280" w:type="dxa"/>
            <w:noWrap/>
          </w:tcPr>
          <w:p w:rsidR="001D24BA" w:rsidRDefault="001D24BA">
            <w:pPr>
              <w:jc w:val="center"/>
              <w:rPr>
                <w:sz w:val="20"/>
                <w:szCs w:val="20"/>
                <w:lang w:eastAsia="zh-TW"/>
              </w:rPr>
            </w:pPr>
            <w:r>
              <w:rPr>
                <w:sz w:val="20"/>
                <w:szCs w:val="20"/>
                <w:lang w:eastAsia="zh-TW"/>
              </w:rPr>
              <w:t xml:space="preserve">Total Cost ($) </w:t>
            </w:r>
          </w:p>
          <w:p w:rsidR="001D24BA" w:rsidRDefault="001D24BA">
            <w:pPr>
              <w:jc w:val="center"/>
              <w:rPr>
                <w:sz w:val="20"/>
                <w:szCs w:val="20"/>
                <w:lang w:eastAsia="zh-TW"/>
              </w:rPr>
            </w:pPr>
            <w:r>
              <w:rPr>
                <w:sz w:val="20"/>
                <w:szCs w:val="20"/>
                <w:lang w:eastAsia="zh-TW"/>
              </w:rPr>
              <w:t>(F)</w:t>
            </w:r>
          </w:p>
        </w:tc>
      </w:tr>
      <w:tr w:rsidR="001D24BA">
        <w:trPr>
          <w:cantSplit/>
          <w:jc w:val="center"/>
        </w:trPr>
        <w:tc>
          <w:tcPr>
            <w:tcW w:w="5397" w:type="dxa"/>
            <w:noWrap/>
          </w:tcPr>
          <w:p w:rsidR="001D24BA" w:rsidRDefault="001D24BA">
            <w:pPr>
              <w:widowControl/>
              <w:autoSpaceDE/>
              <w:autoSpaceDN/>
              <w:adjustRightInd/>
              <w:rPr>
                <w:sz w:val="20"/>
                <w:szCs w:val="20"/>
                <w:lang w:eastAsia="zh-TW"/>
              </w:rPr>
            </w:pPr>
            <w:r>
              <w:rPr>
                <w:sz w:val="20"/>
                <w:szCs w:val="20"/>
                <w:lang w:eastAsia="zh-TW"/>
              </w:rPr>
              <w:t>Report Review</w:t>
            </w:r>
          </w:p>
        </w:tc>
        <w:tc>
          <w:tcPr>
            <w:tcW w:w="1248" w:type="dxa"/>
            <w:noWrap/>
          </w:tcPr>
          <w:p w:rsidR="001D24BA" w:rsidRDefault="001D24BA">
            <w:pPr>
              <w:widowControl/>
              <w:autoSpaceDE/>
              <w:autoSpaceDN/>
              <w:adjustRightInd/>
              <w:rPr>
                <w:sz w:val="20"/>
                <w:szCs w:val="20"/>
                <w:lang w:eastAsia="zh-TW"/>
              </w:rPr>
            </w:pPr>
          </w:p>
        </w:tc>
        <w:tc>
          <w:tcPr>
            <w:tcW w:w="1272" w:type="dxa"/>
            <w:noWrap/>
          </w:tcPr>
          <w:p w:rsidR="001D24BA" w:rsidRDefault="001D24BA">
            <w:pPr>
              <w:widowControl/>
              <w:autoSpaceDE/>
              <w:autoSpaceDN/>
              <w:adjustRightInd/>
              <w:rPr>
                <w:sz w:val="20"/>
                <w:szCs w:val="20"/>
                <w:lang w:eastAsia="zh-TW"/>
              </w:rPr>
            </w:pPr>
          </w:p>
        </w:tc>
        <w:tc>
          <w:tcPr>
            <w:tcW w:w="1749" w:type="dxa"/>
            <w:noWrap/>
          </w:tcPr>
          <w:p w:rsidR="001D24BA" w:rsidRDefault="001D24BA">
            <w:pPr>
              <w:widowControl/>
              <w:autoSpaceDE/>
              <w:autoSpaceDN/>
              <w:adjustRightInd/>
              <w:rPr>
                <w:sz w:val="20"/>
                <w:szCs w:val="20"/>
                <w:lang w:eastAsia="zh-TW"/>
              </w:rPr>
            </w:pPr>
          </w:p>
        </w:tc>
        <w:tc>
          <w:tcPr>
            <w:tcW w:w="1400" w:type="dxa"/>
            <w:noWrap/>
          </w:tcPr>
          <w:p w:rsidR="001D24BA" w:rsidRDefault="001D24BA">
            <w:pPr>
              <w:widowControl/>
              <w:autoSpaceDE/>
              <w:autoSpaceDN/>
              <w:adjustRightInd/>
              <w:rPr>
                <w:sz w:val="20"/>
                <w:szCs w:val="20"/>
                <w:lang w:eastAsia="zh-TW"/>
              </w:rPr>
            </w:pPr>
          </w:p>
        </w:tc>
        <w:tc>
          <w:tcPr>
            <w:tcW w:w="1334" w:type="dxa"/>
            <w:noWrap/>
          </w:tcPr>
          <w:p w:rsidR="001D24BA" w:rsidRDefault="001D24BA">
            <w:pPr>
              <w:widowControl/>
              <w:autoSpaceDE/>
              <w:autoSpaceDN/>
              <w:adjustRightInd/>
              <w:rPr>
                <w:sz w:val="20"/>
                <w:szCs w:val="20"/>
                <w:lang w:eastAsia="zh-TW"/>
              </w:rPr>
            </w:pPr>
          </w:p>
        </w:tc>
        <w:tc>
          <w:tcPr>
            <w:tcW w:w="1280" w:type="dxa"/>
            <w:noWrap/>
          </w:tcPr>
          <w:p w:rsidR="001D24BA" w:rsidRDefault="001D24BA">
            <w:pPr>
              <w:widowControl/>
              <w:autoSpaceDE/>
              <w:autoSpaceDN/>
              <w:adjustRightInd/>
              <w:rPr>
                <w:sz w:val="20"/>
                <w:szCs w:val="20"/>
                <w:lang w:eastAsia="zh-TW"/>
              </w:rPr>
            </w:pPr>
            <w:r>
              <w:rPr>
                <w:sz w:val="20"/>
                <w:szCs w:val="20"/>
                <w:lang w:eastAsia="zh-TW"/>
              </w:rPr>
              <w:t> </w:t>
            </w:r>
          </w:p>
        </w:tc>
      </w:tr>
      <w:tr w:rsidR="001D24BA">
        <w:trPr>
          <w:cantSplit/>
          <w:jc w:val="center"/>
        </w:trPr>
        <w:tc>
          <w:tcPr>
            <w:tcW w:w="5397" w:type="dxa"/>
            <w:noWrap/>
          </w:tcPr>
          <w:p w:rsidR="001D24BA" w:rsidRDefault="001D24BA">
            <w:pPr>
              <w:widowControl/>
              <w:autoSpaceDE/>
              <w:autoSpaceDN/>
              <w:adjustRightInd/>
              <w:rPr>
                <w:sz w:val="20"/>
                <w:szCs w:val="20"/>
                <w:lang w:eastAsia="zh-TW"/>
              </w:rPr>
            </w:pPr>
            <w:r>
              <w:rPr>
                <w:sz w:val="20"/>
                <w:szCs w:val="20"/>
                <w:lang w:eastAsia="zh-TW"/>
              </w:rPr>
              <w:t>1.  Initial notification (&gt;500 hp non-certified engines)</w:t>
            </w:r>
            <w:r>
              <w:rPr>
                <w:sz w:val="20"/>
                <w:szCs w:val="20"/>
                <w:vertAlign w:val="superscript"/>
                <w:lang w:eastAsia="zh-TW"/>
              </w:rPr>
              <w:t>b</w:t>
            </w:r>
          </w:p>
        </w:tc>
        <w:tc>
          <w:tcPr>
            <w:tcW w:w="1248" w:type="dxa"/>
            <w:noWrap/>
          </w:tcPr>
          <w:p w:rsidR="001D24BA" w:rsidRDefault="001D24BA">
            <w:pPr>
              <w:widowControl/>
              <w:autoSpaceDE/>
              <w:autoSpaceDN/>
              <w:adjustRightInd/>
              <w:jc w:val="center"/>
              <w:rPr>
                <w:sz w:val="20"/>
                <w:szCs w:val="20"/>
                <w:lang w:eastAsia="zh-TW"/>
              </w:rPr>
            </w:pPr>
            <w:r>
              <w:rPr>
                <w:sz w:val="20"/>
                <w:szCs w:val="20"/>
                <w:lang w:eastAsia="zh-TW"/>
              </w:rPr>
              <w:t>2</w:t>
            </w:r>
          </w:p>
        </w:tc>
        <w:tc>
          <w:tcPr>
            <w:tcW w:w="1272" w:type="dxa"/>
            <w:noWrap/>
          </w:tcPr>
          <w:p w:rsidR="001D24BA" w:rsidRDefault="001D24BA">
            <w:pPr>
              <w:widowControl/>
              <w:autoSpaceDE/>
              <w:autoSpaceDN/>
              <w:adjustRightInd/>
              <w:jc w:val="center"/>
              <w:rPr>
                <w:sz w:val="20"/>
                <w:szCs w:val="20"/>
                <w:lang w:eastAsia="zh-TW"/>
              </w:rPr>
            </w:pPr>
            <w:r>
              <w:rPr>
                <w:sz w:val="20"/>
                <w:szCs w:val="20"/>
                <w:lang w:eastAsia="zh-TW"/>
              </w:rPr>
              <w:t>30</w:t>
            </w:r>
          </w:p>
        </w:tc>
        <w:tc>
          <w:tcPr>
            <w:tcW w:w="1749" w:type="dxa"/>
            <w:noWrap/>
          </w:tcPr>
          <w:p w:rsidR="001D24BA" w:rsidRDefault="001D24BA">
            <w:pPr>
              <w:widowControl/>
              <w:autoSpaceDE/>
              <w:autoSpaceDN/>
              <w:adjustRightInd/>
              <w:jc w:val="center"/>
              <w:rPr>
                <w:sz w:val="20"/>
                <w:szCs w:val="20"/>
                <w:lang w:eastAsia="zh-TW"/>
              </w:rPr>
            </w:pPr>
            <w:r>
              <w:rPr>
                <w:sz w:val="20"/>
                <w:szCs w:val="20"/>
                <w:lang w:eastAsia="zh-TW"/>
              </w:rPr>
              <w:t>60</w:t>
            </w:r>
          </w:p>
        </w:tc>
        <w:tc>
          <w:tcPr>
            <w:tcW w:w="1400" w:type="dxa"/>
            <w:noWrap/>
          </w:tcPr>
          <w:p w:rsidR="001D24BA" w:rsidRDefault="001D24BA">
            <w:pPr>
              <w:widowControl/>
              <w:autoSpaceDE/>
              <w:autoSpaceDN/>
              <w:adjustRightInd/>
              <w:jc w:val="center"/>
              <w:rPr>
                <w:sz w:val="20"/>
                <w:szCs w:val="20"/>
                <w:lang w:eastAsia="zh-TW"/>
              </w:rPr>
            </w:pPr>
            <w:r>
              <w:rPr>
                <w:sz w:val="20"/>
                <w:szCs w:val="20"/>
                <w:lang w:eastAsia="zh-TW"/>
              </w:rPr>
              <w:t>3.0</w:t>
            </w:r>
          </w:p>
        </w:tc>
        <w:tc>
          <w:tcPr>
            <w:tcW w:w="1334" w:type="dxa"/>
            <w:noWrap/>
          </w:tcPr>
          <w:p w:rsidR="001D24BA" w:rsidRDefault="001D24BA">
            <w:pPr>
              <w:widowControl/>
              <w:tabs>
                <w:tab w:val="left" w:pos="315"/>
                <w:tab w:val="center" w:pos="552"/>
              </w:tabs>
              <w:autoSpaceDE/>
              <w:autoSpaceDN/>
              <w:adjustRightInd/>
              <w:jc w:val="center"/>
              <w:rPr>
                <w:sz w:val="20"/>
                <w:szCs w:val="20"/>
                <w:lang w:eastAsia="zh-TW"/>
              </w:rPr>
            </w:pPr>
            <w:r>
              <w:rPr>
                <w:sz w:val="20"/>
                <w:szCs w:val="20"/>
                <w:lang w:eastAsia="zh-TW"/>
              </w:rPr>
              <w:t>6.0</w:t>
            </w:r>
          </w:p>
        </w:tc>
        <w:tc>
          <w:tcPr>
            <w:tcW w:w="1280" w:type="dxa"/>
            <w:noWrap/>
          </w:tcPr>
          <w:p w:rsidR="001D24BA" w:rsidRDefault="001D24BA">
            <w:pPr>
              <w:widowControl/>
              <w:autoSpaceDE/>
              <w:autoSpaceDN/>
              <w:adjustRightInd/>
              <w:jc w:val="center"/>
              <w:rPr>
                <w:sz w:val="20"/>
                <w:szCs w:val="20"/>
                <w:lang w:eastAsia="zh-TW"/>
              </w:rPr>
            </w:pPr>
            <w:r>
              <w:rPr>
                <w:sz w:val="20"/>
                <w:szCs w:val="20"/>
                <w:lang w:eastAsia="zh-TW"/>
              </w:rPr>
              <w:t>$3,109</w:t>
            </w:r>
          </w:p>
        </w:tc>
      </w:tr>
      <w:tr w:rsidR="001D24BA">
        <w:trPr>
          <w:cantSplit/>
          <w:jc w:val="center"/>
        </w:trPr>
        <w:tc>
          <w:tcPr>
            <w:tcW w:w="5397" w:type="dxa"/>
            <w:noWrap/>
          </w:tcPr>
          <w:p w:rsidR="001D24BA" w:rsidRDefault="001D24BA">
            <w:pPr>
              <w:widowControl/>
              <w:autoSpaceDE/>
              <w:autoSpaceDN/>
              <w:adjustRightInd/>
              <w:rPr>
                <w:sz w:val="20"/>
                <w:szCs w:val="20"/>
                <w:lang w:eastAsia="zh-TW"/>
              </w:rPr>
            </w:pPr>
            <w:r>
              <w:rPr>
                <w:sz w:val="20"/>
                <w:szCs w:val="20"/>
                <w:lang w:eastAsia="zh-TW"/>
              </w:rPr>
              <w:t xml:space="preserve">2.  Engine Certification for Non-certified Engine </w:t>
            </w:r>
            <w:r>
              <w:rPr>
                <w:sz w:val="20"/>
                <w:szCs w:val="20"/>
                <w:vertAlign w:val="superscript"/>
                <w:lang w:eastAsia="zh-TW"/>
              </w:rPr>
              <w:t>b,</w:t>
            </w:r>
          </w:p>
        </w:tc>
        <w:tc>
          <w:tcPr>
            <w:tcW w:w="1248" w:type="dxa"/>
            <w:noWrap/>
          </w:tcPr>
          <w:p w:rsidR="001D24BA" w:rsidRDefault="001D24BA">
            <w:pPr>
              <w:widowControl/>
              <w:autoSpaceDE/>
              <w:autoSpaceDN/>
              <w:adjustRightInd/>
              <w:jc w:val="center"/>
              <w:rPr>
                <w:sz w:val="20"/>
                <w:szCs w:val="20"/>
                <w:lang w:eastAsia="zh-TW"/>
              </w:rPr>
            </w:pPr>
            <w:r>
              <w:rPr>
                <w:sz w:val="20"/>
                <w:szCs w:val="20"/>
                <w:lang w:eastAsia="zh-TW"/>
              </w:rPr>
              <w:t>2</w:t>
            </w:r>
          </w:p>
        </w:tc>
        <w:tc>
          <w:tcPr>
            <w:tcW w:w="1272" w:type="dxa"/>
            <w:noWrap/>
          </w:tcPr>
          <w:p w:rsidR="001D24BA" w:rsidRDefault="001D24BA">
            <w:pPr>
              <w:widowControl/>
              <w:autoSpaceDE/>
              <w:autoSpaceDN/>
              <w:adjustRightInd/>
              <w:jc w:val="center"/>
              <w:rPr>
                <w:sz w:val="20"/>
                <w:szCs w:val="20"/>
                <w:lang w:eastAsia="zh-TW"/>
              </w:rPr>
            </w:pPr>
            <w:r>
              <w:rPr>
                <w:sz w:val="20"/>
                <w:szCs w:val="20"/>
                <w:lang w:eastAsia="zh-TW"/>
              </w:rPr>
              <w:t>253</w:t>
            </w:r>
          </w:p>
        </w:tc>
        <w:tc>
          <w:tcPr>
            <w:tcW w:w="1749" w:type="dxa"/>
            <w:noWrap/>
          </w:tcPr>
          <w:p w:rsidR="001D24BA" w:rsidRDefault="001D24BA">
            <w:pPr>
              <w:widowControl/>
              <w:autoSpaceDE/>
              <w:autoSpaceDN/>
              <w:adjustRightInd/>
              <w:jc w:val="center"/>
              <w:rPr>
                <w:sz w:val="20"/>
                <w:szCs w:val="20"/>
                <w:lang w:eastAsia="zh-TW"/>
              </w:rPr>
            </w:pPr>
            <w:r>
              <w:rPr>
                <w:sz w:val="20"/>
                <w:szCs w:val="20"/>
                <w:lang w:eastAsia="zh-TW"/>
              </w:rPr>
              <w:t>506</w:t>
            </w:r>
          </w:p>
        </w:tc>
        <w:tc>
          <w:tcPr>
            <w:tcW w:w="1400" w:type="dxa"/>
            <w:noWrap/>
          </w:tcPr>
          <w:p w:rsidR="001D24BA" w:rsidRDefault="001D24BA">
            <w:pPr>
              <w:widowControl/>
              <w:autoSpaceDE/>
              <w:autoSpaceDN/>
              <w:adjustRightInd/>
              <w:jc w:val="center"/>
              <w:rPr>
                <w:sz w:val="20"/>
                <w:szCs w:val="20"/>
                <w:lang w:eastAsia="zh-TW"/>
              </w:rPr>
            </w:pPr>
            <w:r>
              <w:rPr>
                <w:sz w:val="20"/>
                <w:szCs w:val="20"/>
                <w:lang w:eastAsia="zh-TW"/>
              </w:rPr>
              <w:t>25.3</w:t>
            </w:r>
          </w:p>
        </w:tc>
        <w:tc>
          <w:tcPr>
            <w:tcW w:w="1334" w:type="dxa"/>
            <w:noWrap/>
          </w:tcPr>
          <w:p w:rsidR="001D24BA" w:rsidRDefault="001D24BA">
            <w:pPr>
              <w:widowControl/>
              <w:autoSpaceDE/>
              <w:autoSpaceDN/>
              <w:adjustRightInd/>
              <w:jc w:val="center"/>
              <w:rPr>
                <w:sz w:val="20"/>
                <w:szCs w:val="20"/>
                <w:lang w:eastAsia="zh-TW"/>
              </w:rPr>
            </w:pPr>
            <w:r>
              <w:rPr>
                <w:sz w:val="20"/>
                <w:szCs w:val="20"/>
                <w:lang w:eastAsia="zh-TW"/>
              </w:rPr>
              <w:t>50.6</w:t>
            </w:r>
          </w:p>
        </w:tc>
        <w:tc>
          <w:tcPr>
            <w:tcW w:w="1280" w:type="dxa"/>
            <w:noWrap/>
          </w:tcPr>
          <w:p w:rsidR="001D24BA" w:rsidRDefault="001D24BA">
            <w:pPr>
              <w:widowControl/>
              <w:autoSpaceDE/>
              <w:autoSpaceDN/>
              <w:adjustRightInd/>
              <w:jc w:val="center"/>
              <w:rPr>
                <w:sz w:val="20"/>
                <w:szCs w:val="20"/>
                <w:lang w:eastAsia="zh-TW"/>
              </w:rPr>
            </w:pPr>
            <w:r>
              <w:rPr>
                <w:sz w:val="20"/>
                <w:szCs w:val="20"/>
                <w:lang w:eastAsia="zh-TW"/>
              </w:rPr>
              <w:t>$26,223</w:t>
            </w:r>
          </w:p>
        </w:tc>
      </w:tr>
      <w:tr w:rsidR="001D24BA">
        <w:trPr>
          <w:cantSplit/>
          <w:jc w:val="center"/>
        </w:trPr>
        <w:tc>
          <w:tcPr>
            <w:tcW w:w="5397" w:type="dxa"/>
            <w:noWrap/>
          </w:tcPr>
          <w:p w:rsidR="001D24BA" w:rsidRDefault="001D24BA">
            <w:pPr>
              <w:widowControl/>
              <w:autoSpaceDE/>
              <w:autoSpaceDN/>
              <w:adjustRightInd/>
              <w:rPr>
                <w:sz w:val="20"/>
                <w:szCs w:val="20"/>
                <w:lang w:eastAsia="zh-TW"/>
              </w:rPr>
            </w:pPr>
            <w:r>
              <w:rPr>
                <w:sz w:val="20"/>
                <w:szCs w:val="20"/>
                <w:lang w:eastAsia="zh-TW"/>
              </w:rPr>
              <w:t xml:space="preserve">3.  Engine Certification from nonroad to stationary </w:t>
            </w:r>
          </w:p>
        </w:tc>
        <w:tc>
          <w:tcPr>
            <w:tcW w:w="1248" w:type="dxa"/>
            <w:noWrap/>
          </w:tcPr>
          <w:p w:rsidR="001D24BA" w:rsidRDefault="001D24BA">
            <w:pPr>
              <w:widowControl/>
              <w:autoSpaceDE/>
              <w:autoSpaceDN/>
              <w:adjustRightInd/>
              <w:jc w:val="center"/>
              <w:rPr>
                <w:sz w:val="20"/>
                <w:szCs w:val="20"/>
                <w:lang w:eastAsia="zh-TW"/>
              </w:rPr>
            </w:pPr>
            <w:r>
              <w:rPr>
                <w:sz w:val="20"/>
                <w:szCs w:val="20"/>
                <w:lang w:eastAsia="zh-TW"/>
              </w:rPr>
              <w:t>1</w:t>
            </w:r>
          </w:p>
        </w:tc>
        <w:tc>
          <w:tcPr>
            <w:tcW w:w="1272" w:type="dxa"/>
            <w:noWrap/>
          </w:tcPr>
          <w:p w:rsidR="001D24BA" w:rsidRDefault="001D24BA">
            <w:pPr>
              <w:widowControl/>
              <w:autoSpaceDE/>
              <w:autoSpaceDN/>
              <w:adjustRightInd/>
              <w:jc w:val="center"/>
              <w:rPr>
                <w:sz w:val="20"/>
                <w:szCs w:val="20"/>
                <w:lang w:eastAsia="zh-TW"/>
              </w:rPr>
            </w:pPr>
            <w:r>
              <w:rPr>
                <w:sz w:val="20"/>
                <w:szCs w:val="20"/>
                <w:lang w:eastAsia="zh-TW"/>
              </w:rPr>
              <w:t>0</w:t>
            </w:r>
          </w:p>
        </w:tc>
        <w:tc>
          <w:tcPr>
            <w:tcW w:w="1749" w:type="dxa"/>
            <w:noWrap/>
          </w:tcPr>
          <w:p w:rsidR="001D24BA" w:rsidRDefault="001D24BA">
            <w:pPr>
              <w:widowControl/>
              <w:autoSpaceDE/>
              <w:autoSpaceDN/>
              <w:adjustRightInd/>
              <w:jc w:val="center"/>
              <w:rPr>
                <w:sz w:val="20"/>
                <w:szCs w:val="20"/>
                <w:lang w:eastAsia="zh-TW"/>
              </w:rPr>
            </w:pPr>
            <w:r>
              <w:rPr>
                <w:sz w:val="20"/>
                <w:szCs w:val="20"/>
                <w:lang w:eastAsia="zh-TW"/>
              </w:rPr>
              <w:t>0</w:t>
            </w:r>
          </w:p>
        </w:tc>
        <w:tc>
          <w:tcPr>
            <w:tcW w:w="1400" w:type="dxa"/>
            <w:noWrap/>
          </w:tcPr>
          <w:p w:rsidR="001D24BA" w:rsidRDefault="001D24BA">
            <w:pPr>
              <w:widowControl/>
              <w:autoSpaceDE/>
              <w:autoSpaceDN/>
              <w:adjustRightInd/>
              <w:jc w:val="center"/>
              <w:rPr>
                <w:sz w:val="20"/>
                <w:szCs w:val="20"/>
                <w:lang w:eastAsia="zh-TW"/>
              </w:rPr>
            </w:pPr>
            <w:r>
              <w:rPr>
                <w:sz w:val="20"/>
                <w:szCs w:val="20"/>
                <w:lang w:eastAsia="zh-TW"/>
              </w:rPr>
              <w:t>0</w:t>
            </w:r>
          </w:p>
        </w:tc>
        <w:tc>
          <w:tcPr>
            <w:tcW w:w="1334" w:type="dxa"/>
            <w:noWrap/>
          </w:tcPr>
          <w:p w:rsidR="001D24BA" w:rsidRDefault="001D24BA">
            <w:pPr>
              <w:widowControl/>
              <w:autoSpaceDE/>
              <w:autoSpaceDN/>
              <w:adjustRightInd/>
              <w:jc w:val="center"/>
              <w:rPr>
                <w:sz w:val="20"/>
                <w:szCs w:val="20"/>
                <w:lang w:eastAsia="zh-TW"/>
              </w:rPr>
            </w:pPr>
            <w:r>
              <w:rPr>
                <w:sz w:val="20"/>
                <w:szCs w:val="20"/>
                <w:lang w:eastAsia="zh-TW"/>
              </w:rPr>
              <w:t>0</w:t>
            </w:r>
          </w:p>
        </w:tc>
        <w:tc>
          <w:tcPr>
            <w:tcW w:w="1280" w:type="dxa"/>
            <w:noWrap/>
          </w:tcPr>
          <w:p w:rsidR="001D24BA" w:rsidRDefault="001D24BA">
            <w:pPr>
              <w:widowControl/>
              <w:autoSpaceDE/>
              <w:autoSpaceDN/>
              <w:adjustRightInd/>
              <w:jc w:val="center"/>
              <w:rPr>
                <w:sz w:val="20"/>
                <w:szCs w:val="20"/>
                <w:lang w:eastAsia="zh-TW"/>
              </w:rPr>
            </w:pPr>
            <w:r>
              <w:rPr>
                <w:sz w:val="20"/>
                <w:szCs w:val="20"/>
                <w:lang w:eastAsia="zh-TW"/>
              </w:rPr>
              <w:t>$0</w:t>
            </w:r>
          </w:p>
        </w:tc>
      </w:tr>
      <w:tr w:rsidR="001D24BA">
        <w:trPr>
          <w:cantSplit/>
          <w:jc w:val="center"/>
        </w:trPr>
        <w:tc>
          <w:tcPr>
            <w:tcW w:w="5397" w:type="dxa"/>
            <w:noWrap/>
          </w:tcPr>
          <w:p w:rsidR="001D24BA" w:rsidRDefault="001D24BA">
            <w:pPr>
              <w:widowControl/>
              <w:autoSpaceDE/>
              <w:autoSpaceDN/>
              <w:adjustRightInd/>
              <w:rPr>
                <w:sz w:val="20"/>
                <w:szCs w:val="20"/>
                <w:lang w:eastAsia="zh-TW"/>
              </w:rPr>
            </w:pPr>
            <w:r>
              <w:rPr>
                <w:sz w:val="20"/>
                <w:szCs w:val="20"/>
                <w:lang w:eastAsia="zh-TW"/>
              </w:rPr>
              <w:t>4.  Performance Tests</w:t>
            </w:r>
            <w:r>
              <w:rPr>
                <w:sz w:val="20"/>
                <w:szCs w:val="20"/>
                <w:vertAlign w:val="superscript"/>
                <w:lang w:eastAsia="zh-TW"/>
              </w:rPr>
              <w:t>b</w:t>
            </w:r>
          </w:p>
        </w:tc>
        <w:tc>
          <w:tcPr>
            <w:tcW w:w="1248" w:type="dxa"/>
            <w:noWrap/>
          </w:tcPr>
          <w:p w:rsidR="001D24BA" w:rsidRDefault="001D24BA">
            <w:pPr>
              <w:widowControl/>
              <w:autoSpaceDE/>
              <w:autoSpaceDN/>
              <w:adjustRightInd/>
              <w:jc w:val="center"/>
              <w:rPr>
                <w:sz w:val="20"/>
                <w:szCs w:val="20"/>
                <w:lang w:eastAsia="zh-TW"/>
              </w:rPr>
            </w:pPr>
            <w:r>
              <w:rPr>
                <w:sz w:val="20"/>
                <w:szCs w:val="20"/>
                <w:lang w:eastAsia="zh-TW"/>
              </w:rPr>
              <w:t>2</w:t>
            </w:r>
          </w:p>
        </w:tc>
        <w:tc>
          <w:tcPr>
            <w:tcW w:w="1272" w:type="dxa"/>
            <w:noWrap/>
          </w:tcPr>
          <w:p w:rsidR="001D24BA" w:rsidRDefault="001D24BA">
            <w:pPr>
              <w:widowControl/>
              <w:autoSpaceDE/>
              <w:autoSpaceDN/>
              <w:adjustRightInd/>
              <w:jc w:val="center"/>
              <w:rPr>
                <w:sz w:val="20"/>
                <w:szCs w:val="20"/>
                <w:lang w:eastAsia="zh-TW"/>
              </w:rPr>
            </w:pPr>
            <w:r>
              <w:rPr>
                <w:sz w:val="20"/>
                <w:szCs w:val="20"/>
                <w:lang w:eastAsia="zh-TW"/>
              </w:rPr>
              <w:t>2,046</w:t>
            </w:r>
          </w:p>
        </w:tc>
        <w:tc>
          <w:tcPr>
            <w:tcW w:w="1749" w:type="dxa"/>
            <w:noWrap/>
          </w:tcPr>
          <w:p w:rsidR="001D24BA" w:rsidRDefault="001D24BA">
            <w:pPr>
              <w:widowControl/>
              <w:autoSpaceDE/>
              <w:autoSpaceDN/>
              <w:adjustRightInd/>
              <w:jc w:val="center"/>
              <w:rPr>
                <w:sz w:val="20"/>
                <w:szCs w:val="20"/>
                <w:lang w:eastAsia="zh-TW"/>
              </w:rPr>
            </w:pPr>
            <w:r>
              <w:rPr>
                <w:sz w:val="20"/>
                <w:szCs w:val="20"/>
                <w:lang w:eastAsia="zh-TW"/>
              </w:rPr>
              <w:t>4,092</w:t>
            </w:r>
          </w:p>
        </w:tc>
        <w:tc>
          <w:tcPr>
            <w:tcW w:w="1400" w:type="dxa"/>
            <w:noWrap/>
          </w:tcPr>
          <w:p w:rsidR="001D24BA" w:rsidRDefault="001D24BA">
            <w:pPr>
              <w:widowControl/>
              <w:autoSpaceDE/>
              <w:autoSpaceDN/>
              <w:adjustRightInd/>
              <w:jc w:val="center"/>
              <w:rPr>
                <w:sz w:val="20"/>
                <w:szCs w:val="20"/>
                <w:lang w:eastAsia="zh-TW"/>
              </w:rPr>
            </w:pPr>
            <w:r>
              <w:rPr>
                <w:sz w:val="20"/>
                <w:szCs w:val="20"/>
                <w:lang w:eastAsia="zh-TW"/>
              </w:rPr>
              <w:t>204.6</w:t>
            </w:r>
          </w:p>
        </w:tc>
        <w:tc>
          <w:tcPr>
            <w:tcW w:w="1334" w:type="dxa"/>
            <w:noWrap/>
          </w:tcPr>
          <w:p w:rsidR="001D24BA" w:rsidRDefault="001D24BA">
            <w:pPr>
              <w:widowControl/>
              <w:autoSpaceDE/>
              <w:autoSpaceDN/>
              <w:adjustRightInd/>
              <w:jc w:val="center"/>
              <w:rPr>
                <w:sz w:val="20"/>
                <w:szCs w:val="20"/>
                <w:lang w:eastAsia="zh-TW"/>
              </w:rPr>
            </w:pPr>
            <w:r>
              <w:rPr>
                <w:sz w:val="20"/>
                <w:szCs w:val="20"/>
                <w:lang w:eastAsia="zh-TW"/>
              </w:rPr>
              <w:t>409.2</w:t>
            </w:r>
          </w:p>
        </w:tc>
        <w:tc>
          <w:tcPr>
            <w:tcW w:w="1280" w:type="dxa"/>
            <w:noWrap/>
          </w:tcPr>
          <w:p w:rsidR="001D24BA" w:rsidRDefault="001D24BA">
            <w:pPr>
              <w:widowControl/>
              <w:autoSpaceDE/>
              <w:autoSpaceDN/>
              <w:adjustRightInd/>
              <w:jc w:val="center"/>
              <w:rPr>
                <w:sz w:val="20"/>
                <w:szCs w:val="20"/>
                <w:lang w:eastAsia="zh-TW"/>
              </w:rPr>
            </w:pPr>
            <w:r>
              <w:rPr>
                <w:sz w:val="20"/>
                <w:szCs w:val="20"/>
                <w:lang w:eastAsia="zh-TW"/>
              </w:rPr>
              <w:t>212,066</w:t>
            </w:r>
          </w:p>
        </w:tc>
      </w:tr>
      <w:tr w:rsidR="001D24BA">
        <w:trPr>
          <w:cantSplit/>
          <w:trHeight w:val="238"/>
          <w:jc w:val="center"/>
        </w:trPr>
        <w:tc>
          <w:tcPr>
            <w:tcW w:w="5397" w:type="dxa"/>
            <w:noWrap/>
          </w:tcPr>
          <w:p w:rsidR="001D24BA" w:rsidRDefault="001D24BA">
            <w:pPr>
              <w:widowControl/>
              <w:autoSpaceDE/>
              <w:autoSpaceDN/>
              <w:adjustRightInd/>
              <w:rPr>
                <w:bCs/>
                <w:sz w:val="20"/>
                <w:szCs w:val="20"/>
                <w:lang w:eastAsia="zh-TW"/>
              </w:rPr>
            </w:pPr>
            <w:r>
              <w:rPr>
                <w:bCs/>
                <w:sz w:val="20"/>
                <w:szCs w:val="20"/>
                <w:lang w:eastAsia="zh-TW"/>
              </w:rPr>
              <w:t>SUBTOTAL BURDEN AND COST</w:t>
            </w:r>
          </w:p>
        </w:tc>
        <w:tc>
          <w:tcPr>
            <w:tcW w:w="1248" w:type="dxa"/>
            <w:noWrap/>
          </w:tcPr>
          <w:p w:rsidR="001D24BA" w:rsidRDefault="001D24BA">
            <w:pPr>
              <w:widowControl/>
              <w:autoSpaceDE/>
              <w:autoSpaceDN/>
              <w:adjustRightInd/>
              <w:jc w:val="center"/>
              <w:rPr>
                <w:sz w:val="20"/>
                <w:szCs w:val="20"/>
                <w:lang w:eastAsia="zh-TW"/>
              </w:rPr>
            </w:pPr>
            <w:r>
              <w:rPr>
                <w:sz w:val="20"/>
                <w:szCs w:val="20"/>
                <w:lang w:eastAsia="zh-TW"/>
              </w:rPr>
              <w:t> </w:t>
            </w:r>
          </w:p>
        </w:tc>
        <w:tc>
          <w:tcPr>
            <w:tcW w:w="1272" w:type="dxa"/>
            <w:noWrap/>
          </w:tcPr>
          <w:p w:rsidR="001D24BA" w:rsidRDefault="001D24BA">
            <w:pPr>
              <w:widowControl/>
              <w:autoSpaceDE/>
              <w:autoSpaceDN/>
              <w:adjustRightInd/>
              <w:jc w:val="center"/>
              <w:rPr>
                <w:sz w:val="20"/>
                <w:szCs w:val="20"/>
                <w:lang w:eastAsia="zh-TW"/>
              </w:rPr>
            </w:pPr>
            <w:r>
              <w:rPr>
                <w:sz w:val="20"/>
                <w:szCs w:val="20"/>
                <w:lang w:eastAsia="zh-TW"/>
              </w:rPr>
              <w:t> </w:t>
            </w:r>
          </w:p>
        </w:tc>
        <w:tc>
          <w:tcPr>
            <w:tcW w:w="4483" w:type="dxa"/>
            <w:gridSpan w:val="3"/>
            <w:noWrap/>
          </w:tcPr>
          <w:p w:rsidR="001D24BA" w:rsidRDefault="001D24BA" w:rsidP="00D76B6D">
            <w:pPr>
              <w:widowControl/>
              <w:autoSpaceDE/>
              <w:autoSpaceDN/>
              <w:adjustRightInd/>
              <w:jc w:val="center"/>
              <w:rPr>
                <w:bCs/>
                <w:sz w:val="20"/>
                <w:szCs w:val="20"/>
                <w:lang w:eastAsia="zh-TW"/>
              </w:rPr>
            </w:pPr>
            <w:r>
              <w:rPr>
                <w:bCs/>
                <w:sz w:val="20"/>
                <w:szCs w:val="20"/>
                <w:lang w:eastAsia="zh-TW"/>
              </w:rPr>
              <w:t>5,</w:t>
            </w:r>
            <w:r w:rsidR="00D76B6D">
              <w:rPr>
                <w:bCs/>
                <w:sz w:val="20"/>
                <w:szCs w:val="20"/>
                <w:lang w:eastAsia="zh-TW"/>
              </w:rPr>
              <w:t>356 (rounded)</w:t>
            </w:r>
          </w:p>
        </w:tc>
        <w:tc>
          <w:tcPr>
            <w:tcW w:w="1280" w:type="dxa"/>
            <w:noWrap/>
          </w:tcPr>
          <w:p w:rsidR="001D24BA" w:rsidRDefault="001D24BA">
            <w:pPr>
              <w:widowControl/>
              <w:autoSpaceDE/>
              <w:autoSpaceDN/>
              <w:adjustRightInd/>
              <w:jc w:val="center"/>
              <w:rPr>
                <w:bCs/>
                <w:sz w:val="20"/>
                <w:szCs w:val="20"/>
                <w:lang w:eastAsia="zh-TW"/>
              </w:rPr>
            </w:pPr>
            <w:r>
              <w:rPr>
                <w:bCs/>
                <w:sz w:val="20"/>
                <w:szCs w:val="20"/>
                <w:lang w:eastAsia="zh-TW"/>
              </w:rPr>
              <w:t>$241,398</w:t>
            </w:r>
          </w:p>
        </w:tc>
      </w:tr>
    </w:tbl>
    <w:p w:rsidR="001D24BA" w:rsidRDefault="001D24BA">
      <w:pPr>
        <w:rPr>
          <w:b/>
          <w:sz w:val="20"/>
          <w:szCs w:val="20"/>
        </w:rPr>
      </w:pPr>
      <w:r>
        <w:rPr>
          <w:b/>
          <w:sz w:val="20"/>
          <w:szCs w:val="20"/>
        </w:rPr>
        <w:t>Assumptions:</w:t>
      </w:r>
    </w:p>
    <w:p w:rsidR="001D24BA" w:rsidRDefault="001D24BA">
      <w:pPr>
        <w:widowControl/>
        <w:autoSpaceDE/>
        <w:autoSpaceDN/>
        <w:adjustRightInd/>
        <w:rPr>
          <w:sz w:val="20"/>
          <w:szCs w:val="20"/>
          <w:lang w:eastAsia="zh-TW"/>
        </w:rPr>
      </w:pPr>
      <w:proofErr w:type="gramStart"/>
      <w:r>
        <w:rPr>
          <w:sz w:val="20"/>
          <w:szCs w:val="20"/>
          <w:vertAlign w:val="superscript"/>
          <w:lang w:eastAsia="zh-TW"/>
        </w:rPr>
        <w:t>a</w:t>
      </w:r>
      <w:r>
        <w:rPr>
          <w:sz w:val="20"/>
          <w:szCs w:val="20"/>
          <w:lang w:eastAsia="zh-TW"/>
        </w:rPr>
        <w:t xml:space="preserve">  Costs</w:t>
      </w:r>
      <w:proofErr w:type="gramEnd"/>
      <w:r>
        <w:rPr>
          <w:sz w:val="20"/>
          <w:szCs w:val="20"/>
          <w:lang w:eastAsia="zh-TW"/>
        </w:rPr>
        <w:t xml:space="preserve"> for notifications are based on Office of Personnel Management General Schedule.  Costs are estimated using the following rates: technical at $46.21, management at $62.27, and clerical at $25.01.</w:t>
      </w:r>
    </w:p>
    <w:p w:rsidR="001D24BA" w:rsidRDefault="001D24BA">
      <w:pPr>
        <w:widowControl/>
        <w:autoSpaceDE/>
        <w:autoSpaceDN/>
        <w:adjustRightInd/>
        <w:rPr>
          <w:lang w:eastAsia="zh-TW"/>
        </w:rPr>
      </w:pPr>
      <w:proofErr w:type="gramStart"/>
      <w:r>
        <w:rPr>
          <w:sz w:val="20"/>
          <w:szCs w:val="20"/>
          <w:vertAlign w:val="superscript"/>
          <w:lang w:eastAsia="zh-TW"/>
        </w:rPr>
        <w:t>b</w:t>
      </w:r>
      <w:proofErr w:type="gramEnd"/>
      <w:r>
        <w:rPr>
          <w:sz w:val="20"/>
          <w:szCs w:val="20"/>
          <w:lang w:eastAsia="zh-TW"/>
        </w:rPr>
        <w:t xml:space="preserve"> After full implementation, existing sources are no longer subject to these activities.  </w:t>
      </w:r>
      <w:r>
        <w:rPr>
          <w:sz w:val="20"/>
          <w:szCs w:val="20"/>
        </w:rPr>
        <w:t>It is assumed that 253 non-certified new engines will become subject to the rule each year over the 3-year period.  Based on the estimated distribution of existing engines, it is assumed that 12 percent of new engines, or 30 new engines, will be rated at &gt;500 hp and require initial notification.  Additionally, previously certified engines &gt; 500-hp are required to conduct subsequent performance tests either after 3 years or 8,760 hours of operation after the initial performance test.  It is assumed that 12 percent of existing engines, or 2,046 existing engines will be rated at &gt; 500 hp and have previously had an initial performance test conducted and are now required to conduct a subsequent test over the next 3-year period.  The agency is expected to experience burden from evaluating these new sources and subsequent testing of existing sources &gt; 500 hp.</w:t>
      </w:r>
    </w:p>
    <w:sectPr w:rsidR="001D24BA" w:rsidSect="00E377B6">
      <w:pgSz w:w="15840" w:h="12240" w:orient="landscape" w:code="1"/>
      <w:pgMar w:top="1440" w:right="1080" w:bottom="720" w:left="1080" w:header="1008"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8B9" w:rsidRDefault="001128B9">
      <w:r>
        <w:separator/>
      </w:r>
    </w:p>
  </w:endnote>
  <w:endnote w:type="continuationSeparator" w:id="0">
    <w:p w:rsidR="001128B9" w:rsidRDefault="001128B9">
      <w:r>
        <w:continuationSeparator/>
      </w:r>
    </w:p>
  </w:endnote>
</w:endnotes>
</file>

<file path=word/fontTable.xml><?xml version="1.0" encoding="utf-8"?>
<w:fonts xmlns:r="http://schemas.openxmlformats.org/officeDocument/2006/relationships" xmlns:w="http://schemas.openxmlformats.org/wordprocessingml/2006/main">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8B9" w:rsidRDefault="001128B9">
      <w:r>
        <w:separator/>
      </w:r>
    </w:p>
  </w:footnote>
  <w:footnote w:type="continuationSeparator" w:id="0">
    <w:p w:rsidR="001128B9" w:rsidRDefault="001128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4BA" w:rsidRDefault="00E377B6">
    <w:pPr>
      <w:jc w:val="center"/>
    </w:pPr>
    <w:r>
      <w:rPr>
        <w:rStyle w:val="PageNumber"/>
        <w:rFonts w:eastAsia="Times New Roman"/>
      </w:rPr>
      <w:fldChar w:fldCharType="begin"/>
    </w:r>
    <w:r w:rsidR="001D24BA">
      <w:rPr>
        <w:rStyle w:val="PageNumber"/>
        <w:rFonts w:eastAsia="Times New Roman"/>
      </w:rPr>
      <w:instrText xml:space="preserve"> PAGE </w:instrText>
    </w:r>
    <w:r>
      <w:rPr>
        <w:rStyle w:val="PageNumber"/>
        <w:rFonts w:eastAsia="Times New Roman"/>
      </w:rPr>
      <w:fldChar w:fldCharType="separate"/>
    </w:r>
    <w:r w:rsidR="00E273C5">
      <w:rPr>
        <w:rStyle w:val="PageNumber"/>
        <w:rFonts w:eastAsia="Times New Roman"/>
        <w:noProof/>
      </w:rPr>
      <w:t>13</w:t>
    </w:r>
    <w:r>
      <w:rPr>
        <w:rStyle w:val="PageNumber"/>
        <w:rFonts w:eastAsia="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68EB4261"/>
    <w:multiLevelType w:val="multilevel"/>
    <w:tmpl w:val="6714CC86"/>
    <w:lvl w:ilvl="0">
      <w:start w:val="2"/>
      <w:numFmt w:val="lowerLetter"/>
      <w:lvlText w:val="(%1)"/>
      <w:legacy w:legacy="1" w:legacySpace="0" w:legacyIndent="1440"/>
      <w:lvlJc w:val="left"/>
      <w:pPr>
        <w:ind w:left="1440" w:hanging="1440"/>
      </w:pPr>
    </w:lvl>
    <w:lvl w:ilvl="1">
      <w:start w:val="1"/>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0DA5"/>
    <w:rsid w:val="000A19EF"/>
    <w:rsid w:val="001128B9"/>
    <w:rsid w:val="001D24BA"/>
    <w:rsid w:val="00260DA5"/>
    <w:rsid w:val="00A25EE6"/>
    <w:rsid w:val="00D2029E"/>
    <w:rsid w:val="00D76B6D"/>
    <w:rsid w:val="00DB08ED"/>
    <w:rsid w:val="00E273C5"/>
    <w:rsid w:val="00E377B6"/>
    <w:rsid w:val="00E415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7B6"/>
    <w:pPr>
      <w:widowControl w:val="0"/>
      <w:autoSpaceDE w:val="0"/>
      <w:autoSpaceDN w:val="0"/>
      <w:adjustRightInd w:val="0"/>
    </w:pPr>
    <w:rPr>
      <w:sz w:val="24"/>
      <w:szCs w:val="24"/>
    </w:rPr>
  </w:style>
  <w:style w:type="paragraph" w:styleId="Heading1">
    <w:name w:val="heading 1"/>
    <w:basedOn w:val="Normal"/>
    <w:next w:val="Normal"/>
    <w:qFormat/>
    <w:rsid w:val="00E377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jc w:val="center"/>
      <w:outlineLvl w:val="0"/>
    </w:pPr>
    <w:rPr>
      <w:rFonts w:eastAsia="Times New Roman"/>
    </w:rPr>
  </w:style>
  <w:style w:type="paragraph" w:styleId="Heading2">
    <w:name w:val="heading 2"/>
    <w:basedOn w:val="Normal"/>
    <w:next w:val="Normal"/>
    <w:qFormat/>
    <w:rsid w:val="00E377B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tLeast"/>
      <w:outlineLvl w:val="1"/>
    </w:pPr>
    <w:rPr>
      <w:rFonts w:eastAsia="Times New Roman"/>
    </w:rPr>
  </w:style>
  <w:style w:type="paragraph" w:styleId="Heading3">
    <w:name w:val="heading 3"/>
    <w:basedOn w:val="Normal"/>
    <w:next w:val="Normal"/>
    <w:qFormat/>
    <w:rsid w:val="00E377B6"/>
    <w:pPr>
      <w:keepNext/>
      <w:spacing w:line="480" w:lineRule="atLeast"/>
      <w:ind w:left="180" w:firstLine="720"/>
      <w:jc w:val="center"/>
      <w:outlineLvl w:val="2"/>
    </w:pPr>
    <w:rPr>
      <w:rFonts w:eastAsia="Times New Roman"/>
    </w:rPr>
  </w:style>
  <w:style w:type="paragraph" w:styleId="Heading4">
    <w:name w:val="heading 4"/>
    <w:basedOn w:val="Normal"/>
    <w:next w:val="Normal"/>
    <w:qFormat/>
    <w:rsid w:val="00E377B6"/>
    <w:pPr>
      <w:keepNext/>
      <w:widowControl/>
      <w:autoSpaceDE/>
      <w:autoSpaceDN/>
      <w:adjustRightInd/>
      <w:outlineLvl w:val="3"/>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377B6"/>
  </w:style>
  <w:style w:type="character" w:styleId="Strong">
    <w:name w:val="Strong"/>
    <w:basedOn w:val="DefaultParagraphFont"/>
    <w:qFormat/>
    <w:rsid w:val="00E377B6"/>
  </w:style>
  <w:style w:type="character" w:styleId="Hyperlink">
    <w:name w:val="Hyperlink"/>
    <w:basedOn w:val="DefaultParagraphFont"/>
    <w:semiHidden/>
    <w:rsid w:val="00E377B6"/>
    <w:rPr>
      <w:color w:val="0000FF"/>
    </w:rPr>
  </w:style>
  <w:style w:type="paragraph" w:styleId="Header">
    <w:name w:val="header"/>
    <w:basedOn w:val="Normal"/>
    <w:semiHidden/>
    <w:rsid w:val="00E377B6"/>
    <w:pPr>
      <w:tabs>
        <w:tab w:val="center" w:pos="4320"/>
        <w:tab w:val="right" w:pos="8640"/>
      </w:tabs>
    </w:pPr>
    <w:rPr>
      <w:rFonts w:ascii="Arial" w:eastAsia="Times New Roman" w:hAnsi="Arial"/>
      <w:sz w:val="20"/>
    </w:rPr>
  </w:style>
  <w:style w:type="character" w:styleId="PageNumber">
    <w:name w:val="page number"/>
    <w:basedOn w:val="DefaultParagraphFont"/>
    <w:semiHidden/>
    <w:rsid w:val="00E377B6"/>
  </w:style>
  <w:style w:type="paragraph" w:styleId="Footer">
    <w:name w:val="footer"/>
    <w:basedOn w:val="Normal"/>
    <w:semiHidden/>
    <w:rsid w:val="00E377B6"/>
    <w:pPr>
      <w:tabs>
        <w:tab w:val="center" w:pos="4320"/>
        <w:tab w:val="right" w:pos="8640"/>
      </w:tabs>
    </w:pPr>
    <w:rPr>
      <w:rFonts w:ascii="Arial" w:eastAsia="Times New Roman" w:hAnsi="Arial"/>
      <w:sz w:val="20"/>
    </w:rPr>
  </w:style>
  <w:style w:type="paragraph" w:styleId="BalloonText">
    <w:name w:val="Balloon Text"/>
    <w:basedOn w:val="Normal"/>
    <w:semiHidden/>
    <w:rsid w:val="00E377B6"/>
    <w:rPr>
      <w:rFonts w:ascii="Tahoma" w:hAnsi="Tahoma" w:cs="Tahoma"/>
      <w:sz w:val="16"/>
      <w:szCs w:val="16"/>
    </w:rPr>
  </w:style>
  <w:style w:type="character" w:styleId="CommentReference">
    <w:name w:val="annotation reference"/>
    <w:basedOn w:val="DefaultParagraphFont"/>
    <w:semiHidden/>
    <w:rsid w:val="00E377B6"/>
    <w:rPr>
      <w:sz w:val="16"/>
      <w:szCs w:val="16"/>
    </w:rPr>
  </w:style>
  <w:style w:type="paragraph" w:styleId="CommentText">
    <w:name w:val="annotation text"/>
    <w:basedOn w:val="Normal"/>
    <w:semiHidden/>
    <w:rsid w:val="00E377B6"/>
    <w:rPr>
      <w:sz w:val="20"/>
      <w:szCs w:val="20"/>
    </w:rPr>
  </w:style>
  <w:style w:type="paragraph" w:styleId="CommentSubject">
    <w:name w:val="annotation subject"/>
    <w:basedOn w:val="CommentText"/>
    <w:next w:val="CommentText"/>
    <w:semiHidden/>
    <w:rsid w:val="00E377B6"/>
    <w:rPr>
      <w:b/>
      <w:bCs/>
    </w:rPr>
  </w:style>
  <w:style w:type="paragraph" w:styleId="BlockText">
    <w:name w:val="Block Text"/>
    <w:basedOn w:val="Normal"/>
    <w:semiHidden/>
    <w:rsid w:val="00E377B6"/>
    <w:pPr>
      <w:ind w:left="1440" w:right="1440"/>
    </w:pPr>
  </w:style>
  <w:style w:type="paragraph" w:customStyle="1" w:styleId="3AutoList9">
    <w:name w:val="3AutoList9"/>
    <w:rsid w:val="00E377B6"/>
    <w:pPr>
      <w:widowControl w:val="0"/>
      <w:autoSpaceDE w:val="0"/>
      <w:autoSpaceDN w:val="0"/>
      <w:adjustRightInd w:val="0"/>
      <w:ind w:left="-1440"/>
      <w:jc w:val="both"/>
    </w:pPr>
    <w:rPr>
      <w:rFonts w:ascii="Arial" w:eastAsia="Times New Roman" w:hAnsi="Arial"/>
      <w:szCs w:val="24"/>
    </w:rPr>
  </w:style>
  <w:style w:type="character" w:styleId="FollowedHyperlink">
    <w:name w:val="FollowedHyperlink"/>
    <w:basedOn w:val="DefaultParagraphFont"/>
    <w:semiHidden/>
    <w:rsid w:val="00E377B6"/>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tp://ftp.bls.gov/pub/special.requests/cpi/cpiai.t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4724</Words>
  <Characters>26929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31590</CharactersWithSpaces>
  <SharedDoc>false</SharedDoc>
  <HLinks>
    <vt:vector size="6" baseType="variant">
      <vt:variant>
        <vt:i4>4587531</vt:i4>
      </vt:variant>
      <vt:variant>
        <vt:i4>0</vt:i4>
      </vt:variant>
      <vt:variant>
        <vt:i4>0</vt:i4>
      </vt:variant>
      <vt:variant>
        <vt:i4>5</vt:i4>
      </vt:variant>
      <vt:variant>
        <vt:lpwstr>ftp://ftp.bls.gov/pub/special.requests/cpi/cpiai.txt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ckerwin</cp:lastModifiedBy>
  <cp:revision>2</cp:revision>
  <cp:lastPrinted>2010-10-26T18:10:00Z</cp:lastPrinted>
  <dcterms:created xsi:type="dcterms:W3CDTF">2011-04-12T14:19:00Z</dcterms:created>
  <dcterms:modified xsi:type="dcterms:W3CDTF">2011-04-12T14:19:00Z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-1961148293</vt:i4>
  </property>
  <property fmtid="{D5CDD505-2E9C-101B-9397-08002B2CF9AE}" pid="3" name="_EmailSubject">
    <vt:lpwstr>Latest Preamble and Regulation Package</vt:lpwstr>
  </property>
  <property fmtid="{D5CDD505-2E9C-101B-9397-08002B2CF9AE}" pid="4" name="_AuthorEmail">
    <vt:lpwstr>tparise@alpha-gamma.com</vt:lpwstr>
  </property>
  <property fmtid="{D5CDD505-2E9C-101B-9397-08002B2CF9AE}" pid="5" name="_AuthorEmailDisplayName">
    <vt:lpwstr>Tanya Parise</vt:lpwstr>
  </property>
  <property fmtid="{D5CDD505-2E9C-101B-9397-08002B2CF9AE}" pid="6" name="_PreviousAdHocReviewCycleID">
    <vt:i4>-76378330</vt:i4>
  </property>
  <property fmtid="{D5CDD505-2E9C-101B-9397-08002B2CF9AE}" pid="7" name="_ReviewingToolsShownOnce">
    <vt:lpwstr/>
  </property>
</Properties>
</file>