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06C" w:rsidRDefault="0057506C" w:rsidP="00BA4887">
      <w:pPr>
        <w:tabs>
          <w:tab w:val="center" w:pos="4680"/>
        </w:tabs>
        <w:jc w:val="center"/>
        <w:rPr>
          <w:b/>
          <w:bCs/>
        </w:rPr>
      </w:pPr>
    </w:p>
    <w:p w:rsidR="00CA4CD6" w:rsidRPr="009769D3" w:rsidRDefault="00722390" w:rsidP="00BA4887">
      <w:pPr>
        <w:tabs>
          <w:tab w:val="center" w:pos="4680"/>
        </w:tabs>
        <w:jc w:val="center"/>
        <w:rPr>
          <w:b/>
          <w:bCs/>
        </w:rPr>
      </w:pPr>
      <w:r w:rsidRPr="009769D3">
        <w:rPr>
          <w:b/>
          <w:bCs/>
        </w:rPr>
        <w:fldChar w:fldCharType="begin"/>
      </w:r>
      <w:r w:rsidR="00CA4CD6" w:rsidRPr="009769D3">
        <w:rPr>
          <w:b/>
          <w:bCs/>
        </w:rPr>
        <w:instrText>tc \l2 "SF</w:instrText>
      </w:r>
      <w:r w:rsidRPr="009769D3">
        <w:rPr>
          <w:b/>
          <w:bCs/>
        </w:rPr>
        <w:fldChar w:fldCharType="end"/>
      </w:r>
      <w:r w:rsidR="00CA4CD6" w:rsidRPr="009769D3">
        <w:rPr>
          <w:b/>
          <w:bCs/>
        </w:rPr>
        <w:t>SUPPORTING STATEMENT</w:t>
      </w:r>
    </w:p>
    <w:p w:rsidR="00CA4CD6" w:rsidRPr="009769D3" w:rsidRDefault="00CA4CD6">
      <w:pPr>
        <w:tabs>
          <w:tab w:val="center" w:pos="4680"/>
        </w:tabs>
      </w:pPr>
      <w:r w:rsidRPr="009769D3">
        <w:rPr>
          <w:b/>
          <w:bCs/>
        </w:rPr>
        <w:tab/>
        <w:t>ENVIRONMENTAL PROTECTION AGENCY</w:t>
      </w:r>
    </w:p>
    <w:p w:rsidR="00CA4CD6" w:rsidRPr="009769D3" w:rsidRDefault="00CA4CD6">
      <w:pPr>
        <w:tabs>
          <w:tab w:val="center" w:pos="4680"/>
        </w:tabs>
      </w:pPr>
      <w:r w:rsidRPr="009769D3">
        <w:tab/>
      </w:r>
    </w:p>
    <w:p w:rsidR="00F874CB" w:rsidRPr="009769D3" w:rsidRDefault="00F874CB" w:rsidP="00F874CB">
      <w:pPr>
        <w:rPr>
          <w:b/>
          <w:bCs/>
        </w:rPr>
      </w:pPr>
      <w:r w:rsidRPr="009769D3">
        <w:rPr>
          <w:b/>
          <w:bCs/>
        </w:rPr>
        <w:t>NESHAP for Industrial, Commercial, and Institutional Boilers and Process Heaters</w:t>
      </w:r>
      <w:r w:rsidR="001D5DD5" w:rsidRPr="009769D3">
        <w:rPr>
          <w:b/>
          <w:bCs/>
        </w:rPr>
        <w:t xml:space="preserve"> at Major Sources of HAP</w:t>
      </w:r>
    </w:p>
    <w:p w:rsidR="00CA4CD6" w:rsidRPr="009769D3" w:rsidRDefault="00CA4CD6">
      <w:pPr>
        <w:rPr>
          <w:color w:val="000000"/>
        </w:rPr>
      </w:pPr>
    </w:p>
    <w:p w:rsidR="00CA4CD6" w:rsidRPr="009769D3" w:rsidRDefault="00CA4CD6">
      <w:pPr>
        <w:rPr>
          <w:b/>
          <w:bCs/>
          <w:color w:val="000000"/>
        </w:rPr>
      </w:pPr>
      <w:r w:rsidRPr="009769D3">
        <w:rPr>
          <w:b/>
          <w:bCs/>
          <w:color w:val="000000"/>
        </w:rPr>
        <w:t>1.  Identification of the Information Collection</w:t>
      </w:r>
    </w:p>
    <w:p w:rsidR="00CA4CD6" w:rsidRPr="009769D3" w:rsidRDefault="00CA4CD6">
      <w:pPr>
        <w:rPr>
          <w:b/>
          <w:bCs/>
          <w:color w:val="000000"/>
        </w:rPr>
      </w:pPr>
    </w:p>
    <w:p w:rsidR="00CA4CD6" w:rsidRPr="009769D3" w:rsidRDefault="00CA4CD6">
      <w:pPr>
        <w:ind w:firstLine="720"/>
        <w:rPr>
          <w:b/>
          <w:bCs/>
          <w:color w:val="000000"/>
        </w:rPr>
      </w:pPr>
      <w:r w:rsidRPr="009769D3">
        <w:rPr>
          <w:b/>
          <w:bCs/>
          <w:color w:val="000000"/>
        </w:rPr>
        <w:t>1(a</w:t>
      </w:r>
      <w:proofErr w:type="gramStart"/>
      <w:r w:rsidRPr="009769D3">
        <w:rPr>
          <w:b/>
          <w:bCs/>
          <w:color w:val="000000"/>
        </w:rPr>
        <w:t>)  Title</w:t>
      </w:r>
      <w:proofErr w:type="gramEnd"/>
      <w:r w:rsidRPr="009769D3">
        <w:rPr>
          <w:b/>
          <w:bCs/>
          <w:color w:val="000000"/>
        </w:rPr>
        <w:t xml:space="preserve"> of the Information Collection</w:t>
      </w:r>
    </w:p>
    <w:p w:rsidR="00CA4CD6" w:rsidRPr="009769D3" w:rsidRDefault="00CA4CD6">
      <w:pPr>
        <w:rPr>
          <w:b/>
          <w:bCs/>
          <w:color w:val="000000"/>
        </w:rPr>
      </w:pPr>
    </w:p>
    <w:p w:rsidR="00F874CB" w:rsidRPr="009769D3" w:rsidRDefault="00F874CB" w:rsidP="00F874CB">
      <w:r w:rsidRPr="009769D3">
        <w:t xml:space="preserve">NESHAP for Industrial, Commercial, and Institutional Boilers and Process Heaters </w:t>
      </w:r>
      <w:r w:rsidR="001D5DD5" w:rsidRPr="009769D3">
        <w:t xml:space="preserve">at Major Sources of HAP </w:t>
      </w:r>
      <w:r w:rsidRPr="009769D3">
        <w:t>(40 CFR part 63, Subpart DDDDD)</w:t>
      </w:r>
    </w:p>
    <w:p w:rsidR="00CA4CD6" w:rsidRPr="009769D3" w:rsidRDefault="00CA4CD6">
      <w:pPr>
        <w:rPr>
          <w:b/>
          <w:bCs/>
          <w:color w:val="000000"/>
        </w:rPr>
      </w:pPr>
    </w:p>
    <w:p w:rsidR="00CA4CD6" w:rsidRPr="009769D3" w:rsidRDefault="00CA4CD6">
      <w:pPr>
        <w:ind w:firstLine="720"/>
        <w:rPr>
          <w:color w:val="000000"/>
        </w:rPr>
      </w:pPr>
      <w:r w:rsidRPr="009769D3">
        <w:rPr>
          <w:b/>
          <w:bCs/>
          <w:color w:val="000000"/>
        </w:rPr>
        <w:t>1(b</w:t>
      </w:r>
      <w:proofErr w:type="gramStart"/>
      <w:r w:rsidRPr="009769D3">
        <w:rPr>
          <w:b/>
          <w:bCs/>
          <w:color w:val="000000"/>
        </w:rPr>
        <w:t>)  Short</w:t>
      </w:r>
      <w:proofErr w:type="gramEnd"/>
      <w:r w:rsidRPr="009769D3">
        <w:rPr>
          <w:b/>
          <w:bCs/>
          <w:color w:val="000000"/>
        </w:rPr>
        <w:t xml:space="preserve"> Characterization/Abstract</w:t>
      </w:r>
    </w:p>
    <w:p w:rsidR="00CA4CD6" w:rsidRPr="009769D3" w:rsidRDefault="00CA4CD6" w:rsidP="0001033B">
      <w:pPr>
        <w:rPr>
          <w:color w:val="000000"/>
        </w:rPr>
      </w:pPr>
    </w:p>
    <w:p w:rsidR="006A4E80" w:rsidRPr="009769D3" w:rsidRDefault="0001033B" w:rsidP="006A4E80">
      <w:pPr>
        <w:ind w:firstLine="720"/>
      </w:pPr>
      <w:r w:rsidRPr="009769D3">
        <w:rPr>
          <w:rFonts w:cs="Courier New"/>
        </w:rPr>
        <w:t>This supporting statement addresses information collection activities that will be imposed by the NESHAP for Industrial, Commercial, and Institutional Boilers and Process Heaters</w:t>
      </w:r>
      <w:r w:rsidR="001D5DD5" w:rsidRPr="009769D3">
        <w:rPr>
          <w:rFonts w:cs="Courier New"/>
        </w:rPr>
        <w:t xml:space="preserve"> at Major Sources of HAP</w:t>
      </w:r>
      <w:r w:rsidRPr="009769D3">
        <w:rPr>
          <w:rFonts w:cs="Courier New"/>
        </w:rPr>
        <w:t>, 40 CFR part 63 subpart DDDDD (</w:t>
      </w:r>
      <w:r w:rsidR="006A4E80" w:rsidRPr="009769D3">
        <w:rPr>
          <w:rFonts w:cs="Courier New"/>
        </w:rPr>
        <w:t>ICI Boiler and Process Heater</w:t>
      </w:r>
      <w:r w:rsidRPr="009769D3">
        <w:rPr>
          <w:rFonts w:cs="Courier New"/>
        </w:rPr>
        <w:t xml:space="preserve"> NESHAP).  </w:t>
      </w:r>
      <w:r w:rsidR="006A4E80" w:rsidRPr="009769D3">
        <w:t xml:space="preserve">On September 13, 2004, under authority of section 112 of the Clean Air Act, EPA promulgated national emission standards for hazardous air pollutants for new and existing industrial/commercial/institutional boilers and process heaters.  On June 19, 2007, the United States Court of Appeals for the District of Columbia Circuit vacated and remanded the national emission standards for hazardous air pollutants for industrial/commercial/institutional boilers and process heaters.  </w:t>
      </w:r>
      <w:r w:rsidR="0057506C">
        <w:t xml:space="preserve">On June 4, 2010 EPA issued a proposal in response to the </w:t>
      </w:r>
      <w:proofErr w:type="spellStart"/>
      <w:r w:rsidR="0057506C">
        <w:t>vacatur</w:t>
      </w:r>
      <w:proofErr w:type="spellEnd"/>
      <w:r w:rsidR="0057506C">
        <w:t xml:space="preserve"> and t</w:t>
      </w:r>
      <w:r w:rsidR="006A4E80" w:rsidRPr="009769D3">
        <w:t xml:space="preserve">his ICR documents the recordkeeping and reporting requirements associated with EPA’s </w:t>
      </w:r>
      <w:r w:rsidR="00432157" w:rsidRPr="009769D3">
        <w:t xml:space="preserve">final </w:t>
      </w:r>
      <w:r w:rsidR="006A4E80" w:rsidRPr="009769D3">
        <w:t xml:space="preserve">rule in response to the court’s </w:t>
      </w:r>
      <w:proofErr w:type="spellStart"/>
      <w:r w:rsidR="006A4E80" w:rsidRPr="009769D3">
        <w:t>vacatur</w:t>
      </w:r>
      <w:proofErr w:type="spellEnd"/>
      <w:r w:rsidR="006A4E80" w:rsidRPr="009769D3">
        <w:t xml:space="preserve"> and remand</w:t>
      </w:r>
      <w:r w:rsidR="0057506C">
        <w:t xml:space="preserve"> as well as adjustments made since the proposal in response to public comments</w:t>
      </w:r>
      <w:r w:rsidR="006A4E80" w:rsidRPr="009769D3">
        <w:t xml:space="preserve">. </w:t>
      </w:r>
    </w:p>
    <w:p w:rsidR="0001033B" w:rsidRPr="009769D3" w:rsidRDefault="0001033B" w:rsidP="0001033B">
      <w:pPr>
        <w:widowControl/>
        <w:ind w:firstLine="720"/>
        <w:rPr>
          <w:rFonts w:cs="Courier New"/>
        </w:rPr>
      </w:pPr>
    </w:p>
    <w:p w:rsidR="0001033B" w:rsidRPr="009769D3" w:rsidRDefault="0001033B" w:rsidP="0001033B">
      <w:pPr>
        <w:widowControl/>
        <w:ind w:firstLine="720"/>
        <w:rPr>
          <w:rFonts w:cs="Courier New"/>
        </w:rPr>
        <w:sectPr w:rsidR="0001033B" w:rsidRPr="009769D3">
          <w:headerReference w:type="even" r:id="rId8"/>
          <w:headerReference w:type="default" r:id="rId9"/>
          <w:footerReference w:type="default" r:id="rId10"/>
          <w:headerReference w:type="first" r:id="rId11"/>
          <w:type w:val="continuous"/>
          <w:pgSz w:w="12240" w:h="15840"/>
          <w:pgMar w:top="1440" w:right="1440" w:bottom="1080" w:left="1440" w:header="1440" w:footer="1080" w:gutter="0"/>
          <w:pgNumType w:start="1"/>
          <w:cols w:space="720"/>
          <w:noEndnote/>
        </w:sectPr>
      </w:pPr>
    </w:p>
    <w:p w:rsidR="0001033B" w:rsidRPr="00D86E28" w:rsidRDefault="0001033B" w:rsidP="00D86E28">
      <w:pPr>
        <w:pStyle w:val="GHGPARAGRAPH"/>
        <w:spacing w:line="240" w:lineRule="auto"/>
        <w:rPr>
          <w:rFonts w:ascii="Times New Roman" w:hAnsi="Times New Roman" w:cs="Times New Roman"/>
        </w:rPr>
      </w:pPr>
      <w:r w:rsidRPr="00D86E28">
        <w:rPr>
          <w:rFonts w:ascii="Times New Roman" w:hAnsi="Times New Roman" w:cs="Times New Roman"/>
        </w:rPr>
        <w:lastRenderedPageBreak/>
        <w:t xml:space="preserve">The information collection activities in this information collection request (ICR) include initial and annual stack tests, fuel analyses, operating parameter monitoring, one-time and periodic reports, and maintenance of records.  Varying levels of requirements apply to each subcategory.  The </w:t>
      </w:r>
      <w:r w:rsidR="006A4E80" w:rsidRPr="00D86E28">
        <w:rPr>
          <w:rFonts w:ascii="Times New Roman" w:hAnsi="Times New Roman" w:cs="Times New Roman"/>
        </w:rPr>
        <w:t xml:space="preserve">ICI Boiler and Process Heater NESHAP </w:t>
      </w:r>
      <w:r w:rsidRPr="00D86E28">
        <w:rPr>
          <w:rFonts w:ascii="Times New Roman" w:hAnsi="Times New Roman" w:cs="Times New Roman"/>
        </w:rPr>
        <w:t xml:space="preserve">contains </w:t>
      </w:r>
      <w:r w:rsidR="00D86E28" w:rsidRPr="00D86E28">
        <w:rPr>
          <w:rFonts w:ascii="Times New Roman" w:hAnsi="Times New Roman" w:cs="Times New Roman"/>
        </w:rPr>
        <w:t>fifteen</w:t>
      </w:r>
      <w:r w:rsidRPr="00D86E28">
        <w:rPr>
          <w:rFonts w:ascii="Times New Roman" w:hAnsi="Times New Roman" w:cs="Times New Roman"/>
        </w:rPr>
        <w:t xml:space="preserve"> subcategories</w:t>
      </w:r>
      <w:r w:rsidR="00A733BE" w:rsidRPr="00D86E28">
        <w:rPr>
          <w:rFonts w:ascii="Times New Roman" w:hAnsi="Times New Roman" w:cs="Times New Roman"/>
        </w:rPr>
        <w:t xml:space="preserve"> for existing boilers and in-direct fired process heaters</w:t>
      </w:r>
      <w:r w:rsidRPr="00D86E28">
        <w:rPr>
          <w:rFonts w:ascii="Times New Roman" w:hAnsi="Times New Roman" w:cs="Times New Roman"/>
        </w:rPr>
        <w:t>:</w:t>
      </w:r>
      <w:r w:rsidR="00A733BE" w:rsidRPr="00D86E28">
        <w:rPr>
          <w:rFonts w:ascii="Times New Roman" w:hAnsi="Times New Roman" w:cs="Times New Roman"/>
        </w:rPr>
        <w:t xml:space="preserve"> </w:t>
      </w:r>
      <w:r w:rsidR="00D86E28" w:rsidRPr="00D86E28">
        <w:rPr>
          <w:rFonts w:ascii="Times New Roman" w:hAnsi="Times New Roman" w:cs="Times New Roman"/>
        </w:rPr>
        <w:t xml:space="preserve">Pulverized coal/fossil solid units;  Stokers designed to burn coal/fossil solid; Fluidized bed units designed to burn coal/fossil solid; (d)  Stokers designed to burn biomass/bio-based solid; Fluidized bed units designed to burn biomass/bio-based solid;  Suspension burners/Dutch Ovens designed to burn biomass/bio-based solid; Fuel Cells designed to burn biomass/bio-based solid; Hybrid suspension/grate burners designed to burn biomass/bio-based solid;  Units designed to burn solid fuel; Units designed to burn liquid fuel; Units designed to burn liquid fuel in non-continental States or territories; Units designed to burn natural gas, refinery gas or other gas 1 fuels;  Units designed to burn other (gas 2) gases; Metal process furnaces;  and Limited-use boilers and process </w:t>
      </w:r>
      <w:r w:rsidR="005E6A95" w:rsidRPr="00D86E28">
        <w:rPr>
          <w:rFonts w:ascii="Times New Roman" w:hAnsi="Times New Roman" w:cs="Times New Roman"/>
        </w:rPr>
        <w:t>heaters. These</w:t>
      </w:r>
      <w:r w:rsidR="00A733BE" w:rsidRPr="00D86E28">
        <w:rPr>
          <w:rFonts w:ascii="Times New Roman" w:hAnsi="Times New Roman" w:cs="Times New Roman"/>
        </w:rPr>
        <w:t xml:space="preserve"> same </w:t>
      </w:r>
      <w:r w:rsidR="00D86E28" w:rsidRPr="00D86E28">
        <w:rPr>
          <w:rFonts w:ascii="Times New Roman" w:hAnsi="Times New Roman" w:cs="Times New Roman"/>
        </w:rPr>
        <w:t>15 sub</w:t>
      </w:r>
      <w:r w:rsidR="00A733BE" w:rsidRPr="00D86E28">
        <w:rPr>
          <w:rFonts w:ascii="Times New Roman" w:hAnsi="Times New Roman" w:cs="Times New Roman"/>
        </w:rPr>
        <w:t xml:space="preserve">categories apply to new boilers and in-direct fired process heaters. </w:t>
      </w:r>
      <w:r w:rsidR="00432157" w:rsidRPr="00D86E28">
        <w:rPr>
          <w:rFonts w:ascii="Times New Roman" w:hAnsi="Times New Roman" w:cs="Times New Roman"/>
        </w:rPr>
        <w:t xml:space="preserve"> </w:t>
      </w:r>
      <w:r w:rsidRPr="00D86E28">
        <w:rPr>
          <w:rFonts w:ascii="Times New Roman" w:hAnsi="Times New Roman" w:cs="Times New Roman"/>
        </w:rPr>
        <w:t xml:space="preserve">The information collection activities will enable EPA to determine initial and continuous compliance with emission </w:t>
      </w:r>
      <w:r w:rsidRPr="00D86E28">
        <w:rPr>
          <w:rFonts w:ascii="Times New Roman" w:hAnsi="Times New Roman" w:cs="Times New Roman"/>
        </w:rPr>
        <w:lastRenderedPageBreak/>
        <w:t>standards for regulated pollutants, and ensure that facilities conduct proper planning, operation, and unit maintenance.</w:t>
      </w:r>
    </w:p>
    <w:p w:rsidR="0001033B" w:rsidRPr="009769D3" w:rsidRDefault="0001033B" w:rsidP="0001033B">
      <w:pPr>
        <w:widowControl/>
        <w:ind w:firstLine="720"/>
        <w:rPr>
          <w:rFonts w:cs="Courier New"/>
        </w:rPr>
      </w:pPr>
    </w:p>
    <w:p w:rsidR="0001033B" w:rsidRPr="009769D3" w:rsidRDefault="0001033B" w:rsidP="0001033B">
      <w:pPr>
        <w:ind w:firstLine="720"/>
      </w:pPr>
      <w:r w:rsidRPr="009769D3">
        <w:t xml:space="preserve">Records and reports required by the NESHAP for industrial, commercial, and institutional boilers </w:t>
      </w:r>
      <w:r w:rsidR="00A733BE" w:rsidRPr="009769D3">
        <w:t xml:space="preserve">and process heaters at major </w:t>
      </w:r>
      <w:r w:rsidRPr="009769D3">
        <w:t xml:space="preserve">sources </w:t>
      </w:r>
      <w:r w:rsidR="00A733BE" w:rsidRPr="009769D3">
        <w:t xml:space="preserve">of HAP </w:t>
      </w:r>
      <w:r w:rsidRPr="009769D3">
        <w:t>are necessary to enable EPA to identify sources subject to the standards and to ensure that the standards are being achieved.  Records and reports must be maintained at the facility and/or submitted to EPA.  All reports are sent to the delegated state or local authority.  In the event that there is no such delegated authority, the reports are sent directly to the United States Environmental Protection Agency (EPA) regional office.</w:t>
      </w:r>
    </w:p>
    <w:p w:rsidR="0001033B" w:rsidRPr="009769D3" w:rsidRDefault="0001033B" w:rsidP="0001033B"/>
    <w:p w:rsidR="0001033B" w:rsidRPr="009769D3" w:rsidRDefault="0001033B" w:rsidP="0001033B">
      <w:pPr>
        <w:ind w:firstLine="720"/>
      </w:pPr>
      <w:r w:rsidRPr="009769D3">
        <w:t xml:space="preserve">Approximately </w:t>
      </w:r>
      <w:r w:rsidR="00C333EE" w:rsidRPr="009769D3">
        <w:t>13,</w:t>
      </w:r>
      <w:r w:rsidR="005C72C7" w:rsidRPr="009769D3">
        <w:t>840</w:t>
      </w:r>
      <w:r w:rsidRPr="009769D3">
        <w:t xml:space="preserve"> existing </w:t>
      </w:r>
      <w:r w:rsidR="00232A8D" w:rsidRPr="009769D3">
        <w:t>units at 1,6</w:t>
      </w:r>
      <w:r w:rsidR="002B29E3">
        <w:t>39</w:t>
      </w:r>
      <w:r w:rsidR="00232A8D" w:rsidRPr="009769D3">
        <w:t xml:space="preserve"> facilities</w:t>
      </w:r>
      <w:r w:rsidRPr="009769D3">
        <w:t xml:space="preserve"> and </w:t>
      </w:r>
      <w:r w:rsidR="00232A8D" w:rsidRPr="009769D3">
        <w:t>4</w:t>
      </w:r>
      <w:r w:rsidR="005C72C7" w:rsidRPr="009769D3">
        <w:t>7</w:t>
      </w:r>
      <w:r w:rsidRPr="009769D3">
        <w:t xml:space="preserve"> new</w:t>
      </w:r>
      <w:r w:rsidR="00232A8D" w:rsidRPr="009769D3">
        <w:t xml:space="preserve"> units at </w:t>
      </w:r>
      <w:r w:rsidR="009E245E" w:rsidRPr="009769D3">
        <w:t>16</w:t>
      </w:r>
      <w:r w:rsidR="00232A8D" w:rsidRPr="009769D3">
        <w:t xml:space="preserve"> facilities</w:t>
      </w:r>
      <w:r w:rsidRPr="009769D3">
        <w:t xml:space="preserve"> would be subject to the regulation over the next three years.  The cost of this Information Collection Request (ICR) will be </w:t>
      </w:r>
      <w:r w:rsidR="00DD3E06" w:rsidRPr="009769D3">
        <w:t>$2</w:t>
      </w:r>
      <w:r w:rsidR="00C82112" w:rsidRPr="009769D3">
        <w:t>8</w:t>
      </w:r>
      <w:r w:rsidR="00F013BD">
        <w:t>8</w:t>
      </w:r>
      <w:r w:rsidR="00DD3E06" w:rsidRPr="009769D3">
        <w:t xml:space="preserve"> million</w:t>
      </w:r>
      <w:r w:rsidRPr="009769D3">
        <w:t xml:space="preserve"> (rounded).</w:t>
      </w:r>
    </w:p>
    <w:p w:rsidR="0001033B" w:rsidRPr="009769D3" w:rsidRDefault="0001033B" w:rsidP="0001033B"/>
    <w:p w:rsidR="0001033B" w:rsidRPr="009769D3" w:rsidRDefault="0001033B" w:rsidP="0001033B">
      <w:pPr>
        <w:ind w:firstLine="720"/>
        <w:rPr>
          <w:bCs/>
        </w:rPr>
      </w:pPr>
      <w:r w:rsidRPr="009769D3">
        <w:t xml:space="preserve">The burden to the “Affected Public” for each boiler subcategory may be found in </w:t>
      </w:r>
      <w:r w:rsidRPr="009769D3">
        <w:rPr>
          <w:bCs/>
        </w:rPr>
        <w:t>Tables 1.A-12.C in Attachment A.  The burden to the “Federal Government” is attributed entirely to work performed by federal employees or government contractors; this burden may be found in Tables 13.A-13.C of Attachment B.</w:t>
      </w:r>
    </w:p>
    <w:p w:rsidR="00CA4CD6" w:rsidRPr="009769D3" w:rsidRDefault="00CA4CD6">
      <w:pPr>
        <w:pBdr>
          <w:top w:val="single" w:sz="6" w:space="0" w:color="FFFFFF"/>
          <w:left w:val="single" w:sz="6" w:space="0" w:color="FFFFFF"/>
          <w:bottom w:val="single" w:sz="6" w:space="0" w:color="FFFFFF"/>
          <w:right w:val="single" w:sz="6" w:space="0" w:color="FFFFFF"/>
        </w:pBdr>
        <w:rPr>
          <w:color w:val="FF0000"/>
        </w:rPr>
      </w:pP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r w:rsidRPr="009769D3">
        <w:rPr>
          <w:b/>
          <w:bCs/>
          <w:color w:val="000000"/>
        </w:rPr>
        <w:t>2.  Need for and Use of the Collection</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9769D3">
        <w:rPr>
          <w:b/>
          <w:bCs/>
          <w:color w:val="000000"/>
        </w:rPr>
        <w:t>2(a</w:t>
      </w:r>
      <w:proofErr w:type="gramStart"/>
      <w:r w:rsidRPr="009769D3">
        <w:rPr>
          <w:b/>
          <w:bCs/>
          <w:color w:val="000000"/>
        </w:rPr>
        <w:t>)  Need</w:t>
      </w:r>
      <w:proofErr w:type="gramEnd"/>
      <w:r w:rsidRPr="009769D3">
        <w:rPr>
          <w:b/>
          <w:bCs/>
          <w:color w:val="000000"/>
        </w:rPr>
        <w:t>/Authority for the Collection</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rsidP="00CB03DD">
      <w:pPr>
        <w:pBdr>
          <w:top w:val="single" w:sz="6" w:space="0" w:color="FFFFFF"/>
          <w:left w:val="single" w:sz="6" w:space="0" w:color="FFFFFF"/>
          <w:bottom w:val="single" w:sz="6" w:space="0" w:color="FFFFFF"/>
          <w:right w:val="single" w:sz="6" w:space="0" w:color="FFFFFF"/>
        </w:pBdr>
        <w:ind w:firstLine="720"/>
      </w:pPr>
      <w:r w:rsidRPr="009769D3">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w:t>
      </w:r>
      <w:r w:rsidR="00CB03DD" w:rsidRPr="009769D3">
        <w:t xml:space="preserve">m degree of emission reduction.  </w:t>
      </w:r>
      <w:r w:rsidRPr="009769D3">
        <w:t xml:space="preserve">In addition, section 114(a) states that the Administrator may require any owner/operator subject to any requirement of this Act to: </w:t>
      </w:r>
    </w:p>
    <w:p w:rsidR="00CA4CD6" w:rsidRPr="009769D3" w:rsidRDefault="00CA4CD6">
      <w:pPr>
        <w:pBdr>
          <w:top w:val="single" w:sz="6" w:space="0" w:color="FFFFFF"/>
          <w:left w:val="single" w:sz="6" w:space="0" w:color="FFFFFF"/>
          <w:bottom w:val="single" w:sz="6" w:space="0" w:color="FFFFFF"/>
          <w:right w:val="single" w:sz="6" w:space="0" w:color="FFFFFF"/>
        </w:pBdr>
      </w:pPr>
    </w:p>
    <w:p w:rsidR="00CA4CD6" w:rsidRPr="009769D3" w:rsidRDefault="00CA4CD6">
      <w:pPr>
        <w:pBdr>
          <w:top w:val="single" w:sz="6" w:space="0" w:color="FFFFFF"/>
          <w:left w:val="single" w:sz="6" w:space="0" w:color="FFFFFF"/>
          <w:bottom w:val="single" w:sz="6" w:space="0" w:color="FFFFFF"/>
          <w:right w:val="single" w:sz="6" w:space="0" w:color="FFFFFF"/>
        </w:pBdr>
        <w:ind w:left="1440" w:right="1440"/>
      </w:pPr>
      <w:r w:rsidRPr="009769D3">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w:t>
      </w:r>
      <w:r w:rsidR="00CB03DD" w:rsidRPr="009769D3">
        <w:t>quire.</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B03DD" w:rsidP="00CB03DD">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lastRenderedPageBreak/>
        <w:t>In the Administrator's judgment,</w:t>
      </w:r>
      <w:r w:rsidRPr="009769D3">
        <w:rPr>
          <w:color w:val="FF0000"/>
        </w:rPr>
        <w:t xml:space="preserve"> </w:t>
      </w:r>
      <w:r w:rsidRPr="009769D3">
        <w:rPr>
          <w:color w:val="000000"/>
        </w:rPr>
        <w:t xml:space="preserve">pollutant emissions from industrial, commercial, and institutional boilers and process heaters cause or contribute to air pollution that may reasonably be anticipated to endanger public health or welfare.  Therefore, the NESHAP are proposed for this source category at 40 CFR </w:t>
      </w:r>
      <w:proofErr w:type="gramStart"/>
      <w:r w:rsidRPr="009769D3">
        <w:rPr>
          <w:color w:val="000000"/>
        </w:rPr>
        <w:t>part</w:t>
      </w:r>
      <w:proofErr w:type="gramEnd"/>
      <w:r w:rsidRPr="009769D3">
        <w:rPr>
          <w:color w:val="000000"/>
        </w:rPr>
        <w:t xml:space="preserve"> 63,</w:t>
      </w:r>
      <w:r w:rsidRPr="009769D3">
        <w:rPr>
          <w:b/>
          <w:bCs/>
          <w:i/>
          <w:iCs/>
          <w:color w:val="000000"/>
        </w:rPr>
        <w:t xml:space="preserve"> </w:t>
      </w:r>
      <w:r w:rsidRPr="009769D3">
        <w:rPr>
          <w:color w:val="000000"/>
        </w:rPr>
        <w:t>subpart DDDDD.</w:t>
      </w: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2(b</w:t>
      </w:r>
      <w:proofErr w:type="gramStart"/>
      <w:r w:rsidRPr="009769D3">
        <w:rPr>
          <w:b/>
          <w:bCs/>
          <w:color w:val="000000"/>
        </w:rPr>
        <w:t>)  Practical</w:t>
      </w:r>
      <w:proofErr w:type="gramEnd"/>
      <w:r w:rsidRPr="009769D3">
        <w:rPr>
          <w:b/>
          <w:bCs/>
          <w:color w:val="000000"/>
        </w:rPr>
        <w:t xml:space="preserve"> Utility/Users of the Data</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B03DD" w:rsidRPr="009769D3" w:rsidRDefault="00CB03DD" w:rsidP="00CB03DD">
      <w:pPr>
        <w:widowControl/>
        <w:ind w:firstLine="720"/>
        <w:rPr>
          <w:rFonts w:cs="Courier New"/>
        </w:rPr>
      </w:pPr>
      <w:r w:rsidRPr="009769D3">
        <w:rPr>
          <w:rFonts w:cs="Courier New"/>
        </w:rPr>
        <w:t>The information will be used by EPA to: (1) Identify new, modified, reconstructed and existing sources subject to the</w:t>
      </w:r>
      <w:r w:rsidR="006A4E80" w:rsidRPr="009769D3">
        <w:rPr>
          <w:rFonts w:cs="Courier New"/>
        </w:rPr>
        <w:t xml:space="preserve"> ICI Boiler and Process Heater NESHAP</w:t>
      </w:r>
      <w:r w:rsidRPr="009769D3">
        <w:rPr>
          <w:rFonts w:cs="Courier New"/>
        </w:rPr>
        <w:t xml:space="preserve">; (2) ensure that the </w:t>
      </w:r>
      <w:r w:rsidR="006A4E80" w:rsidRPr="009769D3">
        <w:rPr>
          <w:rFonts w:cs="Courier New"/>
        </w:rPr>
        <w:t>ICI Boiler and Process Heater NESHAP</w:t>
      </w:r>
      <w:r w:rsidRPr="009769D3">
        <w:rPr>
          <w:rFonts w:cs="Courier New"/>
        </w:rPr>
        <w:t xml:space="preserve"> is being properly applied; (3) ensure that the </w:t>
      </w:r>
      <w:r w:rsidR="006A4E80" w:rsidRPr="009769D3">
        <w:rPr>
          <w:rFonts w:cs="Courier New"/>
        </w:rPr>
        <w:t>ICI Boiler and Process Heater NESHAP</w:t>
      </w:r>
      <w:r w:rsidRPr="009769D3">
        <w:rPr>
          <w:rFonts w:cs="Courier New"/>
        </w:rPr>
        <w:t xml:space="preserve"> is being complied with; (4) ensure, on a continuous basis, that the operating parameters established during the initial performance test are not exceeded.</w:t>
      </w:r>
    </w:p>
    <w:p w:rsidR="00CB03DD" w:rsidRPr="009769D3" w:rsidRDefault="00CB03DD" w:rsidP="00CB03DD">
      <w:pPr>
        <w:widowControl/>
        <w:ind w:firstLine="720"/>
        <w:rPr>
          <w:rFonts w:cs="Courier New"/>
        </w:rPr>
      </w:pPr>
    </w:p>
    <w:p w:rsidR="00CB03DD" w:rsidRPr="009769D3" w:rsidRDefault="00CB03DD" w:rsidP="00CB03DD">
      <w:pPr>
        <w:widowControl/>
        <w:ind w:firstLine="720"/>
        <w:rPr>
          <w:rFonts w:cs="Courier New"/>
        </w:rPr>
      </w:pPr>
      <w:r w:rsidRPr="009769D3">
        <w:rPr>
          <w:rFonts w:cs="Courier New"/>
        </w:rPr>
        <w:t xml:space="preserve">In addition, records and reports are necessary to enable EPA to identify facilities that may not be in compliance with the </w:t>
      </w:r>
      <w:r w:rsidRPr="009769D3">
        <w:rPr>
          <w:rFonts w:cs="Courier New"/>
          <w:u w:val="single"/>
        </w:rPr>
        <w:t>Boilers NESHAP</w:t>
      </w:r>
      <w:r w:rsidRPr="009769D3">
        <w:rPr>
          <w:rFonts w:cs="Courier New"/>
        </w:rPr>
        <w:t>.  Based on reported information, EPA will decide which facilities should be inspected and what records or units should be inspected at the facilities.  The records that facilities maintain will indicate to EPA whether facility personnel are properly operating and maintaining the boiler or process heater and control equipment.</w:t>
      </w:r>
    </w:p>
    <w:p w:rsidR="00606DEF" w:rsidRPr="009769D3" w:rsidRDefault="00606DEF">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rPr>
          <w:b/>
          <w:bCs/>
          <w:color w:val="000000"/>
        </w:rPr>
      </w:pPr>
      <w:r w:rsidRPr="009769D3">
        <w:rPr>
          <w:b/>
          <w:bCs/>
          <w:color w:val="000000"/>
        </w:rPr>
        <w:t xml:space="preserve">3.  </w:t>
      </w:r>
      <w:proofErr w:type="spellStart"/>
      <w:r w:rsidRPr="009769D3">
        <w:rPr>
          <w:b/>
          <w:bCs/>
          <w:color w:val="000000"/>
        </w:rPr>
        <w:t>Nonduplication</w:t>
      </w:r>
      <w:proofErr w:type="spellEnd"/>
      <w:r w:rsidRPr="009769D3">
        <w:rPr>
          <w:b/>
          <w:bCs/>
          <w:color w:val="000000"/>
        </w:rPr>
        <w:t>, Consultations, and Other Collection Criteria</w:t>
      </w:r>
    </w:p>
    <w:p w:rsidR="00CA4CD6" w:rsidRPr="009769D3"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9769D3">
        <w:rPr>
          <w:color w:val="000000"/>
        </w:rPr>
        <w:t xml:space="preserve">The requested recordkeeping and reporting </w:t>
      </w:r>
      <w:r w:rsidR="00CB03DD" w:rsidRPr="009769D3">
        <w:rPr>
          <w:color w:val="000000"/>
        </w:rPr>
        <w:t>will be</w:t>
      </w:r>
      <w:r w:rsidRPr="009769D3">
        <w:rPr>
          <w:color w:val="000000"/>
        </w:rPr>
        <w:t xml:space="preserve"> required </w:t>
      </w:r>
      <w:r w:rsidR="00CB03DD" w:rsidRPr="009769D3">
        <w:rPr>
          <w:color w:val="000000"/>
        </w:rPr>
        <w:t xml:space="preserve">under (40 CFR </w:t>
      </w:r>
      <w:proofErr w:type="gramStart"/>
      <w:r w:rsidR="00CB03DD" w:rsidRPr="009769D3">
        <w:rPr>
          <w:color w:val="000000"/>
        </w:rPr>
        <w:t>part</w:t>
      </w:r>
      <w:proofErr w:type="gramEnd"/>
      <w:r w:rsidR="00CB03DD" w:rsidRPr="009769D3">
        <w:rPr>
          <w:color w:val="000000"/>
        </w:rPr>
        <w:t xml:space="preserve"> 63, subpart DDDDD</w:t>
      </w:r>
      <w:r w:rsidRPr="009769D3">
        <w:rPr>
          <w:color w:val="000000"/>
        </w:rPr>
        <w:t>).</w:t>
      </w:r>
    </w:p>
    <w:p w:rsidR="00CA4CD6" w:rsidRPr="009769D3"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3(a</w:t>
      </w:r>
      <w:proofErr w:type="gramStart"/>
      <w:r w:rsidRPr="009769D3">
        <w:rPr>
          <w:b/>
          <w:bCs/>
          <w:color w:val="000000"/>
        </w:rPr>
        <w:t xml:space="preserve">)  </w:t>
      </w:r>
      <w:proofErr w:type="spellStart"/>
      <w:r w:rsidRPr="009769D3">
        <w:rPr>
          <w:b/>
          <w:bCs/>
          <w:color w:val="000000"/>
        </w:rPr>
        <w:t>Nonduplication</w:t>
      </w:r>
      <w:proofErr w:type="spellEnd"/>
      <w:proofErr w:type="gramEnd"/>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3(b</w:t>
      </w:r>
      <w:proofErr w:type="gramStart"/>
      <w:r w:rsidRPr="009769D3">
        <w:rPr>
          <w:b/>
          <w:bCs/>
          <w:color w:val="000000"/>
        </w:rPr>
        <w:t>)  Public</w:t>
      </w:r>
      <w:proofErr w:type="gramEnd"/>
      <w:r w:rsidRPr="009769D3">
        <w:rPr>
          <w:b/>
          <w:bCs/>
          <w:color w:val="000000"/>
        </w:rPr>
        <w:t xml:space="preserve"> Notice Required Prior to ICR Submission to OMB</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B03DD" w:rsidRPr="00F013BD" w:rsidRDefault="00CB03DD" w:rsidP="00CB03DD">
      <w:pPr>
        <w:widowControl/>
        <w:ind w:firstLine="720"/>
      </w:pPr>
      <w:r w:rsidRPr="009769D3">
        <w:rPr>
          <w:rFonts w:cs="Courier New"/>
        </w:rPr>
        <w:t xml:space="preserve">A public notice of this collection was provided in the notice of </w:t>
      </w:r>
      <w:r w:rsidRPr="004E6F13">
        <w:rPr>
          <w:rFonts w:cs="Courier New"/>
        </w:rPr>
        <w:t>proposed</w:t>
      </w:r>
      <w:r w:rsidRPr="00F013BD">
        <w:rPr>
          <w:rFonts w:cs="Courier New"/>
          <w:color w:val="FF0000"/>
        </w:rPr>
        <w:t xml:space="preserve"> </w:t>
      </w:r>
      <w:r w:rsidRPr="009769D3">
        <w:rPr>
          <w:rFonts w:cs="Courier New"/>
        </w:rPr>
        <w:t>rul</w:t>
      </w:r>
      <w:r w:rsidR="00922E9D" w:rsidRPr="009769D3">
        <w:rPr>
          <w:rFonts w:cs="Courier New"/>
        </w:rPr>
        <w:t>emaking for the Boilers NESHAP</w:t>
      </w:r>
      <w:r w:rsidR="00F013BD">
        <w:rPr>
          <w:rFonts w:cs="Courier New"/>
        </w:rPr>
        <w:t xml:space="preserve"> on June 4, </w:t>
      </w:r>
      <w:r w:rsidR="00F013BD" w:rsidRPr="00F013BD">
        <w:t xml:space="preserve">2010 at 75 FR </w:t>
      </w:r>
      <w:r w:rsidR="00F013BD" w:rsidRPr="00F013BD">
        <w:rPr>
          <w:bCs/>
        </w:rPr>
        <w:t>32006</w:t>
      </w:r>
      <w:r w:rsidRPr="00F013BD">
        <w:t>.</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123889" w:rsidRPr="009769D3"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3(c</w:t>
      </w:r>
      <w:proofErr w:type="gramStart"/>
      <w:r w:rsidRPr="009769D3">
        <w:rPr>
          <w:b/>
          <w:bCs/>
          <w:color w:val="000000"/>
        </w:rPr>
        <w:t>)  Consultations</w:t>
      </w:r>
      <w:proofErr w:type="gramEnd"/>
    </w:p>
    <w:p w:rsidR="00123889" w:rsidRPr="009769D3" w:rsidRDefault="00123889" w:rsidP="00123889">
      <w:pPr>
        <w:pBdr>
          <w:top w:val="single" w:sz="6" w:space="0" w:color="FFFFFF"/>
          <w:left w:val="single" w:sz="6" w:space="0" w:color="FFFFFF"/>
          <w:bottom w:val="single" w:sz="6" w:space="0" w:color="FFFFFF"/>
          <w:right w:val="single" w:sz="6" w:space="0" w:color="FFFFFF"/>
        </w:pBdr>
        <w:rPr>
          <w:color w:val="000000"/>
        </w:rPr>
      </w:pPr>
    </w:p>
    <w:p w:rsidR="009F124E" w:rsidRPr="009769D3" w:rsidRDefault="009F124E" w:rsidP="007B7C8E">
      <w:pPr>
        <w:widowControl/>
        <w:ind w:firstLine="720"/>
      </w:pPr>
      <w:r w:rsidRPr="009769D3">
        <w:rPr>
          <w:rFonts w:cs="Courier New"/>
        </w:rPr>
        <w:t xml:space="preserve">In July 2008, the EPA issued a survey, entitled </w:t>
      </w:r>
      <w:r w:rsidRPr="009769D3">
        <w:t>“Information Collection Effort for Facilities with Combustion Units</w:t>
      </w:r>
      <w:r w:rsidR="002F22A9" w:rsidRPr="009769D3">
        <w:t xml:space="preserve"> </w:t>
      </w:r>
      <w:r w:rsidRPr="009769D3">
        <w:rPr>
          <w:spacing w:val="-4"/>
        </w:rPr>
        <w:t xml:space="preserve">(ICR No. 2286.01).” </w:t>
      </w:r>
      <w:r w:rsidR="007F2519" w:rsidRPr="009769D3">
        <w:rPr>
          <w:spacing w:val="-4"/>
        </w:rPr>
        <w:t xml:space="preserve"> </w:t>
      </w:r>
      <w:r w:rsidRPr="009769D3">
        <w:t xml:space="preserve">This ICR was distributed to 3,396 facilities with boilers and process heaters firing any fuel type and other combustion units firing </w:t>
      </w:r>
      <w:r w:rsidRPr="009769D3">
        <w:lastRenderedPageBreak/>
        <w:t xml:space="preserve">non-fossil solids. In May 2009, the EPA issued a follow-up ICR (ICR No 2286.03) requesting a subset of these facilities to conduct stack testing to fill data gaps. Throughout each of these two ICRs, the Agency received comments on the estimated costs to conduct stack testing and fuel analysis, </w:t>
      </w:r>
      <w:r w:rsidR="00C815D9" w:rsidRPr="009769D3">
        <w:t>and the types of pollutants to request testing from. T</w:t>
      </w:r>
      <w:r w:rsidRPr="009769D3">
        <w:t xml:space="preserve">hese comments have been incorporated into the estimates for the ICR on the proposed ICI Boiler and Process Heater NESHAP. </w:t>
      </w:r>
    </w:p>
    <w:p w:rsidR="009F124E" w:rsidRPr="009769D3" w:rsidRDefault="009F124E" w:rsidP="007B7C8E">
      <w:pPr>
        <w:widowControl/>
        <w:ind w:firstLine="720"/>
      </w:pPr>
    </w:p>
    <w:p w:rsidR="009F124E" w:rsidRPr="009769D3" w:rsidRDefault="009F124E" w:rsidP="007B7C8E">
      <w:pPr>
        <w:widowControl/>
        <w:ind w:firstLine="720"/>
      </w:pPr>
      <w:r w:rsidRPr="009769D3">
        <w:t>In January 2009, the EPA convened a panel, in compliance with the Small Business Regulatory Fairness Act (SBREFA) to request input about the proposed ICI Boiler and Process Heater NESHAP and the Area Source Boiler NESHAP. During this SBREFA panel EPA received comments from panel members on the cost estimates for work practice standards being proposed in the rulemaking. The comments on the cost to conduct energy audits at industrial facilities have been incorporated into the cost estimates contained in this ICR.</w:t>
      </w:r>
    </w:p>
    <w:p w:rsidR="007B7C8E" w:rsidRPr="009769D3" w:rsidRDefault="007B7C8E" w:rsidP="007B7C8E">
      <w:pPr>
        <w:widowControl/>
        <w:ind w:firstLine="720"/>
        <w:rPr>
          <w:rFonts w:cs="Courier New"/>
        </w:rPr>
      </w:pPr>
    </w:p>
    <w:p w:rsidR="007B7C8E" w:rsidRPr="009769D3" w:rsidRDefault="007B7C8E" w:rsidP="007B7C8E">
      <w:pPr>
        <w:widowControl/>
        <w:ind w:firstLine="720"/>
        <w:rPr>
          <w:rFonts w:cs="Courier New"/>
        </w:rPr>
      </w:pPr>
      <w:r w:rsidRPr="009769D3">
        <w:rPr>
          <w:rFonts w:cs="Courier New"/>
        </w:rPr>
        <w:t xml:space="preserve">The public </w:t>
      </w:r>
      <w:r w:rsidR="007F2519" w:rsidRPr="009769D3">
        <w:rPr>
          <w:rFonts w:cs="Courier New"/>
        </w:rPr>
        <w:t xml:space="preserve">was </w:t>
      </w:r>
      <w:r w:rsidRPr="009769D3">
        <w:rPr>
          <w:rFonts w:cs="Courier New"/>
        </w:rPr>
        <w:t>also</w:t>
      </w:r>
      <w:r w:rsidR="009F124E" w:rsidRPr="009769D3">
        <w:rPr>
          <w:rFonts w:cs="Courier New"/>
        </w:rPr>
        <w:t xml:space="preserve"> </w:t>
      </w:r>
      <w:r w:rsidRPr="009769D3">
        <w:rPr>
          <w:rFonts w:cs="Courier New"/>
        </w:rPr>
        <w:t>provided the opportuni</w:t>
      </w:r>
      <w:r w:rsidR="009F124E" w:rsidRPr="009769D3">
        <w:rPr>
          <w:rFonts w:cs="Courier New"/>
        </w:rPr>
        <w:t>ty to review and comment on the burden estimated in this Information Collection Request during the comment period for the proposed rulemaking.</w:t>
      </w:r>
      <w:r w:rsidR="00F013BD">
        <w:rPr>
          <w:rFonts w:cs="Courier New"/>
        </w:rPr>
        <w:t xml:space="preserve"> We have reviewed these comments and ha</w:t>
      </w:r>
      <w:r w:rsidR="005E6A95">
        <w:rPr>
          <w:rFonts w:cs="Courier New"/>
        </w:rPr>
        <w:t>ve</w:t>
      </w:r>
      <w:r w:rsidR="00F013BD">
        <w:rPr>
          <w:rFonts w:cs="Courier New"/>
        </w:rPr>
        <w:t xml:space="preserve"> adopted several changes to the compliance requirements in the final rule in response to these comments and to minimize the burden on affected entities. Significant items that have reduced the burden on affected entities include removal of the CO CEMS requirement for units with a heat input capacity </w:t>
      </w:r>
      <w:proofErr w:type="gramStart"/>
      <w:r w:rsidR="00F013BD">
        <w:rPr>
          <w:rFonts w:cs="Courier New"/>
        </w:rPr>
        <w:t xml:space="preserve">of 100 </w:t>
      </w:r>
      <w:proofErr w:type="spellStart"/>
      <w:r w:rsidR="00F013BD">
        <w:rPr>
          <w:rFonts w:cs="Courier New"/>
        </w:rPr>
        <w:t>mmBtu</w:t>
      </w:r>
      <w:proofErr w:type="spellEnd"/>
      <w:r w:rsidR="00F013BD">
        <w:rPr>
          <w:rFonts w:cs="Courier New"/>
        </w:rPr>
        <w:t>/hr</w:t>
      </w:r>
      <w:proofErr w:type="gramEnd"/>
      <w:r w:rsidR="00F013BD">
        <w:rPr>
          <w:rFonts w:cs="Courier New"/>
        </w:rPr>
        <w:t xml:space="preserve"> or greater</w:t>
      </w:r>
      <w:r w:rsidR="005E6A95">
        <w:rPr>
          <w:rFonts w:cs="Courier New"/>
        </w:rPr>
        <w:t>;</w:t>
      </w:r>
      <w:r w:rsidR="00F013BD">
        <w:rPr>
          <w:rFonts w:cs="Courier New"/>
        </w:rPr>
        <w:t xml:space="preserve"> instead</w:t>
      </w:r>
      <w:r w:rsidR="005E6A95">
        <w:rPr>
          <w:rFonts w:cs="Courier New"/>
        </w:rPr>
        <w:t>,</w:t>
      </w:r>
      <w:r w:rsidR="00F013BD">
        <w:rPr>
          <w:rFonts w:cs="Courier New"/>
        </w:rPr>
        <w:t xml:space="preserve"> these units will install an oxygen monitor. Further, new small unit with a heat input capacity less than </w:t>
      </w:r>
      <w:proofErr w:type="gramStart"/>
      <w:r w:rsidR="00F013BD">
        <w:rPr>
          <w:rFonts w:cs="Courier New"/>
        </w:rPr>
        <w:t xml:space="preserve">10 </w:t>
      </w:r>
      <w:proofErr w:type="spellStart"/>
      <w:r w:rsidR="00F013BD">
        <w:rPr>
          <w:rFonts w:cs="Courier New"/>
        </w:rPr>
        <w:t>mmBtu</w:t>
      </w:r>
      <w:proofErr w:type="spellEnd"/>
      <w:r w:rsidR="00F013BD">
        <w:rPr>
          <w:rFonts w:cs="Courier New"/>
        </w:rPr>
        <w:t>/hr</w:t>
      </w:r>
      <w:proofErr w:type="gramEnd"/>
      <w:r w:rsidR="00F013BD">
        <w:rPr>
          <w:rFonts w:cs="Courier New"/>
        </w:rPr>
        <w:t xml:space="preserve"> are subject to the same biennial work practice standard as existing small units, instead of the numeric emission limits contained in the proposal. The preamble and final rule discuss the significant changes made since proposal. In response to specific comments received on the estimated burden we have updated the burden estimates with the new inventory of affected sources, incorporated a burden line item for personnel training on new recordkeeping and reporting requirements of the final rule, and we have also added a line item to consider repeat testing for solid fuel units that may test more than once in order to establish ‘worst case’ operating conditions for both </w:t>
      </w:r>
      <w:proofErr w:type="spellStart"/>
      <w:r w:rsidR="00F013BD">
        <w:rPr>
          <w:rFonts w:cs="Courier New"/>
        </w:rPr>
        <w:t>HCl</w:t>
      </w:r>
      <w:proofErr w:type="spellEnd"/>
      <w:r w:rsidR="00F013BD">
        <w:rPr>
          <w:rFonts w:cs="Courier New"/>
        </w:rPr>
        <w:t xml:space="preserve"> and Hg emissions. A notification of alternative fuel use for gas units burning liquids during periods of curtailment was also added to be consistent with the requirements in the final rule.</w:t>
      </w:r>
      <w:r w:rsidR="001F3ED7">
        <w:rPr>
          <w:rFonts w:cs="Courier New"/>
        </w:rPr>
        <w:t xml:space="preserve"> In addition, the costs to maintain records of monthly fuel analysis results for gaseous fuels opting to demonstrate they meet the Hg and H2S fuel specification for gas 1 fuels has also been added to be consistent with requirements in the final rule.</w:t>
      </w:r>
    </w:p>
    <w:p w:rsidR="00123889" w:rsidRPr="009769D3" w:rsidRDefault="00123889" w:rsidP="00F013BD">
      <w:pPr>
        <w:pBdr>
          <w:top w:val="single" w:sz="6" w:space="1" w:color="FFFFFF"/>
          <w:left w:val="single" w:sz="6" w:space="0" w:color="FFFFFF"/>
          <w:bottom w:val="single" w:sz="6" w:space="0" w:color="FFFFFF"/>
          <w:right w:val="single" w:sz="6" w:space="0" w:color="FFFFFF"/>
        </w:pBdr>
        <w:rPr>
          <w:color w:val="000000"/>
        </w:rPr>
      </w:pPr>
    </w:p>
    <w:p w:rsidR="00CA4CD6" w:rsidRPr="009769D3" w:rsidRDefault="00CA4CD6" w:rsidP="00F013BD">
      <w:pPr>
        <w:pBdr>
          <w:top w:val="single" w:sz="6" w:space="1" w:color="FFFFFF"/>
          <w:left w:val="single" w:sz="6" w:space="0" w:color="FFFFFF"/>
          <w:bottom w:val="single" w:sz="6" w:space="0" w:color="FFFFFF"/>
          <w:right w:val="single" w:sz="6" w:space="0" w:color="FFFFFF"/>
        </w:pBdr>
        <w:ind w:firstLine="720"/>
        <w:rPr>
          <w:color w:val="000000"/>
        </w:rPr>
      </w:pPr>
      <w:r w:rsidRPr="009769D3">
        <w:rPr>
          <w:b/>
          <w:bCs/>
          <w:color w:val="000000"/>
        </w:rPr>
        <w:t>3(d</w:t>
      </w:r>
      <w:proofErr w:type="gramStart"/>
      <w:r w:rsidRPr="009769D3">
        <w:rPr>
          <w:b/>
          <w:bCs/>
          <w:color w:val="000000"/>
        </w:rPr>
        <w:t>)  Effects</w:t>
      </w:r>
      <w:proofErr w:type="gramEnd"/>
      <w:r w:rsidRPr="009769D3">
        <w:rPr>
          <w:b/>
          <w:bCs/>
          <w:color w:val="000000"/>
        </w:rPr>
        <w:t xml:space="preserve"> of Less Frequent Collection</w:t>
      </w:r>
    </w:p>
    <w:p w:rsidR="00CA4CD6" w:rsidRPr="009769D3" w:rsidRDefault="00CA4CD6" w:rsidP="00F013BD">
      <w:pPr>
        <w:pBdr>
          <w:top w:val="single" w:sz="6" w:space="1" w:color="FFFFFF"/>
          <w:left w:val="single" w:sz="6" w:space="0" w:color="FFFFFF"/>
          <w:bottom w:val="single" w:sz="6" w:space="0" w:color="FFFFFF"/>
          <w:right w:val="single" w:sz="6" w:space="0" w:color="FFFFFF"/>
        </w:pBdr>
        <w:rPr>
          <w:color w:val="000000"/>
        </w:rPr>
      </w:pPr>
    </w:p>
    <w:p w:rsidR="00B472B4" w:rsidRPr="009769D3" w:rsidRDefault="00B472B4" w:rsidP="00B472B4">
      <w:pPr>
        <w:widowControl/>
        <w:ind w:firstLine="720"/>
        <w:rPr>
          <w:rFonts w:cs="Courier New"/>
        </w:rPr>
      </w:pPr>
      <w:r w:rsidRPr="009769D3">
        <w:rPr>
          <w:rFonts w:cs="Courier New"/>
        </w:rPr>
        <w:t xml:space="preserve">For sources with applicable emission limits, the Boilers NESHAP provides the option of demonstrating compliance through initial and periodic fuel analysis (for sources that burn fuels with pollutant contents lower than the emission limits) or through initial and annual stack testing.  If a source can demonstrate that the fuel(s) burned in the boiler or process heater has a pollutant content that is less than the applicable emission limit, then the Boilers NESHAP requires that the source conduct initial fuel analyses, periodic fuel analysis, and initial and semiannual reporting.  Sources that demonstrate compliance through performance testing must continuously monitor </w:t>
      </w:r>
      <w:r w:rsidRPr="009769D3">
        <w:rPr>
          <w:rFonts w:cs="Courier New"/>
        </w:rPr>
        <w:lastRenderedPageBreak/>
        <w:t>operating parameters and conduct periodic fuel analyses, and complete initial and semiannual reporting.  The EPA chose the frequency of these activities to provide an adequate margin of assurance that affected facilities will not operate for extended periods in violation of the regulations.</w:t>
      </w:r>
    </w:p>
    <w:p w:rsidR="00E8580E" w:rsidRPr="009769D3" w:rsidRDefault="00E8580E" w:rsidP="00B472B4">
      <w:pPr>
        <w:widowControl/>
        <w:ind w:firstLine="720"/>
        <w:rPr>
          <w:rFonts w:cs="Courier New"/>
        </w:rPr>
      </w:pPr>
    </w:p>
    <w:p w:rsidR="00B472B4" w:rsidRPr="009769D3" w:rsidRDefault="00B472B4" w:rsidP="00B472B4">
      <w:pPr>
        <w:widowControl/>
        <w:ind w:firstLine="720"/>
        <w:rPr>
          <w:rFonts w:cs="Courier New"/>
        </w:rPr>
      </w:pPr>
      <w:r w:rsidRPr="009769D3">
        <w:rPr>
          <w:rFonts w:cs="Courier New"/>
        </w:rPr>
        <w:t>The annual performance testing, where applicable, will ensure, on an ongoing basis, that the air pollution control device is operating properly and its performance has not deteriorated.</w:t>
      </w:r>
    </w:p>
    <w:p w:rsidR="00B472B4" w:rsidRPr="009769D3" w:rsidRDefault="00B472B4" w:rsidP="00B472B4">
      <w:pPr>
        <w:widowControl/>
        <w:ind w:firstLine="720"/>
        <w:rPr>
          <w:rFonts w:cs="Courier New"/>
        </w:rPr>
        <w:sectPr w:rsidR="00B472B4" w:rsidRPr="009769D3">
          <w:type w:val="continuous"/>
          <w:pgSz w:w="12240" w:h="15840"/>
          <w:pgMar w:top="1440" w:right="1440" w:bottom="1080" w:left="1440" w:header="1440" w:footer="1080" w:gutter="0"/>
          <w:cols w:space="720"/>
          <w:noEndnote/>
        </w:sectPr>
      </w:pPr>
    </w:p>
    <w:p w:rsidR="00E8580E" w:rsidRPr="009769D3" w:rsidRDefault="00E8580E" w:rsidP="00B472B4">
      <w:pPr>
        <w:widowControl/>
        <w:ind w:firstLine="720"/>
        <w:rPr>
          <w:rFonts w:cs="Courier New"/>
        </w:rPr>
      </w:pPr>
    </w:p>
    <w:p w:rsidR="00B472B4" w:rsidRPr="009769D3" w:rsidRDefault="00B472B4" w:rsidP="00B472B4">
      <w:pPr>
        <w:widowControl/>
        <w:ind w:firstLine="720"/>
        <w:rPr>
          <w:rFonts w:cs="Courier New"/>
        </w:rPr>
      </w:pPr>
      <w:r w:rsidRPr="009769D3">
        <w:rPr>
          <w:rFonts w:cs="Courier New"/>
        </w:rPr>
        <w:t xml:space="preserve">During the initial stack tests (for particulate matter, mercury, hydrogen chloride, </w:t>
      </w:r>
      <w:r w:rsidR="002634D0" w:rsidRPr="009769D3">
        <w:rPr>
          <w:rFonts w:cs="Courier New"/>
        </w:rPr>
        <w:t>carbon monoxide, and</w:t>
      </w:r>
      <w:r w:rsidRPr="009769D3">
        <w:rPr>
          <w:rFonts w:cs="Courier New"/>
        </w:rPr>
        <w:t xml:space="preserve"> dioxins and furans), the owner or operator must establish maximum or minimum values for each applicable operating parameter.  Thereafter, the owner or operator must, in some cases, conduct annual stack tests for particulate matter, mercury, hydrogen chloride</w:t>
      </w:r>
      <w:r w:rsidR="002634D0" w:rsidRPr="009769D3">
        <w:rPr>
          <w:rFonts w:cs="Courier New"/>
        </w:rPr>
        <w:t>, carbon monoxide,</w:t>
      </w:r>
      <w:r w:rsidRPr="009769D3">
        <w:rPr>
          <w:rFonts w:cs="Courier New"/>
        </w:rPr>
        <w:t xml:space="preserve"> and dioxins and furans and must always continuously monitor the operating parameters.</w:t>
      </w:r>
      <w:r w:rsidRPr="009769D3">
        <w:rPr>
          <w:rFonts w:cs="Courier New"/>
          <w:b/>
          <w:bCs/>
        </w:rPr>
        <w:t xml:space="preserve">  </w:t>
      </w:r>
      <w:r w:rsidRPr="009769D3">
        <w:rPr>
          <w:rFonts w:cs="Courier New"/>
        </w:rPr>
        <w:t>The activities associated with setting these site-specific operating limits include monitoring of the parameters during the performance test, reviewing and averaging the monitoring data, and, if necessary, calculating average values for fuel pollutant content.</w:t>
      </w:r>
    </w:p>
    <w:p w:rsidR="00E8580E" w:rsidRPr="009769D3" w:rsidRDefault="00E8580E" w:rsidP="00B472B4">
      <w:pPr>
        <w:widowControl/>
        <w:ind w:firstLine="720"/>
        <w:rPr>
          <w:rFonts w:cs="Courier New"/>
        </w:rPr>
      </w:pPr>
    </w:p>
    <w:p w:rsidR="00B472B4" w:rsidRPr="009769D3" w:rsidRDefault="00B472B4" w:rsidP="00B472B4">
      <w:pPr>
        <w:widowControl/>
        <w:ind w:firstLine="720"/>
        <w:rPr>
          <w:rFonts w:cs="Courier New"/>
        </w:rPr>
      </w:pPr>
      <w:r w:rsidRPr="009769D3">
        <w:rPr>
          <w:rFonts w:cs="Courier New"/>
        </w:rPr>
        <w:t xml:space="preserve">Although continuous monitoring of operating parameters cannot provide a direct measurement of emissions, it is less expensive than continuous emission monitoring systems (CEMS) and the collected information can ensure that the boiler or process heater and associated air pollution control equipment are operated properly.  </w:t>
      </w:r>
      <w:r w:rsidR="007F2519" w:rsidRPr="009769D3">
        <w:t>F</w:t>
      </w:r>
      <w:r w:rsidR="00B92258" w:rsidRPr="009769D3">
        <w:t xml:space="preserve">or large boilers greater </w:t>
      </w:r>
      <w:proofErr w:type="gramStart"/>
      <w:r w:rsidR="00B92258" w:rsidRPr="009769D3">
        <w:t xml:space="preserve">than 250 </w:t>
      </w:r>
      <w:proofErr w:type="spellStart"/>
      <w:r w:rsidR="00B92258" w:rsidRPr="009769D3">
        <w:t>mmBtu</w:t>
      </w:r>
      <w:proofErr w:type="spellEnd"/>
      <w:r w:rsidR="00B92258" w:rsidRPr="009769D3">
        <w:t>/hr,</w:t>
      </w:r>
      <w:proofErr w:type="gramEnd"/>
      <w:r w:rsidR="00B92258" w:rsidRPr="009769D3">
        <w:t xml:space="preserve"> PM CEMS are required. </w:t>
      </w:r>
      <w:r w:rsidRPr="009769D3">
        <w:rPr>
          <w:rFonts w:cs="Courier New"/>
        </w:rPr>
        <w:t>This information assures EPA and the public that the reductions envisioned by the Boilers NESHAP are being achieved.  Less frequent monitoring would not ensure continuous compliance.</w:t>
      </w:r>
    </w:p>
    <w:p w:rsidR="00E8580E" w:rsidRPr="009769D3" w:rsidRDefault="00E8580E" w:rsidP="00B472B4">
      <w:pPr>
        <w:widowControl/>
        <w:ind w:firstLine="720"/>
        <w:rPr>
          <w:rFonts w:cs="Courier New"/>
        </w:rPr>
      </w:pPr>
    </w:p>
    <w:p w:rsidR="00B472B4" w:rsidRPr="009769D3" w:rsidRDefault="00B472B4" w:rsidP="00B472B4">
      <w:pPr>
        <w:widowControl/>
        <w:ind w:firstLine="720"/>
        <w:rPr>
          <w:rFonts w:cs="Courier New"/>
        </w:rPr>
      </w:pPr>
      <w:r w:rsidRPr="009769D3">
        <w:rPr>
          <w:rFonts w:cs="Courier New"/>
        </w:rPr>
        <w:t>The semiannual reporting requirement allows the submittal of required information and data on established operating parameters so that any potential problems can be identified in a timely fashion.</w:t>
      </w:r>
    </w:p>
    <w:p w:rsidR="00E8580E" w:rsidRPr="009769D3" w:rsidRDefault="00E8580E" w:rsidP="00B472B4">
      <w:pPr>
        <w:widowControl/>
        <w:ind w:firstLine="720"/>
        <w:rPr>
          <w:rFonts w:cs="Courier New"/>
        </w:rPr>
      </w:pPr>
    </w:p>
    <w:p w:rsidR="00C815D9" w:rsidRPr="009769D3" w:rsidRDefault="007F2519" w:rsidP="00B472B4">
      <w:pPr>
        <w:widowControl/>
        <w:ind w:firstLine="720"/>
        <w:rPr>
          <w:rFonts w:cs="Courier New"/>
        </w:rPr>
      </w:pPr>
      <w:r w:rsidRPr="009769D3">
        <w:rPr>
          <w:rFonts w:cs="Courier New"/>
        </w:rPr>
        <w:t>New and e</w:t>
      </w:r>
      <w:r w:rsidR="00C815D9" w:rsidRPr="009769D3">
        <w:rPr>
          <w:rFonts w:cs="Courier New"/>
        </w:rPr>
        <w:t>xisting small (less than 10</w:t>
      </w:r>
      <w:r w:rsidR="008C1BBD" w:rsidRPr="009769D3">
        <w:rPr>
          <w:rFonts w:cs="Courier New"/>
        </w:rPr>
        <w:t xml:space="preserve"> </w:t>
      </w:r>
      <w:proofErr w:type="spellStart"/>
      <w:r w:rsidR="008C1BBD" w:rsidRPr="009769D3">
        <w:rPr>
          <w:rFonts w:cs="Courier New"/>
        </w:rPr>
        <w:t>mmBtu</w:t>
      </w:r>
      <w:proofErr w:type="spellEnd"/>
      <w:r w:rsidR="008C1BBD" w:rsidRPr="009769D3">
        <w:rPr>
          <w:rFonts w:cs="Courier New"/>
        </w:rPr>
        <w:t>/hr</w:t>
      </w:r>
      <w:r w:rsidR="00C815D9" w:rsidRPr="009769D3">
        <w:rPr>
          <w:rFonts w:cs="Courier New"/>
        </w:rPr>
        <w:t>) boilers firing solid, liquid</w:t>
      </w:r>
      <w:r w:rsidR="006175B8" w:rsidRPr="009769D3">
        <w:rPr>
          <w:rFonts w:cs="Courier New"/>
        </w:rPr>
        <w:t>,</w:t>
      </w:r>
      <w:r w:rsidR="00C815D9" w:rsidRPr="009769D3">
        <w:rPr>
          <w:rFonts w:cs="Courier New"/>
        </w:rPr>
        <w:t xml:space="preserve"> or gaseous fuels</w:t>
      </w:r>
      <w:r w:rsidR="006175B8" w:rsidRPr="009769D3">
        <w:rPr>
          <w:rFonts w:cs="Courier New"/>
        </w:rPr>
        <w:t xml:space="preserve"> and all limited use (operate</w:t>
      </w:r>
      <w:r w:rsidR="009769D3" w:rsidRPr="009769D3">
        <w:rPr>
          <w:rFonts w:cs="Courier New"/>
        </w:rPr>
        <w:t>s</w:t>
      </w:r>
      <w:r w:rsidR="006175B8" w:rsidRPr="009769D3">
        <w:rPr>
          <w:rFonts w:cs="Courier New"/>
        </w:rPr>
        <w:t xml:space="preserve"> less than 876 hr/yr) boilers</w:t>
      </w:r>
      <w:r w:rsidRPr="009769D3">
        <w:rPr>
          <w:rFonts w:cs="Courier New"/>
        </w:rPr>
        <w:t xml:space="preserve"> </w:t>
      </w:r>
      <w:r w:rsidR="00C815D9" w:rsidRPr="009769D3">
        <w:rPr>
          <w:rFonts w:cs="Courier New"/>
        </w:rPr>
        <w:t xml:space="preserve">demonstrate compliance with the rule by conducting a biennial tune-up. </w:t>
      </w:r>
      <w:r w:rsidR="0032193B" w:rsidRPr="009769D3">
        <w:rPr>
          <w:rFonts w:cs="Courier New"/>
        </w:rPr>
        <w:t xml:space="preserve"> </w:t>
      </w:r>
      <w:r w:rsidR="00C815D9" w:rsidRPr="009769D3">
        <w:rPr>
          <w:rFonts w:cs="Courier New"/>
        </w:rPr>
        <w:t>Since this frequency is less than the semi-annual compliance report frequency typically required from sources in this source category, a biennial compliance report</w:t>
      </w:r>
      <w:r w:rsidR="00051257" w:rsidRPr="009769D3">
        <w:rPr>
          <w:rFonts w:cs="Courier New"/>
        </w:rPr>
        <w:t xml:space="preserve"> is required</w:t>
      </w:r>
      <w:r w:rsidR="00C815D9" w:rsidRPr="009769D3">
        <w:rPr>
          <w:rFonts w:cs="Courier New"/>
        </w:rPr>
        <w:t xml:space="preserve">. </w:t>
      </w:r>
      <w:r w:rsidR="0032193B" w:rsidRPr="009769D3">
        <w:rPr>
          <w:rFonts w:cs="Courier New"/>
        </w:rPr>
        <w:t xml:space="preserve"> </w:t>
      </w:r>
      <w:r w:rsidR="00C815D9" w:rsidRPr="009769D3">
        <w:rPr>
          <w:rFonts w:cs="Courier New"/>
        </w:rPr>
        <w:t>These tune-up reports can be requested by the Administrator upon request but are not required to be submitted.</w:t>
      </w:r>
    </w:p>
    <w:p w:rsidR="00051257" w:rsidRPr="009769D3" w:rsidRDefault="00051257" w:rsidP="00B472B4">
      <w:pPr>
        <w:widowControl/>
        <w:ind w:firstLine="720"/>
        <w:rPr>
          <w:rFonts w:cs="Courier New"/>
        </w:rPr>
      </w:pPr>
    </w:p>
    <w:p w:rsidR="00051257" w:rsidRPr="009769D3" w:rsidRDefault="00051257" w:rsidP="00B472B4">
      <w:pPr>
        <w:widowControl/>
        <w:ind w:firstLine="720"/>
        <w:rPr>
          <w:rFonts w:cs="Courier New"/>
        </w:rPr>
      </w:pPr>
      <w:r w:rsidRPr="009769D3">
        <w:rPr>
          <w:rFonts w:cs="Courier New"/>
        </w:rPr>
        <w:t>New and existing large Gas 1 boilers demonstrate compliance by conducting an annual tune-up.  These boilers are thus required to submit annual compliance reports.</w:t>
      </w:r>
      <w:r w:rsidR="001F3ED7">
        <w:rPr>
          <w:rFonts w:cs="Courier New"/>
        </w:rPr>
        <w:t xml:space="preserve"> Units firing gaseous fuels other than natural gas and refinery gas must demonstrate that those fuels meet the specifications for H2S and Hg contained in the final rule in order to qualify under the Gas 1 subcategory. If the content of these constituents are not going to exceed the specifications, these</w:t>
      </w:r>
      <w:r w:rsidR="00E762E7">
        <w:rPr>
          <w:rFonts w:cs="Courier New"/>
        </w:rPr>
        <w:t xml:space="preserve"> units may conduct an initial testing and include a statement that the gas will not exceed the specification in the initial Notification of Compliance Status. If the gaseous fuel constituents will vary, the unit is required to conduct monthly testing and maintain records to demonstrate that the </w:t>
      </w:r>
      <w:r w:rsidR="00E762E7">
        <w:rPr>
          <w:rFonts w:cs="Courier New"/>
        </w:rPr>
        <w:lastRenderedPageBreak/>
        <w:t>gaseous fuels meet the specifications.</w:t>
      </w:r>
      <w:r w:rsidR="001F3ED7">
        <w:rPr>
          <w:rFonts w:cs="Courier New"/>
        </w:rPr>
        <w:t xml:space="preserve"> </w:t>
      </w:r>
      <w:r w:rsidR="00E762E7">
        <w:rPr>
          <w:rFonts w:cs="Courier New"/>
        </w:rPr>
        <w:t>Monthly testing and recordkeeping at units with variable gas quality ensures continuous compliance.</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3(e</w:t>
      </w:r>
      <w:proofErr w:type="gramStart"/>
      <w:r w:rsidRPr="009769D3">
        <w:rPr>
          <w:b/>
          <w:bCs/>
          <w:color w:val="000000"/>
        </w:rPr>
        <w:t>)  General</w:t>
      </w:r>
      <w:proofErr w:type="gramEnd"/>
      <w:r w:rsidRPr="009769D3">
        <w:rPr>
          <w:b/>
          <w:bCs/>
          <w:color w:val="000000"/>
        </w:rPr>
        <w:t xml:space="preserve"> Guidelines</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101B40">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T</w:t>
      </w:r>
      <w:r w:rsidR="00CA4CD6" w:rsidRPr="009769D3">
        <w:rPr>
          <w:color w:val="000000"/>
        </w:rPr>
        <w:t xml:space="preserve">hese reporting or recordkeeping requirements </w:t>
      </w:r>
      <w:r w:rsidRPr="009769D3">
        <w:rPr>
          <w:color w:val="000000"/>
        </w:rPr>
        <w:t xml:space="preserve">do not </w:t>
      </w:r>
      <w:r w:rsidR="00CA4CD6" w:rsidRPr="009769D3">
        <w:rPr>
          <w:color w:val="000000"/>
        </w:rPr>
        <w:t xml:space="preserve">violate any of the </w:t>
      </w:r>
      <w:proofErr w:type="gramStart"/>
      <w:r w:rsidR="00CA4CD6" w:rsidRPr="009769D3">
        <w:rPr>
          <w:color w:val="000000"/>
        </w:rPr>
        <w:t xml:space="preserve">regulations </w:t>
      </w:r>
      <w:r w:rsidRPr="009769D3">
        <w:rPr>
          <w:color w:val="000000"/>
        </w:rPr>
        <w:t xml:space="preserve"> </w:t>
      </w:r>
      <w:r w:rsidR="00206932" w:rsidRPr="009769D3">
        <w:rPr>
          <w:color w:val="000000"/>
        </w:rPr>
        <w:t>promulgated</w:t>
      </w:r>
      <w:proofErr w:type="gramEnd"/>
      <w:r w:rsidR="00206932" w:rsidRPr="009769D3">
        <w:rPr>
          <w:color w:val="000000"/>
        </w:rPr>
        <w:t xml:space="preserve"> by</w:t>
      </w:r>
      <w:r w:rsidRPr="009769D3">
        <w:rPr>
          <w:color w:val="000000"/>
        </w:rPr>
        <w:t xml:space="preserve"> </w:t>
      </w:r>
      <w:r w:rsidR="00CA4CD6" w:rsidRPr="009769D3">
        <w:rPr>
          <w:color w:val="000000"/>
        </w:rPr>
        <w:t xml:space="preserve">OMB </w:t>
      </w:r>
      <w:r w:rsidRPr="009769D3">
        <w:rPr>
          <w:color w:val="000000"/>
        </w:rPr>
        <w:t>under</w:t>
      </w:r>
      <w:r w:rsidR="00CA4CD6" w:rsidRPr="009769D3">
        <w:rPr>
          <w:color w:val="000000"/>
        </w:rPr>
        <w:t xml:space="preserve"> 5 CFR part 1320, section 1320.5.</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B472B4" w:rsidRPr="009769D3" w:rsidRDefault="00B472B4" w:rsidP="00B472B4">
      <w:pPr>
        <w:widowControl/>
        <w:ind w:firstLine="720"/>
        <w:rPr>
          <w:rFonts w:cs="Courier New"/>
        </w:rPr>
      </w:pPr>
      <w:r w:rsidRPr="009769D3">
        <w:rPr>
          <w:rFonts w:cs="Courier New"/>
        </w:rPr>
        <w:t>The Boilers NESHAP requires all records to be maintained at the source for a period of five years.  In 40 CFR part 63, subpart A, “General Provisions for National Emission Standards for Hazardous Air Pollutants for Source Categories,” owners or operators of facilities are required to keep and maintain records for a period of five years.  These records must be kept on file for use, if needed, by the regulating authority to ensure that the plant personnel are operating and maintaining the unit and the control equipment properly.  The title V permit programs also require records to be retained for five years.  These records must be kept on file for use, if needed, by the regulating authority to ensure that the plant personnel are operating and maintaining the unit and the control equipment properly.</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3(f</w:t>
      </w:r>
      <w:proofErr w:type="gramStart"/>
      <w:r w:rsidRPr="009769D3">
        <w:rPr>
          <w:b/>
          <w:bCs/>
          <w:color w:val="000000"/>
        </w:rPr>
        <w:t>)  Confidentiality</w:t>
      </w:r>
      <w:proofErr w:type="gramEnd"/>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9769D3">
        <w:rPr>
          <w:color w:val="000000"/>
          <w:u w:val="single"/>
        </w:rPr>
        <w:t>FR</w:t>
      </w:r>
      <w:r w:rsidRPr="009769D3">
        <w:rPr>
          <w:color w:val="000000"/>
        </w:rPr>
        <w:t xml:space="preserve"> 36902, September 1, 1976; amended by 43 </w:t>
      </w:r>
      <w:r w:rsidRPr="009769D3">
        <w:rPr>
          <w:color w:val="000000"/>
          <w:u w:val="single"/>
        </w:rPr>
        <w:t>FR</w:t>
      </w:r>
      <w:r w:rsidRPr="009769D3">
        <w:rPr>
          <w:color w:val="000000"/>
        </w:rPr>
        <w:t xml:space="preserve"> 40000, September 8, 1978; 43 </w:t>
      </w:r>
      <w:r w:rsidRPr="009769D3">
        <w:rPr>
          <w:color w:val="000000"/>
          <w:u w:val="single"/>
        </w:rPr>
        <w:t>FR</w:t>
      </w:r>
      <w:r w:rsidRPr="009769D3">
        <w:rPr>
          <w:color w:val="000000"/>
        </w:rPr>
        <w:t xml:space="preserve"> 42251, September 20, 1978; 44 </w:t>
      </w:r>
      <w:r w:rsidRPr="009769D3">
        <w:rPr>
          <w:color w:val="000000"/>
          <w:u w:val="single"/>
        </w:rPr>
        <w:t>FR</w:t>
      </w:r>
      <w:r w:rsidRPr="009769D3">
        <w:rPr>
          <w:color w:val="000000"/>
        </w:rPr>
        <w:t xml:space="preserve"> 17674, March 23, 1979).</w:t>
      </w:r>
      <w:r w:rsidR="00E762E7">
        <w:rPr>
          <w:color w:val="000000"/>
        </w:rPr>
        <w:t xml:space="preserve"> In response to public comments with respect to concerns of confidential information contained in the energy assessment report, EPA has modified </w:t>
      </w:r>
      <w:r w:rsidR="003033F1">
        <w:rPr>
          <w:color w:val="000000"/>
        </w:rPr>
        <w:t xml:space="preserve">the requirements to submit the </w:t>
      </w:r>
      <w:r w:rsidR="00E762E7">
        <w:rPr>
          <w:color w:val="000000"/>
        </w:rPr>
        <w:t>entire results in order to protect potential confidential business information.</w:t>
      </w:r>
      <w:r w:rsidR="003033F1">
        <w:rPr>
          <w:color w:val="000000"/>
        </w:rPr>
        <w:t xml:space="preserve"> Instead </w:t>
      </w:r>
      <w:r w:rsidR="003033F1" w:rsidRPr="00420C79">
        <w:t xml:space="preserve">a signed certification that the energy assessment </w:t>
      </w:r>
      <w:r w:rsidR="003033F1">
        <w:t>was completed is to be included in the Notification of Compliance Status.</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3(g</w:t>
      </w:r>
      <w:proofErr w:type="gramStart"/>
      <w:r w:rsidRPr="009769D3">
        <w:rPr>
          <w:b/>
          <w:bCs/>
          <w:color w:val="000000"/>
        </w:rPr>
        <w:t>)  Sensitive</w:t>
      </w:r>
      <w:proofErr w:type="gramEnd"/>
      <w:r w:rsidRPr="009769D3">
        <w:rPr>
          <w:b/>
          <w:bCs/>
          <w:color w:val="000000"/>
        </w:rPr>
        <w:t xml:space="preserve"> Questions</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40391F">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T</w:t>
      </w:r>
      <w:r w:rsidR="00CA4CD6" w:rsidRPr="009769D3">
        <w:rPr>
          <w:color w:val="000000"/>
        </w:rPr>
        <w:t xml:space="preserve">he reporting or recordkeeping requirements </w:t>
      </w:r>
      <w:r w:rsidRPr="009769D3">
        <w:rPr>
          <w:color w:val="000000"/>
        </w:rPr>
        <w:t xml:space="preserve">in the standard do not </w:t>
      </w:r>
      <w:r w:rsidR="00B46A57" w:rsidRPr="009769D3">
        <w:rPr>
          <w:color w:val="000000"/>
        </w:rPr>
        <w:t xml:space="preserve">include </w:t>
      </w:r>
      <w:r w:rsidR="00CA4CD6" w:rsidRPr="009769D3">
        <w:rPr>
          <w:color w:val="000000"/>
        </w:rPr>
        <w:t>sensitive questions.</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rPr>
          <w:b/>
          <w:bCs/>
          <w:color w:val="000000"/>
        </w:rPr>
      </w:pPr>
      <w:r w:rsidRPr="009769D3">
        <w:rPr>
          <w:b/>
          <w:bCs/>
          <w:color w:val="000000"/>
        </w:rPr>
        <w:t>4.  The Respondents and the Information Requested</w:t>
      </w:r>
    </w:p>
    <w:p w:rsidR="00CA4CD6" w:rsidRPr="009769D3"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4(a</w:t>
      </w:r>
      <w:proofErr w:type="gramStart"/>
      <w:r w:rsidRPr="009769D3">
        <w:rPr>
          <w:b/>
          <w:bCs/>
          <w:color w:val="000000"/>
        </w:rPr>
        <w:t>)  Respondents</w:t>
      </w:r>
      <w:proofErr w:type="gramEnd"/>
      <w:r w:rsidRPr="009769D3">
        <w:rPr>
          <w:b/>
          <w:bCs/>
          <w:color w:val="000000"/>
        </w:rPr>
        <w:t>/</w:t>
      </w:r>
      <w:r w:rsidR="002634D0" w:rsidRPr="009769D3">
        <w:rPr>
          <w:b/>
          <w:bCs/>
          <w:color w:val="000000"/>
        </w:rPr>
        <w:t xml:space="preserve">NAICS </w:t>
      </w:r>
      <w:r w:rsidRPr="009769D3">
        <w:rPr>
          <w:b/>
          <w:bCs/>
          <w:color w:val="000000"/>
        </w:rPr>
        <w:t>Codes</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893F9B" w:rsidRPr="009769D3" w:rsidRDefault="00B472B4" w:rsidP="00CA6BA6">
      <w:pPr>
        <w:widowControl/>
        <w:ind w:firstLine="720"/>
        <w:rPr>
          <w:rFonts w:cs="Courier New"/>
        </w:rPr>
      </w:pPr>
      <w:r w:rsidRPr="009769D3">
        <w:rPr>
          <w:color w:val="000000"/>
        </w:rPr>
        <w:t xml:space="preserve">The respondents to the recordkeeping and reporting requirements are </w:t>
      </w:r>
      <w:r w:rsidRPr="009769D3">
        <w:t>owners or operators of new or existing industrial, commercial, or institutional boilers</w:t>
      </w:r>
      <w:r w:rsidR="00893F9B" w:rsidRPr="009769D3">
        <w:t xml:space="preserve"> and process heaters</w:t>
      </w:r>
      <w:r w:rsidRPr="009769D3">
        <w:rPr>
          <w:color w:val="000000"/>
        </w:rPr>
        <w:t xml:space="preserve">.  </w:t>
      </w:r>
      <w:r w:rsidRPr="009769D3">
        <w:t xml:space="preserve">The Boilers </w:t>
      </w:r>
      <w:r w:rsidR="00893F9B" w:rsidRPr="009769D3">
        <w:t>Major</w:t>
      </w:r>
      <w:r w:rsidRPr="009769D3">
        <w:t xml:space="preserve"> Source NESHAP affects any industry, state, local, or tribal government, or any institution (e.g., university) using a boiler as defined in the regulation.  This includes, but is not </w:t>
      </w:r>
      <w:r w:rsidRPr="009769D3">
        <w:lastRenderedPageBreak/>
        <w:t>limited to, the following North American Industry Classification System (NAICS) codes listed in Table 1 below.</w:t>
      </w:r>
      <w:r w:rsidR="00893F9B" w:rsidRPr="009769D3">
        <w:rPr>
          <w:rFonts w:cs="Courier New"/>
        </w:rPr>
        <w:t xml:space="preserve"> </w:t>
      </w:r>
    </w:p>
    <w:p w:rsidR="00CA6BA6" w:rsidRPr="009769D3" w:rsidRDefault="00CA6BA6" w:rsidP="00CA6BA6">
      <w:pPr>
        <w:widowControl/>
        <w:ind w:firstLine="720"/>
        <w:rPr>
          <w:rFonts w:cs="Courier New"/>
        </w:rPr>
      </w:pPr>
    </w:p>
    <w:p w:rsidR="00CA6BA6" w:rsidRPr="009769D3" w:rsidRDefault="00CA6BA6" w:rsidP="00C815D9">
      <w:pPr>
        <w:widowControl/>
        <w:rPr>
          <w:rFonts w:cs="Courier New"/>
        </w:rPr>
      </w:pPr>
    </w:p>
    <w:p w:rsidR="00B472B4" w:rsidRPr="009769D3" w:rsidRDefault="00B472B4" w:rsidP="00B472B4">
      <w:pPr>
        <w:pStyle w:val="Caption"/>
        <w:keepNext/>
        <w:rPr>
          <w:rFonts w:ascii="Times New Roman" w:hAnsi="Times New Roman"/>
          <w:sz w:val="24"/>
          <w:szCs w:val="24"/>
        </w:rPr>
      </w:pPr>
      <w:r w:rsidRPr="009769D3">
        <w:rPr>
          <w:rFonts w:ascii="Times New Roman" w:hAnsi="Times New Roman"/>
          <w:sz w:val="24"/>
          <w:szCs w:val="24"/>
        </w:rPr>
        <w:t xml:space="preserve">Table </w:t>
      </w:r>
      <w:r w:rsidR="00722390" w:rsidRPr="009769D3">
        <w:rPr>
          <w:rFonts w:ascii="Times New Roman" w:hAnsi="Times New Roman"/>
          <w:sz w:val="24"/>
          <w:szCs w:val="24"/>
        </w:rPr>
        <w:fldChar w:fldCharType="begin"/>
      </w:r>
      <w:r w:rsidRPr="009769D3">
        <w:rPr>
          <w:rFonts w:ascii="Times New Roman" w:hAnsi="Times New Roman"/>
          <w:sz w:val="24"/>
          <w:szCs w:val="24"/>
        </w:rPr>
        <w:instrText xml:space="preserve"> SEQ Table \* ARABIC </w:instrText>
      </w:r>
      <w:r w:rsidR="00722390" w:rsidRPr="009769D3">
        <w:rPr>
          <w:rFonts w:ascii="Times New Roman" w:hAnsi="Times New Roman"/>
          <w:sz w:val="24"/>
          <w:szCs w:val="24"/>
        </w:rPr>
        <w:fldChar w:fldCharType="separate"/>
      </w:r>
      <w:r w:rsidR="00282435">
        <w:rPr>
          <w:rFonts w:ascii="Times New Roman" w:hAnsi="Times New Roman"/>
          <w:noProof/>
          <w:sz w:val="24"/>
          <w:szCs w:val="24"/>
        </w:rPr>
        <w:t>1</w:t>
      </w:r>
      <w:r w:rsidR="00722390" w:rsidRPr="009769D3">
        <w:rPr>
          <w:rFonts w:ascii="Times New Roman" w:hAnsi="Times New Roman"/>
          <w:sz w:val="24"/>
          <w:szCs w:val="24"/>
        </w:rPr>
        <w:fldChar w:fldCharType="end"/>
      </w:r>
      <w:r w:rsidRPr="009769D3">
        <w:rPr>
          <w:rFonts w:ascii="Times New Roman" w:hAnsi="Times New Roman"/>
          <w:sz w:val="24"/>
          <w:szCs w:val="24"/>
        </w:rPr>
        <w:t>: NAICS Categories for Various Affected Sources</w:t>
      </w:r>
    </w:p>
    <w:tbl>
      <w:tblPr>
        <w:tblW w:w="0" w:type="auto"/>
        <w:tblInd w:w="112" w:type="dxa"/>
        <w:tblLayout w:type="fixed"/>
        <w:tblCellMar>
          <w:left w:w="112" w:type="dxa"/>
          <w:right w:w="112" w:type="dxa"/>
        </w:tblCellMar>
        <w:tblLook w:val="0000"/>
      </w:tblPr>
      <w:tblGrid>
        <w:gridCol w:w="3120"/>
        <w:gridCol w:w="3120"/>
      </w:tblGrid>
      <w:tr w:rsidR="002634D0" w:rsidRPr="009769D3">
        <w:tc>
          <w:tcPr>
            <w:tcW w:w="3120" w:type="dxa"/>
            <w:tcBorders>
              <w:top w:val="single" w:sz="7" w:space="0" w:color="000000"/>
              <w:left w:val="single" w:sz="7" w:space="0" w:color="000000"/>
              <w:bottom w:val="single" w:sz="6" w:space="0" w:color="FFFFFF"/>
              <w:right w:val="single" w:sz="6" w:space="0" w:color="FFFFFF"/>
            </w:tcBorders>
          </w:tcPr>
          <w:p w:rsidR="002634D0" w:rsidRPr="009769D3" w:rsidRDefault="002634D0" w:rsidP="00235F6B">
            <w:pPr>
              <w:spacing w:line="120" w:lineRule="exact"/>
              <w:jc w:val="center"/>
              <w:rPr>
                <w:b/>
                <w:bCs/>
                <w:color w:val="000000"/>
              </w:rPr>
            </w:pPr>
          </w:p>
          <w:p w:rsidR="002634D0" w:rsidRPr="009769D3" w:rsidRDefault="002634D0" w:rsidP="00235F6B">
            <w:pPr>
              <w:pBdr>
                <w:top w:val="single" w:sz="6" w:space="0" w:color="FFFFFF"/>
                <w:left w:val="single" w:sz="6" w:space="0" w:color="FFFFFF"/>
                <w:bottom w:val="single" w:sz="6" w:space="0" w:color="FFFFFF"/>
                <w:right w:val="single" w:sz="6" w:space="0" w:color="FFFFFF"/>
              </w:pBdr>
              <w:spacing w:after="54"/>
              <w:jc w:val="center"/>
              <w:rPr>
                <w:b/>
                <w:bCs/>
                <w:color w:val="000000"/>
              </w:rPr>
            </w:pPr>
            <w:r w:rsidRPr="009769D3">
              <w:rPr>
                <w:b/>
                <w:bCs/>
                <w:color w:val="000000"/>
              </w:rPr>
              <w:t>NAICS Codes</w:t>
            </w:r>
          </w:p>
        </w:tc>
        <w:tc>
          <w:tcPr>
            <w:tcW w:w="3120" w:type="dxa"/>
            <w:tcBorders>
              <w:top w:val="single" w:sz="7" w:space="0" w:color="000000"/>
              <w:left w:val="single" w:sz="7" w:space="0" w:color="000000"/>
              <w:bottom w:val="single" w:sz="6" w:space="0" w:color="FFFFFF"/>
              <w:right w:val="single" w:sz="7" w:space="0" w:color="000000"/>
            </w:tcBorders>
          </w:tcPr>
          <w:p w:rsidR="002634D0" w:rsidRPr="009769D3" w:rsidRDefault="002634D0" w:rsidP="00235F6B">
            <w:pPr>
              <w:spacing w:line="120" w:lineRule="exact"/>
              <w:jc w:val="center"/>
              <w:rPr>
                <w:b/>
                <w:bCs/>
                <w:color w:val="000000"/>
              </w:rPr>
            </w:pPr>
          </w:p>
          <w:p w:rsidR="002634D0" w:rsidRPr="009769D3" w:rsidRDefault="002634D0" w:rsidP="00235F6B">
            <w:pPr>
              <w:pBdr>
                <w:top w:val="single" w:sz="6" w:space="0" w:color="FFFFFF"/>
                <w:left w:val="single" w:sz="6" w:space="0" w:color="FFFFFF"/>
                <w:bottom w:val="single" w:sz="6" w:space="0" w:color="FFFFFF"/>
                <w:right w:val="single" w:sz="6" w:space="0" w:color="FFFFFF"/>
              </w:pBdr>
              <w:spacing w:after="54"/>
              <w:jc w:val="center"/>
              <w:rPr>
                <w:b/>
                <w:bCs/>
                <w:color w:val="000000"/>
              </w:rPr>
            </w:pPr>
            <w:r w:rsidRPr="009769D3">
              <w:rPr>
                <w:b/>
                <w:bCs/>
                <w:color w:val="000000"/>
              </w:rPr>
              <w:t>NAICS Codes</w:t>
            </w:r>
          </w:p>
        </w:tc>
      </w:tr>
      <w:tr w:rsidR="002634D0" w:rsidRPr="009769D3">
        <w:tc>
          <w:tcPr>
            <w:tcW w:w="3120" w:type="dxa"/>
            <w:tcBorders>
              <w:top w:val="single" w:sz="7" w:space="0" w:color="000000"/>
              <w:left w:val="single" w:sz="7" w:space="0" w:color="000000"/>
              <w:bottom w:val="single" w:sz="6" w:space="0" w:color="FFFFFF"/>
              <w:right w:val="single" w:sz="6" w:space="0" w:color="FFFFFF"/>
            </w:tcBorders>
          </w:tcPr>
          <w:p w:rsidR="002634D0" w:rsidRPr="009769D3" w:rsidRDefault="002634D0" w:rsidP="00235F6B">
            <w:pPr>
              <w:keepNext/>
              <w:numPr>
                <w:ilvl w:val="12"/>
                <w:numId w:val="0"/>
              </w:numPr>
              <w:tabs>
                <w:tab w:val="left" w:pos="0"/>
                <w:tab w:val="left" w:pos="720"/>
              </w:tabs>
              <w:spacing w:after="28"/>
            </w:pPr>
            <w:r w:rsidRPr="009769D3">
              <w:t>211</w:t>
            </w:r>
          </w:p>
        </w:tc>
        <w:tc>
          <w:tcPr>
            <w:tcW w:w="3120" w:type="dxa"/>
            <w:tcBorders>
              <w:top w:val="single" w:sz="7" w:space="0" w:color="000000"/>
              <w:left w:val="single" w:sz="7" w:space="0" w:color="000000"/>
              <w:bottom w:val="single" w:sz="6" w:space="0" w:color="FFFFFF"/>
              <w:right w:val="single" w:sz="7" w:space="0" w:color="000000"/>
            </w:tcBorders>
          </w:tcPr>
          <w:p w:rsidR="002634D0" w:rsidRPr="009769D3" w:rsidRDefault="002634D0" w:rsidP="00235F6B">
            <w:pPr>
              <w:keepNext/>
              <w:numPr>
                <w:ilvl w:val="12"/>
                <w:numId w:val="0"/>
              </w:numPr>
              <w:tabs>
                <w:tab w:val="left" w:pos="0"/>
                <w:tab w:val="left" w:pos="720"/>
                <w:tab w:val="left" w:pos="1440"/>
                <w:tab w:val="left" w:pos="2160"/>
                <w:tab w:val="left" w:pos="2880"/>
                <w:tab w:val="left" w:pos="3600"/>
                <w:tab w:val="left" w:pos="4320"/>
              </w:tabs>
              <w:spacing w:before="105" w:after="28"/>
            </w:pPr>
            <w:r w:rsidRPr="009769D3">
              <w:t>Extractors of crude petroleum or natural gas.</w:t>
            </w:r>
          </w:p>
        </w:tc>
      </w:tr>
      <w:tr w:rsidR="002634D0" w:rsidRPr="009769D3">
        <w:tc>
          <w:tcPr>
            <w:tcW w:w="3120" w:type="dxa"/>
            <w:tcBorders>
              <w:top w:val="single" w:sz="7" w:space="0" w:color="000000"/>
              <w:left w:val="single" w:sz="7" w:space="0" w:color="000000"/>
              <w:bottom w:val="single" w:sz="6" w:space="0" w:color="FFFFFF"/>
              <w:right w:val="single" w:sz="6" w:space="0" w:color="FFFFFF"/>
            </w:tcBorders>
          </w:tcPr>
          <w:p w:rsidR="002634D0" w:rsidRPr="009769D3" w:rsidRDefault="002634D0" w:rsidP="00235F6B">
            <w:pPr>
              <w:keepNext/>
              <w:numPr>
                <w:ilvl w:val="12"/>
                <w:numId w:val="0"/>
              </w:numPr>
              <w:tabs>
                <w:tab w:val="left" w:pos="0"/>
                <w:tab w:val="left" w:pos="720"/>
              </w:tabs>
              <w:spacing w:after="28"/>
            </w:pPr>
            <w:r w:rsidRPr="009769D3">
              <w:t>321</w:t>
            </w:r>
          </w:p>
        </w:tc>
        <w:tc>
          <w:tcPr>
            <w:tcW w:w="3120" w:type="dxa"/>
            <w:tcBorders>
              <w:top w:val="single" w:sz="7" w:space="0" w:color="000000"/>
              <w:left w:val="single" w:sz="7" w:space="0" w:color="000000"/>
              <w:bottom w:val="single" w:sz="6" w:space="0" w:color="FFFFFF"/>
              <w:right w:val="single" w:sz="7" w:space="0" w:color="000000"/>
            </w:tcBorders>
          </w:tcPr>
          <w:p w:rsidR="002634D0" w:rsidRPr="009769D3" w:rsidRDefault="002634D0" w:rsidP="00235F6B">
            <w:pPr>
              <w:keepNext/>
              <w:numPr>
                <w:ilvl w:val="12"/>
                <w:numId w:val="0"/>
              </w:numPr>
              <w:tabs>
                <w:tab w:val="left" w:pos="0"/>
                <w:tab w:val="left" w:pos="720"/>
                <w:tab w:val="left" w:pos="1440"/>
                <w:tab w:val="left" w:pos="2160"/>
                <w:tab w:val="left" w:pos="2880"/>
                <w:tab w:val="left" w:pos="3600"/>
                <w:tab w:val="left" w:pos="4320"/>
              </w:tabs>
              <w:spacing w:before="105" w:after="28"/>
            </w:pPr>
            <w:r w:rsidRPr="009769D3">
              <w:t>Wood product manufacturing.</w:t>
            </w:r>
          </w:p>
        </w:tc>
      </w:tr>
      <w:tr w:rsidR="002634D0" w:rsidRPr="009769D3">
        <w:tc>
          <w:tcPr>
            <w:tcW w:w="3120" w:type="dxa"/>
            <w:tcBorders>
              <w:top w:val="single" w:sz="7" w:space="0" w:color="000000"/>
              <w:left w:val="single" w:sz="7" w:space="0" w:color="000000"/>
              <w:bottom w:val="single" w:sz="6" w:space="0" w:color="FFFFFF"/>
              <w:right w:val="single" w:sz="6" w:space="0" w:color="FFFFFF"/>
            </w:tcBorders>
          </w:tcPr>
          <w:p w:rsidR="002634D0" w:rsidRPr="009769D3" w:rsidRDefault="002634D0" w:rsidP="00235F6B">
            <w:pPr>
              <w:keepNext/>
              <w:numPr>
                <w:ilvl w:val="12"/>
                <w:numId w:val="0"/>
              </w:numPr>
              <w:tabs>
                <w:tab w:val="left" w:pos="0"/>
                <w:tab w:val="left" w:pos="720"/>
              </w:tabs>
              <w:spacing w:before="105"/>
            </w:pPr>
            <w:r w:rsidRPr="009769D3">
              <w:t>322</w:t>
            </w:r>
          </w:p>
        </w:tc>
        <w:tc>
          <w:tcPr>
            <w:tcW w:w="3120" w:type="dxa"/>
            <w:tcBorders>
              <w:top w:val="single" w:sz="7" w:space="0" w:color="000000"/>
              <w:left w:val="single" w:sz="7" w:space="0" w:color="000000"/>
              <w:bottom w:val="single" w:sz="6" w:space="0" w:color="FFFFFF"/>
              <w:right w:val="single" w:sz="7" w:space="0" w:color="000000"/>
            </w:tcBorders>
          </w:tcPr>
          <w:p w:rsidR="002634D0" w:rsidRPr="009769D3" w:rsidRDefault="002634D0" w:rsidP="00235F6B">
            <w:pPr>
              <w:keepNext/>
              <w:numPr>
                <w:ilvl w:val="12"/>
                <w:numId w:val="0"/>
              </w:numPr>
              <w:tabs>
                <w:tab w:val="left" w:pos="0"/>
                <w:tab w:val="left" w:pos="720"/>
                <w:tab w:val="left" w:pos="1440"/>
                <w:tab w:val="left" w:pos="2160"/>
                <w:tab w:val="left" w:pos="2880"/>
                <w:tab w:val="left" w:pos="3600"/>
                <w:tab w:val="left" w:pos="4320"/>
              </w:tabs>
              <w:spacing w:before="105" w:after="28"/>
            </w:pPr>
            <w:r w:rsidRPr="009769D3">
              <w:t>Pulp and paper mills.</w:t>
            </w:r>
          </w:p>
        </w:tc>
      </w:tr>
      <w:tr w:rsidR="002634D0" w:rsidRPr="009769D3">
        <w:tc>
          <w:tcPr>
            <w:tcW w:w="3120" w:type="dxa"/>
            <w:tcBorders>
              <w:top w:val="single" w:sz="7" w:space="0" w:color="000000"/>
              <w:left w:val="single" w:sz="7" w:space="0" w:color="000000"/>
              <w:bottom w:val="single" w:sz="6" w:space="0" w:color="FFFFFF"/>
              <w:right w:val="single" w:sz="6" w:space="0" w:color="FFFFFF"/>
            </w:tcBorders>
          </w:tcPr>
          <w:p w:rsidR="002634D0" w:rsidRPr="009769D3" w:rsidRDefault="002634D0" w:rsidP="00235F6B">
            <w:pPr>
              <w:keepNext/>
              <w:numPr>
                <w:ilvl w:val="12"/>
                <w:numId w:val="0"/>
              </w:numPr>
              <w:tabs>
                <w:tab w:val="left" w:pos="0"/>
                <w:tab w:val="left" w:pos="720"/>
              </w:tabs>
              <w:spacing w:before="105"/>
            </w:pPr>
            <w:r w:rsidRPr="009769D3">
              <w:t>325</w:t>
            </w:r>
          </w:p>
        </w:tc>
        <w:tc>
          <w:tcPr>
            <w:tcW w:w="3120" w:type="dxa"/>
            <w:tcBorders>
              <w:top w:val="single" w:sz="7" w:space="0" w:color="000000"/>
              <w:left w:val="single" w:sz="7" w:space="0" w:color="000000"/>
              <w:bottom w:val="single" w:sz="6" w:space="0" w:color="FFFFFF"/>
              <w:right w:val="single" w:sz="7" w:space="0" w:color="000000"/>
            </w:tcBorders>
          </w:tcPr>
          <w:p w:rsidR="002634D0" w:rsidRPr="009769D3" w:rsidRDefault="002634D0" w:rsidP="00235F6B">
            <w:pPr>
              <w:keepNext/>
              <w:numPr>
                <w:ilvl w:val="12"/>
                <w:numId w:val="0"/>
              </w:numPr>
              <w:tabs>
                <w:tab w:val="left" w:pos="0"/>
                <w:tab w:val="left" w:pos="720"/>
                <w:tab w:val="left" w:pos="1440"/>
                <w:tab w:val="left" w:pos="2160"/>
                <w:tab w:val="left" w:pos="2880"/>
                <w:tab w:val="left" w:pos="3600"/>
                <w:tab w:val="left" w:pos="4320"/>
              </w:tabs>
              <w:spacing w:before="105" w:after="28"/>
            </w:pPr>
            <w:r w:rsidRPr="009769D3">
              <w:t>Chemical manufacturers.</w:t>
            </w:r>
          </w:p>
        </w:tc>
      </w:tr>
      <w:tr w:rsidR="002634D0" w:rsidRPr="009769D3">
        <w:tc>
          <w:tcPr>
            <w:tcW w:w="3120" w:type="dxa"/>
            <w:tcBorders>
              <w:top w:val="single" w:sz="7" w:space="0" w:color="000000"/>
              <w:left w:val="single" w:sz="7" w:space="0" w:color="000000"/>
              <w:bottom w:val="single" w:sz="7" w:space="0" w:color="000000"/>
              <w:right w:val="single" w:sz="6" w:space="0" w:color="FFFFFF"/>
            </w:tcBorders>
          </w:tcPr>
          <w:p w:rsidR="002634D0" w:rsidRPr="009769D3" w:rsidRDefault="002634D0" w:rsidP="00235F6B">
            <w:pPr>
              <w:keepNext/>
              <w:numPr>
                <w:ilvl w:val="12"/>
                <w:numId w:val="0"/>
              </w:numPr>
              <w:tabs>
                <w:tab w:val="left" w:pos="0"/>
                <w:tab w:val="left" w:pos="720"/>
              </w:tabs>
              <w:spacing w:before="105"/>
            </w:pPr>
            <w:r w:rsidRPr="009769D3">
              <w:t>324</w:t>
            </w:r>
          </w:p>
        </w:tc>
        <w:tc>
          <w:tcPr>
            <w:tcW w:w="3120" w:type="dxa"/>
            <w:tcBorders>
              <w:top w:val="single" w:sz="7" w:space="0" w:color="000000"/>
              <w:left w:val="single" w:sz="7" w:space="0" w:color="000000"/>
              <w:bottom w:val="single" w:sz="7" w:space="0" w:color="000000"/>
              <w:right w:val="single" w:sz="7" w:space="0" w:color="000000"/>
            </w:tcBorders>
          </w:tcPr>
          <w:p w:rsidR="002634D0" w:rsidRPr="009769D3" w:rsidRDefault="002634D0" w:rsidP="00235F6B">
            <w:pPr>
              <w:keepNext/>
              <w:numPr>
                <w:ilvl w:val="12"/>
                <w:numId w:val="0"/>
              </w:numPr>
              <w:tabs>
                <w:tab w:val="left" w:pos="0"/>
                <w:tab w:val="left" w:pos="720"/>
                <w:tab w:val="left" w:pos="1440"/>
                <w:tab w:val="left" w:pos="2160"/>
                <w:tab w:val="left" w:pos="2880"/>
                <w:tab w:val="left" w:pos="3600"/>
                <w:tab w:val="left" w:pos="4320"/>
              </w:tabs>
              <w:spacing w:before="105" w:after="28"/>
            </w:pPr>
            <w:r w:rsidRPr="009769D3">
              <w:t xml:space="preserve">Petroleum refineries and manufacturers of coal products. </w:t>
            </w:r>
          </w:p>
        </w:tc>
      </w:tr>
      <w:tr w:rsidR="002634D0" w:rsidRPr="009769D3">
        <w:tc>
          <w:tcPr>
            <w:tcW w:w="3120" w:type="dxa"/>
            <w:tcBorders>
              <w:top w:val="single" w:sz="7" w:space="0" w:color="000000"/>
              <w:left w:val="single" w:sz="7" w:space="0" w:color="000000"/>
              <w:bottom w:val="single" w:sz="7" w:space="0" w:color="000000"/>
              <w:right w:val="single" w:sz="6" w:space="0" w:color="FFFFFF"/>
            </w:tcBorders>
          </w:tcPr>
          <w:p w:rsidR="002634D0" w:rsidRPr="009769D3" w:rsidRDefault="002634D0" w:rsidP="00235F6B">
            <w:pPr>
              <w:keepNext/>
              <w:numPr>
                <w:ilvl w:val="12"/>
                <w:numId w:val="0"/>
              </w:numPr>
              <w:tabs>
                <w:tab w:val="left" w:pos="0"/>
                <w:tab w:val="left" w:pos="720"/>
              </w:tabs>
              <w:spacing w:before="105"/>
            </w:pPr>
            <w:r w:rsidRPr="009769D3">
              <w:t>316/326/339</w:t>
            </w:r>
          </w:p>
        </w:tc>
        <w:tc>
          <w:tcPr>
            <w:tcW w:w="3120" w:type="dxa"/>
            <w:tcBorders>
              <w:top w:val="single" w:sz="7" w:space="0" w:color="000000"/>
              <w:left w:val="single" w:sz="7" w:space="0" w:color="000000"/>
              <w:bottom w:val="single" w:sz="7" w:space="0" w:color="000000"/>
              <w:right w:val="single" w:sz="7" w:space="0" w:color="000000"/>
            </w:tcBorders>
          </w:tcPr>
          <w:p w:rsidR="002634D0" w:rsidRPr="009769D3" w:rsidRDefault="002634D0" w:rsidP="00235F6B">
            <w:pPr>
              <w:keepNext/>
              <w:numPr>
                <w:ilvl w:val="12"/>
                <w:numId w:val="0"/>
              </w:numPr>
              <w:tabs>
                <w:tab w:val="left" w:pos="0"/>
                <w:tab w:val="left" w:pos="720"/>
                <w:tab w:val="left" w:pos="1440"/>
                <w:tab w:val="left" w:pos="2160"/>
                <w:tab w:val="left" w:pos="2880"/>
                <w:tab w:val="left" w:pos="3600"/>
                <w:tab w:val="left" w:pos="4320"/>
              </w:tabs>
              <w:spacing w:before="105" w:after="28"/>
            </w:pPr>
            <w:r w:rsidRPr="009769D3">
              <w:t>Manufacturers of rubber and miscellaneous plastic products.</w:t>
            </w:r>
          </w:p>
        </w:tc>
      </w:tr>
      <w:tr w:rsidR="002634D0" w:rsidRPr="009769D3">
        <w:tc>
          <w:tcPr>
            <w:tcW w:w="3120" w:type="dxa"/>
            <w:tcBorders>
              <w:top w:val="single" w:sz="7" w:space="0" w:color="000000"/>
              <w:left w:val="single" w:sz="7" w:space="0" w:color="000000"/>
              <w:bottom w:val="single" w:sz="7" w:space="0" w:color="000000"/>
              <w:right w:val="single" w:sz="6" w:space="0" w:color="FFFFFF"/>
            </w:tcBorders>
          </w:tcPr>
          <w:p w:rsidR="002634D0" w:rsidRPr="009769D3" w:rsidRDefault="002634D0" w:rsidP="00235F6B">
            <w:pPr>
              <w:keepNext/>
              <w:numPr>
                <w:ilvl w:val="12"/>
                <w:numId w:val="0"/>
              </w:numPr>
              <w:tabs>
                <w:tab w:val="left" w:pos="0"/>
                <w:tab w:val="left" w:pos="720"/>
              </w:tabs>
              <w:spacing w:before="105"/>
            </w:pPr>
            <w:r w:rsidRPr="009769D3">
              <w:t>331</w:t>
            </w:r>
          </w:p>
        </w:tc>
        <w:tc>
          <w:tcPr>
            <w:tcW w:w="3120" w:type="dxa"/>
            <w:tcBorders>
              <w:top w:val="single" w:sz="7" w:space="0" w:color="000000"/>
              <w:left w:val="single" w:sz="7" w:space="0" w:color="000000"/>
              <w:bottom w:val="single" w:sz="7" w:space="0" w:color="000000"/>
              <w:right w:val="single" w:sz="7" w:space="0" w:color="000000"/>
            </w:tcBorders>
          </w:tcPr>
          <w:p w:rsidR="002634D0" w:rsidRPr="009769D3" w:rsidRDefault="002634D0" w:rsidP="00235F6B">
            <w:pPr>
              <w:keepNext/>
              <w:numPr>
                <w:ilvl w:val="12"/>
                <w:numId w:val="0"/>
              </w:numPr>
              <w:tabs>
                <w:tab w:val="left" w:pos="0"/>
                <w:tab w:val="left" w:pos="720"/>
                <w:tab w:val="left" w:pos="1440"/>
                <w:tab w:val="left" w:pos="2160"/>
                <w:tab w:val="left" w:pos="2880"/>
                <w:tab w:val="left" w:pos="3600"/>
                <w:tab w:val="left" w:pos="4320"/>
              </w:tabs>
              <w:spacing w:before="105" w:after="28"/>
            </w:pPr>
            <w:r w:rsidRPr="009769D3">
              <w:t xml:space="preserve">Steel </w:t>
            </w:r>
            <w:proofErr w:type="gramStart"/>
            <w:r w:rsidRPr="009769D3">
              <w:t>works,</w:t>
            </w:r>
            <w:proofErr w:type="gramEnd"/>
            <w:r w:rsidRPr="009769D3">
              <w:t xml:space="preserve"> blast furnaces.</w:t>
            </w:r>
          </w:p>
        </w:tc>
      </w:tr>
      <w:tr w:rsidR="002634D0" w:rsidRPr="009769D3">
        <w:tc>
          <w:tcPr>
            <w:tcW w:w="3120" w:type="dxa"/>
            <w:tcBorders>
              <w:top w:val="single" w:sz="7" w:space="0" w:color="000000"/>
              <w:left w:val="single" w:sz="7" w:space="0" w:color="000000"/>
              <w:bottom w:val="single" w:sz="7" w:space="0" w:color="000000"/>
              <w:right w:val="single" w:sz="6" w:space="0" w:color="FFFFFF"/>
            </w:tcBorders>
          </w:tcPr>
          <w:p w:rsidR="002634D0" w:rsidRPr="009769D3" w:rsidRDefault="002634D0" w:rsidP="00235F6B">
            <w:pPr>
              <w:numPr>
                <w:ilvl w:val="12"/>
                <w:numId w:val="0"/>
              </w:numPr>
              <w:tabs>
                <w:tab w:val="left" w:pos="0"/>
                <w:tab w:val="left" w:pos="720"/>
              </w:tabs>
              <w:spacing w:before="105" w:after="28"/>
            </w:pPr>
            <w:r w:rsidRPr="009769D3">
              <w:t>332</w:t>
            </w:r>
          </w:p>
        </w:tc>
        <w:tc>
          <w:tcPr>
            <w:tcW w:w="3120" w:type="dxa"/>
            <w:tcBorders>
              <w:top w:val="single" w:sz="7" w:space="0" w:color="000000"/>
              <w:left w:val="single" w:sz="7" w:space="0" w:color="000000"/>
              <w:bottom w:val="single" w:sz="7" w:space="0" w:color="000000"/>
              <w:right w:val="single" w:sz="7" w:space="0" w:color="000000"/>
            </w:tcBorders>
          </w:tcPr>
          <w:p w:rsidR="002634D0" w:rsidRPr="009769D3" w:rsidRDefault="002634D0" w:rsidP="00235F6B">
            <w:pPr>
              <w:numPr>
                <w:ilvl w:val="12"/>
                <w:numId w:val="0"/>
              </w:numPr>
              <w:tabs>
                <w:tab w:val="left" w:pos="0"/>
                <w:tab w:val="left" w:pos="720"/>
                <w:tab w:val="left" w:pos="1440"/>
                <w:tab w:val="left" w:pos="2160"/>
                <w:tab w:val="left" w:pos="2880"/>
                <w:tab w:val="left" w:pos="3600"/>
                <w:tab w:val="left" w:pos="4320"/>
              </w:tabs>
              <w:spacing w:before="105" w:after="28"/>
            </w:pPr>
            <w:r w:rsidRPr="009769D3">
              <w:t>Electroplating, plating, polishing, anodizing, and coloring.</w:t>
            </w:r>
          </w:p>
        </w:tc>
      </w:tr>
      <w:tr w:rsidR="002634D0" w:rsidRPr="009769D3">
        <w:tc>
          <w:tcPr>
            <w:tcW w:w="3120" w:type="dxa"/>
            <w:tcBorders>
              <w:top w:val="single" w:sz="7" w:space="0" w:color="000000"/>
              <w:left w:val="single" w:sz="7" w:space="0" w:color="000000"/>
              <w:bottom w:val="single" w:sz="7" w:space="0" w:color="000000"/>
              <w:right w:val="single" w:sz="6" w:space="0" w:color="FFFFFF"/>
            </w:tcBorders>
          </w:tcPr>
          <w:p w:rsidR="002634D0" w:rsidRPr="009769D3" w:rsidRDefault="002634D0" w:rsidP="00235F6B">
            <w:pPr>
              <w:numPr>
                <w:ilvl w:val="12"/>
                <w:numId w:val="0"/>
              </w:numPr>
              <w:tabs>
                <w:tab w:val="left" w:pos="0"/>
                <w:tab w:val="left" w:pos="720"/>
              </w:tabs>
              <w:spacing w:before="105" w:after="28"/>
            </w:pPr>
            <w:r w:rsidRPr="009769D3">
              <w:t>336</w:t>
            </w:r>
          </w:p>
        </w:tc>
        <w:tc>
          <w:tcPr>
            <w:tcW w:w="3120" w:type="dxa"/>
            <w:tcBorders>
              <w:top w:val="single" w:sz="7" w:space="0" w:color="000000"/>
              <w:left w:val="single" w:sz="7" w:space="0" w:color="000000"/>
              <w:bottom w:val="single" w:sz="7" w:space="0" w:color="000000"/>
              <w:right w:val="single" w:sz="7" w:space="0" w:color="000000"/>
            </w:tcBorders>
          </w:tcPr>
          <w:p w:rsidR="002634D0" w:rsidRPr="009769D3" w:rsidRDefault="002634D0" w:rsidP="00235F6B">
            <w:pPr>
              <w:numPr>
                <w:ilvl w:val="12"/>
                <w:numId w:val="0"/>
              </w:numPr>
              <w:tabs>
                <w:tab w:val="left" w:pos="0"/>
                <w:tab w:val="left" w:pos="720"/>
                <w:tab w:val="left" w:pos="1440"/>
                <w:tab w:val="left" w:pos="2160"/>
                <w:tab w:val="left" w:pos="2880"/>
                <w:tab w:val="left" w:pos="3600"/>
                <w:tab w:val="left" w:pos="4320"/>
              </w:tabs>
              <w:spacing w:before="105" w:after="28"/>
            </w:pPr>
            <w:r w:rsidRPr="009769D3">
              <w:t>Manufacturers of motor vehicle parts and accessories.</w:t>
            </w:r>
          </w:p>
        </w:tc>
      </w:tr>
      <w:tr w:rsidR="002634D0" w:rsidRPr="009769D3">
        <w:tc>
          <w:tcPr>
            <w:tcW w:w="3120" w:type="dxa"/>
            <w:tcBorders>
              <w:top w:val="single" w:sz="7" w:space="0" w:color="000000"/>
              <w:left w:val="single" w:sz="7" w:space="0" w:color="000000"/>
              <w:bottom w:val="single" w:sz="7" w:space="0" w:color="000000"/>
              <w:right w:val="single" w:sz="6" w:space="0" w:color="FFFFFF"/>
            </w:tcBorders>
          </w:tcPr>
          <w:p w:rsidR="002634D0" w:rsidRPr="009769D3" w:rsidRDefault="002634D0" w:rsidP="00235F6B">
            <w:pPr>
              <w:numPr>
                <w:ilvl w:val="12"/>
                <w:numId w:val="0"/>
              </w:numPr>
              <w:tabs>
                <w:tab w:val="left" w:pos="0"/>
                <w:tab w:val="left" w:pos="720"/>
              </w:tabs>
              <w:spacing w:before="105" w:after="28"/>
            </w:pPr>
            <w:r w:rsidRPr="009769D3">
              <w:t>221</w:t>
            </w:r>
          </w:p>
        </w:tc>
        <w:tc>
          <w:tcPr>
            <w:tcW w:w="3120" w:type="dxa"/>
            <w:tcBorders>
              <w:top w:val="single" w:sz="7" w:space="0" w:color="000000"/>
              <w:left w:val="single" w:sz="7" w:space="0" w:color="000000"/>
              <w:bottom w:val="single" w:sz="7" w:space="0" w:color="000000"/>
              <w:right w:val="single" w:sz="7" w:space="0" w:color="000000"/>
            </w:tcBorders>
          </w:tcPr>
          <w:p w:rsidR="002634D0" w:rsidRPr="009769D3" w:rsidRDefault="002634D0" w:rsidP="00235F6B">
            <w:pPr>
              <w:numPr>
                <w:ilvl w:val="12"/>
                <w:numId w:val="0"/>
              </w:numPr>
              <w:tabs>
                <w:tab w:val="left" w:pos="0"/>
                <w:tab w:val="left" w:pos="720"/>
                <w:tab w:val="left" w:pos="1440"/>
                <w:tab w:val="left" w:pos="2160"/>
                <w:tab w:val="left" w:pos="2880"/>
                <w:tab w:val="left" w:pos="3600"/>
                <w:tab w:val="left" w:pos="4320"/>
              </w:tabs>
              <w:spacing w:before="105" w:after="28"/>
            </w:pPr>
            <w:r w:rsidRPr="009769D3">
              <w:t>Electric, gas, and sanitary services.</w:t>
            </w:r>
          </w:p>
        </w:tc>
      </w:tr>
      <w:tr w:rsidR="002634D0" w:rsidRPr="009769D3">
        <w:tc>
          <w:tcPr>
            <w:tcW w:w="3120" w:type="dxa"/>
            <w:tcBorders>
              <w:top w:val="single" w:sz="7" w:space="0" w:color="000000"/>
              <w:left w:val="single" w:sz="7" w:space="0" w:color="000000"/>
              <w:bottom w:val="single" w:sz="7" w:space="0" w:color="000000"/>
              <w:right w:val="single" w:sz="6" w:space="0" w:color="FFFFFF"/>
            </w:tcBorders>
          </w:tcPr>
          <w:p w:rsidR="002634D0" w:rsidRPr="009769D3" w:rsidRDefault="002634D0" w:rsidP="00235F6B">
            <w:pPr>
              <w:numPr>
                <w:ilvl w:val="12"/>
                <w:numId w:val="0"/>
              </w:numPr>
              <w:tabs>
                <w:tab w:val="left" w:pos="0"/>
                <w:tab w:val="left" w:pos="720"/>
              </w:tabs>
              <w:spacing w:before="105" w:after="28"/>
            </w:pPr>
            <w:r w:rsidRPr="009769D3">
              <w:t>622</w:t>
            </w:r>
          </w:p>
        </w:tc>
        <w:tc>
          <w:tcPr>
            <w:tcW w:w="3120" w:type="dxa"/>
            <w:tcBorders>
              <w:top w:val="single" w:sz="7" w:space="0" w:color="000000"/>
              <w:left w:val="single" w:sz="7" w:space="0" w:color="000000"/>
              <w:bottom w:val="single" w:sz="7" w:space="0" w:color="000000"/>
              <w:right w:val="single" w:sz="7" w:space="0" w:color="000000"/>
            </w:tcBorders>
          </w:tcPr>
          <w:p w:rsidR="002634D0" w:rsidRPr="009769D3" w:rsidRDefault="002634D0" w:rsidP="00235F6B">
            <w:pPr>
              <w:numPr>
                <w:ilvl w:val="12"/>
                <w:numId w:val="0"/>
              </w:numPr>
              <w:tabs>
                <w:tab w:val="left" w:pos="0"/>
                <w:tab w:val="left" w:pos="720"/>
                <w:tab w:val="left" w:pos="1440"/>
                <w:tab w:val="left" w:pos="2160"/>
                <w:tab w:val="left" w:pos="2880"/>
                <w:tab w:val="left" w:pos="3600"/>
                <w:tab w:val="left" w:pos="4320"/>
              </w:tabs>
              <w:spacing w:before="105" w:after="28"/>
            </w:pPr>
            <w:r w:rsidRPr="009769D3">
              <w:t>Health services.</w:t>
            </w:r>
          </w:p>
        </w:tc>
      </w:tr>
      <w:tr w:rsidR="002634D0" w:rsidRPr="009769D3">
        <w:tc>
          <w:tcPr>
            <w:tcW w:w="3120" w:type="dxa"/>
            <w:tcBorders>
              <w:top w:val="single" w:sz="7" w:space="0" w:color="000000"/>
              <w:left w:val="single" w:sz="7" w:space="0" w:color="000000"/>
              <w:bottom w:val="single" w:sz="7" w:space="0" w:color="000000"/>
              <w:right w:val="single" w:sz="6" w:space="0" w:color="FFFFFF"/>
            </w:tcBorders>
          </w:tcPr>
          <w:p w:rsidR="002634D0" w:rsidRPr="009769D3" w:rsidRDefault="002634D0" w:rsidP="00235F6B">
            <w:pPr>
              <w:numPr>
                <w:ilvl w:val="12"/>
                <w:numId w:val="0"/>
              </w:numPr>
              <w:tabs>
                <w:tab w:val="left" w:pos="0"/>
                <w:tab w:val="left" w:pos="720"/>
              </w:tabs>
              <w:spacing w:before="105" w:after="28"/>
            </w:pPr>
            <w:r w:rsidRPr="009769D3">
              <w:t>611</w:t>
            </w:r>
          </w:p>
        </w:tc>
        <w:tc>
          <w:tcPr>
            <w:tcW w:w="3120" w:type="dxa"/>
            <w:tcBorders>
              <w:top w:val="single" w:sz="7" w:space="0" w:color="000000"/>
              <w:left w:val="single" w:sz="7" w:space="0" w:color="000000"/>
              <w:bottom w:val="single" w:sz="7" w:space="0" w:color="000000"/>
              <w:right w:val="single" w:sz="7" w:space="0" w:color="000000"/>
            </w:tcBorders>
          </w:tcPr>
          <w:p w:rsidR="002634D0" w:rsidRPr="009769D3" w:rsidRDefault="002634D0" w:rsidP="00235F6B">
            <w:pPr>
              <w:numPr>
                <w:ilvl w:val="12"/>
                <w:numId w:val="0"/>
              </w:numPr>
              <w:tabs>
                <w:tab w:val="left" w:pos="0"/>
                <w:tab w:val="left" w:pos="720"/>
                <w:tab w:val="left" w:pos="1440"/>
                <w:tab w:val="left" w:pos="2160"/>
                <w:tab w:val="left" w:pos="2880"/>
                <w:tab w:val="left" w:pos="3600"/>
                <w:tab w:val="left" w:pos="4320"/>
              </w:tabs>
              <w:spacing w:before="105" w:after="28"/>
            </w:pPr>
            <w:r w:rsidRPr="009769D3">
              <w:t>Educational services</w:t>
            </w:r>
          </w:p>
        </w:tc>
      </w:tr>
    </w:tbl>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2634D0" w:rsidRPr="009769D3" w:rsidRDefault="002634D0" w:rsidP="00837BF6">
      <w:pPr>
        <w:pBdr>
          <w:top w:val="single" w:sz="6" w:space="0" w:color="FFFFFF"/>
          <w:left w:val="single" w:sz="6" w:space="0" w:color="FFFFFF"/>
          <w:bottom w:val="single" w:sz="6" w:space="0" w:color="FFFFFF"/>
          <w:right w:val="single" w:sz="6" w:space="0" w:color="FFFFFF"/>
        </w:pBdr>
        <w:ind w:firstLine="720"/>
        <w:rPr>
          <w:spacing w:val="-4"/>
        </w:rPr>
      </w:pPr>
      <w:r w:rsidRPr="009769D3">
        <w:rPr>
          <w:color w:val="000000"/>
        </w:rPr>
        <w:t>Based on the distribution of major source facilities with affected boilers or process heaters reported in the 2008 survey entitled “</w:t>
      </w:r>
      <w:r w:rsidRPr="009769D3">
        <w:t>Information Collection Effort for Facilities with Combustion Units</w:t>
      </w:r>
      <w:proofErr w:type="gramStart"/>
      <w:r w:rsidRPr="009769D3">
        <w:rPr>
          <w:spacing w:val="-4"/>
        </w:rPr>
        <w:t>.(</w:t>
      </w:r>
      <w:proofErr w:type="gramEnd"/>
      <w:r w:rsidRPr="009769D3">
        <w:rPr>
          <w:spacing w:val="-4"/>
        </w:rPr>
        <w:t>IC</w:t>
      </w:r>
      <w:r w:rsidR="00C815D9" w:rsidRPr="009769D3">
        <w:rPr>
          <w:spacing w:val="-4"/>
        </w:rPr>
        <w:t>R No. 2286.01),” there are 1,6</w:t>
      </w:r>
      <w:r w:rsidR="003033F1">
        <w:rPr>
          <w:spacing w:val="-4"/>
        </w:rPr>
        <w:t>39</w:t>
      </w:r>
      <w:r w:rsidRPr="009769D3">
        <w:rPr>
          <w:spacing w:val="-4"/>
        </w:rPr>
        <w:t xml:space="preserve"> existing facilities with affected boilers or process heaters. Of these, 94 percent are located in the private sector and the remaining 6 percent are located in the public sector. </w:t>
      </w:r>
      <w:r w:rsidR="00837BF6" w:rsidRPr="009769D3">
        <w:rPr>
          <w:spacing w:val="-4"/>
        </w:rPr>
        <w:t xml:space="preserve"> </w:t>
      </w:r>
      <w:r w:rsidR="005B6606" w:rsidRPr="009769D3">
        <w:rPr>
          <w:spacing w:val="-4"/>
        </w:rPr>
        <w:t>The agency is proj</w:t>
      </w:r>
      <w:r w:rsidR="00C815D9" w:rsidRPr="009769D3">
        <w:rPr>
          <w:spacing w:val="-4"/>
        </w:rPr>
        <w:t>ecting 16 new facilities with 4</w:t>
      </w:r>
      <w:r w:rsidR="00BB25D8" w:rsidRPr="009769D3">
        <w:rPr>
          <w:spacing w:val="-4"/>
        </w:rPr>
        <w:t>7</w:t>
      </w:r>
      <w:r w:rsidR="005B6606" w:rsidRPr="009769D3">
        <w:rPr>
          <w:spacing w:val="-4"/>
        </w:rPr>
        <w:t xml:space="preserve"> affected boilers and process heaters. </w:t>
      </w:r>
      <w:r w:rsidR="00837BF6" w:rsidRPr="009769D3">
        <w:rPr>
          <w:spacing w:val="-4"/>
        </w:rPr>
        <w:t xml:space="preserve"> </w:t>
      </w:r>
      <w:r w:rsidR="005B6606" w:rsidRPr="009769D3">
        <w:rPr>
          <w:spacing w:val="-4"/>
        </w:rPr>
        <w:t>The EPA is estimating that all</w:t>
      </w:r>
      <w:r w:rsidR="00B569CA" w:rsidRPr="009769D3">
        <w:rPr>
          <w:spacing w:val="-4"/>
        </w:rPr>
        <w:t xml:space="preserve"> new facilities </w:t>
      </w:r>
      <w:r w:rsidR="005B6606" w:rsidRPr="009769D3">
        <w:rPr>
          <w:spacing w:val="-4"/>
        </w:rPr>
        <w:t xml:space="preserve">will </w:t>
      </w:r>
      <w:r w:rsidR="00B569CA" w:rsidRPr="009769D3">
        <w:rPr>
          <w:spacing w:val="-4"/>
        </w:rPr>
        <w:t xml:space="preserve">be in the private sector. </w:t>
      </w:r>
      <w:r w:rsidR="005B6606" w:rsidRPr="009769D3">
        <w:rPr>
          <w:spacing w:val="-4"/>
        </w:rPr>
        <w:t xml:space="preserve"> Considering new and existing sources</w:t>
      </w:r>
      <w:r w:rsidR="00C815D9" w:rsidRPr="009769D3">
        <w:rPr>
          <w:spacing w:val="-4"/>
        </w:rPr>
        <w:t xml:space="preserve"> together</w:t>
      </w:r>
      <w:r w:rsidR="005B6606" w:rsidRPr="009769D3">
        <w:rPr>
          <w:spacing w:val="-4"/>
        </w:rPr>
        <w:t>, 95 percent of facilities are estimated to be in the private sector.</w:t>
      </w:r>
    </w:p>
    <w:p w:rsidR="002634D0" w:rsidRPr="009769D3" w:rsidRDefault="002634D0">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4(b</w:t>
      </w:r>
      <w:proofErr w:type="gramStart"/>
      <w:r w:rsidRPr="009769D3">
        <w:rPr>
          <w:b/>
          <w:bCs/>
          <w:color w:val="000000"/>
        </w:rPr>
        <w:t>)  Information</w:t>
      </w:r>
      <w:proofErr w:type="gramEnd"/>
      <w:r w:rsidRPr="009769D3">
        <w:rPr>
          <w:b/>
          <w:bCs/>
          <w:color w:val="000000"/>
        </w:rPr>
        <w:t xml:space="preserve"> Requested</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1440"/>
        <w:rPr>
          <w:color w:val="000000"/>
        </w:rPr>
      </w:pPr>
      <w:r w:rsidRPr="009769D3">
        <w:rPr>
          <w:b/>
          <w:bCs/>
          <w:color w:val="000000"/>
        </w:rPr>
        <w:t>(</w:t>
      </w:r>
      <w:proofErr w:type="spellStart"/>
      <w:r w:rsidRPr="009769D3">
        <w:rPr>
          <w:b/>
          <w:bCs/>
          <w:color w:val="000000"/>
        </w:rPr>
        <w:t>i</w:t>
      </w:r>
      <w:proofErr w:type="spellEnd"/>
      <w:r w:rsidRPr="009769D3">
        <w:rPr>
          <w:b/>
          <w:bCs/>
          <w:color w:val="000000"/>
        </w:rPr>
        <w:t>)  Data Items</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893F9B" w:rsidRPr="009769D3" w:rsidRDefault="00893F9B" w:rsidP="00893F9B">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In this ICR, all the data that is recorded or reported will be required by</w:t>
      </w:r>
      <w:r w:rsidRPr="009769D3">
        <w:rPr>
          <w:color w:val="FF0000"/>
        </w:rPr>
        <w:t xml:space="preserve"> </w:t>
      </w:r>
      <w:r w:rsidRPr="009769D3">
        <w:t>(40 CFR part 63, Subpart DDDDD).</w:t>
      </w:r>
      <w:r w:rsidRPr="009769D3">
        <w:rPr>
          <w:color w:val="000000"/>
        </w:rPr>
        <w:t xml:space="preserve">  </w:t>
      </w:r>
    </w:p>
    <w:p w:rsidR="00893F9B" w:rsidRPr="009769D3" w:rsidRDefault="00893F9B" w:rsidP="00893F9B">
      <w:pPr>
        <w:pBdr>
          <w:top w:val="single" w:sz="6" w:space="0" w:color="FFFFFF"/>
          <w:left w:val="single" w:sz="6" w:space="0" w:color="FFFFFF"/>
          <w:bottom w:val="single" w:sz="6" w:space="0" w:color="FFFFFF"/>
          <w:right w:val="single" w:sz="6" w:space="0" w:color="FFFFFF"/>
        </w:pBdr>
        <w:rPr>
          <w:color w:val="000000"/>
        </w:rPr>
      </w:pPr>
    </w:p>
    <w:p w:rsidR="00C815D9" w:rsidRPr="009769D3" w:rsidRDefault="00893F9B" w:rsidP="00EB1C7F">
      <w:pPr>
        <w:widowControl/>
        <w:ind w:firstLine="720"/>
      </w:pPr>
      <w:r w:rsidRPr="009769D3">
        <w:t xml:space="preserve">In Attachment B, </w:t>
      </w:r>
      <w:proofErr w:type="gramStart"/>
      <w:r w:rsidRPr="009769D3">
        <w:t>tables</w:t>
      </w:r>
      <w:proofErr w:type="gramEnd"/>
      <w:r w:rsidRPr="009769D3">
        <w:t xml:space="preserve"> 1.A-C, 2.A-C, 3.A-C, 4.A-C, 5.A-C, 6.A-C, 7.A-C, 8.A-C, 9.A-C, 10.A-C, 11.A-C, and 12.A-C present a summary of the testing, monitoring, recordkeeping and reporting requirements of the </w:t>
      </w:r>
      <w:r w:rsidR="00B569CA" w:rsidRPr="009769D3">
        <w:t xml:space="preserve">ICI </w:t>
      </w:r>
      <w:r w:rsidRPr="009769D3">
        <w:t>Boiler</w:t>
      </w:r>
      <w:r w:rsidR="00B569CA" w:rsidRPr="009769D3">
        <w:t xml:space="preserve"> and Process Heater</w:t>
      </w:r>
      <w:r w:rsidRPr="009769D3">
        <w:t xml:space="preserve"> NESHAP</w:t>
      </w:r>
      <w:r w:rsidR="00C815D9" w:rsidRPr="009769D3">
        <w:t>.</w:t>
      </w:r>
    </w:p>
    <w:p w:rsidR="00CA4CD6" w:rsidRPr="009769D3" w:rsidRDefault="00893F9B" w:rsidP="00EB1C7F">
      <w:pPr>
        <w:widowControl/>
        <w:ind w:firstLine="720"/>
      </w:pPr>
      <w:r w:rsidRPr="009769D3">
        <w:t xml:space="preserve"> </w:t>
      </w:r>
    </w:p>
    <w:p w:rsidR="00CA4CD6" w:rsidRPr="009769D3"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sidRPr="009769D3">
        <w:rPr>
          <w:b/>
          <w:bCs/>
          <w:color w:val="000000"/>
        </w:rPr>
        <w:t>(ii)  Respondent Activities</w:t>
      </w:r>
      <w:r w:rsidRPr="009769D3">
        <w:rPr>
          <w:b/>
          <w:bCs/>
          <w:color w:val="000000"/>
        </w:rPr>
        <w:tab/>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EB1C7F" w:rsidRPr="009769D3" w:rsidRDefault="00EB1C7F" w:rsidP="00EB1C7F">
      <w:pPr>
        <w:pBdr>
          <w:top w:val="single" w:sz="6" w:space="0" w:color="FFFFFF"/>
          <w:left w:val="single" w:sz="6" w:space="0" w:color="FFFFFF"/>
          <w:bottom w:val="single" w:sz="6" w:space="0" w:color="FFFFFF"/>
          <w:right w:val="single" w:sz="6" w:space="0" w:color="FFFFFF"/>
        </w:pBdr>
        <w:ind w:firstLine="720"/>
      </w:pPr>
      <w:r w:rsidRPr="009769D3">
        <w:t xml:space="preserve">The respondent activities proposed by the </w:t>
      </w:r>
      <w:r w:rsidR="00B569CA" w:rsidRPr="009769D3">
        <w:t xml:space="preserve">ICI </w:t>
      </w:r>
      <w:r w:rsidRPr="009769D3">
        <w:t>Boiler</w:t>
      </w:r>
      <w:r w:rsidR="00B569CA" w:rsidRPr="009769D3">
        <w:t xml:space="preserve"> and Process Heater</w:t>
      </w:r>
      <w:r w:rsidRPr="009769D3">
        <w:t xml:space="preserve"> NESHAP are provided under the first column of tables 1.A-12.C.  All respondent burden items are included in </w:t>
      </w:r>
      <w:proofErr w:type="gramStart"/>
      <w:r w:rsidRPr="009769D3">
        <w:t>tables</w:t>
      </w:r>
      <w:proofErr w:type="gramEnd"/>
      <w:r w:rsidRPr="009769D3">
        <w:t xml:space="preserve"> 1.A-12.C.</w:t>
      </w:r>
    </w:p>
    <w:p w:rsidR="00EB1C7F" w:rsidRPr="009769D3" w:rsidRDefault="00EB1C7F" w:rsidP="00EB1C7F">
      <w:pPr>
        <w:pBdr>
          <w:top w:val="single" w:sz="6" w:space="0" w:color="FFFFFF"/>
          <w:left w:val="single" w:sz="6" w:space="0" w:color="FFFFFF"/>
          <w:bottom w:val="single" w:sz="6" w:space="0" w:color="FFFFFF"/>
          <w:right w:val="single" w:sz="6" w:space="0" w:color="FFFFFF"/>
        </w:pBdr>
        <w:ind w:firstLine="720"/>
      </w:pPr>
    </w:p>
    <w:p w:rsidR="00EB1C7F" w:rsidRPr="009769D3" w:rsidRDefault="00EB1C7F" w:rsidP="00EB1C7F">
      <w:pPr>
        <w:pBdr>
          <w:top w:val="single" w:sz="6" w:space="0" w:color="FFFFFF"/>
          <w:left w:val="single" w:sz="6" w:space="0" w:color="FFFFFF"/>
          <w:bottom w:val="single" w:sz="6" w:space="0" w:color="FFFFFF"/>
          <w:right w:val="single" w:sz="6" w:space="0" w:color="FFFFFF"/>
        </w:pBdr>
        <w:ind w:firstLine="720"/>
        <w:rPr>
          <w:b/>
          <w:bCs/>
          <w:color w:val="000000"/>
        </w:rPr>
      </w:pPr>
      <w:r w:rsidRPr="009769D3">
        <w:tab/>
      </w:r>
      <w:r w:rsidRPr="009769D3">
        <w:rPr>
          <w:b/>
          <w:bCs/>
          <w:color w:val="000000"/>
        </w:rPr>
        <w:t>(iii)  Summary of Requirements</w:t>
      </w:r>
    </w:p>
    <w:p w:rsidR="00EB1C7F" w:rsidRPr="009769D3" w:rsidRDefault="00EB1C7F" w:rsidP="00EB1C7F">
      <w:pPr>
        <w:pBdr>
          <w:top w:val="single" w:sz="6" w:space="0" w:color="FFFFFF"/>
          <w:left w:val="single" w:sz="6" w:space="0" w:color="FFFFFF"/>
          <w:bottom w:val="single" w:sz="6" w:space="0" w:color="FFFFFF"/>
          <w:right w:val="single" w:sz="6" w:space="0" w:color="FFFFFF"/>
        </w:pBdr>
        <w:ind w:firstLine="720"/>
        <w:rPr>
          <w:b/>
          <w:bCs/>
          <w:color w:val="000000"/>
        </w:rPr>
      </w:pPr>
    </w:p>
    <w:p w:rsidR="00EB1C7F" w:rsidRPr="009769D3" w:rsidRDefault="00EB1C7F" w:rsidP="00EB1C7F">
      <w:pPr>
        <w:widowControl/>
        <w:ind w:firstLine="720"/>
        <w:rPr>
          <w:rFonts w:cs="Courier New"/>
        </w:rPr>
      </w:pPr>
      <w:r w:rsidRPr="009769D3">
        <w:rPr>
          <w:rFonts w:cs="Courier New"/>
        </w:rPr>
        <w:t>The information collection activities in this ICR include initial and annual stack tests, fuel analyses, operating parameter monitoring,</w:t>
      </w:r>
      <w:r w:rsidR="00BB25D8" w:rsidRPr="009769D3">
        <w:rPr>
          <w:rFonts w:cs="Courier New"/>
        </w:rPr>
        <w:t xml:space="preserve"> continuous O2 monitoring for all large units, </w:t>
      </w:r>
      <w:r w:rsidR="00446586" w:rsidRPr="009769D3">
        <w:rPr>
          <w:rFonts w:cs="Courier New"/>
        </w:rPr>
        <w:t>continuous emission monitoring for PM at units</w:t>
      </w:r>
      <w:r w:rsidR="00BB25D8" w:rsidRPr="009769D3">
        <w:rPr>
          <w:rFonts w:cs="Courier New"/>
        </w:rPr>
        <w:t xml:space="preserve"> greater than 250 </w:t>
      </w:r>
      <w:proofErr w:type="spellStart"/>
      <w:r w:rsidR="00BB25D8" w:rsidRPr="009769D3">
        <w:rPr>
          <w:rFonts w:cs="Courier New"/>
        </w:rPr>
        <w:t>mmBtu</w:t>
      </w:r>
      <w:proofErr w:type="spellEnd"/>
      <w:r w:rsidR="00BB25D8" w:rsidRPr="009769D3">
        <w:rPr>
          <w:rFonts w:cs="Courier New"/>
        </w:rPr>
        <w:t>/hr</w:t>
      </w:r>
      <w:r w:rsidR="00446586" w:rsidRPr="009769D3">
        <w:rPr>
          <w:rFonts w:cs="Courier New"/>
        </w:rPr>
        <w:t xml:space="preserve">, </w:t>
      </w:r>
      <w:r w:rsidRPr="009769D3">
        <w:rPr>
          <w:rFonts w:cs="Courier New"/>
        </w:rPr>
        <w:t xml:space="preserve">certified energy audits, annual </w:t>
      </w:r>
      <w:r w:rsidR="00C815D9" w:rsidRPr="009769D3">
        <w:rPr>
          <w:rFonts w:cs="Courier New"/>
        </w:rPr>
        <w:t xml:space="preserve">or biennial </w:t>
      </w:r>
      <w:r w:rsidRPr="009769D3">
        <w:rPr>
          <w:rFonts w:cs="Courier New"/>
        </w:rPr>
        <w:t>tune-ups</w:t>
      </w:r>
      <w:r w:rsidR="00C815D9" w:rsidRPr="009769D3">
        <w:rPr>
          <w:rFonts w:cs="Courier New"/>
        </w:rPr>
        <w:t xml:space="preserve"> (depending on the size of the combustion equipment)</w:t>
      </w:r>
      <w:r w:rsidRPr="009769D3">
        <w:rPr>
          <w:rFonts w:cs="Courier New"/>
        </w:rPr>
        <w:t xml:space="preserve"> and a site-specific fuel monitoring plan, one-time and periodic reports, and the maintenance of records.</w:t>
      </w:r>
    </w:p>
    <w:p w:rsidR="00EB1C7F" w:rsidRPr="009769D3" w:rsidRDefault="00EB1C7F" w:rsidP="00EB1C7F">
      <w:pPr>
        <w:widowControl/>
        <w:ind w:firstLine="720"/>
        <w:rPr>
          <w:rFonts w:cs="Courier New"/>
        </w:rPr>
      </w:pPr>
    </w:p>
    <w:p w:rsidR="00EB1C7F" w:rsidRPr="009769D3" w:rsidRDefault="00EB1C7F" w:rsidP="00EB1C7F">
      <w:pPr>
        <w:widowControl/>
        <w:ind w:firstLine="720"/>
        <w:rPr>
          <w:rFonts w:cs="Courier New"/>
        </w:rPr>
        <w:sectPr w:rsidR="00EB1C7F" w:rsidRPr="009769D3">
          <w:type w:val="continuous"/>
          <w:pgSz w:w="12240" w:h="15840"/>
          <w:pgMar w:top="1440" w:right="1440" w:bottom="1080" w:left="1440" w:header="1440" w:footer="1080" w:gutter="0"/>
          <w:cols w:space="720"/>
          <w:noEndnote/>
        </w:sectPr>
      </w:pPr>
    </w:p>
    <w:p w:rsidR="003033F1" w:rsidRDefault="00EB1C7F" w:rsidP="003033F1">
      <w:pPr>
        <w:widowControl/>
        <w:ind w:firstLine="720"/>
        <w:rPr>
          <w:rFonts w:cs="Courier New"/>
        </w:rPr>
      </w:pPr>
      <w:r w:rsidRPr="009769D3">
        <w:rPr>
          <w:rFonts w:cs="Courier New"/>
        </w:rPr>
        <w:lastRenderedPageBreak/>
        <w:t xml:space="preserve">For sources that can demonstrate compliance through fuel analysis, the regulation requires an initial fuel analysis and </w:t>
      </w:r>
      <w:r w:rsidR="00BB25D8" w:rsidRPr="009769D3">
        <w:rPr>
          <w:rFonts w:cs="Courier New"/>
        </w:rPr>
        <w:t xml:space="preserve">monthly </w:t>
      </w:r>
      <w:r w:rsidRPr="009769D3">
        <w:rPr>
          <w:rFonts w:cs="Courier New"/>
        </w:rPr>
        <w:t>fuel analyses.  Sources must conduct additional fuel analyses if they burn a new type of fuel.</w:t>
      </w:r>
      <w:r w:rsidR="003033F1">
        <w:rPr>
          <w:rFonts w:cs="Courier New"/>
        </w:rPr>
        <w:t xml:space="preserve"> For sources that are demonstrating that their </w:t>
      </w:r>
      <w:r w:rsidR="005E6A95">
        <w:rPr>
          <w:rFonts w:cs="Courier New"/>
        </w:rPr>
        <w:t>gaseous</w:t>
      </w:r>
      <w:r w:rsidR="003033F1">
        <w:rPr>
          <w:rFonts w:cs="Courier New"/>
        </w:rPr>
        <w:t xml:space="preserve"> fuels other than natural gas and refinery gas meet the specifications for H2S and Hg contained in the final rule, they must conduct either an initial or monthly fuel analysis to remain in the gas 1 subcategory. If the content of these constituents are not going to exceed the specifications, these units may conduct an initial testing and include a statement that the gas will not exceed the specification in the initial Notification of Compliance Status. If the gaseous fuel constituents will vary, the unit is required to conduct monthly testing and maintain records to demonstrate that the gaseous fuels meet the specifications. </w:t>
      </w:r>
    </w:p>
    <w:p w:rsidR="003033F1" w:rsidRPr="009769D3" w:rsidRDefault="003033F1" w:rsidP="003033F1">
      <w:pPr>
        <w:widowControl/>
        <w:ind w:firstLine="720"/>
        <w:rPr>
          <w:rFonts w:cs="Courier New"/>
        </w:rPr>
      </w:pPr>
    </w:p>
    <w:p w:rsidR="00EB1C7F" w:rsidRPr="009769D3" w:rsidRDefault="00EB1C7F" w:rsidP="00EB1C7F">
      <w:pPr>
        <w:widowControl/>
        <w:ind w:firstLine="720"/>
        <w:rPr>
          <w:rFonts w:cs="Courier New"/>
        </w:rPr>
      </w:pPr>
      <w:r w:rsidRPr="009769D3">
        <w:rPr>
          <w:rFonts w:cs="Courier New"/>
        </w:rPr>
        <w:t xml:space="preserve">An initial performance test must be completed for particulate matter, mercury, hydrogen chloride, </w:t>
      </w:r>
      <w:r w:rsidR="005B6606" w:rsidRPr="009769D3">
        <w:rPr>
          <w:rFonts w:cs="Courier New"/>
        </w:rPr>
        <w:t>carbon monoxide</w:t>
      </w:r>
      <w:r w:rsidRPr="009769D3">
        <w:rPr>
          <w:rFonts w:cs="Courier New"/>
        </w:rPr>
        <w:t>, and dioxin and furans for affected sources with applicable emission limits.  During the initial performance test, the owner or operator must establish maximum or minimum values for each operating parameter.  Thereafter, the owner or operator must, in some cases, conduct annual stack tests for particulate matter, mercury, hydrogen chloride</w:t>
      </w:r>
      <w:r w:rsidR="005B6606" w:rsidRPr="009769D3">
        <w:rPr>
          <w:rFonts w:cs="Courier New"/>
        </w:rPr>
        <w:t xml:space="preserve">, carbon </w:t>
      </w:r>
      <w:r w:rsidR="005B6606" w:rsidRPr="009769D3">
        <w:rPr>
          <w:rFonts w:cs="Courier New"/>
        </w:rPr>
        <w:lastRenderedPageBreak/>
        <w:t>monoxide</w:t>
      </w:r>
      <w:r w:rsidRPr="009769D3">
        <w:rPr>
          <w:rFonts w:cs="Courier New"/>
        </w:rPr>
        <w:t>, and dioxin and furans and must continuously monitor the operating parameters.</w:t>
      </w:r>
      <w:r w:rsidR="004006B7" w:rsidRPr="009769D3">
        <w:rPr>
          <w:rFonts w:cs="Courier New"/>
        </w:rPr>
        <w:t xml:space="preserve">  If </w:t>
      </w:r>
      <w:r w:rsidR="009F0B61" w:rsidRPr="009769D3">
        <w:rPr>
          <w:rFonts w:cs="Courier New"/>
        </w:rPr>
        <w:t>a</w:t>
      </w:r>
      <w:r w:rsidR="004006B7" w:rsidRPr="009769D3">
        <w:rPr>
          <w:rFonts w:cs="Courier New"/>
        </w:rPr>
        <w:t xml:space="preserve"> source is required to use PM CEMS, performance testing is not required for particulate matter.</w:t>
      </w:r>
    </w:p>
    <w:p w:rsidR="00EB1C7F" w:rsidRPr="009769D3" w:rsidRDefault="00EB1C7F" w:rsidP="00EB1C7F">
      <w:pPr>
        <w:widowControl/>
        <w:ind w:firstLine="720"/>
        <w:rPr>
          <w:rFonts w:cs="Courier New"/>
        </w:rPr>
      </w:pPr>
    </w:p>
    <w:p w:rsidR="00EB1C7F" w:rsidRPr="009769D3" w:rsidRDefault="00EB1C7F" w:rsidP="00EB1C7F">
      <w:pPr>
        <w:widowControl/>
        <w:ind w:firstLine="720"/>
        <w:rPr>
          <w:rFonts w:cs="Courier New"/>
        </w:rPr>
      </w:pPr>
      <w:r w:rsidRPr="009769D3">
        <w:rPr>
          <w:rFonts w:cs="Courier New"/>
        </w:rPr>
        <w:t>Following the initial performance test, the owner or operator must submit a report that documents the performance test results and the values for their required operating parameters.</w:t>
      </w:r>
    </w:p>
    <w:p w:rsidR="00EB1C7F" w:rsidRPr="009769D3" w:rsidRDefault="00EB1C7F" w:rsidP="00EB1C7F">
      <w:pPr>
        <w:widowControl/>
        <w:ind w:firstLine="720"/>
        <w:rPr>
          <w:rFonts w:cs="Courier New"/>
        </w:rPr>
      </w:pPr>
    </w:p>
    <w:p w:rsidR="00EB1C7F" w:rsidRPr="009769D3" w:rsidRDefault="00CA6BA6" w:rsidP="00EB1C7F">
      <w:pPr>
        <w:widowControl/>
        <w:ind w:firstLine="720"/>
        <w:rPr>
          <w:rFonts w:cs="Courier New"/>
        </w:rPr>
      </w:pPr>
      <w:r w:rsidRPr="009769D3">
        <w:rPr>
          <w:rFonts w:cs="Courier New"/>
        </w:rPr>
        <w:t xml:space="preserve">All existing units will be required to conduct </w:t>
      </w:r>
      <w:r w:rsidR="005C04C2" w:rsidRPr="009769D3">
        <w:rPr>
          <w:rFonts w:cs="Courier New"/>
        </w:rPr>
        <w:t>an initial</w:t>
      </w:r>
      <w:r w:rsidRPr="009769D3">
        <w:rPr>
          <w:rFonts w:cs="Courier New"/>
        </w:rPr>
        <w:t xml:space="preserve"> certified energy audit by qualified personnel </w:t>
      </w:r>
      <w:proofErr w:type="gramStart"/>
      <w:r w:rsidRPr="009769D3">
        <w:rPr>
          <w:rFonts w:cs="Courier New"/>
        </w:rPr>
        <w:t>which</w:t>
      </w:r>
      <w:proofErr w:type="gramEnd"/>
      <w:r w:rsidRPr="009769D3">
        <w:rPr>
          <w:rFonts w:cs="Courier New"/>
        </w:rPr>
        <w:t xml:space="preserve"> includes a visual inspection of the boiler system, establishing operating characteristics, identifying major energy consuming systems and energy savings potential, reviewing available engineering plans, and listing major energy conservation measures.</w:t>
      </w:r>
      <w:r w:rsidR="005C04C2" w:rsidRPr="009769D3">
        <w:rPr>
          <w:rFonts w:cs="Courier New"/>
        </w:rPr>
        <w:t xml:space="preserve"> </w:t>
      </w:r>
      <w:r w:rsidR="003033F1">
        <w:rPr>
          <w:rFonts w:cs="Courier New"/>
        </w:rPr>
        <w:t xml:space="preserve">A signed certification that an audit has been </w:t>
      </w:r>
      <w:proofErr w:type="gramStart"/>
      <w:r w:rsidR="003033F1">
        <w:rPr>
          <w:rFonts w:cs="Courier New"/>
        </w:rPr>
        <w:t xml:space="preserve">completed </w:t>
      </w:r>
      <w:r w:rsidRPr="009769D3">
        <w:rPr>
          <w:rFonts w:cs="Courier New"/>
        </w:rPr>
        <w:t xml:space="preserve"> </w:t>
      </w:r>
      <w:r w:rsidR="005C04C2" w:rsidRPr="009769D3">
        <w:rPr>
          <w:rFonts w:cs="Courier New"/>
        </w:rPr>
        <w:t>should</w:t>
      </w:r>
      <w:proofErr w:type="gramEnd"/>
      <w:r w:rsidR="005C04C2" w:rsidRPr="009769D3">
        <w:rPr>
          <w:rFonts w:cs="Courier New"/>
        </w:rPr>
        <w:t xml:space="preserve"> be submitted to the Agency for </w:t>
      </w:r>
      <w:r w:rsidRPr="009769D3">
        <w:rPr>
          <w:rFonts w:cs="Courier New"/>
        </w:rPr>
        <w:t>each energy audit.</w:t>
      </w:r>
    </w:p>
    <w:p w:rsidR="00CA6BA6" w:rsidRPr="009769D3" w:rsidRDefault="00CA6BA6" w:rsidP="00EB1C7F">
      <w:pPr>
        <w:widowControl/>
        <w:ind w:firstLine="720"/>
        <w:rPr>
          <w:rFonts w:cs="Courier New"/>
        </w:rPr>
      </w:pPr>
    </w:p>
    <w:p w:rsidR="00595833" w:rsidRPr="009769D3" w:rsidRDefault="00CA6BA6" w:rsidP="00EB1C7F">
      <w:pPr>
        <w:widowControl/>
        <w:ind w:firstLine="720"/>
        <w:rPr>
          <w:rFonts w:cs="Courier New"/>
        </w:rPr>
      </w:pPr>
      <w:r w:rsidRPr="009769D3">
        <w:rPr>
          <w:rFonts w:cs="Courier New"/>
        </w:rPr>
        <w:t xml:space="preserve">All </w:t>
      </w:r>
      <w:r w:rsidR="009F0B61" w:rsidRPr="009769D3">
        <w:rPr>
          <w:rFonts w:cs="Courier New"/>
        </w:rPr>
        <w:t xml:space="preserve">new and </w:t>
      </w:r>
      <w:r w:rsidRPr="009769D3">
        <w:rPr>
          <w:rFonts w:cs="Courier New"/>
        </w:rPr>
        <w:t xml:space="preserve">existing small </w:t>
      </w:r>
      <w:r w:rsidR="009F0A9C">
        <w:rPr>
          <w:rFonts w:cs="Courier New"/>
        </w:rPr>
        <w:t xml:space="preserve">and </w:t>
      </w:r>
      <w:r w:rsidR="009F0B61" w:rsidRPr="009769D3">
        <w:rPr>
          <w:rFonts w:cs="Courier New"/>
        </w:rPr>
        <w:t xml:space="preserve">limited use </w:t>
      </w:r>
      <w:proofErr w:type="gramStart"/>
      <w:r w:rsidR="009F0B61" w:rsidRPr="009769D3">
        <w:rPr>
          <w:rFonts w:cs="Courier New"/>
        </w:rPr>
        <w:t>units,</w:t>
      </w:r>
      <w:proofErr w:type="gramEnd"/>
      <w:r w:rsidR="005C04C2" w:rsidRPr="009769D3">
        <w:rPr>
          <w:rFonts w:cs="Courier New"/>
        </w:rPr>
        <w:t xml:space="preserve"> and all </w:t>
      </w:r>
      <w:r w:rsidR="00BC6FCE" w:rsidRPr="009769D3">
        <w:rPr>
          <w:rFonts w:cs="Courier New"/>
        </w:rPr>
        <w:t xml:space="preserve">large </w:t>
      </w:r>
      <w:r w:rsidR="005C04C2" w:rsidRPr="009769D3">
        <w:rPr>
          <w:rFonts w:cs="Courier New"/>
        </w:rPr>
        <w:t>units firing natural gas</w:t>
      </w:r>
      <w:r w:rsidR="009F0A9C">
        <w:rPr>
          <w:rFonts w:cs="Courier New"/>
        </w:rPr>
        <w:t>,</w:t>
      </w:r>
      <w:r w:rsidR="00F2232A" w:rsidRPr="009769D3">
        <w:rPr>
          <w:rFonts w:cs="Courier New"/>
        </w:rPr>
        <w:t xml:space="preserve"> refinery gas</w:t>
      </w:r>
      <w:r w:rsidR="009F0A9C">
        <w:rPr>
          <w:rFonts w:cs="Courier New"/>
        </w:rPr>
        <w:t>, or other gas 1 fuels meeting the fuel spec</w:t>
      </w:r>
      <w:r w:rsidRPr="009769D3">
        <w:rPr>
          <w:rFonts w:cs="Courier New"/>
        </w:rPr>
        <w:t xml:space="preserve"> can demonstrate compliance by conducting </w:t>
      </w:r>
      <w:r w:rsidR="00115A4A" w:rsidRPr="009769D3">
        <w:rPr>
          <w:rFonts w:cs="Courier New"/>
        </w:rPr>
        <w:t xml:space="preserve">a </w:t>
      </w:r>
      <w:r w:rsidR="00595833" w:rsidRPr="009769D3">
        <w:rPr>
          <w:rFonts w:cs="Courier New"/>
        </w:rPr>
        <w:t>tune-up of the boiler.</w:t>
      </w:r>
      <w:r w:rsidR="00115A4A" w:rsidRPr="009769D3">
        <w:rPr>
          <w:rFonts w:cs="Courier New"/>
        </w:rPr>
        <w:t xml:space="preserve"> </w:t>
      </w:r>
      <w:r w:rsidR="009F0B61" w:rsidRPr="009769D3">
        <w:rPr>
          <w:rFonts w:cs="Courier New"/>
        </w:rPr>
        <w:t xml:space="preserve"> </w:t>
      </w:r>
      <w:r w:rsidR="00115A4A" w:rsidRPr="009769D3">
        <w:rPr>
          <w:rFonts w:cs="Courier New"/>
        </w:rPr>
        <w:t xml:space="preserve">Small </w:t>
      </w:r>
      <w:r w:rsidR="009F0B61" w:rsidRPr="009769D3">
        <w:rPr>
          <w:rFonts w:cs="Courier New"/>
        </w:rPr>
        <w:t xml:space="preserve">and limited use </w:t>
      </w:r>
      <w:r w:rsidR="00115A4A" w:rsidRPr="009769D3">
        <w:rPr>
          <w:rFonts w:cs="Courier New"/>
        </w:rPr>
        <w:t xml:space="preserve">units are requested to conduct a tune-up biennially and large </w:t>
      </w:r>
      <w:r w:rsidR="00BC6FCE" w:rsidRPr="009769D3">
        <w:rPr>
          <w:rFonts w:cs="Courier New"/>
        </w:rPr>
        <w:t xml:space="preserve">natural </w:t>
      </w:r>
      <w:r w:rsidR="00115A4A" w:rsidRPr="009769D3">
        <w:rPr>
          <w:rFonts w:cs="Courier New"/>
        </w:rPr>
        <w:t>gas</w:t>
      </w:r>
      <w:r w:rsidR="00255394">
        <w:rPr>
          <w:rFonts w:cs="Courier New"/>
        </w:rPr>
        <w:t xml:space="preserve">, </w:t>
      </w:r>
      <w:r w:rsidR="00BC6FCE" w:rsidRPr="009769D3">
        <w:rPr>
          <w:rFonts w:cs="Courier New"/>
        </w:rPr>
        <w:t>refinery gas</w:t>
      </w:r>
      <w:r w:rsidR="00255394">
        <w:rPr>
          <w:rFonts w:cs="Courier New"/>
        </w:rPr>
        <w:t>, or other gas 1</w:t>
      </w:r>
      <w:r w:rsidR="00115A4A" w:rsidRPr="009769D3">
        <w:rPr>
          <w:rFonts w:cs="Courier New"/>
        </w:rPr>
        <w:t xml:space="preserve"> units will conduct a tune-up annually.</w:t>
      </w:r>
      <w:r w:rsidR="005C04C2" w:rsidRPr="009769D3">
        <w:rPr>
          <w:rFonts w:cs="Courier New"/>
        </w:rPr>
        <w:t xml:space="preserve"> </w:t>
      </w:r>
      <w:r w:rsidR="00255394">
        <w:rPr>
          <w:rFonts w:cs="Courier New"/>
        </w:rPr>
        <w:t xml:space="preserve">Any </w:t>
      </w:r>
      <w:r w:rsidR="00255394" w:rsidRPr="009769D3">
        <w:rPr>
          <w:rFonts w:cs="Courier New"/>
        </w:rPr>
        <w:t>large natural gas</w:t>
      </w:r>
      <w:r w:rsidR="00255394">
        <w:rPr>
          <w:rFonts w:cs="Courier New"/>
        </w:rPr>
        <w:t xml:space="preserve">, </w:t>
      </w:r>
      <w:r w:rsidR="00255394" w:rsidRPr="009769D3">
        <w:rPr>
          <w:rFonts w:cs="Courier New"/>
        </w:rPr>
        <w:t>refinery gas</w:t>
      </w:r>
      <w:r w:rsidR="00255394">
        <w:rPr>
          <w:rFonts w:cs="Courier New"/>
        </w:rPr>
        <w:t>, or other gas 1</w:t>
      </w:r>
      <w:r w:rsidR="00255394" w:rsidRPr="009769D3">
        <w:rPr>
          <w:rFonts w:cs="Courier New"/>
        </w:rPr>
        <w:t xml:space="preserve"> </w:t>
      </w:r>
      <w:r w:rsidR="00255394">
        <w:rPr>
          <w:rFonts w:cs="Courier New"/>
        </w:rPr>
        <w:t xml:space="preserve">unit will also submit a notification of alternative fuel use if the unit </w:t>
      </w:r>
      <w:r w:rsidR="005E6A95">
        <w:rPr>
          <w:rFonts w:cs="Courier New"/>
        </w:rPr>
        <w:t>fires</w:t>
      </w:r>
      <w:r w:rsidR="00255394">
        <w:rPr>
          <w:rFonts w:cs="Courier New"/>
        </w:rPr>
        <w:t xml:space="preserve"> alternative fuels during periods of gas curtailment or gas supply emergencies. </w:t>
      </w:r>
    </w:p>
    <w:p w:rsidR="00115A4A" w:rsidRPr="009769D3" w:rsidRDefault="00115A4A" w:rsidP="00EB1C7F">
      <w:pPr>
        <w:widowControl/>
        <w:ind w:firstLine="720"/>
        <w:rPr>
          <w:rFonts w:cs="Courier New"/>
        </w:rPr>
      </w:pPr>
    </w:p>
    <w:p w:rsidR="00EB1C7F" w:rsidRPr="009769D3" w:rsidRDefault="00324704" w:rsidP="00EB1C7F">
      <w:pPr>
        <w:widowControl/>
        <w:ind w:firstLine="720"/>
        <w:rPr>
          <w:rFonts w:cs="Courier New"/>
        </w:rPr>
      </w:pPr>
      <w:r w:rsidRPr="009769D3">
        <w:rPr>
          <w:rFonts w:cs="Courier New"/>
        </w:rPr>
        <w:t>For all units other than small</w:t>
      </w:r>
      <w:r w:rsidR="009F0B61" w:rsidRPr="009769D3">
        <w:rPr>
          <w:rFonts w:cs="Courier New"/>
        </w:rPr>
        <w:t xml:space="preserve"> and limited use </w:t>
      </w:r>
      <w:r w:rsidRPr="009769D3">
        <w:rPr>
          <w:rFonts w:cs="Courier New"/>
        </w:rPr>
        <w:t>boilers and process heaters and units firing natural gas a</w:t>
      </w:r>
      <w:r w:rsidR="00EB1C7F" w:rsidRPr="009769D3">
        <w:rPr>
          <w:rFonts w:cs="Courier New"/>
        </w:rPr>
        <w:t xml:space="preserve"> semiannual report is required that documents the values for the operating parameters; any deviation; the results of any annual stack tests; the results of any fuel analysis and emissions calculations; fuel usage, and if no deviation occurred, a statement that no deviations occurred.</w:t>
      </w:r>
    </w:p>
    <w:p w:rsidR="00595833" w:rsidRPr="009769D3" w:rsidRDefault="00595833" w:rsidP="00EB1C7F">
      <w:pPr>
        <w:widowControl/>
        <w:ind w:firstLine="720"/>
        <w:rPr>
          <w:rFonts w:cs="Courier New"/>
        </w:rPr>
      </w:pPr>
    </w:p>
    <w:p w:rsidR="00EB1C7F" w:rsidRPr="009769D3" w:rsidRDefault="00EB1C7F" w:rsidP="00EB1C7F">
      <w:pPr>
        <w:widowControl/>
        <w:ind w:firstLine="720"/>
        <w:rPr>
          <w:rFonts w:cs="Courier New"/>
        </w:rPr>
      </w:pPr>
      <w:r w:rsidRPr="009769D3">
        <w:rPr>
          <w:rFonts w:cs="Courier New"/>
        </w:rPr>
        <w:t xml:space="preserve">As specified in the </w:t>
      </w:r>
      <w:r w:rsidR="00324704" w:rsidRPr="009769D3">
        <w:rPr>
          <w:rFonts w:cs="Courier New"/>
        </w:rPr>
        <w:t xml:space="preserve">ICI </w:t>
      </w:r>
      <w:r w:rsidRPr="009769D3">
        <w:rPr>
          <w:rFonts w:cs="Courier New"/>
        </w:rPr>
        <w:t>Boiler</w:t>
      </w:r>
      <w:r w:rsidR="00324704" w:rsidRPr="009769D3">
        <w:rPr>
          <w:rFonts w:cs="Courier New"/>
        </w:rPr>
        <w:t xml:space="preserve"> and Process Heater</w:t>
      </w:r>
      <w:r w:rsidRPr="009769D3">
        <w:rPr>
          <w:rFonts w:cs="Courier New"/>
        </w:rPr>
        <w:t xml:space="preserve"> NESHAP, owners or operators of boilers and process heaters must keep records of certain parameters and information for a period of five years.  Owners or operators must maintain records of the initial performance test, annual stack tests, fuel analyses, and any subsequent stack tests or fuel analyses.  Owners or operators must also maintain records of the monitoring data for the operating parameters and daily fuel usage.</w:t>
      </w:r>
    </w:p>
    <w:p w:rsidR="00595833" w:rsidRPr="009769D3" w:rsidRDefault="00595833" w:rsidP="00EB1C7F">
      <w:pPr>
        <w:widowControl/>
        <w:ind w:firstLine="720"/>
        <w:rPr>
          <w:rFonts w:cs="Courier New"/>
        </w:rPr>
      </w:pPr>
    </w:p>
    <w:p w:rsidR="00606DEF" w:rsidRDefault="00EB1C7F" w:rsidP="00595833">
      <w:pPr>
        <w:widowControl/>
        <w:ind w:firstLine="720"/>
        <w:rPr>
          <w:rFonts w:cs="Courier New"/>
        </w:rPr>
      </w:pPr>
      <w:r w:rsidRPr="009769D3">
        <w:rPr>
          <w:rFonts w:cs="Courier New"/>
        </w:rPr>
        <w:t>Owners or operators must also maintain records for boiler or process heater malfunctions and any deviations from the operating parameters. Records must also be maintained of all monitoring device calibration data.</w:t>
      </w:r>
    </w:p>
    <w:p w:rsidR="004E6F13" w:rsidRDefault="004E6F13" w:rsidP="00595833">
      <w:pPr>
        <w:widowControl/>
        <w:ind w:firstLine="720"/>
        <w:rPr>
          <w:rFonts w:cs="Courier New"/>
        </w:rPr>
      </w:pPr>
    </w:p>
    <w:p w:rsidR="00EF4EC2" w:rsidRPr="004E6F13" w:rsidRDefault="004E6F13" w:rsidP="00EF4EC2">
      <w:r w:rsidRPr="004E6F13">
        <w:rPr>
          <w:rFonts w:cs="Courier New"/>
        </w:rPr>
        <w:tab/>
      </w:r>
      <w:r w:rsidR="008B4D98" w:rsidRPr="004E6F13">
        <w:t xml:space="preserve">As an administrative addition to this ICR, </w:t>
      </w:r>
      <w:r w:rsidR="00EF4EC2" w:rsidRPr="004E6F13">
        <w:t xml:space="preserve">EPA is </w:t>
      </w:r>
      <w:r w:rsidR="008B4D98" w:rsidRPr="004E6F13">
        <w:t xml:space="preserve">also </w:t>
      </w:r>
      <w:r w:rsidR="00EF4EC2" w:rsidRPr="004E6F13">
        <w:t xml:space="preserve">including an </w:t>
      </w:r>
      <w:r w:rsidR="008B4D98" w:rsidRPr="004E6F13">
        <w:t xml:space="preserve">illustrative </w:t>
      </w:r>
      <w:r w:rsidR="00EF4EC2" w:rsidRPr="004E6F13">
        <w:t xml:space="preserve">estimate of the burden associated with performing a Root Cause Analysis (RCA) associated with </w:t>
      </w:r>
      <w:r w:rsidR="008B4D98" w:rsidRPr="004E6F13">
        <w:t xml:space="preserve">affirmative defense of malfunctions if the source elects to avail </w:t>
      </w:r>
      <w:proofErr w:type="gramStart"/>
      <w:r w:rsidR="008B4D98" w:rsidRPr="004E6F13">
        <w:t>themselves</w:t>
      </w:r>
      <w:proofErr w:type="gramEnd"/>
      <w:r w:rsidR="008B4D98" w:rsidRPr="004E6F13">
        <w:t xml:space="preserve"> to this defense in court</w:t>
      </w:r>
      <w:r w:rsidR="00EF4EC2" w:rsidRPr="004E6F13">
        <w:t xml:space="preserve">. EPA is providing this as an illustrative example of the potential additional administrative burden a source may incur to assert an </w:t>
      </w:r>
      <w:r w:rsidR="00D5776A" w:rsidRPr="004E6F13">
        <w:t>a</w:t>
      </w:r>
      <w:r w:rsidR="00EF4EC2" w:rsidRPr="004E6F13">
        <w:t xml:space="preserve">ffirmative </w:t>
      </w:r>
      <w:r w:rsidR="00D5776A" w:rsidRPr="004E6F13">
        <w:t>d</w:t>
      </w:r>
      <w:r w:rsidR="00EF4EC2" w:rsidRPr="004E6F13">
        <w:t xml:space="preserve">efense in response to an action to enforce the standards set forth in the applicable subpart.   If a source is in compliance and does not encounter </w:t>
      </w:r>
      <w:r w:rsidR="00EF4EC2" w:rsidRPr="004E6F13">
        <w:lastRenderedPageBreak/>
        <w:t>malfunctions that cause a violation of the standard, EPA does not expect this activity to be routinely performed by a source.</w:t>
      </w:r>
      <w:r w:rsidRPr="004E6F13">
        <w:t xml:space="preserve">  </w:t>
      </w:r>
      <w:r w:rsidR="008B4D98" w:rsidRPr="004E6F13">
        <w:t xml:space="preserve">Our decision to include this record keeping </w:t>
      </w:r>
      <w:r w:rsidR="00D5776A" w:rsidRPr="004E6F13">
        <w:t xml:space="preserve">and reporting </w:t>
      </w:r>
      <w:r w:rsidR="008B4D98" w:rsidRPr="004E6F13">
        <w:t xml:space="preserve">in the ICR burden is not to assert that EPA assumes less than full compliance.  </w:t>
      </w:r>
      <w:r w:rsidR="00EF4EC2" w:rsidRPr="004E6F13">
        <w:t>EPA cannot estimate whether a</w:t>
      </w:r>
      <w:r w:rsidR="00EE3542" w:rsidRPr="004E6F13">
        <w:t xml:space="preserve">n affirmative </w:t>
      </w:r>
      <w:r w:rsidR="0062135D" w:rsidRPr="004E6F13">
        <w:t>defense would</w:t>
      </w:r>
      <w:r w:rsidR="00EF4EC2" w:rsidRPr="004E6F13">
        <w:t xml:space="preserve"> be necessary for any source or class of sources.  It is not an enforceable requirement of compliance.  </w:t>
      </w:r>
    </w:p>
    <w:p w:rsidR="00324704" w:rsidRPr="009769D3" w:rsidRDefault="00324704" w:rsidP="00595833">
      <w:pPr>
        <w:widowControl/>
        <w:ind w:firstLine="720"/>
        <w:rPr>
          <w:rFonts w:cs="Courier New"/>
        </w:rPr>
      </w:pPr>
    </w:p>
    <w:p w:rsidR="00CA4CD6" w:rsidRPr="009769D3" w:rsidRDefault="00CA4CD6">
      <w:pPr>
        <w:pBdr>
          <w:top w:val="single" w:sz="6" w:space="0" w:color="FFFFFF"/>
          <w:left w:val="single" w:sz="6" w:space="0" w:color="FFFFFF"/>
          <w:bottom w:val="single" w:sz="6" w:space="0" w:color="FFFFFF"/>
          <w:right w:val="single" w:sz="6" w:space="0" w:color="FFFFFF"/>
        </w:pBdr>
        <w:rPr>
          <w:b/>
          <w:bCs/>
          <w:color w:val="000000"/>
        </w:rPr>
      </w:pPr>
      <w:r w:rsidRPr="009769D3">
        <w:rPr>
          <w:b/>
          <w:bCs/>
          <w:color w:val="000000"/>
        </w:rPr>
        <w:t>5.  The Information Collected:  Agency Activities, Collection Methodology, and Information Management</w:t>
      </w:r>
    </w:p>
    <w:p w:rsidR="00CA4CD6" w:rsidRPr="009769D3"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5(a</w:t>
      </w:r>
      <w:proofErr w:type="gramStart"/>
      <w:r w:rsidRPr="009769D3">
        <w:rPr>
          <w:b/>
          <w:bCs/>
          <w:color w:val="000000"/>
        </w:rPr>
        <w:t>)  Agency</w:t>
      </w:r>
      <w:proofErr w:type="gramEnd"/>
      <w:r w:rsidRPr="009769D3">
        <w:rPr>
          <w:b/>
          <w:bCs/>
          <w:color w:val="000000"/>
        </w:rPr>
        <w:t xml:space="preserve"> Activities</w:t>
      </w:r>
      <w:r w:rsidR="00EB1C7F" w:rsidRPr="009769D3">
        <w:rPr>
          <w:color w:val="000000"/>
        </w:rPr>
        <w:t xml:space="preserve"> </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1B2223">
      <w:pPr>
        <w:pBdr>
          <w:top w:val="single" w:sz="6" w:space="0" w:color="FFFFFF"/>
          <w:left w:val="single" w:sz="6" w:space="0" w:color="FFFFFF"/>
          <w:bottom w:val="single" w:sz="6" w:space="0" w:color="FFFFFF"/>
          <w:right w:val="single" w:sz="6" w:space="0" w:color="FFFFFF"/>
        </w:pBdr>
      </w:pPr>
      <w:r w:rsidRPr="009769D3">
        <w:t xml:space="preserve">A list of agency activities is provided in section 6(c) and in </w:t>
      </w:r>
      <w:proofErr w:type="gramStart"/>
      <w:r w:rsidRPr="009769D3">
        <w:t>tables</w:t>
      </w:r>
      <w:proofErr w:type="gramEnd"/>
      <w:r w:rsidRPr="009769D3">
        <w:t xml:space="preserve"> 13A-C (see Attachment B).</w:t>
      </w:r>
    </w:p>
    <w:p w:rsidR="001B2223" w:rsidRPr="009769D3" w:rsidRDefault="001B2223">
      <w:pPr>
        <w:pBdr>
          <w:top w:val="single" w:sz="6" w:space="0" w:color="FFFFFF"/>
          <w:left w:val="single" w:sz="6" w:space="0" w:color="FFFFFF"/>
          <w:bottom w:val="single" w:sz="6" w:space="0" w:color="FFFFFF"/>
          <w:right w:val="single" w:sz="6" w:space="0" w:color="FFFFFF"/>
        </w:pBdr>
        <w:rPr>
          <w:b/>
          <w:bCs/>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5(b</w:t>
      </w:r>
      <w:proofErr w:type="gramStart"/>
      <w:r w:rsidRPr="009769D3">
        <w:rPr>
          <w:b/>
          <w:bCs/>
          <w:color w:val="000000"/>
        </w:rPr>
        <w:t>)  Collection</w:t>
      </w:r>
      <w:proofErr w:type="gramEnd"/>
      <w:r w:rsidRPr="009769D3">
        <w:rPr>
          <w:b/>
          <w:bCs/>
          <w:color w:val="000000"/>
        </w:rPr>
        <w:t xml:space="preserve"> Methodology and Management</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1B2223" w:rsidP="001B2223">
      <w:pPr>
        <w:pBdr>
          <w:top w:val="single" w:sz="6" w:space="0" w:color="FFFFFF"/>
          <w:left w:val="single" w:sz="6" w:space="0" w:color="FFFFFF"/>
          <w:bottom w:val="single" w:sz="6" w:space="0" w:color="FFFFFF"/>
          <w:right w:val="single" w:sz="6" w:space="0" w:color="FFFFFF"/>
        </w:pBdr>
        <w:ind w:firstLine="720"/>
        <w:rPr>
          <w:rFonts w:cs="Courier New"/>
        </w:rPr>
      </w:pPr>
      <w:r w:rsidRPr="009769D3">
        <w:rPr>
          <w:rFonts w:cs="Courier New"/>
        </w:rPr>
        <w:t xml:space="preserve">Data obtained during periodic visits by EPA personnel, from records maintained by the respondents, and from information provided in semiannual reports will be tabulated and published for internal EPA use in compliance and enforcement programs.  The </w:t>
      </w:r>
      <w:r w:rsidR="00867588" w:rsidRPr="009769D3">
        <w:rPr>
          <w:rFonts w:cs="Courier New"/>
        </w:rPr>
        <w:t xml:space="preserve">ICI Boiler and Process Heater </w:t>
      </w:r>
      <w:r w:rsidRPr="009769D3">
        <w:rPr>
          <w:rFonts w:cs="Courier New"/>
        </w:rPr>
        <w:t xml:space="preserve">NESHAP </w:t>
      </w:r>
      <w:proofErr w:type="gramStart"/>
      <w:r w:rsidRPr="009769D3">
        <w:rPr>
          <w:rFonts w:cs="Courier New"/>
        </w:rPr>
        <w:t>allows</w:t>
      </w:r>
      <w:proofErr w:type="gramEnd"/>
      <w:r w:rsidRPr="009769D3">
        <w:rPr>
          <w:rFonts w:cs="Courier New"/>
        </w:rPr>
        <w:t xml:space="preserve"> records to be retained in hardcopy or electronic format to allow flexibility and minimize burden.</w:t>
      </w:r>
    </w:p>
    <w:p w:rsidR="001B2223" w:rsidRPr="009769D3" w:rsidRDefault="001B2223">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Information contained in the reports is entered into the AFS which is operated and maintained by EPA's Office of Compliance.  AFS is EPA</w:t>
      </w:r>
      <w:r w:rsidR="00E8580E" w:rsidRPr="009769D3">
        <w:rPr>
          <w:color w:val="000000"/>
        </w:rPr>
        <w:t>’</w:t>
      </w:r>
      <w:r w:rsidRPr="009769D3">
        <w:rPr>
          <w:color w:val="000000"/>
        </w:rPr>
        <w:t>s database for the collection, maintenance, and retrieval of compliance data for approximately 125,000 industrial and government-owned facilities.  EPA uses the AFS for tracking air pollution compliance and enforcement by local and state regulatory agencies, EPA regional offices and EPA headquarters.  EPA and its delegated Authorities can edit, store, retrieve and analyze the data.</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 The records required by this regulation must be retained by the owner/operator for </w:t>
      </w:r>
      <w:r w:rsidRPr="009769D3">
        <w:t>five</w:t>
      </w:r>
      <w:r w:rsidRPr="009769D3">
        <w:rPr>
          <w:color w:val="000000"/>
        </w:rPr>
        <w:t xml:space="preserve"> years.</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5(c</w:t>
      </w:r>
      <w:proofErr w:type="gramStart"/>
      <w:r w:rsidRPr="009769D3">
        <w:rPr>
          <w:b/>
          <w:bCs/>
          <w:color w:val="000000"/>
        </w:rPr>
        <w:t>)  Small</w:t>
      </w:r>
      <w:proofErr w:type="gramEnd"/>
      <w:r w:rsidRPr="009769D3">
        <w:rPr>
          <w:b/>
          <w:bCs/>
          <w:color w:val="000000"/>
        </w:rPr>
        <w:t xml:space="preserve"> Entity Flexibility</w:t>
      </w:r>
    </w:p>
    <w:p w:rsidR="00CA4CD6" w:rsidRPr="009769D3" w:rsidRDefault="00CA4CD6" w:rsidP="006E4A6E">
      <w:pPr>
        <w:pBdr>
          <w:top w:val="single" w:sz="6" w:space="0" w:color="FFFFFF"/>
          <w:left w:val="single" w:sz="6" w:space="0" w:color="FFFFFF"/>
          <w:bottom w:val="single" w:sz="6" w:space="0" w:color="FFFFFF"/>
          <w:right w:val="single" w:sz="6" w:space="0" w:color="FFFFFF"/>
        </w:pBdr>
        <w:rPr>
          <w:color w:val="000000"/>
        </w:rPr>
      </w:pPr>
    </w:p>
    <w:p w:rsidR="001B2223" w:rsidRPr="009769D3" w:rsidRDefault="001B2223" w:rsidP="001B2223">
      <w:pPr>
        <w:widowControl/>
        <w:ind w:firstLine="720"/>
        <w:rPr>
          <w:rFonts w:cs="Courier New"/>
        </w:rPr>
      </w:pPr>
      <w:r w:rsidRPr="009769D3">
        <w:rPr>
          <w:rFonts w:cs="Courier New"/>
        </w:rPr>
        <w:t xml:space="preserve">The EPA </w:t>
      </w:r>
      <w:r w:rsidR="00867588" w:rsidRPr="009769D3">
        <w:rPr>
          <w:rFonts w:cs="Courier New"/>
        </w:rPr>
        <w:t xml:space="preserve">expects that the ICI </w:t>
      </w:r>
      <w:r w:rsidRPr="009769D3">
        <w:rPr>
          <w:rFonts w:cs="Courier New"/>
        </w:rPr>
        <w:t>Boilers</w:t>
      </w:r>
      <w:r w:rsidR="00867588" w:rsidRPr="009769D3">
        <w:rPr>
          <w:rFonts w:cs="Courier New"/>
        </w:rPr>
        <w:t xml:space="preserve"> and Process Heater NESHAP will have a substantial impact on a significant number of</w:t>
      </w:r>
      <w:r w:rsidRPr="009769D3">
        <w:rPr>
          <w:rFonts w:cs="Courier New"/>
        </w:rPr>
        <w:t xml:space="preserve"> small entities.  In developing the regulation, small entity is defined as: (1) A small business according to Small Business Administration size standards by the North American Industry Classification System (NAICS) category of the owning entity.  The range of small business size standards for the 4</w:t>
      </w:r>
      <w:r w:rsidR="00867588" w:rsidRPr="009769D3">
        <w:rPr>
          <w:rFonts w:cs="Courier New"/>
        </w:rPr>
        <w:t>4</w:t>
      </w:r>
      <w:r w:rsidRPr="009769D3">
        <w:rPr>
          <w:rFonts w:cs="Courier New"/>
        </w:rPr>
        <w:t xml:space="preserve"> affected </w:t>
      </w:r>
      <w:r w:rsidR="00867588" w:rsidRPr="009769D3">
        <w:rPr>
          <w:rFonts w:cs="Courier New"/>
        </w:rPr>
        <w:t xml:space="preserve">3-digit NAICS </w:t>
      </w:r>
      <w:r w:rsidRPr="009769D3">
        <w:rPr>
          <w:rFonts w:cs="Courier New"/>
        </w:rPr>
        <w:t>industries ranges from 500 to 1,000 employees, except for petroleum refining and electric utilities.  In these latter two industries, the size standard is 1,500 employees and a mass throughput of 75,000 barrels/day or less or 4 million kilowatt-hours of production or less, respectively; (2) a small governmental jurisdiction that is a government of a city, county, town, school district or special district with a population of less than 50,000; and (3) a small organization that is any not-for-profit enterprise that is independently owned and operated and is not dominant in its field.</w:t>
      </w:r>
    </w:p>
    <w:p w:rsidR="001B2223" w:rsidRPr="009769D3" w:rsidRDefault="001B2223" w:rsidP="001B2223">
      <w:pPr>
        <w:widowControl/>
        <w:ind w:firstLine="720"/>
        <w:rPr>
          <w:rFonts w:cs="Courier New"/>
        </w:rPr>
      </w:pPr>
    </w:p>
    <w:p w:rsidR="00BD042F" w:rsidRPr="009769D3" w:rsidRDefault="00867588" w:rsidP="001B2223">
      <w:pPr>
        <w:widowControl/>
        <w:ind w:firstLine="720"/>
        <w:rPr>
          <w:rFonts w:cs="Courier New"/>
        </w:rPr>
      </w:pPr>
      <w:r w:rsidRPr="009769D3">
        <w:rPr>
          <w:rFonts w:cs="Courier New"/>
        </w:rPr>
        <w:t xml:space="preserve">Based on responses to the 2008 survey </w:t>
      </w:r>
      <w:r w:rsidRPr="009769D3">
        <w:t xml:space="preserve">“Information Collection Effort for Facilities with Combustion Units </w:t>
      </w:r>
      <w:r w:rsidRPr="009769D3">
        <w:rPr>
          <w:spacing w:val="-4"/>
        </w:rPr>
        <w:t>(ICR No. 2286.01),”</w:t>
      </w:r>
      <w:r w:rsidRPr="009769D3">
        <w:rPr>
          <w:rFonts w:cs="Courier New"/>
        </w:rPr>
        <w:t xml:space="preserve"> t</w:t>
      </w:r>
      <w:r w:rsidR="001B2223" w:rsidRPr="009769D3">
        <w:rPr>
          <w:rFonts w:cs="Courier New"/>
        </w:rPr>
        <w:t>he EPA has determined that 1</w:t>
      </w:r>
      <w:r w:rsidRPr="009769D3">
        <w:rPr>
          <w:rFonts w:cs="Courier New"/>
        </w:rPr>
        <w:t>4</w:t>
      </w:r>
      <w:r w:rsidR="002F1147" w:rsidRPr="009769D3">
        <w:rPr>
          <w:rFonts w:cs="Courier New"/>
        </w:rPr>
        <w:t>7</w:t>
      </w:r>
      <w:r w:rsidR="001B2223" w:rsidRPr="009769D3">
        <w:rPr>
          <w:rFonts w:cs="Courier New"/>
        </w:rPr>
        <w:t xml:space="preserve"> of the </w:t>
      </w:r>
      <w:r w:rsidR="00232A8D" w:rsidRPr="009769D3">
        <w:rPr>
          <w:rFonts w:cs="Courier New"/>
        </w:rPr>
        <w:t>1,6</w:t>
      </w:r>
      <w:r w:rsidR="00255394">
        <w:rPr>
          <w:rFonts w:cs="Courier New"/>
        </w:rPr>
        <w:t>39</w:t>
      </w:r>
      <w:r w:rsidRPr="009769D3">
        <w:rPr>
          <w:rFonts w:cs="Courier New"/>
        </w:rPr>
        <w:t xml:space="preserve"> facilities with existing boilers or process heaters, or 9</w:t>
      </w:r>
      <w:r w:rsidR="001B2223" w:rsidRPr="009769D3">
        <w:rPr>
          <w:rFonts w:cs="Courier New"/>
        </w:rPr>
        <w:t xml:space="preserve"> percent of the total, affected by the regulation may be small</w:t>
      </w:r>
      <w:r w:rsidRPr="009769D3">
        <w:rPr>
          <w:rFonts w:cs="Courier New"/>
        </w:rPr>
        <w:t xml:space="preserve"> entities</w:t>
      </w:r>
      <w:r w:rsidR="001B2223" w:rsidRPr="009769D3">
        <w:rPr>
          <w:rFonts w:cs="Courier New"/>
        </w:rPr>
        <w:t xml:space="preserve">.  </w:t>
      </w:r>
    </w:p>
    <w:p w:rsidR="001B2223" w:rsidRPr="009769D3" w:rsidRDefault="001B2223" w:rsidP="001B2223">
      <w:pPr>
        <w:widowControl/>
        <w:ind w:firstLine="720"/>
        <w:rPr>
          <w:rFonts w:cs="Courier New"/>
        </w:rPr>
      </w:pPr>
    </w:p>
    <w:p w:rsidR="001B2223" w:rsidRPr="009769D3" w:rsidRDefault="001B2223" w:rsidP="001B2223">
      <w:pPr>
        <w:widowControl/>
        <w:ind w:firstLine="720"/>
        <w:rPr>
          <w:rFonts w:cs="Courier New"/>
        </w:rPr>
        <w:sectPr w:rsidR="001B2223" w:rsidRPr="009769D3">
          <w:type w:val="continuous"/>
          <w:pgSz w:w="12240" w:h="15840"/>
          <w:pgMar w:top="1440" w:right="1440" w:bottom="1080" w:left="1440" w:header="1440" w:footer="1080" w:gutter="0"/>
          <w:cols w:space="720"/>
          <w:noEndnote/>
        </w:sectPr>
      </w:pPr>
    </w:p>
    <w:p w:rsidR="00BD042F" w:rsidRPr="009769D3" w:rsidRDefault="001B2223" w:rsidP="00BD042F">
      <w:pPr>
        <w:widowControl/>
        <w:ind w:firstLine="720"/>
        <w:rPr>
          <w:rFonts w:cs="Courier New"/>
        </w:rPr>
      </w:pPr>
      <w:r w:rsidRPr="009769D3">
        <w:rPr>
          <w:rFonts w:cs="Courier New"/>
        </w:rPr>
        <w:lastRenderedPageBreak/>
        <w:t xml:space="preserve">The Boilers NESHAP does not contain any provisions reserved exclusively for the benefit of small entities.  However, the regulation does contain several provisions that reduce the impact on all regulated entities, which include small entities.  For instance, operating parameter monitoring is required instead of continuous emissions monitoring systems (CEMS) </w:t>
      </w:r>
      <w:r w:rsidR="00BD042F" w:rsidRPr="009769D3">
        <w:rPr>
          <w:rFonts w:cs="Courier New"/>
        </w:rPr>
        <w:t xml:space="preserve">for units less than </w:t>
      </w:r>
      <w:r w:rsidR="00B10154" w:rsidRPr="009769D3">
        <w:rPr>
          <w:rFonts w:cs="Courier New"/>
        </w:rPr>
        <w:t>250</w:t>
      </w:r>
      <w:r w:rsidR="00BD042F" w:rsidRPr="009769D3">
        <w:rPr>
          <w:rFonts w:cs="Courier New"/>
        </w:rPr>
        <w:t xml:space="preserve"> </w:t>
      </w:r>
      <w:proofErr w:type="spellStart"/>
      <w:r w:rsidR="00BD042F" w:rsidRPr="009769D3">
        <w:rPr>
          <w:rFonts w:cs="Courier New"/>
        </w:rPr>
        <w:t>mmBtu</w:t>
      </w:r>
      <w:proofErr w:type="spellEnd"/>
      <w:r w:rsidR="00BD042F" w:rsidRPr="009769D3">
        <w:rPr>
          <w:rFonts w:cs="Courier New"/>
        </w:rPr>
        <w:t xml:space="preserve">/hr, the rule provides an option to demonstrate compliance with fuel analysis in lieu of stack testing for boilers combusting fuels with mercury and chlorine contents less than their associated emission limit. </w:t>
      </w:r>
      <w:r w:rsidR="00B10154" w:rsidRPr="009769D3">
        <w:rPr>
          <w:rFonts w:cs="Courier New"/>
        </w:rPr>
        <w:t xml:space="preserve"> </w:t>
      </w:r>
      <w:r w:rsidR="00BD042F" w:rsidRPr="009769D3">
        <w:rPr>
          <w:rFonts w:cs="Courier New"/>
        </w:rPr>
        <w:t xml:space="preserve">In addition, providing a work practice standard for small </w:t>
      </w:r>
      <w:r w:rsidR="00B10154" w:rsidRPr="009769D3">
        <w:rPr>
          <w:rFonts w:cs="Courier New"/>
        </w:rPr>
        <w:t xml:space="preserve">and limited use </w:t>
      </w:r>
      <w:r w:rsidR="00BD042F" w:rsidRPr="009769D3">
        <w:rPr>
          <w:rFonts w:cs="Courier New"/>
        </w:rPr>
        <w:t>boilers and process heaters firing all fuel types and for boilers of all sizes firing natural gas</w:t>
      </w:r>
      <w:r w:rsidR="00255394">
        <w:rPr>
          <w:rFonts w:cs="Courier New"/>
        </w:rPr>
        <w:t>,</w:t>
      </w:r>
      <w:r w:rsidR="00BD042F" w:rsidRPr="009769D3">
        <w:rPr>
          <w:rFonts w:cs="Courier New"/>
        </w:rPr>
        <w:t xml:space="preserve"> refinery gas</w:t>
      </w:r>
      <w:r w:rsidR="00255394">
        <w:rPr>
          <w:rFonts w:cs="Courier New"/>
        </w:rPr>
        <w:t>, or other gas 1 fuels</w:t>
      </w:r>
      <w:r w:rsidR="00BD042F" w:rsidRPr="009769D3">
        <w:rPr>
          <w:rFonts w:cs="Courier New"/>
        </w:rPr>
        <w:t xml:space="preserve">, the EPA has substantially reduced the burden of the rulemaking, including reducing the burden on small entities. For example, </w:t>
      </w:r>
      <w:r w:rsidR="0085048C" w:rsidRPr="009769D3">
        <w:rPr>
          <w:rFonts w:cs="Courier New"/>
        </w:rPr>
        <w:t>3</w:t>
      </w:r>
      <w:r w:rsidR="00255394">
        <w:rPr>
          <w:rFonts w:cs="Courier New"/>
        </w:rPr>
        <w:t>4</w:t>
      </w:r>
      <w:r w:rsidR="00BD042F" w:rsidRPr="009769D3">
        <w:rPr>
          <w:rFonts w:cs="Courier New"/>
        </w:rPr>
        <w:t xml:space="preserve"> of the 14</w:t>
      </w:r>
      <w:r w:rsidR="002F1147" w:rsidRPr="009769D3">
        <w:rPr>
          <w:rFonts w:cs="Courier New"/>
        </w:rPr>
        <w:t>7</w:t>
      </w:r>
      <w:r w:rsidR="00BD042F" w:rsidRPr="009769D3">
        <w:rPr>
          <w:rFonts w:cs="Courier New"/>
        </w:rPr>
        <w:t xml:space="preserve"> small entities have only small </w:t>
      </w:r>
      <w:r w:rsidR="00255394">
        <w:rPr>
          <w:rFonts w:cs="Courier New"/>
        </w:rPr>
        <w:t xml:space="preserve">or limited use </w:t>
      </w:r>
      <w:r w:rsidR="00BD042F" w:rsidRPr="009769D3">
        <w:rPr>
          <w:rFonts w:cs="Courier New"/>
        </w:rPr>
        <w:t xml:space="preserve">boilers and process heaters installed at the facilities. The option to demonstrate compliance using an annual </w:t>
      </w:r>
      <w:r w:rsidR="00115A4A" w:rsidRPr="009769D3">
        <w:rPr>
          <w:rFonts w:cs="Courier New"/>
        </w:rPr>
        <w:t xml:space="preserve">or biennial </w:t>
      </w:r>
      <w:r w:rsidR="00BD042F" w:rsidRPr="009769D3">
        <w:rPr>
          <w:rFonts w:cs="Courier New"/>
        </w:rPr>
        <w:t>tune-up is a substantial savings compared with the requiring stack testing and add-on air pollution control devices.</w:t>
      </w:r>
    </w:p>
    <w:p w:rsidR="00CA4CD6" w:rsidRPr="009769D3"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5(d</w:t>
      </w:r>
      <w:proofErr w:type="gramStart"/>
      <w:r w:rsidRPr="009769D3">
        <w:rPr>
          <w:b/>
          <w:bCs/>
          <w:color w:val="000000"/>
        </w:rPr>
        <w:t>)  Collection</w:t>
      </w:r>
      <w:proofErr w:type="gramEnd"/>
      <w:r w:rsidRPr="009769D3">
        <w:rPr>
          <w:b/>
          <w:bCs/>
          <w:color w:val="000000"/>
        </w:rPr>
        <w:t xml:space="preserve"> Schedule</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1B2223" w:rsidRPr="009769D3" w:rsidRDefault="001B2223" w:rsidP="001B2223">
      <w:pPr>
        <w:widowControl/>
        <w:ind w:firstLine="720"/>
        <w:rPr>
          <w:rFonts w:cs="Courier New"/>
        </w:rPr>
      </w:pPr>
      <w:r w:rsidRPr="009769D3">
        <w:rPr>
          <w:rFonts w:cs="Courier New"/>
        </w:rPr>
        <w:t>Information collected includes the following one-time-only activities: reading the regulation, initial performance tests (for particulate matter</w:t>
      </w:r>
      <w:r w:rsidR="00B2580A" w:rsidRPr="009769D3">
        <w:rPr>
          <w:rFonts w:cs="Courier New"/>
        </w:rPr>
        <w:t xml:space="preserve">, mercury, </w:t>
      </w:r>
      <w:r w:rsidRPr="009769D3">
        <w:rPr>
          <w:rFonts w:cs="Courier New"/>
        </w:rPr>
        <w:t>hydrogen chloride</w:t>
      </w:r>
      <w:r w:rsidR="00B84210" w:rsidRPr="009769D3">
        <w:rPr>
          <w:rFonts w:cs="Courier New"/>
        </w:rPr>
        <w:t>, carbon monoxide,</w:t>
      </w:r>
      <w:r w:rsidR="00B2580A" w:rsidRPr="009769D3">
        <w:rPr>
          <w:rFonts w:cs="Courier New"/>
        </w:rPr>
        <w:t xml:space="preserve"> and dioxins and furans</w:t>
      </w:r>
      <w:r w:rsidRPr="009769D3">
        <w:rPr>
          <w:rFonts w:cs="Courier New"/>
        </w:rPr>
        <w:t xml:space="preserve"> for units with applicable emission limits), initial fuel analyses</w:t>
      </w:r>
      <w:r w:rsidR="00FC76A3" w:rsidRPr="009769D3">
        <w:rPr>
          <w:rFonts w:cs="Courier New"/>
        </w:rPr>
        <w:t xml:space="preserve"> (for mercury and chlorine for units demonstrating compliance using fuel analysis)</w:t>
      </w:r>
      <w:r w:rsidRPr="009769D3">
        <w:rPr>
          <w:rFonts w:cs="Courier New"/>
        </w:rPr>
        <w:t xml:space="preserve">, setting of operating parameter values, report prior to initial startup, report following initial stack tests (includes operating parameter values), development of a SSMP, </w:t>
      </w:r>
      <w:r w:rsidR="00B84210" w:rsidRPr="009769D3">
        <w:rPr>
          <w:rFonts w:cs="Courier New"/>
        </w:rPr>
        <w:t xml:space="preserve">conducting an energy audit, </w:t>
      </w:r>
      <w:r w:rsidRPr="009769D3">
        <w:rPr>
          <w:rFonts w:cs="Courier New"/>
        </w:rPr>
        <w:t xml:space="preserve">and development of a site-specific monitoring plan and fuel analysis plan.  </w:t>
      </w:r>
      <w:r w:rsidR="007D601A" w:rsidRPr="009769D3">
        <w:rPr>
          <w:rFonts w:cs="Courier New"/>
        </w:rPr>
        <w:t xml:space="preserve">Since compliance </w:t>
      </w:r>
      <w:r w:rsidRPr="009769D3">
        <w:rPr>
          <w:rFonts w:cs="Courier New"/>
        </w:rPr>
        <w:t xml:space="preserve">is not required until year 3 for existing facilities, </w:t>
      </w:r>
      <w:r w:rsidR="007D601A" w:rsidRPr="009769D3">
        <w:rPr>
          <w:rFonts w:cs="Courier New"/>
        </w:rPr>
        <w:t xml:space="preserve">EPA assumes </w:t>
      </w:r>
      <w:r w:rsidRPr="009769D3">
        <w:rPr>
          <w:rFonts w:cs="Courier New"/>
        </w:rPr>
        <w:t>that half of the existing facilities will conduct initial performance tests and related activities in year 2 and the other half will conduct such activities in year 3.</w:t>
      </w:r>
    </w:p>
    <w:p w:rsidR="001B2223" w:rsidRPr="009769D3" w:rsidRDefault="001B2223" w:rsidP="001B2223">
      <w:pPr>
        <w:widowControl/>
        <w:ind w:firstLine="720"/>
        <w:rPr>
          <w:rFonts w:cs="Courier New"/>
        </w:rPr>
      </w:pPr>
    </w:p>
    <w:p w:rsidR="001B2223" w:rsidRPr="009769D3" w:rsidRDefault="001B2223" w:rsidP="00B2580A">
      <w:pPr>
        <w:widowControl/>
        <w:ind w:firstLine="720"/>
        <w:rPr>
          <w:rFonts w:cs="Courier New"/>
        </w:rPr>
      </w:pPr>
      <w:r w:rsidRPr="009769D3">
        <w:rPr>
          <w:rFonts w:cs="Courier New"/>
        </w:rPr>
        <w:t>Year 1 for new and existing sources includes the one-time activity of reading the regulation and submitting the initial notification that the source</w:t>
      </w:r>
      <w:r w:rsidR="00FC76A3" w:rsidRPr="009769D3">
        <w:rPr>
          <w:rFonts w:cs="Courier New"/>
        </w:rPr>
        <w:t xml:space="preserve"> is subject to the regulation. </w:t>
      </w:r>
      <w:r w:rsidRPr="009769D3">
        <w:rPr>
          <w:rFonts w:cs="Courier New"/>
        </w:rPr>
        <w:t xml:space="preserve">The burden associated with this activity is estimated on a facility basis.  </w:t>
      </w:r>
      <w:r w:rsidR="00B2580A" w:rsidRPr="009769D3">
        <w:rPr>
          <w:rFonts w:cs="Courier New"/>
        </w:rPr>
        <w:t xml:space="preserve">The database </w:t>
      </w:r>
      <w:r w:rsidR="00FC76A3" w:rsidRPr="009769D3">
        <w:rPr>
          <w:rFonts w:cs="Courier New"/>
        </w:rPr>
        <w:t xml:space="preserve">developed from the 2008 survey </w:t>
      </w:r>
      <w:r w:rsidR="00FC76A3" w:rsidRPr="009769D3">
        <w:t xml:space="preserve">“Information Collection Effort for Facilities with Combustion Units </w:t>
      </w:r>
      <w:r w:rsidR="00FC76A3" w:rsidRPr="009769D3">
        <w:rPr>
          <w:spacing w:val="-4"/>
        </w:rPr>
        <w:t>(ICR No. 2286.01),”</w:t>
      </w:r>
      <w:r w:rsidR="00255394">
        <w:rPr>
          <w:spacing w:val="-4"/>
        </w:rPr>
        <w:t>and subsequent public comments to adjust the inventory</w:t>
      </w:r>
      <w:r w:rsidR="00FC76A3" w:rsidRPr="009769D3">
        <w:rPr>
          <w:spacing w:val="-4"/>
        </w:rPr>
        <w:t xml:space="preserve"> </w:t>
      </w:r>
      <w:r w:rsidR="00B2580A" w:rsidRPr="009769D3">
        <w:rPr>
          <w:rFonts w:cs="Courier New"/>
        </w:rPr>
        <w:t>indicates that each affected facility has</w:t>
      </w:r>
      <w:r w:rsidR="00FC76A3" w:rsidRPr="009769D3">
        <w:rPr>
          <w:rFonts w:cs="Courier New"/>
        </w:rPr>
        <w:t xml:space="preserve"> on average</w:t>
      </w:r>
      <w:r w:rsidR="00B2580A" w:rsidRPr="009769D3">
        <w:rPr>
          <w:rFonts w:cs="Courier New"/>
        </w:rPr>
        <w:t xml:space="preserve"> eight </w:t>
      </w:r>
      <w:r w:rsidR="00FC76A3" w:rsidRPr="009769D3">
        <w:rPr>
          <w:rFonts w:cs="Courier New"/>
        </w:rPr>
        <w:t>boilers or process heaters</w:t>
      </w:r>
      <w:r w:rsidR="00B2580A" w:rsidRPr="009769D3">
        <w:rPr>
          <w:rFonts w:cs="Courier New"/>
        </w:rPr>
        <w:t xml:space="preserve">.  This is a conservative estimate of recordkeeping and reporting burden, as EPA knows that some of the affected facilities have more than eight sources and will be able to benefit from consolidated reporting.  </w:t>
      </w:r>
      <w:r w:rsidRPr="009769D3">
        <w:rPr>
          <w:rFonts w:cs="Courier New"/>
        </w:rPr>
        <w:t>New major sources would also submit the following one-time only notifications: intent to construct, start of construction date, anticipated start-up date, and actual start-up date.  These notifications generally would be submitted within 60 days of the activity.</w:t>
      </w:r>
    </w:p>
    <w:p w:rsidR="001B2223" w:rsidRPr="009769D3" w:rsidRDefault="001B2223" w:rsidP="001B2223">
      <w:pPr>
        <w:widowControl/>
        <w:ind w:firstLine="720"/>
        <w:rPr>
          <w:rFonts w:cs="Courier New"/>
        </w:rPr>
      </w:pPr>
    </w:p>
    <w:p w:rsidR="001B2223" w:rsidRPr="009769D3" w:rsidRDefault="001B2223" w:rsidP="001B2223">
      <w:pPr>
        <w:widowControl/>
        <w:ind w:firstLine="720"/>
        <w:rPr>
          <w:rFonts w:cs="Courier New"/>
        </w:rPr>
      </w:pPr>
      <w:r w:rsidRPr="009769D3">
        <w:rPr>
          <w:rFonts w:cs="Courier New"/>
        </w:rPr>
        <w:t xml:space="preserve">In year 1, new facilities will begin training their personnel regarding the use of monitoring equipment and the startup, shutdown, and malfunction plan.  Half of the existing facilities will train personnel in year 2 and the other half will train personnel in year 3.  </w:t>
      </w:r>
    </w:p>
    <w:p w:rsidR="001B2223" w:rsidRPr="009769D3" w:rsidRDefault="001B2223" w:rsidP="001B2223">
      <w:pPr>
        <w:widowControl/>
        <w:ind w:firstLine="720"/>
        <w:rPr>
          <w:rFonts w:cs="Courier New"/>
        </w:rPr>
      </w:pPr>
    </w:p>
    <w:p w:rsidR="001B2223" w:rsidRPr="009769D3" w:rsidRDefault="00B2580A" w:rsidP="001B2223">
      <w:pPr>
        <w:widowControl/>
        <w:ind w:firstLine="720"/>
        <w:rPr>
          <w:rFonts w:cs="Courier New"/>
        </w:rPr>
      </w:pPr>
      <w:r w:rsidRPr="009769D3">
        <w:rPr>
          <w:rFonts w:cs="Courier New"/>
        </w:rPr>
        <w:t>Also in year 1, new sources</w:t>
      </w:r>
      <w:r w:rsidR="001B2223" w:rsidRPr="009769D3">
        <w:rPr>
          <w:rFonts w:cs="Courier New"/>
        </w:rPr>
        <w:t xml:space="preserve"> will begin activities to comply with the subpart such as conducting performance tests</w:t>
      </w:r>
      <w:r w:rsidRPr="009769D3">
        <w:rPr>
          <w:rFonts w:cs="Courier New"/>
        </w:rPr>
        <w:t>,</w:t>
      </w:r>
      <w:r w:rsidR="001B2223" w:rsidRPr="009769D3">
        <w:rPr>
          <w:rFonts w:cs="Courier New"/>
        </w:rPr>
        <w:t xml:space="preserve"> </w:t>
      </w:r>
      <w:r w:rsidR="00FC76A3" w:rsidRPr="009769D3">
        <w:rPr>
          <w:rFonts w:cs="Courier New"/>
        </w:rPr>
        <w:t xml:space="preserve">conducting tune-ups, </w:t>
      </w:r>
      <w:r w:rsidR="001B2223" w:rsidRPr="009769D3">
        <w:rPr>
          <w:rFonts w:cs="Courier New"/>
        </w:rPr>
        <w:t>setting operating limits, developing a site-specific monitoring plan and fuel analysis plan, installing and operating applicable monitoring equipment, and submitting the notification of compliance status.</w:t>
      </w:r>
    </w:p>
    <w:p w:rsidR="00B2580A" w:rsidRPr="009769D3" w:rsidRDefault="00B2580A" w:rsidP="001B2223">
      <w:pPr>
        <w:widowControl/>
        <w:ind w:firstLine="720"/>
        <w:rPr>
          <w:rFonts w:cs="Courier New"/>
        </w:rPr>
      </w:pPr>
    </w:p>
    <w:p w:rsidR="001B2223" w:rsidRPr="009769D3" w:rsidRDefault="001B2223" w:rsidP="001B2223">
      <w:pPr>
        <w:widowControl/>
        <w:ind w:firstLine="720"/>
        <w:rPr>
          <w:rFonts w:cs="Courier New"/>
        </w:rPr>
      </w:pPr>
      <w:r w:rsidRPr="009769D3">
        <w:rPr>
          <w:rFonts w:cs="Courier New"/>
        </w:rPr>
        <w:t xml:space="preserve">In year 2, the new sources from year 1 will conduct annual performance tests, </w:t>
      </w:r>
      <w:r w:rsidR="00FC76A3" w:rsidRPr="009769D3">
        <w:rPr>
          <w:rFonts w:cs="Courier New"/>
        </w:rPr>
        <w:t xml:space="preserve">or tune-ups, </w:t>
      </w:r>
      <w:r w:rsidRPr="009769D3">
        <w:rPr>
          <w:rFonts w:cs="Courier New"/>
        </w:rPr>
        <w:t xml:space="preserve">if applicable, and submit semiannual compliance reports and the new sources in year 2 will conduct initial performance tests and other initial compliance activities and will also submit all initial notifications.  Also in year 2, half of the existing </w:t>
      </w:r>
      <w:r w:rsidR="00B2580A" w:rsidRPr="009769D3">
        <w:rPr>
          <w:rFonts w:cs="Courier New"/>
        </w:rPr>
        <w:t xml:space="preserve">large </w:t>
      </w:r>
      <w:r w:rsidRPr="009769D3">
        <w:rPr>
          <w:rFonts w:cs="Courier New"/>
        </w:rPr>
        <w:t xml:space="preserve">affected sources will conduct initial performance tests, fuel analyses, </w:t>
      </w:r>
      <w:r w:rsidR="00B2580A" w:rsidRPr="009769D3">
        <w:rPr>
          <w:rFonts w:cs="Courier New"/>
        </w:rPr>
        <w:t xml:space="preserve">certified energy audits, </w:t>
      </w:r>
      <w:r w:rsidRPr="009769D3">
        <w:rPr>
          <w:rFonts w:cs="Courier New"/>
        </w:rPr>
        <w:t xml:space="preserve">related activities, and submit initial notifications of compliance status.  </w:t>
      </w:r>
      <w:r w:rsidR="00B2580A" w:rsidRPr="009769D3">
        <w:rPr>
          <w:rFonts w:cs="Courier New"/>
        </w:rPr>
        <w:t xml:space="preserve">Half of the existing small </w:t>
      </w:r>
      <w:r w:rsidR="00431EF9" w:rsidRPr="009769D3">
        <w:rPr>
          <w:rFonts w:cs="Courier New"/>
        </w:rPr>
        <w:t xml:space="preserve">and limited use </w:t>
      </w:r>
      <w:r w:rsidR="00B2580A" w:rsidRPr="009769D3">
        <w:rPr>
          <w:rFonts w:cs="Courier New"/>
        </w:rPr>
        <w:t xml:space="preserve">affected sources will conduct certified energy audits and </w:t>
      </w:r>
      <w:r w:rsidR="00115A4A" w:rsidRPr="009769D3">
        <w:rPr>
          <w:rFonts w:cs="Courier New"/>
        </w:rPr>
        <w:t>biennial</w:t>
      </w:r>
      <w:r w:rsidR="00B2580A" w:rsidRPr="009769D3">
        <w:rPr>
          <w:rFonts w:cs="Courier New"/>
        </w:rPr>
        <w:t xml:space="preserve"> tune-ups.  </w:t>
      </w:r>
    </w:p>
    <w:p w:rsidR="001B2223" w:rsidRPr="009769D3" w:rsidRDefault="001B2223" w:rsidP="001B2223">
      <w:pPr>
        <w:widowControl/>
        <w:ind w:firstLine="720"/>
        <w:rPr>
          <w:rFonts w:cs="Courier New"/>
        </w:rPr>
      </w:pPr>
    </w:p>
    <w:p w:rsidR="001B2223" w:rsidRPr="009769D3" w:rsidRDefault="001B2223" w:rsidP="001B2223">
      <w:pPr>
        <w:widowControl/>
        <w:ind w:firstLine="720"/>
        <w:rPr>
          <w:rFonts w:cs="Courier New"/>
        </w:rPr>
        <w:sectPr w:rsidR="001B2223" w:rsidRPr="009769D3">
          <w:type w:val="continuous"/>
          <w:pgSz w:w="12240" w:h="15840"/>
          <w:pgMar w:top="1440" w:right="1440" w:bottom="1080" w:left="1440" w:header="1440" w:footer="1080" w:gutter="0"/>
          <w:cols w:space="720"/>
          <w:noEndnote/>
        </w:sectPr>
      </w:pPr>
    </w:p>
    <w:p w:rsidR="001B2223" w:rsidRPr="009769D3" w:rsidRDefault="001B2223" w:rsidP="001B2223">
      <w:pPr>
        <w:widowControl/>
        <w:ind w:firstLine="720"/>
        <w:rPr>
          <w:rFonts w:cs="Courier New"/>
        </w:rPr>
      </w:pPr>
      <w:r w:rsidRPr="009769D3">
        <w:rPr>
          <w:rFonts w:cs="Courier New"/>
        </w:rPr>
        <w:lastRenderedPageBreak/>
        <w:t>In year 3, the new sources from year 1 and from year 2 and half of the existing sources that began complying with the subpart in year 2 will conduct annual performance tests, if applicable, and will submit semiannual compliance reports. The new sources from year 3 will conduct pe</w:t>
      </w:r>
      <w:r w:rsidR="005B6606" w:rsidRPr="009769D3">
        <w:rPr>
          <w:rFonts w:cs="Courier New"/>
        </w:rPr>
        <w:t xml:space="preserve">rformance tests, and fuel analyses. </w:t>
      </w:r>
      <w:r w:rsidRPr="009769D3">
        <w:rPr>
          <w:rFonts w:cs="Courier New"/>
        </w:rPr>
        <w:t xml:space="preserve">Also in year 3, the other half of existing affected sources for which testing is required will conduct performance tests, fuel analyses, </w:t>
      </w:r>
      <w:r w:rsidR="005B6606" w:rsidRPr="009769D3">
        <w:rPr>
          <w:rFonts w:cs="Courier New"/>
        </w:rPr>
        <w:t>and certified energy audits</w:t>
      </w:r>
      <w:r w:rsidRPr="009769D3">
        <w:rPr>
          <w:rFonts w:cs="Courier New"/>
        </w:rPr>
        <w:t xml:space="preserve">.  </w:t>
      </w:r>
      <w:r w:rsidR="00FC76A3" w:rsidRPr="009769D3">
        <w:rPr>
          <w:rFonts w:cs="Courier New"/>
        </w:rPr>
        <w:t xml:space="preserve">The </w:t>
      </w:r>
      <w:r w:rsidR="005B6606" w:rsidRPr="009769D3">
        <w:rPr>
          <w:rFonts w:cs="Courier New"/>
        </w:rPr>
        <w:t>remaining</w:t>
      </w:r>
      <w:r w:rsidR="0056614C" w:rsidRPr="009769D3">
        <w:rPr>
          <w:rFonts w:cs="Courier New"/>
        </w:rPr>
        <w:t xml:space="preserve"> half </w:t>
      </w:r>
      <w:r w:rsidR="005C49BB" w:rsidRPr="009769D3">
        <w:rPr>
          <w:rFonts w:cs="Courier New"/>
        </w:rPr>
        <w:t>of existing small</w:t>
      </w:r>
      <w:r w:rsidR="00431EF9" w:rsidRPr="009769D3">
        <w:rPr>
          <w:rFonts w:cs="Courier New"/>
        </w:rPr>
        <w:t xml:space="preserve"> and limited use</w:t>
      </w:r>
      <w:r w:rsidR="005C49BB" w:rsidRPr="009769D3">
        <w:rPr>
          <w:rFonts w:cs="Courier New"/>
        </w:rPr>
        <w:t xml:space="preserve"> sources </w:t>
      </w:r>
      <w:r w:rsidR="0056614C" w:rsidRPr="009769D3">
        <w:rPr>
          <w:rFonts w:cs="Courier New"/>
        </w:rPr>
        <w:t xml:space="preserve">will conduct initial </w:t>
      </w:r>
      <w:r w:rsidR="00115A4A" w:rsidRPr="009769D3">
        <w:rPr>
          <w:rFonts w:cs="Courier New"/>
        </w:rPr>
        <w:t>biennial</w:t>
      </w:r>
      <w:r w:rsidR="0056614C" w:rsidRPr="009769D3">
        <w:rPr>
          <w:rFonts w:cs="Courier New"/>
        </w:rPr>
        <w:t xml:space="preserve"> tune-ups and certified energy audits.  </w:t>
      </w:r>
      <w:r w:rsidR="005B6606" w:rsidRPr="009769D3">
        <w:rPr>
          <w:rFonts w:cs="Courier New"/>
        </w:rPr>
        <w:t>Finally, in year 3</w:t>
      </w:r>
      <w:r w:rsidRPr="009769D3">
        <w:rPr>
          <w:rFonts w:cs="Courier New"/>
        </w:rPr>
        <w:t xml:space="preserve"> all </w:t>
      </w:r>
      <w:r w:rsidR="005B6606" w:rsidRPr="009769D3">
        <w:rPr>
          <w:rFonts w:cs="Courier New"/>
        </w:rPr>
        <w:t xml:space="preserve">facilities with affected boilers or process heaters will </w:t>
      </w:r>
      <w:r w:rsidRPr="009769D3">
        <w:rPr>
          <w:rFonts w:cs="Courier New"/>
        </w:rPr>
        <w:t>submit the no</w:t>
      </w:r>
      <w:r w:rsidR="005B6606" w:rsidRPr="009769D3">
        <w:rPr>
          <w:rFonts w:cs="Courier New"/>
        </w:rPr>
        <w:t>tification of compliance status and those required to submit semi-annual compliance reports will begin submitting these in year 3.</w:t>
      </w:r>
    </w:p>
    <w:p w:rsidR="001B2223" w:rsidRPr="009769D3" w:rsidRDefault="001B2223" w:rsidP="001B2223">
      <w:pPr>
        <w:widowControl/>
        <w:ind w:firstLine="720"/>
        <w:rPr>
          <w:rFonts w:cs="Courier New"/>
        </w:rPr>
      </w:pPr>
    </w:p>
    <w:p w:rsidR="001B2223" w:rsidRDefault="001B2223" w:rsidP="001B2223">
      <w:pPr>
        <w:widowControl/>
        <w:ind w:firstLine="720"/>
        <w:rPr>
          <w:rFonts w:cs="Courier New"/>
        </w:rPr>
      </w:pPr>
      <w:r w:rsidRPr="009769D3">
        <w:rPr>
          <w:rFonts w:cs="Courier New"/>
        </w:rPr>
        <w:t>In year 1, new sources will begin keeping records of data such as operating limits</w:t>
      </w:r>
      <w:r w:rsidR="005B6606" w:rsidRPr="009769D3">
        <w:rPr>
          <w:rFonts w:cs="Courier New"/>
        </w:rPr>
        <w:t>, start-up shutdown and malfunctions,</w:t>
      </w:r>
      <w:r w:rsidRPr="009769D3">
        <w:rPr>
          <w:rFonts w:cs="Courier New"/>
        </w:rPr>
        <w:t xml:space="preserve"> </w:t>
      </w:r>
      <w:r w:rsidR="005B6606" w:rsidRPr="009769D3">
        <w:rPr>
          <w:rFonts w:cs="Courier New"/>
        </w:rPr>
        <w:t xml:space="preserve">tune-up procedures, monitoring device calibrations, stack test results, submitted reports, </w:t>
      </w:r>
      <w:r w:rsidRPr="009769D3">
        <w:rPr>
          <w:rFonts w:cs="Courier New"/>
        </w:rPr>
        <w:t>and fuel usage.  In year 2, the new sources from years 1 and 2 will keep records of such data.  In year 3, all new and existing affected facilities will keep records of such data.</w:t>
      </w:r>
    </w:p>
    <w:p w:rsidR="008B4D98" w:rsidRDefault="008B4D98" w:rsidP="001B2223">
      <w:pPr>
        <w:widowControl/>
        <w:ind w:firstLine="720"/>
        <w:rPr>
          <w:rFonts w:cs="Courier New"/>
        </w:rPr>
      </w:pPr>
    </w:p>
    <w:p w:rsidR="00CA4CD6" w:rsidRPr="009769D3" w:rsidRDefault="00CA4CD6">
      <w:pPr>
        <w:pBdr>
          <w:top w:val="single" w:sz="6" w:space="0" w:color="FFFFFF"/>
          <w:left w:val="single" w:sz="6" w:space="0" w:color="FFFFFF"/>
          <w:bottom w:val="single" w:sz="6" w:space="0" w:color="FFFFFF"/>
          <w:right w:val="single" w:sz="6" w:space="0" w:color="FFFFFF"/>
        </w:pBdr>
        <w:rPr>
          <w:b/>
          <w:bCs/>
          <w:color w:val="000000"/>
        </w:rPr>
      </w:pPr>
      <w:r w:rsidRPr="009769D3">
        <w:rPr>
          <w:b/>
          <w:bCs/>
          <w:color w:val="000000"/>
        </w:rPr>
        <w:t>6.  Estimating the Burden and Cost of the Collection</w:t>
      </w:r>
    </w:p>
    <w:p w:rsidR="00CA4CD6" w:rsidRPr="009769D3" w:rsidRDefault="00CA4CD6">
      <w:pPr>
        <w:pBdr>
          <w:top w:val="single" w:sz="6" w:space="0" w:color="FFFFFF"/>
          <w:left w:val="single" w:sz="6" w:space="0" w:color="FFFFFF"/>
          <w:bottom w:val="single" w:sz="6" w:space="0" w:color="FFFFFF"/>
          <w:right w:val="single" w:sz="6" w:space="0" w:color="FFFFFF"/>
        </w:pBdr>
        <w:rPr>
          <w:b/>
          <w:bCs/>
          <w:color w:val="000000"/>
        </w:rPr>
      </w:pPr>
    </w:p>
    <w:p w:rsidR="0056614C" w:rsidRPr="009769D3" w:rsidRDefault="0056614C" w:rsidP="0056614C">
      <w:pPr>
        <w:pBdr>
          <w:top w:val="single" w:sz="6" w:space="0" w:color="FFFFFF"/>
          <w:left w:val="single" w:sz="6" w:space="0" w:color="FFFFFF"/>
          <w:bottom w:val="single" w:sz="6" w:space="0" w:color="FFFFFF"/>
          <w:right w:val="single" w:sz="6" w:space="0" w:color="FFFFFF"/>
        </w:pBdr>
        <w:ind w:firstLine="720"/>
        <w:rPr>
          <w:color w:val="000000"/>
        </w:rPr>
      </w:pPr>
      <w:proofErr w:type="gramStart"/>
      <w:r w:rsidRPr="009769D3">
        <w:rPr>
          <w:color w:val="000000"/>
        </w:rPr>
        <w:t>Tables</w:t>
      </w:r>
      <w:proofErr w:type="gramEnd"/>
      <w:r w:rsidRPr="009769D3">
        <w:rPr>
          <w:color w:val="000000"/>
        </w:rPr>
        <w:t xml:space="preserve"> 1.A-12.C document the computation of individual burdens for the recordkeeping and reporting requirements applicable to the industry for each year for the subpart included in this ICR.  The individual burdens are expressed under standardized headings believed to be consistent with the concept of burden under the Paperwork Reduction Act.  </w:t>
      </w:r>
      <w:proofErr w:type="gramStart"/>
      <w:r w:rsidRPr="009769D3">
        <w:rPr>
          <w:color w:val="000000"/>
        </w:rPr>
        <w:t>Where appropriate, specific tasks and major assumptions have been identified.</w:t>
      </w:r>
      <w:proofErr w:type="gramEnd"/>
      <w:r w:rsidRPr="009769D3">
        <w:rPr>
          <w:color w:val="000000"/>
        </w:rPr>
        <w:t xml:space="preserve">  Responses to this information collection are mandatory.</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The Agency may not conduct or sponsor, and a person is not required to respond to, a </w:t>
      </w:r>
      <w:r w:rsidRPr="009769D3">
        <w:rPr>
          <w:color w:val="000000"/>
        </w:rPr>
        <w:lastRenderedPageBreak/>
        <w:t>collection of information unless it displays a currently valid OMB Control Number.</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6(a</w:t>
      </w:r>
      <w:proofErr w:type="gramStart"/>
      <w:r w:rsidRPr="009769D3">
        <w:rPr>
          <w:b/>
          <w:bCs/>
          <w:color w:val="000000"/>
        </w:rPr>
        <w:t>)  Estimating</w:t>
      </w:r>
      <w:proofErr w:type="gramEnd"/>
      <w:r w:rsidRPr="009769D3">
        <w:rPr>
          <w:b/>
          <w:bCs/>
          <w:color w:val="000000"/>
        </w:rPr>
        <w:t xml:space="preserve"> Respondent Burden</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56614C" w:rsidRPr="009769D3" w:rsidRDefault="0056614C" w:rsidP="0056614C">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The average annual burden to industry over the next three years from these recordkeeping and reporting requirements is estimated to be </w:t>
      </w:r>
      <w:r w:rsidR="00DD3E06" w:rsidRPr="009769D3">
        <w:rPr>
          <w:color w:val="000000"/>
        </w:rPr>
        <w:t>$</w:t>
      </w:r>
      <w:r w:rsidR="00CE13C8" w:rsidRPr="009769D3">
        <w:rPr>
          <w:color w:val="000000"/>
        </w:rPr>
        <w:t>95</w:t>
      </w:r>
      <w:r w:rsidR="0036088E" w:rsidRPr="009769D3">
        <w:rPr>
          <w:color w:val="000000"/>
        </w:rPr>
        <w:t>.</w:t>
      </w:r>
      <w:r w:rsidR="00606CE8">
        <w:rPr>
          <w:color w:val="000000"/>
        </w:rPr>
        <w:t>8</w:t>
      </w:r>
      <w:r w:rsidR="0036088E" w:rsidRPr="009769D3">
        <w:rPr>
          <w:color w:val="000000"/>
        </w:rPr>
        <w:t xml:space="preserve"> million</w:t>
      </w:r>
      <w:r w:rsidRPr="009769D3">
        <w:rPr>
          <w:color w:val="000000"/>
        </w:rPr>
        <w:t xml:space="preserve">.   The average annual recordkeeping hours shown in Tables 1.A-12.C is </w:t>
      </w:r>
      <w:r w:rsidR="00E007F4" w:rsidRPr="007A0210">
        <w:rPr>
          <w:color w:val="000000"/>
        </w:rPr>
        <w:t>7</w:t>
      </w:r>
      <w:r w:rsidR="00606CE8" w:rsidRPr="007A0210">
        <w:rPr>
          <w:color w:val="000000"/>
        </w:rPr>
        <w:t>3</w:t>
      </w:r>
      <w:r w:rsidR="00E007F4" w:rsidRPr="007A0210">
        <w:rPr>
          <w:color w:val="000000"/>
        </w:rPr>
        <w:t>,</w:t>
      </w:r>
      <w:r w:rsidR="00606CE8" w:rsidRPr="007A0210">
        <w:rPr>
          <w:color w:val="000000"/>
        </w:rPr>
        <w:t>1</w:t>
      </w:r>
      <w:r w:rsidR="00E007F4" w:rsidRPr="007A0210">
        <w:rPr>
          <w:color w:val="000000"/>
        </w:rPr>
        <w:t>00</w:t>
      </w:r>
      <w:r w:rsidRPr="009769D3">
        <w:rPr>
          <w:color w:val="000000"/>
        </w:rPr>
        <w:t xml:space="preserve">.  The average annual reporting requirement hours shown in Tables 1.A-12.A is </w:t>
      </w:r>
      <w:r w:rsidR="00CE13C8" w:rsidRPr="007A0210">
        <w:rPr>
          <w:color w:val="000000"/>
        </w:rPr>
        <w:t>20</w:t>
      </w:r>
      <w:r w:rsidR="00606CE8" w:rsidRPr="007A0210">
        <w:rPr>
          <w:color w:val="000000"/>
        </w:rPr>
        <w:t>7</w:t>
      </w:r>
      <w:r w:rsidR="00E007F4" w:rsidRPr="007A0210">
        <w:rPr>
          <w:color w:val="000000"/>
        </w:rPr>
        <w:t>,</w:t>
      </w:r>
      <w:r w:rsidR="00CE13C8" w:rsidRPr="007A0210">
        <w:rPr>
          <w:color w:val="000000"/>
        </w:rPr>
        <w:t>4</w:t>
      </w:r>
      <w:r w:rsidR="00E007F4" w:rsidRPr="007A0210">
        <w:rPr>
          <w:color w:val="000000"/>
        </w:rPr>
        <w:t>00</w:t>
      </w:r>
      <w:r w:rsidRPr="009769D3">
        <w:rPr>
          <w:color w:val="000000"/>
        </w:rPr>
        <w:t xml:space="preserve">.  These hours are based on Agency studies and background documents from the development of the regulation, Agency knowledge and experience with the </w:t>
      </w:r>
      <w:r w:rsidRPr="009769D3">
        <w:t>NESHAP</w:t>
      </w:r>
      <w:r w:rsidRPr="009769D3">
        <w:rPr>
          <w:color w:val="000000"/>
        </w:rPr>
        <w:t xml:space="preserve"> program, and any comments received.</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2712EB" w:rsidRPr="009769D3" w:rsidRDefault="002712EB" w:rsidP="002712EB">
      <w:pPr>
        <w:pBdr>
          <w:top w:val="single" w:sz="6" w:space="0" w:color="FFFFFF"/>
          <w:left w:val="single" w:sz="6" w:space="0" w:color="FFFFFF"/>
          <w:bottom w:val="single" w:sz="6" w:space="0" w:color="FFFFFF"/>
          <w:right w:val="single" w:sz="6" w:space="0" w:color="FFFFFF"/>
        </w:pBdr>
        <w:ind w:firstLine="720"/>
        <w:rPr>
          <w:b/>
          <w:bCs/>
          <w:color w:val="000000"/>
        </w:rPr>
      </w:pPr>
      <w:r w:rsidRPr="009769D3">
        <w:rPr>
          <w:b/>
          <w:bCs/>
          <w:color w:val="000000"/>
        </w:rPr>
        <w:t>6(b</w:t>
      </w:r>
      <w:proofErr w:type="gramStart"/>
      <w:r w:rsidRPr="009769D3">
        <w:rPr>
          <w:b/>
          <w:bCs/>
          <w:color w:val="000000"/>
        </w:rPr>
        <w:t>)  Estimating</w:t>
      </w:r>
      <w:proofErr w:type="gramEnd"/>
      <w:r w:rsidRPr="009769D3">
        <w:rPr>
          <w:b/>
          <w:bCs/>
          <w:color w:val="000000"/>
        </w:rPr>
        <w:t xml:space="preserve"> Respondent Costs</w:t>
      </w:r>
    </w:p>
    <w:p w:rsidR="002712EB" w:rsidRPr="009769D3" w:rsidRDefault="002712EB" w:rsidP="002712EB">
      <w:pPr>
        <w:pBdr>
          <w:top w:val="single" w:sz="6" w:space="0" w:color="FFFFFF"/>
          <w:left w:val="single" w:sz="6" w:space="0" w:color="FFFFFF"/>
          <w:bottom w:val="single" w:sz="6" w:space="0" w:color="FFFFFF"/>
          <w:right w:val="single" w:sz="6" w:space="0" w:color="FFFFFF"/>
        </w:pBdr>
        <w:rPr>
          <w:b/>
          <w:bCs/>
          <w:color w:val="000000"/>
        </w:rPr>
      </w:pPr>
    </w:p>
    <w:p w:rsidR="002712EB" w:rsidRPr="009769D3" w:rsidRDefault="002712EB" w:rsidP="002712EB">
      <w:pPr>
        <w:pBdr>
          <w:top w:val="single" w:sz="6" w:space="0" w:color="FFFFFF"/>
          <w:left w:val="single" w:sz="6" w:space="0" w:color="FFFFFF"/>
          <w:bottom w:val="single" w:sz="6" w:space="0" w:color="FFFFFF"/>
          <w:right w:val="single" w:sz="6" w:space="0" w:color="FFFFFF"/>
        </w:pBdr>
        <w:ind w:firstLine="1440"/>
        <w:rPr>
          <w:color w:val="000000"/>
        </w:rPr>
      </w:pPr>
      <w:r w:rsidRPr="009769D3">
        <w:rPr>
          <w:b/>
          <w:bCs/>
          <w:color w:val="000000"/>
        </w:rPr>
        <w:t>(</w:t>
      </w:r>
      <w:proofErr w:type="spellStart"/>
      <w:r w:rsidRPr="009769D3">
        <w:rPr>
          <w:b/>
          <w:bCs/>
          <w:color w:val="000000"/>
        </w:rPr>
        <w:t>i</w:t>
      </w:r>
      <w:proofErr w:type="spellEnd"/>
      <w:r w:rsidRPr="009769D3">
        <w:rPr>
          <w:b/>
          <w:bCs/>
          <w:color w:val="000000"/>
        </w:rPr>
        <w:t>)  Estimating Labor Costs</w:t>
      </w:r>
      <w:r w:rsidRPr="009769D3">
        <w:rPr>
          <w:color w:val="000000"/>
        </w:rPr>
        <w:t xml:space="preserve"> </w:t>
      </w:r>
    </w:p>
    <w:p w:rsidR="002712EB" w:rsidRPr="009769D3" w:rsidRDefault="002712EB" w:rsidP="002712EB">
      <w:pPr>
        <w:pBdr>
          <w:top w:val="single" w:sz="6" w:space="0" w:color="FFFFFF"/>
          <w:left w:val="single" w:sz="6" w:space="0" w:color="FFFFFF"/>
          <w:bottom w:val="single" w:sz="6" w:space="0" w:color="FFFFFF"/>
          <w:right w:val="single" w:sz="6" w:space="0" w:color="FFFFFF"/>
        </w:pBdr>
        <w:rPr>
          <w:color w:val="000000"/>
        </w:rPr>
      </w:pPr>
      <w:r w:rsidRPr="009769D3">
        <w:rPr>
          <w:color w:val="000000"/>
        </w:rPr>
        <w:t xml:space="preserve"> </w:t>
      </w:r>
    </w:p>
    <w:p w:rsidR="002712EB" w:rsidRPr="009769D3" w:rsidRDefault="002712EB" w:rsidP="002712EB">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This ICR uses the following labor rates: </w:t>
      </w:r>
    </w:p>
    <w:p w:rsidR="002712EB" w:rsidRPr="009769D3"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Pr="009769D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9769D3">
        <w:rPr>
          <w:color w:val="000000"/>
        </w:rPr>
        <w:t>Managerial</w:t>
      </w:r>
      <w:r w:rsidRPr="009769D3">
        <w:rPr>
          <w:color w:val="000000"/>
        </w:rPr>
        <w:tab/>
        <w:t>$114.</w:t>
      </w:r>
      <w:r w:rsidR="00E32EDA" w:rsidRPr="009769D3">
        <w:rPr>
          <w:color w:val="000000"/>
        </w:rPr>
        <w:t>49</w:t>
      </w:r>
      <w:r w:rsidRPr="009769D3">
        <w:rPr>
          <w:color w:val="000000"/>
        </w:rPr>
        <w:t xml:space="preserve"> ($54.</w:t>
      </w:r>
      <w:r w:rsidR="00E32EDA" w:rsidRPr="009769D3">
        <w:rPr>
          <w:color w:val="000000"/>
        </w:rPr>
        <w:t>52</w:t>
      </w:r>
      <w:r w:rsidRPr="009769D3">
        <w:rPr>
          <w:color w:val="000000"/>
        </w:rPr>
        <w:t xml:space="preserve"> + 110%)   </w:t>
      </w:r>
    </w:p>
    <w:p w:rsidR="002712EB" w:rsidRPr="009769D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9769D3">
        <w:rPr>
          <w:color w:val="000000"/>
        </w:rPr>
        <w:t>Technical</w:t>
      </w:r>
      <w:r w:rsidRPr="009769D3">
        <w:rPr>
          <w:color w:val="000000"/>
        </w:rPr>
        <w:tab/>
        <w:t>$9</w:t>
      </w:r>
      <w:r w:rsidR="00E32EDA" w:rsidRPr="009769D3">
        <w:rPr>
          <w:color w:val="000000"/>
        </w:rPr>
        <w:t>8</w:t>
      </w:r>
      <w:r w:rsidRPr="009769D3">
        <w:rPr>
          <w:color w:val="000000"/>
        </w:rPr>
        <w:t>.</w:t>
      </w:r>
      <w:r w:rsidR="00E32EDA" w:rsidRPr="009769D3">
        <w:rPr>
          <w:color w:val="000000"/>
        </w:rPr>
        <w:t>20</w:t>
      </w:r>
      <w:r w:rsidRPr="009769D3">
        <w:rPr>
          <w:color w:val="000000"/>
        </w:rPr>
        <w:t xml:space="preserve"> ($46.</w:t>
      </w:r>
      <w:r w:rsidR="00E32EDA" w:rsidRPr="009769D3">
        <w:rPr>
          <w:color w:val="000000"/>
        </w:rPr>
        <w:t>76</w:t>
      </w:r>
      <w:r w:rsidRPr="009769D3">
        <w:rPr>
          <w:color w:val="000000"/>
        </w:rPr>
        <w:t xml:space="preserve"> + 110%)</w:t>
      </w:r>
    </w:p>
    <w:p w:rsidR="002712EB" w:rsidRPr="009769D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9769D3">
        <w:rPr>
          <w:color w:val="000000"/>
        </w:rPr>
        <w:t>Clerical</w:t>
      </w:r>
      <w:r w:rsidRPr="009769D3">
        <w:rPr>
          <w:color w:val="000000"/>
        </w:rPr>
        <w:tab/>
        <w:t>$48.</w:t>
      </w:r>
      <w:r w:rsidR="00E32EDA" w:rsidRPr="009769D3">
        <w:rPr>
          <w:color w:val="000000"/>
        </w:rPr>
        <w:t>53</w:t>
      </w:r>
      <w:r w:rsidRPr="009769D3">
        <w:rPr>
          <w:color w:val="000000"/>
        </w:rPr>
        <w:t xml:space="preserve"> ($2</w:t>
      </w:r>
      <w:r w:rsidR="00E32EDA" w:rsidRPr="009769D3">
        <w:rPr>
          <w:color w:val="000000"/>
        </w:rPr>
        <w:t>3</w:t>
      </w:r>
      <w:r w:rsidRPr="009769D3">
        <w:rPr>
          <w:color w:val="000000"/>
        </w:rPr>
        <w:t>.</w:t>
      </w:r>
      <w:r w:rsidR="00E32EDA" w:rsidRPr="009769D3">
        <w:rPr>
          <w:color w:val="000000"/>
        </w:rPr>
        <w:t>11</w:t>
      </w:r>
      <w:r w:rsidRPr="009769D3">
        <w:rPr>
          <w:color w:val="000000"/>
        </w:rPr>
        <w:t xml:space="preserve"> + 110%)</w:t>
      </w:r>
    </w:p>
    <w:p w:rsidR="002712EB" w:rsidRPr="009769D3"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Pr="009769D3" w:rsidRDefault="002712EB" w:rsidP="002712EB">
      <w:pPr>
        <w:pBdr>
          <w:top w:val="single" w:sz="6" w:space="0" w:color="FFFFFF"/>
          <w:left w:val="single" w:sz="6" w:space="0" w:color="FFFFFF"/>
          <w:bottom w:val="single" w:sz="6" w:space="0" w:color="FFFFFF"/>
          <w:right w:val="single" w:sz="6" w:space="0" w:color="FFFFFF"/>
        </w:pBdr>
        <w:rPr>
          <w:color w:val="000000"/>
        </w:rPr>
      </w:pPr>
      <w:r w:rsidRPr="009769D3">
        <w:rPr>
          <w:color w:val="000000"/>
        </w:rPr>
        <w:t xml:space="preserve">These rates are from the United States Department of Labor, Bureau of Labor Statistics, </w:t>
      </w:r>
      <w:r w:rsidR="00E32EDA" w:rsidRPr="009769D3">
        <w:rPr>
          <w:color w:val="000000"/>
        </w:rPr>
        <w:t>September</w:t>
      </w:r>
      <w:r w:rsidRPr="009769D3">
        <w:rPr>
          <w:color w:val="000000"/>
        </w:rPr>
        <w:t xml:space="preserve"> 2009, </w:t>
      </w:r>
      <w:r w:rsidR="005E6A95">
        <w:rPr>
          <w:color w:val="000000"/>
        </w:rPr>
        <w:t>“</w:t>
      </w:r>
      <w:r w:rsidRPr="009769D3">
        <w:rPr>
          <w:color w:val="000000"/>
        </w:rPr>
        <w:t xml:space="preserve">Table 2. </w:t>
      </w:r>
      <w:proofErr w:type="gramStart"/>
      <w:r w:rsidRPr="009769D3">
        <w:rPr>
          <w:color w:val="000000"/>
        </w:rPr>
        <w:t>Civilian Workers, by occupational and industry group.</w:t>
      </w:r>
      <w:r w:rsidR="005E6A95">
        <w:rPr>
          <w:color w:val="000000"/>
        </w:rPr>
        <w:t>”</w:t>
      </w:r>
      <w:proofErr w:type="gramEnd"/>
      <w:r w:rsidRPr="009769D3">
        <w:rPr>
          <w:color w:val="000000"/>
        </w:rPr>
        <w:t xml:space="preserve">  The rates are from column 1, </w:t>
      </w:r>
      <w:r w:rsidRPr="009769D3">
        <w:rPr>
          <w:color w:val="000000"/>
        </w:rPr>
        <w:sym w:font="WP TypographicSymbols" w:char="0041"/>
      </w:r>
      <w:r w:rsidRPr="009769D3">
        <w:rPr>
          <w:color w:val="000000"/>
        </w:rPr>
        <w:t>Total compensation.</w:t>
      </w:r>
      <w:r w:rsidRPr="009769D3">
        <w:rPr>
          <w:color w:val="000000"/>
        </w:rPr>
        <w:sym w:font="WP TypographicSymbols" w:char="0040"/>
      </w:r>
      <w:r w:rsidRPr="009769D3">
        <w:rPr>
          <w:color w:val="000000"/>
        </w:rPr>
        <w:t xml:space="preserve">  The rates have been increased by 110 percent to account for the benefit packages available to those employed by private industry.</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1440"/>
        <w:rPr>
          <w:color w:val="000000"/>
        </w:rPr>
      </w:pPr>
      <w:r w:rsidRPr="009769D3">
        <w:rPr>
          <w:b/>
          <w:bCs/>
          <w:color w:val="000000"/>
        </w:rPr>
        <w:t>(ii)  Estimating Capital/Startup and Operation and Maintenance Costs</w:t>
      </w:r>
    </w:p>
    <w:p w:rsidR="00F857B1" w:rsidRPr="009769D3" w:rsidRDefault="00F857B1">
      <w:pPr>
        <w:pBdr>
          <w:top w:val="single" w:sz="6" w:space="0" w:color="FFFFFF"/>
          <w:left w:val="single" w:sz="6" w:space="0" w:color="FFFFFF"/>
          <w:bottom w:val="single" w:sz="6" w:space="0" w:color="FFFFFF"/>
          <w:right w:val="single" w:sz="6" w:space="0" w:color="FFFFFF"/>
        </w:pBdr>
        <w:rPr>
          <w:color w:val="000000"/>
        </w:rPr>
      </w:pPr>
    </w:p>
    <w:p w:rsidR="00F857B1" w:rsidRPr="009769D3" w:rsidRDefault="00F857B1" w:rsidP="00F857B1">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The type of industry costs associated with the information collection activities in the subject standard(s) are both labor costs which are addressed elsewhere in this ICR and the costs associated with continuous monitoring</w:t>
      </w:r>
      <w:r w:rsidR="00F70E87" w:rsidRPr="009769D3">
        <w:rPr>
          <w:color w:val="000000"/>
        </w:rPr>
        <w:t>, hiring third party contractors to perform stack tests, energy audits, and/or boiler tune-ups</w:t>
      </w:r>
      <w:r w:rsidRPr="009769D3">
        <w:rPr>
          <w:color w:val="000000"/>
        </w:rPr>
        <w:t xml:space="preserve">.  The capital/startup costs are </w:t>
      </w:r>
      <w:proofErr w:type="spellStart"/>
      <w:r w:rsidRPr="009769D3">
        <w:rPr>
          <w:color w:val="000000"/>
        </w:rPr>
        <w:t>one time</w:t>
      </w:r>
      <w:proofErr w:type="spellEnd"/>
      <w:r w:rsidRPr="009769D3">
        <w:rPr>
          <w:color w:val="000000"/>
        </w:rPr>
        <w:t xml:space="preserve"> costs when a facility becomes subject to the regulation.  The annual operation and maintenance costs are the ongoing costs to maintain the monitor(s) </w:t>
      </w:r>
      <w:r w:rsidR="00F70E87" w:rsidRPr="009769D3">
        <w:rPr>
          <w:color w:val="000000"/>
        </w:rPr>
        <w:t xml:space="preserve">conduct subsequent testing or tune-ups, </w:t>
      </w:r>
      <w:r w:rsidRPr="009769D3">
        <w:rPr>
          <w:color w:val="000000"/>
        </w:rPr>
        <w:t>and other costs such as photocopying and postage.</w:t>
      </w:r>
    </w:p>
    <w:p w:rsidR="00F857B1" w:rsidRPr="009769D3" w:rsidRDefault="00F857B1" w:rsidP="00F857B1">
      <w:pPr>
        <w:widowControl/>
        <w:ind w:firstLine="720"/>
        <w:rPr>
          <w:rFonts w:cs="Courier New"/>
          <w:b/>
          <w:bCs/>
        </w:rPr>
      </w:pPr>
    </w:p>
    <w:p w:rsidR="00CA4CD6" w:rsidRPr="009769D3" w:rsidRDefault="00CA4CD6">
      <w:pPr>
        <w:pBdr>
          <w:top w:val="single" w:sz="6" w:space="0" w:color="FFFFFF"/>
          <w:left w:val="single" w:sz="6" w:space="0" w:color="FFFFFF"/>
          <w:bottom w:val="single" w:sz="6" w:space="0" w:color="FFFFFF"/>
          <w:right w:val="single" w:sz="6" w:space="0" w:color="FFFFFF"/>
        </w:pBdr>
        <w:ind w:firstLine="1440"/>
        <w:rPr>
          <w:color w:val="000000"/>
        </w:rPr>
      </w:pPr>
      <w:r w:rsidRPr="009769D3">
        <w:rPr>
          <w:b/>
          <w:bCs/>
          <w:color w:val="000000"/>
        </w:rPr>
        <w:t>(iii)  Capital/Startup vs. Operation and Maintenance (O&amp;M) Costs</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F857B1" w:rsidRPr="009769D3" w:rsidRDefault="00F857B1" w:rsidP="00F857B1">
      <w:pPr>
        <w:widowControl/>
        <w:ind w:firstLine="720"/>
        <w:rPr>
          <w:rFonts w:cs="Courier New"/>
        </w:rPr>
      </w:pPr>
      <w:r w:rsidRPr="009769D3">
        <w:rPr>
          <w:rFonts w:cs="Courier New"/>
        </w:rPr>
        <w:t>Costs associated with O&amp;M include the annual operation and maintenance costs associated with the continuous parameter monitoring equipment, initial and annual stack and performance testing and/or fuel analysis, and certified energy audits and/or annual</w:t>
      </w:r>
      <w:r w:rsidR="00115A4A" w:rsidRPr="009769D3">
        <w:rPr>
          <w:rFonts w:cs="Courier New"/>
        </w:rPr>
        <w:t>/biennial</w:t>
      </w:r>
      <w:r w:rsidRPr="009769D3">
        <w:rPr>
          <w:rFonts w:cs="Courier New"/>
        </w:rPr>
        <w:t xml:space="preserve"> tune-ups.  Below </w:t>
      </w:r>
      <w:r w:rsidR="006D1E58" w:rsidRPr="009769D3">
        <w:rPr>
          <w:rFonts w:cs="Courier New"/>
        </w:rPr>
        <w:t>are</w:t>
      </w:r>
      <w:r w:rsidRPr="009769D3">
        <w:rPr>
          <w:rFonts w:cs="Courier New"/>
        </w:rPr>
        <w:t xml:space="preserve"> the estimated total annualized capital and startup costs and O&amp;M costs for the affected units for the first 3 years after promulgation. </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tbl>
      <w:tblPr>
        <w:tblW w:w="9389"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070"/>
        <w:gridCol w:w="1620"/>
        <w:gridCol w:w="1620"/>
        <w:gridCol w:w="1980"/>
        <w:gridCol w:w="2093"/>
        <w:gridCol w:w="6"/>
      </w:tblGrid>
      <w:tr w:rsidR="0085048C" w:rsidRPr="009769D3" w:rsidTr="0085048C">
        <w:trPr>
          <w:trHeight w:val="748"/>
          <w:jc w:val="center"/>
        </w:trPr>
        <w:tc>
          <w:tcPr>
            <w:tcW w:w="9389" w:type="dxa"/>
            <w:gridSpan w:val="6"/>
            <w:vAlign w:val="center"/>
          </w:tcPr>
          <w:p w:rsidR="0085048C" w:rsidRPr="009769D3" w:rsidRDefault="0085048C" w:rsidP="00235F6B">
            <w:pPr>
              <w:jc w:val="center"/>
              <w:rPr>
                <w:b/>
              </w:rPr>
            </w:pPr>
            <w:r w:rsidRPr="009769D3">
              <w:rPr>
                <w:b/>
              </w:rPr>
              <w:t>Capital/Startup vs. Operation and Maintenance (O&amp;M) Costs</w:t>
            </w:r>
          </w:p>
        </w:tc>
      </w:tr>
      <w:tr w:rsidR="0085048C" w:rsidRPr="009769D3" w:rsidTr="00D41C0F">
        <w:trPr>
          <w:gridAfter w:val="1"/>
          <w:wAfter w:w="6" w:type="dxa"/>
          <w:trHeight w:val="1243"/>
          <w:jc w:val="center"/>
        </w:trPr>
        <w:tc>
          <w:tcPr>
            <w:tcW w:w="2070" w:type="dxa"/>
            <w:vAlign w:val="center"/>
          </w:tcPr>
          <w:p w:rsidR="0085048C" w:rsidRPr="009769D3" w:rsidRDefault="0085048C" w:rsidP="00235F6B">
            <w:pPr>
              <w:spacing w:line="120" w:lineRule="exact"/>
              <w:jc w:val="center"/>
              <w:rPr>
                <w:b/>
                <w:bCs/>
                <w:color w:val="000000"/>
              </w:rPr>
            </w:pPr>
          </w:p>
          <w:p w:rsidR="0085048C" w:rsidRPr="009769D3" w:rsidRDefault="0085048C" w:rsidP="00235F6B">
            <w:pPr>
              <w:pBdr>
                <w:top w:val="single" w:sz="6" w:space="0" w:color="FFFFFF"/>
                <w:left w:val="single" w:sz="6" w:space="0" w:color="FFFFFF"/>
                <w:bottom w:val="single" w:sz="6" w:space="0" w:color="FFFFFF"/>
                <w:right w:val="single" w:sz="6" w:space="0" w:color="FFFFFF"/>
              </w:pBdr>
              <w:jc w:val="center"/>
              <w:rPr>
                <w:color w:val="000000"/>
                <w:sz w:val="20"/>
                <w:szCs w:val="20"/>
              </w:rPr>
            </w:pPr>
            <w:r w:rsidRPr="009769D3">
              <w:rPr>
                <w:color w:val="000000"/>
                <w:sz w:val="20"/>
                <w:szCs w:val="20"/>
              </w:rPr>
              <w:t>(A)</w:t>
            </w:r>
          </w:p>
          <w:p w:rsidR="0085048C" w:rsidRPr="009769D3" w:rsidRDefault="0085048C" w:rsidP="00235F6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769D3">
              <w:rPr>
                <w:color w:val="000000"/>
                <w:sz w:val="20"/>
                <w:szCs w:val="20"/>
              </w:rPr>
              <w:t>Boiler Type</w:t>
            </w:r>
          </w:p>
        </w:tc>
        <w:tc>
          <w:tcPr>
            <w:tcW w:w="1620" w:type="dxa"/>
            <w:vAlign w:val="bottom"/>
          </w:tcPr>
          <w:p w:rsidR="0085048C" w:rsidRPr="009769D3" w:rsidRDefault="0085048C" w:rsidP="00235F6B">
            <w:pPr>
              <w:jc w:val="center"/>
              <w:rPr>
                <w:sz w:val="20"/>
                <w:szCs w:val="20"/>
              </w:rPr>
            </w:pPr>
            <w:r w:rsidRPr="009769D3">
              <w:rPr>
                <w:sz w:val="20"/>
                <w:szCs w:val="20"/>
              </w:rPr>
              <w:t>(B)</w:t>
            </w:r>
          </w:p>
          <w:p w:rsidR="0085048C" w:rsidRPr="009769D3" w:rsidRDefault="0085048C" w:rsidP="00235F6B">
            <w:pPr>
              <w:jc w:val="center"/>
              <w:rPr>
                <w:sz w:val="20"/>
                <w:szCs w:val="20"/>
              </w:rPr>
            </w:pPr>
            <w:r w:rsidRPr="009769D3">
              <w:rPr>
                <w:sz w:val="20"/>
                <w:szCs w:val="20"/>
              </w:rPr>
              <w:t>Number of Respondents (facilities)</w:t>
            </w:r>
          </w:p>
        </w:tc>
        <w:tc>
          <w:tcPr>
            <w:tcW w:w="1620" w:type="dxa"/>
            <w:vAlign w:val="bottom"/>
          </w:tcPr>
          <w:p w:rsidR="0085048C" w:rsidRPr="009769D3" w:rsidRDefault="0085048C" w:rsidP="00235F6B">
            <w:pPr>
              <w:jc w:val="center"/>
              <w:rPr>
                <w:color w:val="000000"/>
                <w:sz w:val="20"/>
                <w:szCs w:val="20"/>
              </w:rPr>
            </w:pPr>
            <w:r w:rsidRPr="009769D3">
              <w:rPr>
                <w:color w:val="000000"/>
                <w:sz w:val="20"/>
                <w:szCs w:val="20"/>
              </w:rPr>
              <w:t>(C)</w:t>
            </w:r>
          </w:p>
          <w:p w:rsidR="0085048C" w:rsidRPr="009769D3" w:rsidRDefault="0085048C" w:rsidP="00235F6B">
            <w:pPr>
              <w:jc w:val="center"/>
            </w:pPr>
            <w:r w:rsidRPr="009769D3">
              <w:rPr>
                <w:color w:val="000000"/>
                <w:sz w:val="20"/>
                <w:szCs w:val="20"/>
              </w:rPr>
              <w:t>Total Annualized Capital and O&amp;M over 3 years</w:t>
            </w:r>
          </w:p>
        </w:tc>
        <w:tc>
          <w:tcPr>
            <w:tcW w:w="1980" w:type="dxa"/>
            <w:vAlign w:val="bottom"/>
          </w:tcPr>
          <w:p w:rsidR="0085048C" w:rsidRPr="009769D3" w:rsidRDefault="0085048C" w:rsidP="00235F6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769D3">
              <w:rPr>
                <w:color w:val="000000"/>
                <w:sz w:val="20"/>
                <w:szCs w:val="20"/>
              </w:rPr>
              <w:t>(D)</w:t>
            </w:r>
          </w:p>
          <w:p w:rsidR="0085048C" w:rsidRPr="009769D3" w:rsidRDefault="0085048C" w:rsidP="00235F6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769D3">
              <w:rPr>
                <w:color w:val="000000"/>
                <w:sz w:val="20"/>
                <w:szCs w:val="20"/>
              </w:rPr>
              <w:t>Total Capital/Startup Cost over 3 years</w:t>
            </w:r>
          </w:p>
        </w:tc>
        <w:tc>
          <w:tcPr>
            <w:tcW w:w="2093" w:type="dxa"/>
            <w:vAlign w:val="bottom"/>
          </w:tcPr>
          <w:p w:rsidR="0085048C" w:rsidRPr="009769D3" w:rsidRDefault="0085048C" w:rsidP="00235F6B">
            <w:pPr>
              <w:pBdr>
                <w:top w:val="single" w:sz="6" w:space="0" w:color="FFFFFF"/>
                <w:left w:val="single" w:sz="6" w:space="0" w:color="FFFFFF"/>
                <w:bottom w:val="single" w:sz="6" w:space="0" w:color="FFFFFF"/>
                <w:right w:val="single" w:sz="6" w:space="0" w:color="FFFFFF"/>
              </w:pBdr>
              <w:jc w:val="center"/>
              <w:rPr>
                <w:color w:val="000000"/>
                <w:sz w:val="20"/>
                <w:szCs w:val="20"/>
              </w:rPr>
            </w:pPr>
            <w:r w:rsidRPr="009769D3">
              <w:rPr>
                <w:color w:val="000000"/>
                <w:sz w:val="20"/>
                <w:szCs w:val="20"/>
              </w:rPr>
              <w:t>(E)</w:t>
            </w:r>
          </w:p>
          <w:p w:rsidR="0085048C" w:rsidRPr="009769D3" w:rsidRDefault="0085048C" w:rsidP="00235F6B">
            <w:pPr>
              <w:pBdr>
                <w:top w:val="single" w:sz="6" w:space="0" w:color="FFFFFF"/>
                <w:left w:val="single" w:sz="6" w:space="0" w:color="FFFFFF"/>
                <w:bottom w:val="single" w:sz="6" w:space="0" w:color="FFFFFF"/>
                <w:right w:val="single" w:sz="6" w:space="0" w:color="FFFFFF"/>
              </w:pBdr>
              <w:jc w:val="center"/>
              <w:rPr>
                <w:color w:val="000000"/>
                <w:sz w:val="20"/>
                <w:szCs w:val="20"/>
              </w:rPr>
            </w:pPr>
            <w:r w:rsidRPr="009769D3">
              <w:rPr>
                <w:color w:val="000000"/>
                <w:sz w:val="20"/>
                <w:szCs w:val="20"/>
              </w:rPr>
              <w:t>Average Annual O&amp;M and Annualized Capital Costs per year</w:t>
            </w:r>
          </w:p>
        </w:tc>
      </w:tr>
      <w:tr w:rsidR="005D0654" w:rsidRPr="009769D3" w:rsidTr="005D0654">
        <w:trPr>
          <w:gridAfter w:val="1"/>
          <w:wAfter w:w="6" w:type="dxa"/>
          <w:jc w:val="center"/>
        </w:trPr>
        <w:tc>
          <w:tcPr>
            <w:tcW w:w="2070" w:type="dxa"/>
            <w:vAlign w:val="center"/>
          </w:tcPr>
          <w:p w:rsidR="005D0654" w:rsidRPr="009769D3" w:rsidRDefault="005D0654" w:rsidP="00235F6B">
            <w:pPr>
              <w:spacing w:line="120" w:lineRule="exact"/>
              <w:jc w:val="center"/>
              <w:rPr>
                <w:color w:val="000000"/>
                <w:sz w:val="20"/>
                <w:szCs w:val="20"/>
              </w:rPr>
            </w:pPr>
          </w:p>
          <w:p w:rsidR="005D0654" w:rsidRPr="009769D3" w:rsidRDefault="005D0654" w:rsidP="00235F6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769D3">
              <w:rPr>
                <w:color w:val="000000"/>
                <w:sz w:val="20"/>
                <w:szCs w:val="20"/>
              </w:rPr>
              <w:t>Existing Large Solid Units</w:t>
            </w:r>
          </w:p>
        </w:tc>
        <w:tc>
          <w:tcPr>
            <w:tcW w:w="1620" w:type="dxa"/>
            <w:vAlign w:val="center"/>
          </w:tcPr>
          <w:p w:rsidR="005D0654" w:rsidRPr="009769D3" w:rsidRDefault="005D0654" w:rsidP="00141EFC">
            <w:pPr>
              <w:pBdr>
                <w:top w:val="single" w:sz="6" w:space="0" w:color="FFFFFF"/>
                <w:left w:val="single" w:sz="6" w:space="0" w:color="FFFFFF"/>
                <w:bottom w:val="single" w:sz="6" w:space="0" w:color="FFFFFF"/>
                <w:right w:val="single" w:sz="6" w:space="0" w:color="FFFFFF"/>
              </w:pBdr>
              <w:spacing w:after="52"/>
              <w:jc w:val="center"/>
              <w:rPr>
                <w:rFonts w:ascii="Arial" w:hAnsi="Arial" w:cs="Arial"/>
                <w:sz w:val="20"/>
                <w:szCs w:val="20"/>
              </w:rPr>
            </w:pPr>
            <w:r w:rsidRPr="009769D3">
              <w:rPr>
                <w:rFonts w:ascii="Arial" w:hAnsi="Arial" w:cs="Arial"/>
                <w:sz w:val="20"/>
                <w:szCs w:val="20"/>
              </w:rPr>
              <w:t>11</w:t>
            </w:r>
            <w:r>
              <w:rPr>
                <w:rFonts w:ascii="Arial" w:hAnsi="Arial" w:cs="Arial"/>
                <w:sz w:val="20"/>
                <w:szCs w:val="20"/>
              </w:rPr>
              <w:t>9</w:t>
            </w:r>
          </w:p>
        </w:tc>
        <w:tc>
          <w:tcPr>
            <w:tcW w:w="1620" w:type="dxa"/>
            <w:vAlign w:val="center"/>
          </w:tcPr>
          <w:p w:rsidR="005D0654" w:rsidRPr="009769D3" w:rsidRDefault="005D0654" w:rsidP="005D065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769D3">
              <w:rPr>
                <w:color w:val="000000"/>
                <w:sz w:val="20"/>
                <w:szCs w:val="20"/>
              </w:rPr>
              <w:t>$110,3</w:t>
            </w:r>
            <w:r>
              <w:rPr>
                <w:color w:val="000000"/>
                <w:sz w:val="20"/>
                <w:szCs w:val="20"/>
              </w:rPr>
              <w:t>49</w:t>
            </w:r>
            <w:r w:rsidRPr="009769D3">
              <w:rPr>
                <w:color w:val="000000"/>
                <w:sz w:val="20"/>
                <w:szCs w:val="20"/>
              </w:rPr>
              <w:t>,</w:t>
            </w:r>
            <w:r>
              <w:rPr>
                <w:color w:val="000000"/>
                <w:sz w:val="20"/>
                <w:szCs w:val="20"/>
              </w:rPr>
              <w:t>070</w:t>
            </w:r>
          </w:p>
        </w:tc>
        <w:tc>
          <w:tcPr>
            <w:tcW w:w="1980" w:type="dxa"/>
            <w:vAlign w:val="bottom"/>
          </w:tcPr>
          <w:p w:rsidR="005D0654" w:rsidRPr="009769D3" w:rsidRDefault="005D0654" w:rsidP="00141EF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 $     99,173,831 </w:t>
            </w:r>
          </w:p>
        </w:tc>
        <w:tc>
          <w:tcPr>
            <w:tcW w:w="2093" w:type="dxa"/>
            <w:vAlign w:val="bottom"/>
          </w:tcPr>
          <w:p w:rsidR="005D0654" w:rsidRPr="009769D3" w:rsidRDefault="005D0654" w:rsidP="00CE13C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 $           36,783,023 </w:t>
            </w:r>
          </w:p>
        </w:tc>
      </w:tr>
      <w:tr w:rsidR="005D0654" w:rsidRPr="009769D3" w:rsidTr="005D0654">
        <w:trPr>
          <w:gridAfter w:val="1"/>
          <w:wAfter w:w="6" w:type="dxa"/>
          <w:jc w:val="center"/>
        </w:trPr>
        <w:tc>
          <w:tcPr>
            <w:tcW w:w="2070" w:type="dxa"/>
            <w:vAlign w:val="center"/>
          </w:tcPr>
          <w:p w:rsidR="005D0654" w:rsidRPr="009769D3" w:rsidRDefault="005D0654" w:rsidP="00235F6B">
            <w:pPr>
              <w:spacing w:line="120" w:lineRule="exact"/>
              <w:jc w:val="center"/>
              <w:rPr>
                <w:color w:val="000000"/>
                <w:sz w:val="20"/>
                <w:szCs w:val="20"/>
              </w:rPr>
            </w:pPr>
          </w:p>
          <w:p w:rsidR="005D0654" w:rsidRPr="009769D3" w:rsidRDefault="005D0654" w:rsidP="00235F6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769D3">
              <w:rPr>
                <w:color w:val="000000"/>
                <w:sz w:val="20"/>
                <w:szCs w:val="20"/>
              </w:rPr>
              <w:t>New Large Solid Units</w:t>
            </w:r>
          </w:p>
        </w:tc>
        <w:tc>
          <w:tcPr>
            <w:tcW w:w="1620" w:type="dxa"/>
            <w:vAlign w:val="center"/>
          </w:tcPr>
          <w:p w:rsidR="005D0654" w:rsidRPr="009769D3" w:rsidRDefault="005D0654" w:rsidP="0085048C">
            <w:pPr>
              <w:pBdr>
                <w:top w:val="single" w:sz="6" w:space="0" w:color="FFFFFF"/>
                <w:left w:val="single" w:sz="6" w:space="0" w:color="FFFFFF"/>
                <w:bottom w:val="single" w:sz="6" w:space="0" w:color="FFFFFF"/>
                <w:right w:val="single" w:sz="6" w:space="0" w:color="FFFFFF"/>
              </w:pBdr>
              <w:spacing w:after="52"/>
              <w:jc w:val="center"/>
              <w:rPr>
                <w:rFonts w:ascii="Arial" w:hAnsi="Arial" w:cs="Arial"/>
                <w:sz w:val="20"/>
                <w:szCs w:val="20"/>
              </w:rPr>
            </w:pPr>
            <w:r w:rsidRPr="009769D3">
              <w:rPr>
                <w:rFonts w:ascii="Arial" w:hAnsi="Arial" w:cs="Arial"/>
                <w:sz w:val="20"/>
                <w:szCs w:val="20"/>
              </w:rPr>
              <w:t>0</w:t>
            </w:r>
          </w:p>
        </w:tc>
        <w:tc>
          <w:tcPr>
            <w:tcW w:w="1620" w:type="dxa"/>
            <w:vAlign w:val="center"/>
          </w:tcPr>
          <w:p w:rsidR="005D0654" w:rsidRPr="009769D3" w:rsidRDefault="005D0654" w:rsidP="0085048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769D3">
              <w:rPr>
                <w:color w:val="000000"/>
                <w:sz w:val="20"/>
                <w:szCs w:val="20"/>
              </w:rPr>
              <w:t>$0</w:t>
            </w:r>
          </w:p>
        </w:tc>
        <w:tc>
          <w:tcPr>
            <w:tcW w:w="1980" w:type="dxa"/>
            <w:vAlign w:val="bottom"/>
          </w:tcPr>
          <w:p w:rsidR="005D0654" w:rsidRPr="009769D3" w:rsidRDefault="005D0654" w:rsidP="0085048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 $                    -   </w:t>
            </w:r>
          </w:p>
        </w:tc>
        <w:tc>
          <w:tcPr>
            <w:tcW w:w="2093" w:type="dxa"/>
            <w:vAlign w:val="bottom"/>
          </w:tcPr>
          <w:p w:rsidR="005D0654" w:rsidRPr="009769D3" w:rsidRDefault="005D0654" w:rsidP="0085048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 $                         -   </w:t>
            </w:r>
          </w:p>
        </w:tc>
      </w:tr>
      <w:tr w:rsidR="005D0654" w:rsidRPr="009769D3" w:rsidTr="005D0654">
        <w:trPr>
          <w:gridAfter w:val="1"/>
          <w:wAfter w:w="6" w:type="dxa"/>
          <w:jc w:val="center"/>
        </w:trPr>
        <w:tc>
          <w:tcPr>
            <w:tcW w:w="2070" w:type="dxa"/>
            <w:vAlign w:val="center"/>
          </w:tcPr>
          <w:p w:rsidR="005D0654" w:rsidRPr="009769D3" w:rsidRDefault="005D0654" w:rsidP="00235F6B">
            <w:pPr>
              <w:spacing w:line="120" w:lineRule="exact"/>
              <w:jc w:val="center"/>
              <w:rPr>
                <w:color w:val="000000"/>
                <w:sz w:val="20"/>
                <w:szCs w:val="20"/>
              </w:rPr>
            </w:pPr>
          </w:p>
          <w:p w:rsidR="005D0654" w:rsidRPr="009769D3" w:rsidRDefault="005D0654" w:rsidP="00235F6B">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9769D3">
              <w:rPr>
                <w:color w:val="000000"/>
                <w:sz w:val="20"/>
                <w:szCs w:val="20"/>
              </w:rPr>
              <w:t>Existing Small and Limited Use Solid Units</w:t>
            </w:r>
          </w:p>
        </w:tc>
        <w:tc>
          <w:tcPr>
            <w:tcW w:w="1620" w:type="dxa"/>
            <w:vAlign w:val="center"/>
          </w:tcPr>
          <w:p w:rsidR="005D0654" w:rsidRPr="009769D3" w:rsidRDefault="005D0654" w:rsidP="0085048C">
            <w:pPr>
              <w:pBdr>
                <w:top w:val="single" w:sz="6" w:space="0" w:color="FFFFFF"/>
                <w:left w:val="single" w:sz="6" w:space="0" w:color="FFFFFF"/>
                <w:bottom w:val="single" w:sz="6" w:space="0" w:color="FFFFFF"/>
                <w:right w:val="single" w:sz="6" w:space="0" w:color="FFFFFF"/>
              </w:pBdr>
              <w:spacing w:after="72"/>
              <w:jc w:val="center"/>
              <w:rPr>
                <w:rFonts w:ascii="Arial" w:hAnsi="Arial" w:cs="Arial"/>
                <w:sz w:val="20"/>
                <w:szCs w:val="20"/>
              </w:rPr>
            </w:pPr>
            <w:r w:rsidRPr="009769D3">
              <w:rPr>
                <w:rFonts w:ascii="Arial" w:hAnsi="Arial" w:cs="Arial"/>
                <w:sz w:val="20"/>
                <w:szCs w:val="20"/>
              </w:rPr>
              <w:t>4</w:t>
            </w:r>
          </w:p>
        </w:tc>
        <w:tc>
          <w:tcPr>
            <w:tcW w:w="1620" w:type="dxa"/>
            <w:vAlign w:val="center"/>
          </w:tcPr>
          <w:p w:rsidR="005D0654" w:rsidRPr="009769D3" w:rsidRDefault="005D0654" w:rsidP="00141EFC">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9769D3">
              <w:rPr>
                <w:color w:val="000000"/>
                <w:sz w:val="20"/>
                <w:szCs w:val="20"/>
              </w:rPr>
              <w:t>$153,376</w:t>
            </w:r>
          </w:p>
        </w:tc>
        <w:tc>
          <w:tcPr>
            <w:tcW w:w="1980" w:type="dxa"/>
            <w:vAlign w:val="bottom"/>
          </w:tcPr>
          <w:p w:rsidR="005D0654" w:rsidRPr="009769D3" w:rsidRDefault="005D0654" w:rsidP="0085048C">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 xml:space="preserve"> $                    -   </w:t>
            </w:r>
          </w:p>
        </w:tc>
        <w:tc>
          <w:tcPr>
            <w:tcW w:w="2093" w:type="dxa"/>
            <w:vAlign w:val="bottom"/>
          </w:tcPr>
          <w:p w:rsidR="005D0654" w:rsidRPr="009769D3" w:rsidRDefault="005D0654" w:rsidP="00141EFC">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 xml:space="preserve"> $                  51,125 </w:t>
            </w:r>
          </w:p>
        </w:tc>
      </w:tr>
      <w:tr w:rsidR="005D0654" w:rsidRPr="009769D3" w:rsidTr="005D0654">
        <w:trPr>
          <w:gridAfter w:val="1"/>
          <w:wAfter w:w="6" w:type="dxa"/>
          <w:trHeight w:val="640"/>
          <w:jc w:val="center"/>
        </w:trPr>
        <w:tc>
          <w:tcPr>
            <w:tcW w:w="2070" w:type="dxa"/>
            <w:vAlign w:val="center"/>
          </w:tcPr>
          <w:p w:rsidR="005D0654" w:rsidRPr="009769D3" w:rsidRDefault="005D0654" w:rsidP="00235F6B">
            <w:pPr>
              <w:jc w:val="center"/>
              <w:rPr>
                <w:sz w:val="20"/>
                <w:szCs w:val="20"/>
              </w:rPr>
            </w:pPr>
            <w:r w:rsidRPr="009769D3">
              <w:rPr>
                <w:color w:val="000000"/>
                <w:sz w:val="20"/>
                <w:szCs w:val="20"/>
              </w:rPr>
              <w:t>New Small Solid Units</w:t>
            </w:r>
          </w:p>
        </w:tc>
        <w:tc>
          <w:tcPr>
            <w:tcW w:w="1620" w:type="dxa"/>
            <w:vAlign w:val="center"/>
          </w:tcPr>
          <w:p w:rsidR="005D0654" w:rsidRPr="009769D3" w:rsidRDefault="005D0654" w:rsidP="0085048C">
            <w:pPr>
              <w:jc w:val="center"/>
              <w:rPr>
                <w:rFonts w:ascii="Arial" w:hAnsi="Arial" w:cs="Arial"/>
                <w:sz w:val="20"/>
                <w:szCs w:val="20"/>
              </w:rPr>
            </w:pPr>
            <w:r w:rsidRPr="009769D3">
              <w:rPr>
                <w:rFonts w:ascii="Arial" w:hAnsi="Arial" w:cs="Arial"/>
                <w:sz w:val="20"/>
                <w:szCs w:val="20"/>
              </w:rPr>
              <w:t>0</w:t>
            </w:r>
          </w:p>
        </w:tc>
        <w:tc>
          <w:tcPr>
            <w:tcW w:w="1620" w:type="dxa"/>
            <w:vAlign w:val="center"/>
          </w:tcPr>
          <w:p w:rsidR="005D0654" w:rsidRPr="009769D3" w:rsidRDefault="005D0654" w:rsidP="0085048C">
            <w:pPr>
              <w:jc w:val="center"/>
              <w:rPr>
                <w:sz w:val="20"/>
                <w:szCs w:val="20"/>
              </w:rPr>
            </w:pPr>
            <w:r w:rsidRPr="009769D3">
              <w:rPr>
                <w:color w:val="000000"/>
                <w:sz w:val="20"/>
                <w:szCs w:val="20"/>
              </w:rPr>
              <w:t>$0</w:t>
            </w:r>
          </w:p>
        </w:tc>
        <w:tc>
          <w:tcPr>
            <w:tcW w:w="1980" w:type="dxa"/>
            <w:vAlign w:val="bottom"/>
          </w:tcPr>
          <w:p w:rsidR="005D0654" w:rsidRPr="009769D3" w:rsidRDefault="005D0654" w:rsidP="0085048C">
            <w:pPr>
              <w:jc w:val="center"/>
              <w:rPr>
                <w:sz w:val="20"/>
                <w:szCs w:val="20"/>
              </w:rPr>
            </w:pPr>
            <w:r>
              <w:rPr>
                <w:color w:val="000000"/>
                <w:sz w:val="20"/>
                <w:szCs w:val="20"/>
              </w:rPr>
              <w:t xml:space="preserve"> $                    -   </w:t>
            </w:r>
          </w:p>
        </w:tc>
        <w:tc>
          <w:tcPr>
            <w:tcW w:w="2093" w:type="dxa"/>
            <w:vAlign w:val="bottom"/>
          </w:tcPr>
          <w:p w:rsidR="005D0654" w:rsidRPr="009769D3" w:rsidRDefault="005D0654" w:rsidP="0085048C">
            <w:pPr>
              <w:jc w:val="center"/>
              <w:rPr>
                <w:sz w:val="20"/>
                <w:szCs w:val="20"/>
              </w:rPr>
            </w:pPr>
            <w:r>
              <w:rPr>
                <w:color w:val="000000"/>
                <w:sz w:val="20"/>
                <w:szCs w:val="20"/>
              </w:rPr>
              <w:t xml:space="preserve"> $                         -   </w:t>
            </w:r>
          </w:p>
        </w:tc>
      </w:tr>
      <w:tr w:rsidR="005D0654" w:rsidRPr="009769D3" w:rsidTr="005D0654">
        <w:trPr>
          <w:gridAfter w:val="1"/>
          <w:wAfter w:w="6" w:type="dxa"/>
          <w:jc w:val="center"/>
        </w:trPr>
        <w:tc>
          <w:tcPr>
            <w:tcW w:w="2070" w:type="dxa"/>
            <w:vAlign w:val="center"/>
          </w:tcPr>
          <w:p w:rsidR="005D0654" w:rsidRPr="009769D3" w:rsidRDefault="005D0654" w:rsidP="00235F6B">
            <w:pPr>
              <w:spacing w:line="120" w:lineRule="exact"/>
              <w:jc w:val="center"/>
              <w:rPr>
                <w:color w:val="000000"/>
                <w:sz w:val="20"/>
                <w:szCs w:val="20"/>
              </w:rPr>
            </w:pPr>
          </w:p>
          <w:p w:rsidR="005D0654" w:rsidRPr="009769D3" w:rsidRDefault="005D0654" w:rsidP="00235F6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769D3">
              <w:rPr>
                <w:color w:val="000000"/>
                <w:sz w:val="20"/>
                <w:szCs w:val="20"/>
              </w:rPr>
              <w:t>Existing Large Liquid Units</w:t>
            </w:r>
          </w:p>
        </w:tc>
        <w:tc>
          <w:tcPr>
            <w:tcW w:w="1620" w:type="dxa"/>
            <w:vAlign w:val="center"/>
          </w:tcPr>
          <w:p w:rsidR="005D0654" w:rsidRPr="009769D3" w:rsidRDefault="005D0654" w:rsidP="00141EFC">
            <w:pPr>
              <w:jc w:val="center"/>
              <w:rPr>
                <w:rFonts w:ascii="Arial" w:hAnsi="Arial" w:cs="Arial"/>
                <w:sz w:val="20"/>
                <w:szCs w:val="20"/>
              </w:rPr>
            </w:pPr>
            <w:r>
              <w:rPr>
                <w:rFonts w:ascii="Arial" w:hAnsi="Arial" w:cs="Arial"/>
                <w:sz w:val="20"/>
                <w:szCs w:val="20"/>
              </w:rPr>
              <w:t>58</w:t>
            </w:r>
          </w:p>
        </w:tc>
        <w:tc>
          <w:tcPr>
            <w:tcW w:w="1620" w:type="dxa"/>
            <w:vAlign w:val="center"/>
          </w:tcPr>
          <w:p w:rsidR="005D0654" w:rsidRPr="009769D3" w:rsidRDefault="005D0654" w:rsidP="005D0654">
            <w:pPr>
              <w:jc w:val="center"/>
              <w:rPr>
                <w:sz w:val="20"/>
                <w:szCs w:val="20"/>
              </w:rPr>
            </w:pPr>
            <w:r w:rsidRPr="009769D3">
              <w:rPr>
                <w:color w:val="000000"/>
                <w:sz w:val="20"/>
                <w:szCs w:val="20"/>
              </w:rPr>
              <w:t>$36,0</w:t>
            </w:r>
            <w:r>
              <w:rPr>
                <w:color w:val="000000"/>
                <w:sz w:val="20"/>
                <w:szCs w:val="20"/>
              </w:rPr>
              <w:t>26</w:t>
            </w:r>
            <w:r w:rsidRPr="009769D3">
              <w:rPr>
                <w:color w:val="000000"/>
                <w:sz w:val="20"/>
                <w:szCs w:val="20"/>
              </w:rPr>
              <w:t>,</w:t>
            </w:r>
            <w:r>
              <w:rPr>
                <w:color w:val="000000"/>
                <w:sz w:val="20"/>
                <w:szCs w:val="20"/>
              </w:rPr>
              <w:t>848</w:t>
            </w:r>
          </w:p>
        </w:tc>
        <w:tc>
          <w:tcPr>
            <w:tcW w:w="1980" w:type="dxa"/>
            <w:vAlign w:val="bottom"/>
          </w:tcPr>
          <w:p w:rsidR="005D0654" w:rsidRPr="009769D3" w:rsidRDefault="005D0654" w:rsidP="00141EFC">
            <w:pPr>
              <w:jc w:val="center"/>
              <w:rPr>
                <w:sz w:val="20"/>
                <w:szCs w:val="20"/>
              </w:rPr>
            </w:pPr>
            <w:r>
              <w:rPr>
                <w:color w:val="000000"/>
                <w:sz w:val="20"/>
                <w:szCs w:val="20"/>
              </w:rPr>
              <w:t xml:space="preserve"> $     36,889,238 </w:t>
            </w:r>
          </w:p>
        </w:tc>
        <w:tc>
          <w:tcPr>
            <w:tcW w:w="2093" w:type="dxa"/>
            <w:vAlign w:val="bottom"/>
          </w:tcPr>
          <w:p w:rsidR="005D0654" w:rsidRPr="009769D3" w:rsidRDefault="005D0654" w:rsidP="00141EFC">
            <w:pPr>
              <w:jc w:val="center"/>
              <w:rPr>
                <w:sz w:val="20"/>
                <w:szCs w:val="20"/>
              </w:rPr>
            </w:pPr>
            <w:r>
              <w:rPr>
                <w:color w:val="000000"/>
                <w:sz w:val="20"/>
                <w:szCs w:val="20"/>
              </w:rPr>
              <w:t xml:space="preserve"> $           12,008,949 </w:t>
            </w:r>
          </w:p>
        </w:tc>
      </w:tr>
      <w:tr w:rsidR="005D0654" w:rsidRPr="009769D3" w:rsidTr="005D0654">
        <w:trPr>
          <w:gridAfter w:val="1"/>
          <w:wAfter w:w="6" w:type="dxa"/>
          <w:jc w:val="center"/>
        </w:trPr>
        <w:tc>
          <w:tcPr>
            <w:tcW w:w="2070" w:type="dxa"/>
            <w:vAlign w:val="center"/>
          </w:tcPr>
          <w:p w:rsidR="005D0654" w:rsidRPr="009769D3" w:rsidRDefault="005D0654" w:rsidP="00235F6B">
            <w:pPr>
              <w:spacing w:line="120" w:lineRule="exact"/>
              <w:jc w:val="center"/>
              <w:rPr>
                <w:color w:val="000000"/>
                <w:sz w:val="20"/>
                <w:szCs w:val="20"/>
              </w:rPr>
            </w:pPr>
          </w:p>
          <w:p w:rsidR="005D0654" w:rsidRPr="009769D3" w:rsidRDefault="005D0654" w:rsidP="00235F6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769D3">
              <w:rPr>
                <w:color w:val="000000"/>
                <w:sz w:val="20"/>
                <w:szCs w:val="20"/>
              </w:rPr>
              <w:t>New Large Liquid Units</w:t>
            </w:r>
          </w:p>
        </w:tc>
        <w:tc>
          <w:tcPr>
            <w:tcW w:w="1620" w:type="dxa"/>
            <w:vAlign w:val="center"/>
          </w:tcPr>
          <w:p w:rsidR="005D0654" w:rsidRPr="009769D3" w:rsidRDefault="005D0654" w:rsidP="0085048C">
            <w:pPr>
              <w:jc w:val="center"/>
              <w:rPr>
                <w:rFonts w:ascii="Arial" w:hAnsi="Arial" w:cs="Arial"/>
                <w:sz w:val="20"/>
                <w:szCs w:val="20"/>
              </w:rPr>
            </w:pPr>
            <w:r w:rsidRPr="009769D3">
              <w:rPr>
                <w:rFonts w:ascii="Arial" w:hAnsi="Arial" w:cs="Arial"/>
                <w:sz w:val="20"/>
                <w:szCs w:val="20"/>
              </w:rPr>
              <w:t>4</w:t>
            </w:r>
          </w:p>
        </w:tc>
        <w:tc>
          <w:tcPr>
            <w:tcW w:w="1620" w:type="dxa"/>
            <w:vAlign w:val="center"/>
          </w:tcPr>
          <w:p w:rsidR="005D0654" w:rsidRPr="009769D3" w:rsidRDefault="005D0654" w:rsidP="00141EFC">
            <w:pPr>
              <w:jc w:val="center"/>
              <w:rPr>
                <w:sz w:val="20"/>
                <w:szCs w:val="20"/>
              </w:rPr>
            </w:pPr>
            <w:r w:rsidRPr="009769D3">
              <w:rPr>
                <w:color w:val="000000"/>
                <w:sz w:val="20"/>
                <w:szCs w:val="20"/>
              </w:rPr>
              <w:t>$1,198,056</w:t>
            </w:r>
          </w:p>
        </w:tc>
        <w:tc>
          <w:tcPr>
            <w:tcW w:w="1980" w:type="dxa"/>
            <w:vAlign w:val="bottom"/>
          </w:tcPr>
          <w:p w:rsidR="005D0654" w:rsidRPr="009769D3" w:rsidRDefault="005D0654" w:rsidP="00141EFC">
            <w:pPr>
              <w:jc w:val="center"/>
              <w:rPr>
                <w:sz w:val="20"/>
                <w:szCs w:val="20"/>
              </w:rPr>
            </w:pPr>
            <w:r>
              <w:rPr>
                <w:color w:val="000000"/>
                <w:sz w:val="20"/>
                <w:szCs w:val="20"/>
              </w:rPr>
              <w:t xml:space="preserve"> $       1,508,230 </w:t>
            </w:r>
          </w:p>
        </w:tc>
        <w:tc>
          <w:tcPr>
            <w:tcW w:w="2093" w:type="dxa"/>
            <w:vAlign w:val="bottom"/>
          </w:tcPr>
          <w:p w:rsidR="005D0654" w:rsidRPr="009769D3" w:rsidRDefault="005D0654" w:rsidP="00CE13C8">
            <w:pPr>
              <w:jc w:val="center"/>
              <w:rPr>
                <w:sz w:val="20"/>
                <w:szCs w:val="20"/>
              </w:rPr>
            </w:pPr>
            <w:r>
              <w:rPr>
                <w:color w:val="000000"/>
                <w:sz w:val="20"/>
                <w:szCs w:val="20"/>
              </w:rPr>
              <w:t xml:space="preserve"> $                399,352 </w:t>
            </w:r>
          </w:p>
        </w:tc>
      </w:tr>
      <w:tr w:rsidR="005D0654" w:rsidRPr="009769D3" w:rsidTr="005D0654">
        <w:trPr>
          <w:gridAfter w:val="1"/>
          <w:wAfter w:w="6" w:type="dxa"/>
          <w:jc w:val="center"/>
        </w:trPr>
        <w:tc>
          <w:tcPr>
            <w:tcW w:w="2070" w:type="dxa"/>
            <w:vAlign w:val="center"/>
          </w:tcPr>
          <w:p w:rsidR="005D0654" w:rsidRPr="009769D3" w:rsidRDefault="005D0654" w:rsidP="00235F6B">
            <w:pPr>
              <w:spacing w:line="120" w:lineRule="exact"/>
              <w:jc w:val="center"/>
              <w:rPr>
                <w:color w:val="000000"/>
                <w:sz w:val="20"/>
                <w:szCs w:val="20"/>
              </w:rPr>
            </w:pPr>
          </w:p>
          <w:p w:rsidR="005D0654" w:rsidRPr="009769D3" w:rsidRDefault="005D0654" w:rsidP="00235F6B">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9769D3">
              <w:rPr>
                <w:color w:val="000000"/>
                <w:sz w:val="20"/>
                <w:szCs w:val="20"/>
              </w:rPr>
              <w:t>Existing Small and Limited Use Liquid Units</w:t>
            </w:r>
          </w:p>
        </w:tc>
        <w:tc>
          <w:tcPr>
            <w:tcW w:w="1620" w:type="dxa"/>
            <w:vAlign w:val="center"/>
          </w:tcPr>
          <w:p w:rsidR="005D0654" w:rsidRPr="009769D3" w:rsidRDefault="005D0654" w:rsidP="00141EFC">
            <w:pPr>
              <w:jc w:val="center"/>
              <w:rPr>
                <w:rFonts w:ascii="Arial" w:hAnsi="Arial" w:cs="Arial"/>
                <w:sz w:val="20"/>
                <w:szCs w:val="20"/>
              </w:rPr>
            </w:pPr>
            <w:r w:rsidRPr="009769D3">
              <w:rPr>
                <w:rFonts w:ascii="Arial" w:hAnsi="Arial" w:cs="Arial"/>
                <w:sz w:val="20"/>
                <w:szCs w:val="20"/>
              </w:rPr>
              <w:t>42</w:t>
            </w:r>
          </w:p>
        </w:tc>
        <w:tc>
          <w:tcPr>
            <w:tcW w:w="1620" w:type="dxa"/>
            <w:vAlign w:val="center"/>
          </w:tcPr>
          <w:p w:rsidR="005D0654" w:rsidRPr="009769D3" w:rsidRDefault="005D0654" w:rsidP="00141EFC">
            <w:pPr>
              <w:jc w:val="center"/>
              <w:rPr>
                <w:sz w:val="20"/>
                <w:szCs w:val="20"/>
              </w:rPr>
            </w:pPr>
            <w:r w:rsidRPr="009769D3">
              <w:rPr>
                <w:color w:val="000000"/>
                <w:sz w:val="20"/>
                <w:szCs w:val="20"/>
              </w:rPr>
              <w:t>$1,461,260</w:t>
            </w:r>
          </w:p>
        </w:tc>
        <w:tc>
          <w:tcPr>
            <w:tcW w:w="1980" w:type="dxa"/>
            <w:vAlign w:val="bottom"/>
          </w:tcPr>
          <w:p w:rsidR="005D0654" w:rsidRPr="009769D3" w:rsidRDefault="005D0654" w:rsidP="0085048C">
            <w:pPr>
              <w:jc w:val="center"/>
              <w:rPr>
                <w:sz w:val="20"/>
                <w:szCs w:val="20"/>
              </w:rPr>
            </w:pPr>
            <w:r>
              <w:rPr>
                <w:color w:val="000000"/>
                <w:sz w:val="20"/>
                <w:szCs w:val="20"/>
              </w:rPr>
              <w:t xml:space="preserve"> $                    -   </w:t>
            </w:r>
          </w:p>
        </w:tc>
        <w:tc>
          <w:tcPr>
            <w:tcW w:w="2093" w:type="dxa"/>
            <w:vAlign w:val="bottom"/>
          </w:tcPr>
          <w:p w:rsidR="005D0654" w:rsidRPr="009769D3" w:rsidRDefault="005D0654" w:rsidP="00141EFC">
            <w:pPr>
              <w:jc w:val="center"/>
              <w:rPr>
                <w:sz w:val="20"/>
                <w:szCs w:val="20"/>
              </w:rPr>
            </w:pPr>
            <w:r>
              <w:rPr>
                <w:color w:val="000000"/>
                <w:sz w:val="20"/>
                <w:szCs w:val="20"/>
              </w:rPr>
              <w:t xml:space="preserve"> $                487,087 </w:t>
            </w:r>
          </w:p>
        </w:tc>
      </w:tr>
      <w:tr w:rsidR="005D0654" w:rsidRPr="009769D3" w:rsidTr="005D0654">
        <w:trPr>
          <w:gridAfter w:val="1"/>
          <w:wAfter w:w="6" w:type="dxa"/>
          <w:jc w:val="center"/>
        </w:trPr>
        <w:tc>
          <w:tcPr>
            <w:tcW w:w="2070" w:type="dxa"/>
            <w:vAlign w:val="center"/>
          </w:tcPr>
          <w:p w:rsidR="005D0654" w:rsidRPr="009769D3" w:rsidRDefault="005D0654" w:rsidP="00235F6B">
            <w:pPr>
              <w:jc w:val="center"/>
              <w:rPr>
                <w:sz w:val="20"/>
                <w:szCs w:val="20"/>
              </w:rPr>
            </w:pPr>
            <w:r w:rsidRPr="009769D3">
              <w:rPr>
                <w:color w:val="000000"/>
                <w:sz w:val="20"/>
                <w:szCs w:val="20"/>
              </w:rPr>
              <w:t>New Small Liquid Units</w:t>
            </w:r>
          </w:p>
        </w:tc>
        <w:tc>
          <w:tcPr>
            <w:tcW w:w="1620" w:type="dxa"/>
            <w:vAlign w:val="center"/>
          </w:tcPr>
          <w:p w:rsidR="005D0654" w:rsidRPr="009769D3" w:rsidRDefault="005D0654" w:rsidP="0085048C">
            <w:pPr>
              <w:jc w:val="center"/>
              <w:rPr>
                <w:rFonts w:ascii="Arial" w:hAnsi="Arial" w:cs="Arial"/>
                <w:sz w:val="20"/>
                <w:szCs w:val="20"/>
              </w:rPr>
            </w:pPr>
            <w:r w:rsidRPr="009769D3">
              <w:rPr>
                <w:rFonts w:ascii="Arial" w:hAnsi="Arial" w:cs="Arial"/>
                <w:sz w:val="20"/>
                <w:szCs w:val="20"/>
              </w:rPr>
              <w:t>1</w:t>
            </w:r>
          </w:p>
        </w:tc>
        <w:tc>
          <w:tcPr>
            <w:tcW w:w="1620" w:type="dxa"/>
            <w:vAlign w:val="center"/>
          </w:tcPr>
          <w:p w:rsidR="005D0654" w:rsidRPr="009769D3" w:rsidRDefault="005D0654" w:rsidP="00141EFC">
            <w:pPr>
              <w:jc w:val="center"/>
              <w:rPr>
                <w:sz w:val="20"/>
                <w:szCs w:val="20"/>
              </w:rPr>
            </w:pPr>
            <w:r w:rsidRPr="009769D3">
              <w:rPr>
                <w:color w:val="000000"/>
                <w:sz w:val="20"/>
                <w:szCs w:val="20"/>
              </w:rPr>
              <w:t>$6,684</w:t>
            </w:r>
          </w:p>
        </w:tc>
        <w:tc>
          <w:tcPr>
            <w:tcW w:w="1980" w:type="dxa"/>
            <w:vAlign w:val="bottom"/>
          </w:tcPr>
          <w:p w:rsidR="005D0654" w:rsidRPr="009769D3" w:rsidRDefault="005D0654" w:rsidP="00141EFC">
            <w:pPr>
              <w:jc w:val="center"/>
              <w:rPr>
                <w:sz w:val="20"/>
                <w:szCs w:val="20"/>
              </w:rPr>
            </w:pPr>
            <w:r>
              <w:rPr>
                <w:color w:val="000000"/>
                <w:sz w:val="20"/>
                <w:szCs w:val="20"/>
              </w:rPr>
              <w:t xml:space="preserve"> $                    -   </w:t>
            </w:r>
          </w:p>
        </w:tc>
        <w:tc>
          <w:tcPr>
            <w:tcW w:w="2093" w:type="dxa"/>
            <w:vAlign w:val="bottom"/>
          </w:tcPr>
          <w:p w:rsidR="005D0654" w:rsidRPr="009769D3" w:rsidRDefault="005D0654" w:rsidP="00141EFC">
            <w:pPr>
              <w:jc w:val="center"/>
              <w:rPr>
                <w:sz w:val="20"/>
                <w:szCs w:val="20"/>
              </w:rPr>
            </w:pPr>
            <w:r>
              <w:rPr>
                <w:color w:val="000000"/>
                <w:sz w:val="20"/>
                <w:szCs w:val="20"/>
              </w:rPr>
              <w:t xml:space="preserve"> $                    2,228 </w:t>
            </w:r>
          </w:p>
        </w:tc>
      </w:tr>
      <w:tr w:rsidR="005D0654" w:rsidRPr="009769D3" w:rsidTr="005D0654">
        <w:trPr>
          <w:gridAfter w:val="1"/>
          <w:wAfter w:w="6" w:type="dxa"/>
          <w:jc w:val="center"/>
        </w:trPr>
        <w:tc>
          <w:tcPr>
            <w:tcW w:w="2070" w:type="dxa"/>
            <w:vAlign w:val="center"/>
          </w:tcPr>
          <w:p w:rsidR="005D0654" w:rsidRPr="009769D3" w:rsidRDefault="005D0654" w:rsidP="00235F6B">
            <w:pPr>
              <w:spacing w:line="120" w:lineRule="exact"/>
              <w:jc w:val="center"/>
              <w:rPr>
                <w:color w:val="000000"/>
                <w:sz w:val="20"/>
                <w:szCs w:val="20"/>
              </w:rPr>
            </w:pPr>
          </w:p>
          <w:p w:rsidR="005D0654" w:rsidRPr="009769D3" w:rsidRDefault="005D0654" w:rsidP="00235F6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769D3">
              <w:rPr>
                <w:color w:val="000000"/>
                <w:sz w:val="20"/>
                <w:szCs w:val="20"/>
              </w:rPr>
              <w:t>Existing Large Gaseous Units</w:t>
            </w:r>
          </w:p>
        </w:tc>
        <w:tc>
          <w:tcPr>
            <w:tcW w:w="1620" w:type="dxa"/>
            <w:vAlign w:val="center"/>
          </w:tcPr>
          <w:p w:rsidR="005D0654" w:rsidRPr="009769D3" w:rsidRDefault="005D0654" w:rsidP="00141EFC">
            <w:pPr>
              <w:jc w:val="center"/>
              <w:rPr>
                <w:rFonts w:ascii="Arial" w:hAnsi="Arial" w:cs="Arial"/>
                <w:sz w:val="20"/>
                <w:szCs w:val="20"/>
              </w:rPr>
            </w:pPr>
            <w:r>
              <w:rPr>
                <w:rFonts w:ascii="Arial" w:hAnsi="Arial" w:cs="Arial"/>
                <w:sz w:val="20"/>
                <w:szCs w:val="20"/>
              </w:rPr>
              <w:t>529</w:t>
            </w:r>
          </w:p>
        </w:tc>
        <w:tc>
          <w:tcPr>
            <w:tcW w:w="1620" w:type="dxa"/>
            <w:vAlign w:val="center"/>
          </w:tcPr>
          <w:p w:rsidR="005D0654" w:rsidRPr="009769D3" w:rsidRDefault="005D0654" w:rsidP="005D0654">
            <w:pPr>
              <w:jc w:val="center"/>
              <w:rPr>
                <w:sz w:val="20"/>
                <w:szCs w:val="20"/>
              </w:rPr>
            </w:pPr>
            <w:r w:rsidRPr="009769D3">
              <w:rPr>
                <w:color w:val="000000"/>
                <w:sz w:val="20"/>
                <w:szCs w:val="20"/>
              </w:rPr>
              <w:t>$32,</w:t>
            </w:r>
            <w:r>
              <w:rPr>
                <w:color w:val="000000"/>
                <w:sz w:val="20"/>
                <w:szCs w:val="20"/>
              </w:rPr>
              <w:t>570</w:t>
            </w:r>
            <w:r w:rsidRPr="009769D3">
              <w:rPr>
                <w:color w:val="000000"/>
                <w:sz w:val="20"/>
                <w:szCs w:val="20"/>
              </w:rPr>
              <w:t>,</w:t>
            </w:r>
            <w:r>
              <w:rPr>
                <w:color w:val="000000"/>
                <w:sz w:val="20"/>
                <w:szCs w:val="20"/>
              </w:rPr>
              <w:t>074</w:t>
            </w:r>
          </w:p>
        </w:tc>
        <w:tc>
          <w:tcPr>
            <w:tcW w:w="1980" w:type="dxa"/>
            <w:vAlign w:val="bottom"/>
          </w:tcPr>
          <w:p w:rsidR="005D0654" w:rsidRPr="009769D3" w:rsidRDefault="005D0654" w:rsidP="00141EFC">
            <w:pPr>
              <w:jc w:val="center"/>
              <w:rPr>
                <w:sz w:val="20"/>
                <w:szCs w:val="20"/>
              </w:rPr>
            </w:pPr>
            <w:r>
              <w:rPr>
                <w:color w:val="000000"/>
                <w:sz w:val="20"/>
                <w:szCs w:val="20"/>
              </w:rPr>
              <w:t xml:space="preserve"> $          381,388 </w:t>
            </w:r>
          </w:p>
        </w:tc>
        <w:tc>
          <w:tcPr>
            <w:tcW w:w="2093" w:type="dxa"/>
            <w:vAlign w:val="bottom"/>
          </w:tcPr>
          <w:p w:rsidR="005D0654" w:rsidRPr="009769D3" w:rsidRDefault="005D0654" w:rsidP="00141EFC">
            <w:pPr>
              <w:jc w:val="center"/>
              <w:rPr>
                <w:sz w:val="20"/>
                <w:szCs w:val="20"/>
              </w:rPr>
            </w:pPr>
            <w:r>
              <w:rPr>
                <w:color w:val="000000"/>
                <w:sz w:val="20"/>
                <w:szCs w:val="20"/>
              </w:rPr>
              <w:t xml:space="preserve"> $           10,856,691 </w:t>
            </w:r>
          </w:p>
        </w:tc>
      </w:tr>
      <w:tr w:rsidR="005D0654" w:rsidRPr="009769D3" w:rsidTr="005D0654">
        <w:trPr>
          <w:gridAfter w:val="1"/>
          <w:wAfter w:w="6" w:type="dxa"/>
          <w:jc w:val="center"/>
        </w:trPr>
        <w:tc>
          <w:tcPr>
            <w:tcW w:w="2070" w:type="dxa"/>
            <w:vAlign w:val="center"/>
          </w:tcPr>
          <w:p w:rsidR="005D0654" w:rsidRPr="009769D3" w:rsidRDefault="005D0654" w:rsidP="00235F6B">
            <w:pPr>
              <w:spacing w:line="120" w:lineRule="exact"/>
              <w:jc w:val="center"/>
              <w:rPr>
                <w:color w:val="000000"/>
                <w:sz w:val="20"/>
                <w:szCs w:val="20"/>
              </w:rPr>
            </w:pPr>
          </w:p>
          <w:p w:rsidR="005D0654" w:rsidRPr="009769D3" w:rsidRDefault="005D0654" w:rsidP="00235F6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769D3">
              <w:rPr>
                <w:color w:val="000000"/>
                <w:sz w:val="20"/>
                <w:szCs w:val="20"/>
              </w:rPr>
              <w:t>New Large Gaseous Units</w:t>
            </w:r>
          </w:p>
        </w:tc>
        <w:tc>
          <w:tcPr>
            <w:tcW w:w="1620" w:type="dxa"/>
            <w:vAlign w:val="center"/>
          </w:tcPr>
          <w:p w:rsidR="005D0654" w:rsidRPr="009769D3" w:rsidRDefault="005D0654" w:rsidP="0085048C">
            <w:pPr>
              <w:jc w:val="center"/>
              <w:rPr>
                <w:rFonts w:ascii="Arial" w:hAnsi="Arial" w:cs="Arial"/>
                <w:sz w:val="20"/>
                <w:szCs w:val="20"/>
              </w:rPr>
            </w:pPr>
            <w:r w:rsidRPr="009769D3">
              <w:rPr>
                <w:rFonts w:ascii="Arial" w:hAnsi="Arial" w:cs="Arial"/>
                <w:sz w:val="20"/>
                <w:szCs w:val="20"/>
              </w:rPr>
              <w:t>2</w:t>
            </w:r>
          </w:p>
        </w:tc>
        <w:tc>
          <w:tcPr>
            <w:tcW w:w="1620" w:type="dxa"/>
            <w:vAlign w:val="center"/>
          </w:tcPr>
          <w:p w:rsidR="005D0654" w:rsidRPr="009769D3" w:rsidRDefault="005D0654" w:rsidP="00CE13C8">
            <w:pPr>
              <w:jc w:val="center"/>
              <w:rPr>
                <w:sz w:val="20"/>
                <w:szCs w:val="20"/>
              </w:rPr>
            </w:pPr>
            <w:r w:rsidRPr="009769D3">
              <w:rPr>
                <w:color w:val="000000"/>
                <w:sz w:val="20"/>
                <w:szCs w:val="20"/>
              </w:rPr>
              <w:t>$43,125</w:t>
            </w:r>
          </w:p>
        </w:tc>
        <w:tc>
          <w:tcPr>
            <w:tcW w:w="1980" w:type="dxa"/>
            <w:vAlign w:val="bottom"/>
          </w:tcPr>
          <w:p w:rsidR="005D0654" w:rsidRPr="009769D3" w:rsidRDefault="005D0654" w:rsidP="00141EFC">
            <w:pPr>
              <w:jc w:val="center"/>
              <w:rPr>
                <w:sz w:val="20"/>
                <w:szCs w:val="20"/>
              </w:rPr>
            </w:pPr>
            <w:r>
              <w:rPr>
                <w:color w:val="000000"/>
                <w:sz w:val="20"/>
                <w:szCs w:val="20"/>
              </w:rPr>
              <w:t xml:space="preserve"> $                    -   </w:t>
            </w:r>
          </w:p>
        </w:tc>
        <w:tc>
          <w:tcPr>
            <w:tcW w:w="2093" w:type="dxa"/>
            <w:vAlign w:val="bottom"/>
          </w:tcPr>
          <w:p w:rsidR="005D0654" w:rsidRPr="009769D3" w:rsidRDefault="005D0654" w:rsidP="00CE13C8">
            <w:pPr>
              <w:jc w:val="center"/>
              <w:rPr>
                <w:sz w:val="20"/>
                <w:szCs w:val="20"/>
              </w:rPr>
            </w:pPr>
            <w:r>
              <w:rPr>
                <w:color w:val="000000"/>
                <w:sz w:val="20"/>
                <w:szCs w:val="20"/>
              </w:rPr>
              <w:t xml:space="preserve"> $                  14,375 </w:t>
            </w:r>
          </w:p>
        </w:tc>
      </w:tr>
      <w:tr w:rsidR="005D0654" w:rsidRPr="009769D3" w:rsidTr="005D0654">
        <w:trPr>
          <w:gridAfter w:val="1"/>
          <w:wAfter w:w="6" w:type="dxa"/>
          <w:jc w:val="center"/>
        </w:trPr>
        <w:tc>
          <w:tcPr>
            <w:tcW w:w="2070" w:type="dxa"/>
            <w:vAlign w:val="center"/>
          </w:tcPr>
          <w:p w:rsidR="005D0654" w:rsidRPr="009769D3" w:rsidRDefault="005D0654" w:rsidP="00235F6B">
            <w:pPr>
              <w:spacing w:line="120" w:lineRule="exact"/>
              <w:jc w:val="center"/>
              <w:rPr>
                <w:color w:val="000000"/>
                <w:sz w:val="20"/>
                <w:szCs w:val="20"/>
              </w:rPr>
            </w:pPr>
          </w:p>
          <w:p w:rsidR="005D0654" w:rsidRPr="009769D3" w:rsidRDefault="005D0654" w:rsidP="00235F6B">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9769D3">
              <w:rPr>
                <w:color w:val="000000"/>
                <w:sz w:val="20"/>
                <w:szCs w:val="20"/>
              </w:rPr>
              <w:t>Existing Small and Limited Use Gaseous Units</w:t>
            </w:r>
          </w:p>
        </w:tc>
        <w:tc>
          <w:tcPr>
            <w:tcW w:w="1620" w:type="dxa"/>
            <w:vAlign w:val="center"/>
          </w:tcPr>
          <w:p w:rsidR="005D0654" w:rsidRPr="009769D3" w:rsidRDefault="005D0654" w:rsidP="00141EFC">
            <w:pPr>
              <w:jc w:val="center"/>
              <w:rPr>
                <w:rFonts w:ascii="Arial" w:hAnsi="Arial" w:cs="Arial"/>
                <w:sz w:val="20"/>
                <w:szCs w:val="20"/>
              </w:rPr>
            </w:pPr>
            <w:r>
              <w:rPr>
                <w:rFonts w:ascii="Arial" w:hAnsi="Arial" w:cs="Arial"/>
                <w:sz w:val="20"/>
                <w:szCs w:val="20"/>
              </w:rPr>
              <w:t>887</w:t>
            </w:r>
          </w:p>
        </w:tc>
        <w:tc>
          <w:tcPr>
            <w:tcW w:w="1620" w:type="dxa"/>
            <w:vAlign w:val="center"/>
          </w:tcPr>
          <w:p w:rsidR="005D0654" w:rsidRPr="009769D3" w:rsidRDefault="005D0654" w:rsidP="005D0654">
            <w:pPr>
              <w:jc w:val="center"/>
              <w:rPr>
                <w:sz w:val="20"/>
                <w:szCs w:val="20"/>
              </w:rPr>
            </w:pPr>
            <w:r w:rsidRPr="009769D3">
              <w:rPr>
                <w:color w:val="000000"/>
                <w:sz w:val="20"/>
                <w:szCs w:val="20"/>
              </w:rPr>
              <w:t>$2</w:t>
            </w:r>
            <w:r>
              <w:rPr>
                <w:color w:val="000000"/>
                <w:sz w:val="20"/>
                <w:szCs w:val="20"/>
              </w:rPr>
              <w:t>6</w:t>
            </w:r>
            <w:r w:rsidRPr="009769D3">
              <w:rPr>
                <w:color w:val="000000"/>
                <w:sz w:val="20"/>
                <w:szCs w:val="20"/>
              </w:rPr>
              <w:t>,</w:t>
            </w:r>
            <w:r>
              <w:rPr>
                <w:color w:val="000000"/>
                <w:sz w:val="20"/>
                <w:szCs w:val="20"/>
              </w:rPr>
              <w:t>09</w:t>
            </w:r>
            <w:r w:rsidRPr="009769D3">
              <w:rPr>
                <w:color w:val="000000"/>
                <w:sz w:val="20"/>
                <w:szCs w:val="20"/>
              </w:rPr>
              <w:t>9,</w:t>
            </w:r>
            <w:r>
              <w:rPr>
                <w:color w:val="000000"/>
                <w:sz w:val="20"/>
                <w:szCs w:val="20"/>
              </w:rPr>
              <w:t>949</w:t>
            </w:r>
          </w:p>
        </w:tc>
        <w:tc>
          <w:tcPr>
            <w:tcW w:w="1980" w:type="dxa"/>
            <w:vAlign w:val="bottom"/>
          </w:tcPr>
          <w:p w:rsidR="005D0654" w:rsidRPr="009769D3" w:rsidRDefault="005D0654" w:rsidP="0085048C">
            <w:pPr>
              <w:jc w:val="center"/>
              <w:rPr>
                <w:sz w:val="20"/>
                <w:szCs w:val="20"/>
              </w:rPr>
            </w:pPr>
            <w:r>
              <w:rPr>
                <w:color w:val="000000"/>
                <w:sz w:val="20"/>
                <w:szCs w:val="20"/>
              </w:rPr>
              <w:t xml:space="preserve"> $                    -   </w:t>
            </w:r>
          </w:p>
        </w:tc>
        <w:tc>
          <w:tcPr>
            <w:tcW w:w="2093" w:type="dxa"/>
            <w:vAlign w:val="bottom"/>
          </w:tcPr>
          <w:p w:rsidR="005D0654" w:rsidRPr="009769D3" w:rsidRDefault="005D0654" w:rsidP="00141EFC">
            <w:pPr>
              <w:jc w:val="center"/>
              <w:rPr>
                <w:sz w:val="20"/>
                <w:szCs w:val="20"/>
              </w:rPr>
            </w:pPr>
            <w:r>
              <w:rPr>
                <w:color w:val="000000"/>
                <w:sz w:val="20"/>
                <w:szCs w:val="20"/>
              </w:rPr>
              <w:t xml:space="preserve"> $             8,699,983 </w:t>
            </w:r>
          </w:p>
        </w:tc>
      </w:tr>
      <w:tr w:rsidR="005D0654" w:rsidRPr="009769D3" w:rsidTr="005D0654">
        <w:trPr>
          <w:gridAfter w:val="1"/>
          <w:wAfter w:w="6" w:type="dxa"/>
          <w:jc w:val="center"/>
        </w:trPr>
        <w:tc>
          <w:tcPr>
            <w:tcW w:w="2070" w:type="dxa"/>
            <w:vAlign w:val="center"/>
          </w:tcPr>
          <w:p w:rsidR="005D0654" w:rsidRPr="009769D3" w:rsidRDefault="005D0654" w:rsidP="00235F6B">
            <w:pPr>
              <w:jc w:val="center"/>
              <w:rPr>
                <w:sz w:val="20"/>
                <w:szCs w:val="20"/>
              </w:rPr>
            </w:pPr>
            <w:r w:rsidRPr="009769D3">
              <w:rPr>
                <w:color w:val="000000"/>
                <w:sz w:val="20"/>
                <w:szCs w:val="20"/>
              </w:rPr>
              <w:t>New Small Gaseous Units</w:t>
            </w:r>
          </w:p>
        </w:tc>
        <w:tc>
          <w:tcPr>
            <w:tcW w:w="1620" w:type="dxa"/>
            <w:vAlign w:val="center"/>
          </w:tcPr>
          <w:p w:rsidR="005D0654" w:rsidRPr="009769D3" w:rsidRDefault="005D0654" w:rsidP="0085048C">
            <w:pPr>
              <w:jc w:val="center"/>
              <w:rPr>
                <w:rFonts w:ascii="Arial" w:hAnsi="Arial" w:cs="Arial"/>
                <w:sz w:val="20"/>
                <w:szCs w:val="20"/>
              </w:rPr>
            </w:pPr>
            <w:r w:rsidRPr="009769D3">
              <w:rPr>
                <w:rFonts w:ascii="Arial" w:hAnsi="Arial" w:cs="Arial"/>
                <w:sz w:val="20"/>
                <w:szCs w:val="20"/>
              </w:rPr>
              <w:t>9</w:t>
            </w:r>
          </w:p>
        </w:tc>
        <w:tc>
          <w:tcPr>
            <w:tcW w:w="1620" w:type="dxa"/>
            <w:vAlign w:val="center"/>
          </w:tcPr>
          <w:p w:rsidR="005D0654" w:rsidRPr="009769D3" w:rsidRDefault="005D0654" w:rsidP="00CE13C8">
            <w:pPr>
              <w:jc w:val="center"/>
              <w:rPr>
                <w:sz w:val="20"/>
                <w:szCs w:val="20"/>
              </w:rPr>
            </w:pPr>
            <w:r w:rsidRPr="009769D3">
              <w:rPr>
                <w:color w:val="000000"/>
                <w:sz w:val="20"/>
                <w:szCs w:val="20"/>
              </w:rPr>
              <w:t>$62,384</w:t>
            </w:r>
          </w:p>
        </w:tc>
        <w:tc>
          <w:tcPr>
            <w:tcW w:w="1980" w:type="dxa"/>
            <w:vAlign w:val="bottom"/>
          </w:tcPr>
          <w:p w:rsidR="005D0654" w:rsidRPr="009769D3" w:rsidRDefault="005D0654" w:rsidP="0085048C">
            <w:pPr>
              <w:jc w:val="center"/>
              <w:rPr>
                <w:sz w:val="20"/>
                <w:szCs w:val="20"/>
              </w:rPr>
            </w:pPr>
            <w:r>
              <w:rPr>
                <w:color w:val="000000"/>
                <w:sz w:val="20"/>
                <w:szCs w:val="20"/>
              </w:rPr>
              <w:t xml:space="preserve"> $                    -   </w:t>
            </w:r>
          </w:p>
        </w:tc>
        <w:tc>
          <w:tcPr>
            <w:tcW w:w="2093" w:type="dxa"/>
            <w:vAlign w:val="bottom"/>
          </w:tcPr>
          <w:p w:rsidR="005D0654" w:rsidRPr="009769D3" w:rsidRDefault="005D0654" w:rsidP="00CE13C8">
            <w:pPr>
              <w:jc w:val="center"/>
              <w:rPr>
                <w:sz w:val="20"/>
                <w:szCs w:val="20"/>
              </w:rPr>
            </w:pPr>
            <w:r>
              <w:rPr>
                <w:color w:val="000000"/>
                <w:sz w:val="20"/>
                <w:szCs w:val="20"/>
              </w:rPr>
              <w:t xml:space="preserve"> $                  20,795 </w:t>
            </w:r>
          </w:p>
        </w:tc>
      </w:tr>
      <w:tr w:rsidR="005D0654" w:rsidRPr="009769D3" w:rsidTr="005D0654">
        <w:trPr>
          <w:gridAfter w:val="1"/>
          <w:wAfter w:w="6" w:type="dxa"/>
          <w:trHeight w:val="432"/>
          <w:jc w:val="center"/>
        </w:trPr>
        <w:tc>
          <w:tcPr>
            <w:tcW w:w="2070" w:type="dxa"/>
            <w:vAlign w:val="center"/>
          </w:tcPr>
          <w:p w:rsidR="005D0654" w:rsidRPr="009769D3" w:rsidRDefault="005D0654" w:rsidP="00235F6B">
            <w:pPr>
              <w:jc w:val="center"/>
              <w:rPr>
                <w:color w:val="000000"/>
                <w:sz w:val="20"/>
                <w:szCs w:val="20"/>
              </w:rPr>
            </w:pPr>
            <w:r w:rsidRPr="009769D3">
              <w:rPr>
                <w:color w:val="000000"/>
                <w:sz w:val="20"/>
                <w:szCs w:val="20"/>
              </w:rPr>
              <w:t>Total</w:t>
            </w:r>
          </w:p>
        </w:tc>
        <w:tc>
          <w:tcPr>
            <w:tcW w:w="1620" w:type="dxa"/>
            <w:vAlign w:val="center"/>
          </w:tcPr>
          <w:p w:rsidR="005D0654" w:rsidRPr="009769D3" w:rsidRDefault="005D0654" w:rsidP="005D0654">
            <w:pPr>
              <w:jc w:val="center"/>
              <w:rPr>
                <w:rFonts w:ascii="Arial" w:hAnsi="Arial" w:cs="Arial"/>
                <w:sz w:val="20"/>
                <w:szCs w:val="20"/>
              </w:rPr>
            </w:pPr>
            <w:r w:rsidRPr="009769D3">
              <w:rPr>
                <w:rFonts w:ascii="Arial" w:hAnsi="Arial" w:cs="Arial"/>
                <w:sz w:val="20"/>
                <w:szCs w:val="20"/>
              </w:rPr>
              <w:t>16</w:t>
            </w:r>
            <w:r>
              <w:rPr>
                <w:rFonts w:ascii="Arial" w:hAnsi="Arial" w:cs="Arial"/>
                <w:sz w:val="20"/>
                <w:szCs w:val="20"/>
              </w:rPr>
              <w:t>55</w:t>
            </w:r>
          </w:p>
        </w:tc>
        <w:tc>
          <w:tcPr>
            <w:tcW w:w="1620" w:type="dxa"/>
            <w:vAlign w:val="center"/>
          </w:tcPr>
          <w:p w:rsidR="005D0654" w:rsidRPr="009769D3" w:rsidRDefault="005D0654" w:rsidP="005D0654">
            <w:pPr>
              <w:jc w:val="center"/>
              <w:rPr>
                <w:color w:val="000000"/>
                <w:sz w:val="20"/>
                <w:szCs w:val="20"/>
              </w:rPr>
            </w:pPr>
            <w:r w:rsidRPr="009769D3">
              <w:rPr>
                <w:color w:val="000000"/>
                <w:sz w:val="20"/>
                <w:szCs w:val="20"/>
              </w:rPr>
              <w:t>$207,</w:t>
            </w:r>
            <w:r>
              <w:rPr>
                <w:color w:val="000000"/>
                <w:sz w:val="20"/>
                <w:szCs w:val="20"/>
              </w:rPr>
              <w:t>970</w:t>
            </w:r>
            <w:r w:rsidRPr="009769D3">
              <w:rPr>
                <w:color w:val="000000"/>
                <w:sz w:val="20"/>
                <w:szCs w:val="20"/>
              </w:rPr>
              <w:t>,</w:t>
            </w:r>
            <w:r>
              <w:rPr>
                <w:color w:val="000000"/>
                <w:sz w:val="20"/>
                <w:szCs w:val="20"/>
              </w:rPr>
              <w:t>826</w:t>
            </w:r>
          </w:p>
        </w:tc>
        <w:tc>
          <w:tcPr>
            <w:tcW w:w="1980" w:type="dxa"/>
            <w:vAlign w:val="bottom"/>
          </w:tcPr>
          <w:p w:rsidR="005D0654" w:rsidRPr="009769D3" w:rsidRDefault="005D0654" w:rsidP="00141EFC">
            <w:pPr>
              <w:jc w:val="center"/>
              <w:rPr>
                <w:color w:val="000000"/>
                <w:sz w:val="20"/>
                <w:szCs w:val="20"/>
              </w:rPr>
            </w:pPr>
            <w:r>
              <w:rPr>
                <w:color w:val="000000"/>
                <w:sz w:val="20"/>
                <w:szCs w:val="20"/>
              </w:rPr>
              <w:t xml:space="preserve"> $   137,952,687 </w:t>
            </w:r>
          </w:p>
        </w:tc>
        <w:tc>
          <w:tcPr>
            <w:tcW w:w="2093" w:type="dxa"/>
            <w:vAlign w:val="bottom"/>
          </w:tcPr>
          <w:p w:rsidR="005D0654" w:rsidRPr="009769D3" w:rsidRDefault="005D0654" w:rsidP="00CE13C8">
            <w:pPr>
              <w:jc w:val="center"/>
              <w:rPr>
                <w:color w:val="000000"/>
                <w:sz w:val="20"/>
                <w:szCs w:val="20"/>
              </w:rPr>
            </w:pPr>
            <w:r>
              <w:rPr>
                <w:color w:val="000000"/>
                <w:sz w:val="20"/>
                <w:szCs w:val="20"/>
              </w:rPr>
              <w:t xml:space="preserve"> $           69,323,609 </w:t>
            </w:r>
          </w:p>
        </w:tc>
      </w:tr>
    </w:tbl>
    <w:p w:rsidR="009F76F5" w:rsidRDefault="00CA4CD6" w:rsidP="004E6F13">
      <w:pPr>
        <w:pBdr>
          <w:top w:val="single" w:sz="6" w:space="0" w:color="FFFFFF"/>
          <w:left w:val="single" w:sz="6" w:space="0" w:color="FFFFFF"/>
          <w:bottom w:val="single" w:sz="6" w:space="0" w:color="FFFFFF"/>
          <w:right w:val="single" w:sz="6" w:space="0" w:color="FFFFFF"/>
        </w:pBdr>
        <w:rPr>
          <w:color w:val="000000"/>
        </w:rPr>
      </w:pPr>
      <w:r w:rsidRPr="009769D3">
        <w:rPr>
          <w:color w:val="000000"/>
        </w:rPr>
        <w:t xml:space="preserve"> </w:t>
      </w:r>
      <w:r w:rsidRPr="009769D3">
        <w:rPr>
          <w:color w:val="000000"/>
        </w:rPr>
        <w:tab/>
      </w:r>
    </w:p>
    <w:p w:rsidR="004E6F13" w:rsidRDefault="004E6F13" w:rsidP="004E6F13">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The total capital/startup costs for this ICR are $</w:t>
      </w:r>
      <w:r w:rsidR="00AD22CA" w:rsidRPr="009769D3">
        <w:rPr>
          <w:color w:val="000000"/>
        </w:rPr>
        <w:t>138</w:t>
      </w:r>
      <w:r w:rsidR="00FB54CB" w:rsidRPr="009769D3">
        <w:rPr>
          <w:color w:val="000000"/>
        </w:rPr>
        <w:t xml:space="preserve"> million</w:t>
      </w:r>
      <w:r w:rsidRPr="009769D3">
        <w:rPr>
          <w:color w:val="000000"/>
        </w:rPr>
        <w:t>.  This is the total o</w:t>
      </w:r>
      <w:r w:rsidR="00CF05C3" w:rsidRPr="009769D3">
        <w:rPr>
          <w:color w:val="000000"/>
        </w:rPr>
        <w:t xml:space="preserve">f column </w:t>
      </w:r>
      <w:r w:rsidR="0085048C" w:rsidRPr="009769D3">
        <w:rPr>
          <w:color w:val="000000"/>
        </w:rPr>
        <w:t>D</w:t>
      </w:r>
      <w:r w:rsidR="00507EC5" w:rsidRPr="009769D3">
        <w:rPr>
          <w:color w:val="000000"/>
        </w:rPr>
        <w:t xml:space="preserve"> in the above table. </w:t>
      </w:r>
      <w:r w:rsidR="00F70E87" w:rsidRPr="009769D3">
        <w:rPr>
          <w:color w:val="000000"/>
        </w:rPr>
        <w:t>This reflects the initial costs to purchase monitoring equipment.</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F70E87" w:rsidRPr="009769D3" w:rsidRDefault="00CA4CD6" w:rsidP="00F70E87">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The total operation and maintenance (O&amp;M) costs for this ICR </w:t>
      </w:r>
      <w:proofErr w:type="gramStart"/>
      <w:r w:rsidRPr="009769D3">
        <w:rPr>
          <w:color w:val="000000"/>
        </w:rPr>
        <w:t>are</w:t>
      </w:r>
      <w:proofErr w:type="gramEnd"/>
      <w:r w:rsidRPr="009769D3">
        <w:rPr>
          <w:color w:val="000000"/>
        </w:rPr>
        <w:t xml:space="preserve"> $</w:t>
      </w:r>
      <w:r w:rsidR="00BA3B20" w:rsidRPr="009769D3">
        <w:rPr>
          <w:color w:val="000000"/>
        </w:rPr>
        <w:t>20</w:t>
      </w:r>
      <w:r w:rsidR="005D0654">
        <w:rPr>
          <w:color w:val="000000"/>
        </w:rPr>
        <w:t>8</w:t>
      </w:r>
      <w:r w:rsidR="00FB54CB" w:rsidRPr="009769D3">
        <w:rPr>
          <w:color w:val="000000"/>
        </w:rPr>
        <w:t xml:space="preserve"> million</w:t>
      </w:r>
      <w:r w:rsidRPr="009769D3">
        <w:rPr>
          <w:color w:val="000000"/>
        </w:rPr>
        <w:t xml:space="preserve">.  </w:t>
      </w:r>
      <w:r w:rsidR="00CF05C3" w:rsidRPr="009769D3">
        <w:rPr>
          <w:color w:val="000000"/>
        </w:rPr>
        <w:t xml:space="preserve">This is the total of column </w:t>
      </w:r>
      <w:r w:rsidR="0085048C" w:rsidRPr="009769D3">
        <w:rPr>
          <w:color w:val="000000"/>
        </w:rPr>
        <w:t>C</w:t>
      </w:r>
      <w:r w:rsidR="00AD22CA" w:rsidRPr="009769D3">
        <w:rPr>
          <w:color w:val="000000"/>
        </w:rPr>
        <w:t>.</w:t>
      </w:r>
      <w:r w:rsidR="00507EC5" w:rsidRPr="009769D3">
        <w:rPr>
          <w:color w:val="000000"/>
        </w:rPr>
        <w:t xml:space="preserve"> </w:t>
      </w:r>
      <w:r w:rsidR="00AD22CA" w:rsidRPr="009769D3">
        <w:rPr>
          <w:color w:val="000000"/>
        </w:rPr>
        <w:t xml:space="preserve"> </w:t>
      </w:r>
      <w:r w:rsidR="00F70E87" w:rsidRPr="009769D3">
        <w:rPr>
          <w:color w:val="000000"/>
        </w:rPr>
        <w:t>This reflects the costs to operate the monitoring equipment, and fees paid to third parties to conduct initial and annual stack testing, annual tune-ups, and one-time energy audits.</w:t>
      </w:r>
      <w:r w:rsidR="00FB54CB" w:rsidRPr="009769D3">
        <w:rPr>
          <w:color w:val="000000"/>
        </w:rPr>
        <w:t xml:space="preserve"> </w:t>
      </w:r>
    </w:p>
    <w:p w:rsidR="00CF05C3" w:rsidRPr="009769D3" w:rsidRDefault="00CF05C3">
      <w:pPr>
        <w:pBdr>
          <w:top w:val="single" w:sz="6" w:space="0" w:color="FFFFFF"/>
          <w:left w:val="single" w:sz="6" w:space="0" w:color="FFFFFF"/>
          <w:bottom w:val="single" w:sz="6" w:space="0" w:color="FFFFFF"/>
          <w:right w:val="single" w:sz="6" w:space="0" w:color="FFFFFF"/>
        </w:pBdr>
        <w:ind w:firstLine="720"/>
        <w:rPr>
          <w:color w:val="000000"/>
        </w:rPr>
      </w:pPr>
    </w:p>
    <w:p w:rsidR="00CF05C3" w:rsidRDefault="00A038EC" w:rsidP="00CF05C3">
      <w:pPr>
        <w:pBdr>
          <w:top w:val="single" w:sz="6" w:space="0" w:color="FFFFFF"/>
          <w:left w:val="single" w:sz="6" w:space="0" w:color="FFFFFF"/>
          <w:bottom w:val="single" w:sz="6" w:space="0" w:color="FFFFFF"/>
          <w:right w:val="single" w:sz="6" w:space="0" w:color="FFFFFF"/>
        </w:pBdr>
        <w:rPr>
          <w:color w:val="000000"/>
        </w:rPr>
      </w:pPr>
      <w:r w:rsidRPr="009769D3">
        <w:rPr>
          <w:color w:val="000000"/>
        </w:rPr>
        <w:t xml:space="preserve">      </w:t>
      </w:r>
      <w:r w:rsidR="00CF05C3" w:rsidRPr="009769D3">
        <w:rPr>
          <w:color w:val="000000"/>
        </w:rPr>
        <w:t xml:space="preserve">      The average annual cost for capital/startup and operation and maintenance costs to industry over the next three years of the ICR is estimated to be $</w:t>
      </w:r>
      <w:r w:rsidR="00FE17D3" w:rsidRPr="009769D3">
        <w:rPr>
          <w:color w:val="000000"/>
        </w:rPr>
        <w:t>6</w:t>
      </w:r>
      <w:r w:rsidR="00BA3B20" w:rsidRPr="009769D3">
        <w:rPr>
          <w:color w:val="000000"/>
        </w:rPr>
        <w:t>9</w:t>
      </w:r>
      <w:r w:rsidR="00FB54CB" w:rsidRPr="009769D3">
        <w:rPr>
          <w:color w:val="000000"/>
        </w:rPr>
        <w:t xml:space="preserve"> million as shown in column </w:t>
      </w:r>
      <w:r w:rsidR="0085048C" w:rsidRPr="009769D3">
        <w:rPr>
          <w:color w:val="000000"/>
        </w:rPr>
        <w:t>E</w:t>
      </w:r>
      <w:r w:rsidR="00DC3A1B" w:rsidRPr="009769D3">
        <w:rPr>
          <w:color w:val="000000"/>
        </w:rPr>
        <w:t>.</w:t>
      </w:r>
      <w:r w:rsidR="00CF05C3" w:rsidRPr="009769D3">
        <w:rPr>
          <w:color w:val="000000"/>
        </w:rPr>
        <w:t xml:space="preserve">   These are recordkeeping costs.</w:t>
      </w:r>
    </w:p>
    <w:p w:rsidR="00952057" w:rsidRPr="004E6F13" w:rsidRDefault="00952057" w:rsidP="00CF05C3">
      <w:pPr>
        <w:pBdr>
          <w:top w:val="single" w:sz="6" w:space="0" w:color="FFFFFF"/>
          <w:left w:val="single" w:sz="6" w:space="0" w:color="FFFFFF"/>
          <w:bottom w:val="single" w:sz="6" w:space="0" w:color="FFFFFF"/>
          <w:right w:val="single" w:sz="6" w:space="0" w:color="FFFFFF"/>
        </w:pBdr>
      </w:pPr>
    </w:p>
    <w:p w:rsidR="00952057" w:rsidRPr="004E6F13" w:rsidRDefault="00952057" w:rsidP="00952057">
      <w:pPr>
        <w:pBdr>
          <w:top w:val="single" w:sz="6" w:space="0" w:color="FFFFFF"/>
          <w:left w:val="single" w:sz="6" w:space="0" w:color="FFFFFF"/>
          <w:bottom w:val="single" w:sz="6" w:space="0" w:color="FFFFFF"/>
          <w:right w:val="single" w:sz="6" w:space="0" w:color="FFFFFF"/>
        </w:pBdr>
        <w:ind w:firstLine="1440"/>
      </w:pPr>
      <w:proofErr w:type="gramStart"/>
      <w:r w:rsidRPr="004E6F13">
        <w:rPr>
          <w:b/>
          <w:bCs/>
        </w:rPr>
        <w:t>(iv)  Potential</w:t>
      </w:r>
      <w:proofErr w:type="gramEnd"/>
      <w:r w:rsidRPr="004E6F13">
        <w:rPr>
          <w:b/>
          <w:bCs/>
        </w:rPr>
        <w:t xml:space="preserve"> Burden under Affirmative Defense </w:t>
      </w:r>
    </w:p>
    <w:p w:rsidR="00952057" w:rsidRPr="004E6F13" w:rsidRDefault="00952057" w:rsidP="00952057">
      <w:pPr>
        <w:pBdr>
          <w:top w:val="single" w:sz="6" w:space="0" w:color="FFFFFF"/>
          <w:left w:val="single" w:sz="6" w:space="0" w:color="FFFFFF"/>
          <w:bottom w:val="single" w:sz="6" w:space="0" w:color="FFFFFF"/>
          <w:right w:val="single" w:sz="6" w:space="0" w:color="FFFFFF"/>
        </w:pBdr>
        <w:ind w:firstLine="720"/>
      </w:pPr>
    </w:p>
    <w:p w:rsidR="00D5776A" w:rsidRPr="004E6F13" w:rsidRDefault="00D5776A" w:rsidP="004E6F13">
      <w:pPr>
        <w:ind w:firstLine="720"/>
      </w:pPr>
      <w:r w:rsidRPr="004E6F13">
        <w:t xml:space="preserve">When a malfunction occurs, sources must report them according to the applicable reporting requirements of this Subpart DDDDD.  An affirmative defense to civil penalties for </w:t>
      </w:r>
      <w:proofErr w:type="spellStart"/>
      <w:r w:rsidRPr="004E6F13">
        <w:t>exceedances</w:t>
      </w:r>
      <w:proofErr w:type="spellEnd"/>
      <w:r w:rsidRPr="004E6F13">
        <w:t xml:space="preserve"> of emission limits that are caused by malfunctions is available to a source if it can demonstrate that certain criteria and requirements are satisfied.  The criteria ensure that the affirmative defense is available only where the event that causes an </w:t>
      </w:r>
      <w:proofErr w:type="spellStart"/>
      <w:r w:rsidRPr="004E6F13">
        <w:t>exceedance</w:t>
      </w:r>
      <w:proofErr w:type="spellEnd"/>
      <w:r w:rsidRPr="004E6F13">
        <w:t xml:space="preserve"> of the emission limit meets the narrow definition of malfunction in 40 C.F.R. 63.2 (sudden, infrequent, not reasonable preventable and not caused by poor maintenance and or careless operation) and where the source  took necessary actions to minimize emissions.   In addition, the source must meet certain notification and reporting requirements.  For example, the source must prepare a written root cause analysis and submit a written report to the Administrator documenting that it has met the conditions and requirements for assertion of the affirmative defense.  </w:t>
      </w:r>
    </w:p>
    <w:p w:rsidR="00D5776A" w:rsidRPr="004E6F13" w:rsidRDefault="00D5776A" w:rsidP="00D5776A"/>
    <w:p w:rsidR="00D5776A" w:rsidRPr="004E6F13" w:rsidRDefault="00D5776A" w:rsidP="004E6F13">
      <w:pPr>
        <w:ind w:firstLine="720"/>
      </w:pPr>
      <w:r w:rsidRPr="004E6F13">
        <w:t xml:space="preserve">To provide the public with an estimate of the relative magnitude of the burden associated with an assertion of the affirmative defense position adopted by a source, EPA provides an administrative adjustment to this ICR that shows the notification, recordkeeping and reporting requirements associated with the assertion of the affirmative defense might entail.  EPA’s estimate for the required notification, reports and records, including the root cause analysis, totals $3,141 and is based on the time and effort required of a source to review relevant data, interview plant employees, and document the events surrounding a malfunction that has caused an </w:t>
      </w:r>
      <w:proofErr w:type="spellStart"/>
      <w:r w:rsidRPr="004E6F13">
        <w:t>exceedance</w:t>
      </w:r>
      <w:proofErr w:type="spellEnd"/>
      <w:r w:rsidRPr="004E6F13">
        <w:t xml:space="preserve"> of an emission limit. The estimate also includes time to produce and retain the record and reports for submission to EPA.  EPA provides this illustrative estimate of this burden because these costs are only incurred if there has been a violation and a source chooses to take advantage of the affirmative defense.  </w:t>
      </w:r>
    </w:p>
    <w:p w:rsidR="00952057" w:rsidRDefault="00952057" w:rsidP="00952057"/>
    <w:tbl>
      <w:tblPr>
        <w:tblW w:w="9555" w:type="dxa"/>
        <w:tblInd w:w="93" w:type="dxa"/>
        <w:tblLook w:val="04A0"/>
      </w:tblPr>
      <w:tblGrid>
        <w:gridCol w:w="2161"/>
        <w:gridCol w:w="1454"/>
        <w:gridCol w:w="1649"/>
        <w:gridCol w:w="1231"/>
        <w:gridCol w:w="1620"/>
        <w:gridCol w:w="1440"/>
      </w:tblGrid>
      <w:tr w:rsidR="00952057" w:rsidRPr="004E6F13" w:rsidTr="0077704E">
        <w:trPr>
          <w:trHeight w:val="293"/>
        </w:trPr>
        <w:tc>
          <w:tcPr>
            <w:tcW w:w="21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2057" w:rsidRPr="004E6F13" w:rsidRDefault="00952057" w:rsidP="0077704E">
            <w:pPr>
              <w:rPr>
                <w:b/>
                <w:bCs/>
                <w:color w:val="000000"/>
                <w:sz w:val="20"/>
                <w:szCs w:val="22"/>
              </w:rPr>
            </w:pPr>
            <w:r w:rsidRPr="004E6F13">
              <w:rPr>
                <w:b/>
                <w:bCs/>
                <w:color w:val="000000"/>
                <w:sz w:val="20"/>
                <w:szCs w:val="22"/>
              </w:rPr>
              <w:t xml:space="preserve">Personnel </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rsidR="00952057" w:rsidRPr="004E6F13" w:rsidRDefault="00952057" w:rsidP="0077704E">
            <w:pPr>
              <w:widowControl/>
              <w:autoSpaceDE/>
              <w:autoSpaceDN/>
              <w:adjustRightInd/>
              <w:jc w:val="center"/>
              <w:rPr>
                <w:b/>
                <w:bCs/>
                <w:color w:val="000000"/>
                <w:sz w:val="20"/>
                <w:szCs w:val="22"/>
              </w:rPr>
            </w:pPr>
            <w:r w:rsidRPr="004E6F13">
              <w:rPr>
                <w:b/>
                <w:bCs/>
                <w:color w:val="000000"/>
                <w:sz w:val="20"/>
                <w:szCs w:val="22"/>
              </w:rPr>
              <w:t xml:space="preserve">Number of Personnel </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rsidR="00952057" w:rsidRPr="004E6F13" w:rsidRDefault="00952057" w:rsidP="0077704E">
            <w:pPr>
              <w:widowControl/>
              <w:autoSpaceDE/>
              <w:autoSpaceDN/>
              <w:adjustRightInd/>
              <w:jc w:val="center"/>
              <w:rPr>
                <w:b/>
                <w:bCs/>
                <w:color w:val="000000"/>
                <w:sz w:val="20"/>
                <w:szCs w:val="22"/>
              </w:rPr>
            </w:pPr>
            <w:r w:rsidRPr="004E6F13">
              <w:rPr>
                <w:b/>
                <w:bCs/>
                <w:color w:val="000000"/>
                <w:sz w:val="20"/>
                <w:szCs w:val="22"/>
              </w:rPr>
              <w:t>Time Requirement (hours)</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952057" w:rsidRPr="004E6F13" w:rsidRDefault="00952057" w:rsidP="0077704E">
            <w:pPr>
              <w:widowControl/>
              <w:autoSpaceDE/>
              <w:autoSpaceDN/>
              <w:adjustRightInd/>
              <w:jc w:val="center"/>
              <w:rPr>
                <w:b/>
                <w:bCs/>
                <w:color w:val="000000"/>
                <w:sz w:val="20"/>
                <w:szCs w:val="22"/>
              </w:rPr>
            </w:pPr>
            <w:r w:rsidRPr="004E6F13">
              <w:rPr>
                <w:b/>
                <w:bCs/>
                <w:color w:val="000000"/>
                <w:sz w:val="20"/>
                <w:szCs w:val="22"/>
              </w:rPr>
              <w:t>Total Hours</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952057" w:rsidRPr="004E6F13" w:rsidRDefault="00952057" w:rsidP="0077704E">
            <w:pPr>
              <w:widowControl/>
              <w:autoSpaceDE/>
              <w:autoSpaceDN/>
              <w:adjustRightInd/>
              <w:jc w:val="center"/>
              <w:rPr>
                <w:b/>
                <w:bCs/>
                <w:color w:val="000000"/>
                <w:sz w:val="20"/>
                <w:szCs w:val="22"/>
              </w:rPr>
            </w:pPr>
            <w:r w:rsidRPr="004E6F13">
              <w:rPr>
                <w:b/>
                <w:bCs/>
                <w:color w:val="000000"/>
                <w:sz w:val="20"/>
                <w:szCs w:val="22"/>
              </w:rPr>
              <w:t>Hourly Rate ($/hr)</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952057" w:rsidRPr="004E6F13" w:rsidRDefault="00952057" w:rsidP="0077704E">
            <w:pPr>
              <w:widowControl/>
              <w:autoSpaceDE/>
              <w:autoSpaceDN/>
              <w:adjustRightInd/>
              <w:jc w:val="center"/>
              <w:rPr>
                <w:b/>
                <w:bCs/>
                <w:color w:val="000000"/>
                <w:sz w:val="20"/>
                <w:szCs w:val="22"/>
              </w:rPr>
            </w:pPr>
            <w:r w:rsidRPr="004E6F13">
              <w:rPr>
                <w:b/>
                <w:bCs/>
                <w:color w:val="000000"/>
                <w:sz w:val="20"/>
                <w:szCs w:val="22"/>
              </w:rPr>
              <w:t>Total</w:t>
            </w:r>
          </w:p>
        </w:tc>
      </w:tr>
      <w:tr w:rsidR="00952057" w:rsidRPr="004E6F13" w:rsidTr="0077704E">
        <w:trPr>
          <w:trHeight w:val="324"/>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952057" w:rsidRPr="004E6F13" w:rsidRDefault="00952057" w:rsidP="0077704E">
            <w:pPr>
              <w:widowControl/>
              <w:autoSpaceDE/>
              <w:autoSpaceDN/>
              <w:adjustRightInd/>
              <w:rPr>
                <w:color w:val="000000"/>
                <w:sz w:val="20"/>
                <w:szCs w:val="22"/>
              </w:rPr>
            </w:pPr>
            <w:r w:rsidRPr="004E6F13">
              <w:rPr>
                <w:color w:val="000000"/>
                <w:sz w:val="20"/>
                <w:szCs w:val="22"/>
              </w:rPr>
              <w:t>Technical Personnel</w:t>
            </w:r>
          </w:p>
        </w:tc>
        <w:tc>
          <w:tcPr>
            <w:tcW w:w="1454" w:type="dxa"/>
            <w:tcBorders>
              <w:top w:val="nil"/>
              <w:left w:val="nil"/>
              <w:bottom w:val="single" w:sz="4" w:space="0" w:color="auto"/>
              <w:right w:val="single" w:sz="4" w:space="0" w:color="auto"/>
            </w:tcBorders>
            <w:shd w:val="clear" w:color="auto" w:fill="auto"/>
            <w:noWrap/>
            <w:vAlign w:val="bottom"/>
            <w:hideMark/>
          </w:tcPr>
          <w:p w:rsidR="00952057" w:rsidRPr="004E6F13" w:rsidRDefault="00952057" w:rsidP="0077704E">
            <w:pPr>
              <w:widowControl/>
              <w:autoSpaceDE/>
              <w:autoSpaceDN/>
              <w:adjustRightInd/>
              <w:jc w:val="center"/>
              <w:rPr>
                <w:color w:val="000000"/>
                <w:sz w:val="20"/>
                <w:szCs w:val="22"/>
              </w:rPr>
            </w:pPr>
            <w:r w:rsidRPr="004E6F13">
              <w:rPr>
                <w:color w:val="000000"/>
                <w:sz w:val="20"/>
                <w:szCs w:val="22"/>
              </w:rPr>
              <w:t>3</w:t>
            </w:r>
          </w:p>
        </w:tc>
        <w:tc>
          <w:tcPr>
            <w:tcW w:w="1649" w:type="dxa"/>
            <w:tcBorders>
              <w:top w:val="nil"/>
              <w:left w:val="nil"/>
              <w:bottom w:val="single" w:sz="4" w:space="0" w:color="auto"/>
              <w:right w:val="single" w:sz="4" w:space="0" w:color="auto"/>
            </w:tcBorders>
            <w:shd w:val="clear" w:color="auto" w:fill="auto"/>
            <w:noWrap/>
            <w:vAlign w:val="bottom"/>
            <w:hideMark/>
          </w:tcPr>
          <w:p w:rsidR="00952057" w:rsidRPr="004E6F13" w:rsidRDefault="00952057" w:rsidP="0077704E">
            <w:pPr>
              <w:widowControl/>
              <w:autoSpaceDE/>
              <w:autoSpaceDN/>
              <w:adjustRightInd/>
              <w:jc w:val="center"/>
              <w:rPr>
                <w:color w:val="000000"/>
                <w:sz w:val="20"/>
                <w:szCs w:val="22"/>
              </w:rPr>
            </w:pPr>
            <w:r w:rsidRPr="004E6F13">
              <w:rPr>
                <w:color w:val="000000"/>
                <w:sz w:val="20"/>
                <w:szCs w:val="22"/>
              </w:rPr>
              <w:t>6</w:t>
            </w:r>
          </w:p>
        </w:tc>
        <w:tc>
          <w:tcPr>
            <w:tcW w:w="1231" w:type="dxa"/>
            <w:tcBorders>
              <w:top w:val="nil"/>
              <w:left w:val="nil"/>
              <w:bottom w:val="single" w:sz="4" w:space="0" w:color="auto"/>
              <w:right w:val="single" w:sz="4" w:space="0" w:color="auto"/>
            </w:tcBorders>
            <w:shd w:val="clear" w:color="auto" w:fill="auto"/>
            <w:noWrap/>
            <w:vAlign w:val="bottom"/>
            <w:hideMark/>
          </w:tcPr>
          <w:p w:rsidR="00952057" w:rsidRPr="004E6F13" w:rsidRDefault="00952057" w:rsidP="0077704E">
            <w:pPr>
              <w:widowControl/>
              <w:autoSpaceDE/>
              <w:autoSpaceDN/>
              <w:adjustRightInd/>
              <w:jc w:val="center"/>
              <w:rPr>
                <w:color w:val="000000"/>
                <w:sz w:val="20"/>
                <w:szCs w:val="22"/>
              </w:rPr>
            </w:pPr>
            <w:r w:rsidRPr="004E6F13">
              <w:rPr>
                <w:color w:val="000000"/>
                <w:sz w:val="20"/>
                <w:szCs w:val="22"/>
              </w:rPr>
              <w:t>18</w:t>
            </w:r>
          </w:p>
        </w:tc>
        <w:tc>
          <w:tcPr>
            <w:tcW w:w="1620" w:type="dxa"/>
            <w:tcBorders>
              <w:top w:val="nil"/>
              <w:left w:val="nil"/>
              <w:bottom w:val="single" w:sz="4" w:space="0" w:color="auto"/>
              <w:right w:val="single" w:sz="4" w:space="0" w:color="auto"/>
            </w:tcBorders>
            <w:shd w:val="clear" w:color="auto" w:fill="auto"/>
            <w:noWrap/>
            <w:vAlign w:val="center"/>
            <w:hideMark/>
          </w:tcPr>
          <w:p w:rsidR="00952057" w:rsidRPr="004E6F13" w:rsidRDefault="00952057" w:rsidP="0077704E">
            <w:pPr>
              <w:jc w:val="center"/>
              <w:rPr>
                <w:color w:val="000000"/>
                <w:sz w:val="20"/>
                <w:szCs w:val="22"/>
              </w:rPr>
            </w:pPr>
            <w:r w:rsidRPr="004E6F13">
              <w:rPr>
                <w:color w:val="000000"/>
                <w:sz w:val="20"/>
                <w:szCs w:val="22"/>
              </w:rPr>
              <w:t>98.20</w:t>
            </w:r>
          </w:p>
        </w:tc>
        <w:tc>
          <w:tcPr>
            <w:tcW w:w="1440" w:type="dxa"/>
            <w:tcBorders>
              <w:top w:val="nil"/>
              <w:left w:val="nil"/>
              <w:bottom w:val="single" w:sz="4" w:space="0" w:color="auto"/>
              <w:right w:val="single" w:sz="4" w:space="0" w:color="auto"/>
            </w:tcBorders>
            <w:shd w:val="clear" w:color="auto" w:fill="auto"/>
            <w:noWrap/>
            <w:vAlign w:val="bottom"/>
            <w:hideMark/>
          </w:tcPr>
          <w:p w:rsidR="00952057" w:rsidRPr="004E6F13" w:rsidRDefault="00952057" w:rsidP="0077704E">
            <w:pPr>
              <w:rPr>
                <w:color w:val="000000"/>
                <w:sz w:val="20"/>
                <w:szCs w:val="22"/>
              </w:rPr>
            </w:pPr>
            <w:r w:rsidRPr="004E6F13">
              <w:rPr>
                <w:color w:val="000000"/>
                <w:sz w:val="22"/>
                <w:szCs w:val="22"/>
              </w:rPr>
              <w:t>$   1,768</w:t>
            </w:r>
          </w:p>
        </w:tc>
      </w:tr>
      <w:tr w:rsidR="00952057" w:rsidRPr="004E6F13" w:rsidTr="0077704E">
        <w:trPr>
          <w:trHeight w:val="293"/>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952057" w:rsidRPr="004E6F13" w:rsidRDefault="00952057" w:rsidP="0077704E">
            <w:pPr>
              <w:widowControl/>
              <w:autoSpaceDE/>
              <w:autoSpaceDN/>
              <w:adjustRightInd/>
              <w:rPr>
                <w:color w:val="000000"/>
                <w:sz w:val="20"/>
                <w:szCs w:val="22"/>
              </w:rPr>
            </w:pPr>
            <w:r w:rsidRPr="004E6F13">
              <w:rPr>
                <w:color w:val="000000"/>
                <w:sz w:val="20"/>
                <w:szCs w:val="22"/>
              </w:rPr>
              <w:t>Managerial Personnel</w:t>
            </w:r>
          </w:p>
        </w:tc>
        <w:tc>
          <w:tcPr>
            <w:tcW w:w="1454" w:type="dxa"/>
            <w:tcBorders>
              <w:top w:val="nil"/>
              <w:left w:val="nil"/>
              <w:bottom w:val="single" w:sz="4" w:space="0" w:color="auto"/>
              <w:right w:val="single" w:sz="4" w:space="0" w:color="auto"/>
            </w:tcBorders>
            <w:shd w:val="clear" w:color="auto" w:fill="auto"/>
            <w:noWrap/>
            <w:vAlign w:val="bottom"/>
            <w:hideMark/>
          </w:tcPr>
          <w:p w:rsidR="00952057" w:rsidRPr="004E6F13" w:rsidRDefault="00952057" w:rsidP="0077704E">
            <w:pPr>
              <w:widowControl/>
              <w:autoSpaceDE/>
              <w:autoSpaceDN/>
              <w:adjustRightInd/>
              <w:jc w:val="center"/>
              <w:rPr>
                <w:color w:val="000000"/>
                <w:sz w:val="20"/>
                <w:szCs w:val="22"/>
              </w:rPr>
            </w:pPr>
            <w:r w:rsidRPr="004E6F13">
              <w:rPr>
                <w:color w:val="000000"/>
                <w:sz w:val="20"/>
                <w:szCs w:val="22"/>
              </w:rPr>
              <w:t>2</w:t>
            </w:r>
          </w:p>
        </w:tc>
        <w:tc>
          <w:tcPr>
            <w:tcW w:w="1649" w:type="dxa"/>
            <w:tcBorders>
              <w:top w:val="nil"/>
              <w:left w:val="nil"/>
              <w:bottom w:val="single" w:sz="4" w:space="0" w:color="auto"/>
              <w:right w:val="single" w:sz="4" w:space="0" w:color="auto"/>
            </w:tcBorders>
            <w:shd w:val="clear" w:color="auto" w:fill="auto"/>
            <w:noWrap/>
            <w:vAlign w:val="bottom"/>
            <w:hideMark/>
          </w:tcPr>
          <w:p w:rsidR="00952057" w:rsidRPr="004E6F13" w:rsidRDefault="00952057" w:rsidP="0077704E">
            <w:pPr>
              <w:widowControl/>
              <w:autoSpaceDE/>
              <w:autoSpaceDN/>
              <w:adjustRightInd/>
              <w:jc w:val="center"/>
              <w:rPr>
                <w:color w:val="000000"/>
                <w:sz w:val="20"/>
                <w:szCs w:val="22"/>
              </w:rPr>
            </w:pPr>
            <w:r w:rsidRPr="004E6F13">
              <w:rPr>
                <w:color w:val="000000"/>
                <w:sz w:val="20"/>
                <w:szCs w:val="22"/>
              </w:rPr>
              <w:t>6</w:t>
            </w:r>
          </w:p>
        </w:tc>
        <w:tc>
          <w:tcPr>
            <w:tcW w:w="1231" w:type="dxa"/>
            <w:tcBorders>
              <w:top w:val="nil"/>
              <w:left w:val="nil"/>
              <w:bottom w:val="single" w:sz="4" w:space="0" w:color="auto"/>
              <w:right w:val="single" w:sz="4" w:space="0" w:color="auto"/>
            </w:tcBorders>
            <w:shd w:val="clear" w:color="auto" w:fill="auto"/>
            <w:noWrap/>
            <w:vAlign w:val="bottom"/>
            <w:hideMark/>
          </w:tcPr>
          <w:p w:rsidR="00952057" w:rsidRPr="004E6F13" w:rsidRDefault="00952057" w:rsidP="0077704E">
            <w:pPr>
              <w:widowControl/>
              <w:autoSpaceDE/>
              <w:autoSpaceDN/>
              <w:adjustRightInd/>
              <w:jc w:val="center"/>
              <w:rPr>
                <w:color w:val="000000"/>
                <w:sz w:val="20"/>
                <w:szCs w:val="22"/>
              </w:rPr>
            </w:pPr>
            <w:r w:rsidRPr="004E6F13">
              <w:rPr>
                <w:color w:val="000000"/>
                <w:sz w:val="20"/>
                <w:szCs w:val="22"/>
              </w:rPr>
              <w:t>12</w:t>
            </w:r>
          </w:p>
        </w:tc>
        <w:tc>
          <w:tcPr>
            <w:tcW w:w="1620" w:type="dxa"/>
            <w:tcBorders>
              <w:top w:val="nil"/>
              <w:left w:val="nil"/>
              <w:bottom w:val="single" w:sz="4" w:space="0" w:color="auto"/>
              <w:right w:val="single" w:sz="4" w:space="0" w:color="auto"/>
            </w:tcBorders>
            <w:shd w:val="clear" w:color="auto" w:fill="auto"/>
            <w:noWrap/>
            <w:vAlign w:val="center"/>
            <w:hideMark/>
          </w:tcPr>
          <w:p w:rsidR="00952057" w:rsidRPr="004E6F13" w:rsidRDefault="00952057" w:rsidP="0077704E">
            <w:pPr>
              <w:widowControl/>
              <w:autoSpaceDE/>
              <w:autoSpaceDN/>
              <w:adjustRightInd/>
              <w:jc w:val="center"/>
              <w:rPr>
                <w:color w:val="000000"/>
                <w:sz w:val="20"/>
                <w:szCs w:val="22"/>
              </w:rPr>
            </w:pPr>
            <w:r w:rsidRPr="004E6F13">
              <w:rPr>
                <w:color w:val="000000"/>
                <w:sz w:val="20"/>
                <w:szCs w:val="22"/>
              </w:rPr>
              <w:t>114.49</w:t>
            </w:r>
          </w:p>
        </w:tc>
        <w:tc>
          <w:tcPr>
            <w:tcW w:w="1440" w:type="dxa"/>
            <w:tcBorders>
              <w:top w:val="nil"/>
              <w:left w:val="nil"/>
              <w:bottom w:val="single" w:sz="4" w:space="0" w:color="auto"/>
              <w:right w:val="single" w:sz="4" w:space="0" w:color="auto"/>
            </w:tcBorders>
            <w:shd w:val="clear" w:color="auto" w:fill="auto"/>
            <w:noWrap/>
            <w:vAlign w:val="bottom"/>
            <w:hideMark/>
          </w:tcPr>
          <w:p w:rsidR="00952057" w:rsidRPr="004E6F13" w:rsidRDefault="00952057" w:rsidP="0077704E">
            <w:pPr>
              <w:rPr>
                <w:color w:val="000000"/>
                <w:sz w:val="20"/>
                <w:szCs w:val="22"/>
              </w:rPr>
            </w:pPr>
            <w:r w:rsidRPr="004E6F13">
              <w:rPr>
                <w:color w:val="000000"/>
                <w:sz w:val="22"/>
                <w:szCs w:val="22"/>
              </w:rPr>
              <w:t>$   1,374</w:t>
            </w:r>
          </w:p>
        </w:tc>
      </w:tr>
      <w:tr w:rsidR="00952057" w:rsidRPr="004E6F13" w:rsidTr="0077704E">
        <w:trPr>
          <w:trHeight w:val="293"/>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952057" w:rsidRPr="004E6F13" w:rsidRDefault="00952057" w:rsidP="0077704E">
            <w:pPr>
              <w:widowControl/>
              <w:autoSpaceDE/>
              <w:autoSpaceDN/>
              <w:adjustRightInd/>
              <w:rPr>
                <w:color w:val="000000"/>
                <w:sz w:val="20"/>
                <w:szCs w:val="22"/>
              </w:rPr>
            </w:pPr>
            <w:r w:rsidRPr="004E6F13">
              <w:rPr>
                <w:color w:val="000000"/>
                <w:sz w:val="20"/>
                <w:szCs w:val="22"/>
              </w:rPr>
              <w:t>Total</w:t>
            </w:r>
          </w:p>
        </w:tc>
        <w:tc>
          <w:tcPr>
            <w:tcW w:w="1454" w:type="dxa"/>
            <w:tcBorders>
              <w:top w:val="nil"/>
              <w:left w:val="nil"/>
              <w:bottom w:val="single" w:sz="4" w:space="0" w:color="auto"/>
              <w:right w:val="single" w:sz="4" w:space="0" w:color="auto"/>
            </w:tcBorders>
            <w:shd w:val="clear" w:color="auto" w:fill="auto"/>
            <w:noWrap/>
            <w:vAlign w:val="bottom"/>
            <w:hideMark/>
          </w:tcPr>
          <w:p w:rsidR="00952057" w:rsidRPr="004E6F13" w:rsidRDefault="00952057" w:rsidP="0077704E">
            <w:pPr>
              <w:widowControl/>
              <w:autoSpaceDE/>
              <w:autoSpaceDN/>
              <w:adjustRightInd/>
              <w:jc w:val="center"/>
              <w:rPr>
                <w:color w:val="000000"/>
                <w:sz w:val="20"/>
                <w:szCs w:val="22"/>
              </w:rPr>
            </w:pPr>
            <w:r w:rsidRPr="004E6F13">
              <w:rPr>
                <w:color w:val="000000"/>
                <w:sz w:val="20"/>
                <w:szCs w:val="22"/>
              </w:rPr>
              <w:t>5</w:t>
            </w:r>
          </w:p>
        </w:tc>
        <w:tc>
          <w:tcPr>
            <w:tcW w:w="1649" w:type="dxa"/>
            <w:tcBorders>
              <w:top w:val="nil"/>
              <w:left w:val="nil"/>
              <w:bottom w:val="single" w:sz="4" w:space="0" w:color="auto"/>
              <w:right w:val="single" w:sz="4" w:space="0" w:color="auto"/>
            </w:tcBorders>
            <w:shd w:val="clear" w:color="auto" w:fill="auto"/>
            <w:noWrap/>
            <w:vAlign w:val="bottom"/>
            <w:hideMark/>
          </w:tcPr>
          <w:p w:rsidR="00952057" w:rsidRPr="004E6F13" w:rsidRDefault="00952057" w:rsidP="0077704E">
            <w:pPr>
              <w:rPr>
                <w:color w:val="000000"/>
                <w:sz w:val="20"/>
                <w:szCs w:val="22"/>
              </w:rPr>
            </w:pPr>
            <w:r w:rsidRPr="004E6F13">
              <w:rPr>
                <w:color w:val="000000"/>
                <w:sz w:val="20"/>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rsidR="00952057" w:rsidRPr="004E6F13" w:rsidRDefault="00952057" w:rsidP="0077704E">
            <w:pPr>
              <w:widowControl/>
              <w:autoSpaceDE/>
              <w:autoSpaceDN/>
              <w:adjustRightInd/>
              <w:jc w:val="center"/>
              <w:rPr>
                <w:color w:val="000000"/>
                <w:sz w:val="20"/>
                <w:szCs w:val="22"/>
              </w:rPr>
            </w:pPr>
            <w:r w:rsidRPr="004E6F13">
              <w:rPr>
                <w:color w:val="000000"/>
                <w:sz w:val="20"/>
                <w:szCs w:val="22"/>
              </w:rPr>
              <w:t>30</w:t>
            </w:r>
          </w:p>
        </w:tc>
        <w:tc>
          <w:tcPr>
            <w:tcW w:w="1620" w:type="dxa"/>
            <w:tcBorders>
              <w:top w:val="nil"/>
              <w:left w:val="nil"/>
              <w:bottom w:val="single" w:sz="4" w:space="0" w:color="auto"/>
              <w:right w:val="single" w:sz="4" w:space="0" w:color="auto"/>
            </w:tcBorders>
            <w:shd w:val="clear" w:color="auto" w:fill="auto"/>
            <w:noWrap/>
            <w:vAlign w:val="center"/>
            <w:hideMark/>
          </w:tcPr>
          <w:p w:rsidR="00952057" w:rsidRPr="004E6F13" w:rsidRDefault="00952057" w:rsidP="0077704E">
            <w:pPr>
              <w:widowControl/>
              <w:autoSpaceDE/>
              <w:autoSpaceDN/>
              <w:adjustRightInd/>
              <w:jc w:val="center"/>
              <w:rPr>
                <w:color w:val="000000"/>
                <w:sz w:val="20"/>
                <w:szCs w:val="22"/>
              </w:rPr>
            </w:pPr>
          </w:p>
        </w:tc>
        <w:tc>
          <w:tcPr>
            <w:tcW w:w="1440" w:type="dxa"/>
            <w:tcBorders>
              <w:top w:val="nil"/>
              <w:left w:val="nil"/>
              <w:bottom w:val="single" w:sz="4" w:space="0" w:color="auto"/>
              <w:right w:val="single" w:sz="4" w:space="0" w:color="auto"/>
            </w:tcBorders>
            <w:shd w:val="clear" w:color="auto" w:fill="auto"/>
            <w:noWrap/>
            <w:vAlign w:val="bottom"/>
            <w:hideMark/>
          </w:tcPr>
          <w:p w:rsidR="00952057" w:rsidRPr="004E6F13" w:rsidRDefault="00952057" w:rsidP="0077704E">
            <w:pPr>
              <w:rPr>
                <w:color w:val="000000"/>
                <w:sz w:val="20"/>
                <w:szCs w:val="22"/>
              </w:rPr>
            </w:pPr>
            <w:r w:rsidRPr="004E6F13">
              <w:rPr>
                <w:color w:val="000000"/>
                <w:sz w:val="20"/>
                <w:szCs w:val="22"/>
              </w:rPr>
              <w:t xml:space="preserve"> </w:t>
            </w:r>
            <w:r w:rsidRPr="004E6F13">
              <w:rPr>
                <w:color w:val="000000"/>
                <w:sz w:val="22"/>
                <w:szCs w:val="22"/>
              </w:rPr>
              <w:t>$   3,141</w:t>
            </w:r>
          </w:p>
        </w:tc>
      </w:tr>
    </w:tbl>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6(c</w:t>
      </w:r>
      <w:proofErr w:type="gramStart"/>
      <w:r w:rsidRPr="009769D3">
        <w:rPr>
          <w:b/>
          <w:bCs/>
          <w:color w:val="000000"/>
        </w:rPr>
        <w:t>)  Estimating</w:t>
      </w:r>
      <w:proofErr w:type="gramEnd"/>
      <w:r w:rsidRPr="009769D3">
        <w:rPr>
          <w:b/>
          <w:bCs/>
          <w:color w:val="000000"/>
        </w:rPr>
        <w:t xml:space="preserve"> Agency Burden and Cost</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The only costs to the Agency are those costs associated with analysis of the reported information.  EPA's overall compliance and enforcement program i</w:t>
      </w:r>
      <w:r w:rsidR="00CF05C3" w:rsidRPr="009769D3">
        <w:rPr>
          <w:color w:val="000000"/>
        </w:rPr>
        <w:t xml:space="preserve">ncludes activities such as the </w:t>
      </w:r>
      <w:r w:rsidRPr="009769D3">
        <w:rPr>
          <w:color w:val="000000"/>
        </w:rPr>
        <w:t>examination of records maintained by the respondents</w:t>
      </w:r>
      <w:r w:rsidR="008C1BBD" w:rsidRPr="009769D3">
        <w:rPr>
          <w:color w:val="000000"/>
        </w:rPr>
        <w:t>, periodic</w:t>
      </w:r>
      <w:r w:rsidRPr="009769D3">
        <w:rPr>
          <w:color w:val="000000"/>
        </w:rPr>
        <w:t xml:space="preserve"> inspection of sources of emissions, and the publication and distribution of collected information. </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pPr>
      <w:r w:rsidRPr="009769D3">
        <w:rPr>
          <w:color w:val="000000"/>
        </w:rPr>
        <w:t>The average annual Agency cost during the three years of the ICR is estimated to be $</w:t>
      </w:r>
      <w:r w:rsidR="00AF1DF2">
        <w:rPr>
          <w:color w:val="000000"/>
        </w:rPr>
        <w:t>5.2 million</w:t>
      </w:r>
      <w:r w:rsidR="00CF05C3" w:rsidRPr="009769D3">
        <w:t>.</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This cost is based on the average hourly labor rate as follows:</w:t>
      </w:r>
    </w:p>
    <w:p w:rsidR="00D2273E" w:rsidRPr="009769D3" w:rsidRDefault="00D2273E" w:rsidP="00D2273E"/>
    <w:p w:rsidR="00CA4CD6" w:rsidRPr="009769D3" w:rsidRDefault="00D2273E" w:rsidP="00D2273E">
      <w:r w:rsidRPr="009769D3">
        <w:tab/>
      </w:r>
      <w:r w:rsidRPr="009769D3">
        <w:tab/>
      </w:r>
      <w:r w:rsidR="00CA4CD6" w:rsidRPr="009769D3">
        <w:t>Managerial</w:t>
      </w:r>
      <w:r w:rsidR="00CA4CD6" w:rsidRPr="009769D3">
        <w:tab/>
        <w:t>$</w:t>
      </w:r>
      <w:r w:rsidR="00A038EC" w:rsidRPr="009769D3">
        <w:t>6</w:t>
      </w:r>
      <w:r w:rsidR="002B517F" w:rsidRPr="009769D3">
        <w:t>2.27</w:t>
      </w:r>
      <w:r w:rsidR="00CA4CD6" w:rsidRPr="009769D3">
        <w:t xml:space="preserve"> (GS-13, Step 5, $</w:t>
      </w:r>
      <w:r w:rsidR="009018EC" w:rsidRPr="009769D3">
        <w:t>3</w:t>
      </w:r>
      <w:r w:rsidR="00A038EC" w:rsidRPr="009769D3">
        <w:t>8.</w:t>
      </w:r>
      <w:r w:rsidR="002B517F" w:rsidRPr="009769D3">
        <w:t>92</w:t>
      </w:r>
      <w:r w:rsidR="00CA4CD6" w:rsidRPr="009769D3">
        <w:t xml:space="preserve"> </w:t>
      </w:r>
      <w:r w:rsidR="00E77D5E" w:rsidRPr="009769D3">
        <w:t>+ 60%</w:t>
      </w:r>
      <w:r w:rsidR="00D46FA2" w:rsidRPr="009769D3">
        <w:t xml:space="preserve">) </w:t>
      </w:r>
    </w:p>
    <w:p w:rsidR="00CA4CD6" w:rsidRPr="009769D3" w:rsidRDefault="00D2273E" w:rsidP="00D2273E">
      <w:r w:rsidRPr="009769D3">
        <w:tab/>
      </w:r>
      <w:r w:rsidRPr="009769D3">
        <w:tab/>
      </w:r>
      <w:r w:rsidR="00CA4CD6" w:rsidRPr="009769D3">
        <w:t>Technical</w:t>
      </w:r>
      <w:r w:rsidR="00CA4CD6" w:rsidRPr="009769D3">
        <w:tab/>
        <w:t>$</w:t>
      </w:r>
      <w:r w:rsidR="009018EC" w:rsidRPr="009769D3">
        <w:t>4</w:t>
      </w:r>
      <w:r w:rsidR="002B517F" w:rsidRPr="009769D3">
        <w:t>6</w:t>
      </w:r>
      <w:r w:rsidR="00A038EC" w:rsidRPr="009769D3">
        <w:t>.</w:t>
      </w:r>
      <w:r w:rsidR="002B517F" w:rsidRPr="009769D3">
        <w:t>21</w:t>
      </w:r>
      <w:r w:rsidR="00CA4CD6" w:rsidRPr="009769D3">
        <w:t xml:space="preserve"> (GS-12, Step 1, $</w:t>
      </w:r>
      <w:r w:rsidR="00A038EC" w:rsidRPr="009769D3">
        <w:t>28.</w:t>
      </w:r>
      <w:r w:rsidR="002B517F" w:rsidRPr="009769D3">
        <w:t>88</w:t>
      </w:r>
      <w:r w:rsidR="00CA4CD6" w:rsidRPr="009769D3">
        <w:t xml:space="preserve"> </w:t>
      </w:r>
      <w:r w:rsidR="00E77D5E" w:rsidRPr="009769D3">
        <w:t>+ 60%</w:t>
      </w:r>
      <w:r w:rsidR="00CA4CD6" w:rsidRPr="009769D3">
        <w:t>)</w:t>
      </w:r>
    </w:p>
    <w:p w:rsidR="00CA4CD6" w:rsidRPr="009769D3" w:rsidRDefault="00D2273E" w:rsidP="00D2273E">
      <w:r w:rsidRPr="009769D3">
        <w:tab/>
      </w:r>
      <w:r w:rsidRPr="009769D3">
        <w:tab/>
      </w:r>
      <w:r w:rsidR="00CA4CD6" w:rsidRPr="009769D3">
        <w:t>Clerical</w:t>
      </w:r>
      <w:r w:rsidR="00CA4CD6" w:rsidRPr="009769D3">
        <w:tab/>
        <w:t>$2</w:t>
      </w:r>
      <w:r w:rsidR="002B517F" w:rsidRPr="009769D3">
        <w:t>5.01</w:t>
      </w:r>
      <w:r w:rsidR="00CA4CD6" w:rsidRPr="009769D3">
        <w:t xml:space="preserve"> (GS-6, Step 3, $</w:t>
      </w:r>
      <w:r w:rsidR="00A038EC" w:rsidRPr="009769D3">
        <w:t>15.</w:t>
      </w:r>
      <w:r w:rsidR="002B517F" w:rsidRPr="009769D3">
        <w:t>63</w:t>
      </w:r>
      <w:r w:rsidR="00CA4CD6" w:rsidRPr="009769D3">
        <w:t xml:space="preserve"> </w:t>
      </w:r>
      <w:r w:rsidR="00E77D5E" w:rsidRPr="009769D3">
        <w:t>+ 60%</w:t>
      </w:r>
      <w:r w:rsidR="00CA4CD6" w:rsidRPr="009769D3">
        <w:t>)</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F05C3" w:rsidRPr="009769D3" w:rsidRDefault="00CF05C3" w:rsidP="00CF05C3">
      <w:pPr>
        <w:pBdr>
          <w:top w:val="single" w:sz="6" w:space="0" w:color="FFFFFF"/>
          <w:left w:val="single" w:sz="6" w:space="0" w:color="FFFFFF"/>
          <w:bottom w:val="single" w:sz="6" w:space="0" w:color="FFFFFF"/>
          <w:right w:val="single" w:sz="6" w:space="0" w:color="FFFFFF"/>
        </w:pBdr>
        <w:rPr>
          <w:color w:val="000000"/>
        </w:rPr>
      </w:pPr>
      <w:r w:rsidRPr="009769D3">
        <w:rPr>
          <w:color w:val="000000"/>
        </w:rPr>
        <w:t xml:space="preserve">These rates are from the Office of Personnel Management (OPM), 2010 General Schedule, which excludes </w:t>
      </w:r>
      <w:proofErr w:type="gramStart"/>
      <w:r w:rsidRPr="009769D3">
        <w:rPr>
          <w:color w:val="000000"/>
        </w:rPr>
        <w:t>locality</w:t>
      </w:r>
      <w:proofErr w:type="gramEnd"/>
      <w:r w:rsidRPr="009769D3">
        <w:rPr>
          <w:color w:val="000000"/>
        </w:rPr>
        <w:t xml:space="preserve"> rates of pay.  The rates have been increased by 60 percent to account for the benefit packages available to government employees</w:t>
      </w:r>
      <w:r w:rsidRPr="009769D3">
        <w:t>.</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9769D3">
        <w:rPr>
          <w:b/>
          <w:bCs/>
          <w:color w:val="000000"/>
        </w:rPr>
        <w:t>6(d</w:t>
      </w:r>
      <w:proofErr w:type="gramStart"/>
      <w:r w:rsidRPr="009769D3">
        <w:rPr>
          <w:b/>
          <w:bCs/>
          <w:color w:val="000000"/>
        </w:rPr>
        <w:t>)  Estimating</w:t>
      </w:r>
      <w:proofErr w:type="gramEnd"/>
      <w:r w:rsidRPr="009769D3">
        <w:rPr>
          <w:b/>
          <w:bCs/>
          <w:color w:val="000000"/>
        </w:rPr>
        <w:t xml:space="preserve"> the Respondent Universe and Total Burden and Costs</w:t>
      </w:r>
    </w:p>
    <w:p w:rsidR="00CA4CD6" w:rsidRPr="009769D3" w:rsidRDefault="00CA4CD6">
      <w:pPr>
        <w:pBdr>
          <w:top w:val="single" w:sz="6" w:space="0" w:color="FFFFFF"/>
          <w:left w:val="single" w:sz="6" w:space="0" w:color="FFFFFF"/>
          <w:bottom w:val="single" w:sz="6" w:space="0" w:color="FFFFFF"/>
          <w:right w:val="single" w:sz="6" w:space="0" w:color="FFFFFF"/>
        </w:pBdr>
        <w:rPr>
          <w:b/>
          <w:bCs/>
          <w:color w:val="000000"/>
        </w:rPr>
      </w:pPr>
    </w:p>
    <w:p w:rsidR="0037510E" w:rsidRPr="009769D3" w:rsidRDefault="0037510E" w:rsidP="009E245E">
      <w:pPr>
        <w:widowControl/>
        <w:ind w:firstLine="720"/>
        <w:rPr>
          <w:rFonts w:cs="Courier New"/>
        </w:rPr>
        <w:sectPr w:rsidR="0037510E" w:rsidRPr="009769D3">
          <w:type w:val="continuous"/>
          <w:pgSz w:w="12240" w:h="15840"/>
          <w:pgMar w:top="1440" w:right="1440" w:bottom="1080" w:left="1440" w:header="1440" w:footer="1080" w:gutter="0"/>
          <w:cols w:space="720"/>
          <w:noEndnote/>
        </w:sectPr>
      </w:pPr>
      <w:r w:rsidRPr="009769D3">
        <w:rPr>
          <w:rFonts w:cs="Courier New"/>
        </w:rPr>
        <w:t xml:space="preserve">The total number of respondents is referred to as the respondent universe.  The respondent universe for this ICR is based on the EPA’s population database of industrial, commercial, and institutional boilers and process heaters.  Industry burden is calculated based on </w:t>
      </w:r>
      <w:r w:rsidR="00C333EE" w:rsidRPr="009769D3">
        <w:rPr>
          <w:rFonts w:cs="Courier New"/>
        </w:rPr>
        <w:t>13,</w:t>
      </w:r>
      <w:r w:rsidR="00C37165" w:rsidRPr="009769D3">
        <w:rPr>
          <w:rFonts w:cs="Courier New"/>
        </w:rPr>
        <w:t>840</w:t>
      </w:r>
      <w:r w:rsidRPr="009769D3">
        <w:rPr>
          <w:rFonts w:cs="Courier New"/>
        </w:rPr>
        <w:t xml:space="preserve"> existing units in the database, however, many units have minimal reporting requirements (i.e., initial reporting requirement) and many other units have no requirements under the Boilers NES</w:t>
      </w:r>
      <w:r w:rsidR="00232A8D" w:rsidRPr="009769D3">
        <w:rPr>
          <w:rFonts w:cs="Courier New"/>
        </w:rPr>
        <w:t>HAP.  Approximately 4</w:t>
      </w:r>
      <w:r w:rsidR="00C37165" w:rsidRPr="009769D3">
        <w:rPr>
          <w:rFonts w:cs="Courier New"/>
        </w:rPr>
        <w:t>7</w:t>
      </w:r>
      <w:r w:rsidRPr="009769D3">
        <w:rPr>
          <w:rFonts w:cs="Courier New"/>
        </w:rPr>
        <w:t xml:space="preserve"> new units will be constructed or reconstructed, but many of those sources will have minimal or no requirements.  Units that demonstrate continuous compliance through continuous parameter monitoring must establish a site-specific monitoring plan.</w:t>
      </w:r>
      <w:r w:rsidR="009E245E" w:rsidRPr="009769D3">
        <w:rPr>
          <w:rFonts w:cs="Courier New"/>
        </w:rPr>
        <w:t xml:space="preserve">  A table showing the estimated number of sources for each category is shown below.</w:t>
      </w:r>
    </w:p>
    <w:p w:rsidR="0037510E" w:rsidRPr="009769D3" w:rsidRDefault="0037510E" w:rsidP="0037510E">
      <w:pPr>
        <w:widowControl/>
        <w:ind w:firstLine="720"/>
        <w:rPr>
          <w:rFonts w:cs="Courier New"/>
        </w:rPr>
      </w:pPr>
    </w:p>
    <w:p w:rsidR="009E245E" w:rsidRPr="009769D3" w:rsidRDefault="009E245E" w:rsidP="009E245E">
      <w:pPr>
        <w:pStyle w:val="Caption"/>
        <w:keepNext/>
        <w:rPr>
          <w:rFonts w:ascii="Times New Roman" w:hAnsi="Times New Roman"/>
          <w:sz w:val="24"/>
          <w:szCs w:val="24"/>
        </w:rPr>
      </w:pPr>
      <w:r w:rsidRPr="009769D3">
        <w:rPr>
          <w:rFonts w:ascii="Times New Roman" w:hAnsi="Times New Roman"/>
          <w:sz w:val="24"/>
          <w:szCs w:val="24"/>
        </w:rPr>
        <w:t xml:space="preserve">Table </w:t>
      </w:r>
      <w:r w:rsidR="00722390" w:rsidRPr="009769D3">
        <w:rPr>
          <w:rFonts w:ascii="Times New Roman" w:hAnsi="Times New Roman"/>
          <w:sz w:val="24"/>
          <w:szCs w:val="24"/>
        </w:rPr>
        <w:fldChar w:fldCharType="begin"/>
      </w:r>
      <w:r w:rsidRPr="009769D3">
        <w:rPr>
          <w:rFonts w:ascii="Times New Roman" w:hAnsi="Times New Roman"/>
          <w:sz w:val="24"/>
          <w:szCs w:val="24"/>
        </w:rPr>
        <w:instrText xml:space="preserve"> SEQ Table \* ARABIC </w:instrText>
      </w:r>
      <w:r w:rsidR="00722390" w:rsidRPr="009769D3">
        <w:rPr>
          <w:rFonts w:ascii="Times New Roman" w:hAnsi="Times New Roman"/>
          <w:sz w:val="24"/>
          <w:szCs w:val="24"/>
        </w:rPr>
        <w:fldChar w:fldCharType="separate"/>
      </w:r>
      <w:r w:rsidR="00282435">
        <w:rPr>
          <w:rFonts w:ascii="Times New Roman" w:hAnsi="Times New Roman"/>
          <w:noProof/>
          <w:sz w:val="24"/>
          <w:szCs w:val="24"/>
        </w:rPr>
        <w:t>2</w:t>
      </w:r>
      <w:r w:rsidR="00722390" w:rsidRPr="009769D3">
        <w:rPr>
          <w:rFonts w:ascii="Times New Roman" w:hAnsi="Times New Roman"/>
          <w:sz w:val="24"/>
          <w:szCs w:val="24"/>
        </w:rPr>
        <w:fldChar w:fldCharType="end"/>
      </w:r>
      <w:r w:rsidRPr="009769D3">
        <w:rPr>
          <w:rFonts w:ascii="Times New Roman" w:hAnsi="Times New Roman"/>
          <w:sz w:val="24"/>
          <w:szCs w:val="24"/>
        </w:rPr>
        <w:t xml:space="preserve"> Number of Responses for New and Existing Units</w:t>
      </w:r>
    </w:p>
    <w:tbl>
      <w:tblPr>
        <w:tblW w:w="7493"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545"/>
        <w:gridCol w:w="1638"/>
        <w:gridCol w:w="2195"/>
        <w:gridCol w:w="2115"/>
      </w:tblGrid>
      <w:tr w:rsidR="009E245E" w:rsidRPr="004E6F13" w:rsidTr="00EE5E90">
        <w:trPr>
          <w:trHeight w:val="255"/>
        </w:trPr>
        <w:tc>
          <w:tcPr>
            <w:tcW w:w="1545" w:type="dxa"/>
            <w:shd w:val="clear" w:color="auto" w:fill="auto"/>
            <w:vAlign w:val="bottom"/>
          </w:tcPr>
          <w:p w:rsidR="009E245E" w:rsidRPr="004E6F13" w:rsidRDefault="009E245E" w:rsidP="006E2611">
            <w:pPr>
              <w:widowControl/>
              <w:autoSpaceDE/>
              <w:autoSpaceDN/>
              <w:adjustRightInd/>
              <w:jc w:val="center"/>
              <w:rPr>
                <w:color w:val="000000"/>
                <w:sz w:val="20"/>
                <w:szCs w:val="20"/>
              </w:rPr>
            </w:pPr>
            <w:r w:rsidRPr="004E6F13">
              <w:rPr>
                <w:color w:val="000000"/>
                <w:sz w:val="20"/>
                <w:szCs w:val="20"/>
              </w:rPr>
              <w:t>(A)</w:t>
            </w:r>
          </w:p>
        </w:tc>
        <w:tc>
          <w:tcPr>
            <w:tcW w:w="1638" w:type="dxa"/>
            <w:shd w:val="clear" w:color="auto" w:fill="auto"/>
            <w:vAlign w:val="bottom"/>
          </w:tcPr>
          <w:p w:rsidR="009E245E" w:rsidRPr="004E6F13" w:rsidRDefault="009E245E" w:rsidP="006E2611">
            <w:pPr>
              <w:widowControl/>
              <w:autoSpaceDE/>
              <w:autoSpaceDN/>
              <w:adjustRightInd/>
              <w:jc w:val="center"/>
              <w:rPr>
                <w:sz w:val="20"/>
                <w:szCs w:val="20"/>
              </w:rPr>
            </w:pPr>
            <w:r w:rsidRPr="004E6F13">
              <w:rPr>
                <w:sz w:val="20"/>
                <w:szCs w:val="20"/>
              </w:rPr>
              <w:t>(B)</w:t>
            </w:r>
          </w:p>
        </w:tc>
        <w:tc>
          <w:tcPr>
            <w:tcW w:w="2195" w:type="dxa"/>
            <w:shd w:val="clear" w:color="auto" w:fill="auto"/>
            <w:vAlign w:val="bottom"/>
          </w:tcPr>
          <w:p w:rsidR="009E245E" w:rsidRPr="004E6F13" w:rsidRDefault="009E245E" w:rsidP="006E2611">
            <w:pPr>
              <w:widowControl/>
              <w:autoSpaceDE/>
              <w:autoSpaceDN/>
              <w:adjustRightInd/>
              <w:jc w:val="center"/>
              <w:rPr>
                <w:sz w:val="20"/>
                <w:szCs w:val="20"/>
              </w:rPr>
            </w:pPr>
            <w:r w:rsidRPr="004E6F13">
              <w:rPr>
                <w:sz w:val="20"/>
                <w:szCs w:val="20"/>
              </w:rPr>
              <w:t>(C)</w:t>
            </w:r>
          </w:p>
        </w:tc>
        <w:tc>
          <w:tcPr>
            <w:tcW w:w="2115" w:type="dxa"/>
            <w:shd w:val="clear" w:color="auto" w:fill="auto"/>
            <w:vAlign w:val="bottom"/>
          </w:tcPr>
          <w:p w:rsidR="009E245E" w:rsidRPr="004E6F13" w:rsidRDefault="009E245E" w:rsidP="006E2611">
            <w:pPr>
              <w:widowControl/>
              <w:autoSpaceDE/>
              <w:autoSpaceDN/>
              <w:adjustRightInd/>
              <w:jc w:val="center"/>
              <w:rPr>
                <w:sz w:val="20"/>
                <w:szCs w:val="20"/>
              </w:rPr>
            </w:pPr>
            <w:r w:rsidRPr="004E6F13">
              <w:rPr>
                <w:sz w:val="20"/>
                <w:szCs w:val="20"/>
              </w:rPr>
              <w:t>(D)*</w:t>
            </w:r>
          </w:p>
        </w:tc>
      </w:tr>
      <w:tr w:rsidR="009E245E" w:rsidRPr="004E6F13" w:rsidTr="00EE5E90">
        <w:trPr>
          <w:trHeight w:val="993"/>
        </w:trPr>
        <w:tc>
          <w:tcPr>
            <w:tcW w:w="1545" w:type="dxa"/>
            <w:shd w:val="clear" w:color="auto" w:fill="auto"/>
            <w:vAlign w:val="bottom"/>
          </w:tcPr>
          <w:p w:rsidR="009E245E" w:rsidRPr="004E6F13" w:rsidRDefault="009E245E" w:rsidP="006E2611">
            <w:pPr>
              <w:widowControl/>
              <w:autoSpaceDE/>
              <w:autoSpaceDN/>
              <w:adjustRightInd/>
              <w:jc w:val="center"/>
              <w:rPr>
                <w:color w:val="000000"/>
                <w:sz w:val="20"/>
                <w:szCs w:val="20"/>
              </w:rPr>
            </w:pPr>
            <w:r w:rsidRPr="004E6F13">
              <w:rPr>
                <w:color w:val="000000"/>
                <w:sz w:val="20"/>
                <w:szCs w:val="20"/>
              </w:rPr>
              <w:t>Boiler Type</w:t>
            </w:r>
          </w:p>
        </w:tc>
        <w:tc>
          <w:tcPr>
            <w:tcW w:w="1638" w:type="dxa"/>
            <w:shd w:val="clear" w:color="auto" w:fill="auto"/>
            <w:vAlign w:val="bottom"/>
          </w:tcPr>
          <w:p w:rsidR="009E245E" w:rsidRPr="004E6F13" w:rsidRDefault="009E245E" w:rsidP="006E2611">
            <w:pPr>
              <w:widowControl/>
              <w:autoSpaceDE/>
              <w:autoSpaceDN/>
              <w:adjustRightInd/>
              <w:jc w:val="center"/>
              <w:rPr>
                <w:sz w:val="20"/>
                <w:szCs w:val="20"/>
              </w:rPr>
            </w:pPr>
            <w:r w:rsidRPr="004E6F13">
              <w:rPr>
                <w:sz w:val="20"/>
                <w:szCs w:val="20"/>
              </w:rPr>
              <w:t>Number of Respondents (facilities)</w:t>
            </w:r>
          </w:p>
        </w:tc>
        <w:tc>
          <w:tcPr>
            <w:tcW w:w="2195" w:type="dxa"/>
            <w:shd w:val="clear" w:color="auto" w:fill="auto"/>
            <w:vAlign w:val="bottom"/>
          </w:tcPr>
          <w:p w:rsidR="009E245E" w:rsidRPr="004E6F13" w:rsidRDefault="009E245E" w:rsidP="006E2611">
            <w:pPr>
              <w:widowControl/>
              <w:autoSpaceDE/>
              <w:autoSpaceDN/>
              <w:adjustRightInd/>
              <w:jc w:val="center"/>
              <w:rPr>
                <w:sz w:val="20"/>
                <w:szCs w:val="20"/>
              </w:rPr>
            </w:pPr>
            <w:r w:rsidRPr="004E6F13">
              <w:rPr>
                <w:sz w:val="20"/>
                <w:szCs w:val="20"/>
              </w:rPr>
              <w:t>Total Number Responses for 3-year Period</w:t>
            </w:r>
          </w:p>
        </w:tc>
        <w:tc>
          <w:tcPr>
            <w:tcW w:w="2115" w:type="dxa"/>
            <w:shd w:val="clear" w:color="auto" w:fill="auto"/>
            <w:vAlign w:val="bottom"/>
          </w:tcPr>
          <w:p w:rsidR="009E245E" w:rsidRPr="004E6F13" w:rsidRDefault="009E245E" w:rsidP="006E2611">
            <w:pPr>
              <w:widowControl/>
              <w:autoSpaceDE/>
              <w:autoSpaceDN/>
              <w:adjustRightInd/>
              <w:jc w:val="center"/>
              <w:rPr>
                <w:sz w:val="20"/>
                <w:szCs w:val="20"/>
              </w:rPr>
            </w:pPr>
            <w:r w:rsidRPr="004E6F13">
              <w:rPr>
                <w:sz w:val="20"/>
                <w:szCs w:val="20"/>
              </w:rPr>
              <w:t>Average Annual Number of Responses</w:t>
            </w:r>
          </w:p>
        </w:tc>
      </w:tr>
      <w:tr w:rsidR="00AF1DF2" w:rsidRPr="004E6F13" w:rsidTr="009F76F5">
        <w:trPr>
          <w:trHeight w:val="510"/>
        </w:trPr>
        <w:tc>
          <w:tcPr>
            <w:tcW w:w="1545" w:type="dxa"/>
            <w:shd w:val="clear" w:color="auto" w:fill="auto"/>
            <w:vAlign w:val="center"/>
          </w:tcPr>
          <w:p w:rsidR="00AF1DF2" w:rsidRPr="004E6F13" w:rsidRDefault="00AF1DF2" w:rsidP="009E245E">
            <w:pPr>
              <w:spacing w:line="120" w:lineRule="exact"/>
              <w:jc w:val="center"/>
              <w:rPr>
                <w:color w:val="000000"/>
                <w:sz w:val="20"/>
                <w:szCs w:val="20"/>
              </w:rPr>
            </w:pPr>
          </w:p>
          <w:p w:rsidR="00AF1DF2" w:rsidRPr="004E6F13" w:rsidRDefault="00AF1DF2" w:rsidP="009E245E">
            <w:pPr>
              <w:widowControl/>
              <w:autoSpaceDE/>
              <w:autoSpaceDN/>
              <w:adjustRightInd/>
              <w:jc w:val="center"/>
              <w:rPr>
                <w:color w:val="000000"/>
                <w:sz w:val="20"/>
                <w:szCs w:val="20"/>
              </w:rPr>
            </w:pPr>
            <w:r w:rsidRPr="004E6F13">
              <w:rPr>
                <w:color w:val="000000"/>
                <w:sz w:val="20"/>
                <w:szCs w:val="20"/>
              </w:rPr>
              <w:t>Existing Large Solid Units</w:t>
            </w:r>
          </w:p>
        </w:tc>
        <w:tc>
          <w:tcPr>
            <w:tcW w:w="1638" w:type="dxa"/>
            <w:shd w:val="clear" w:color="auto" w:fill="auto"/>
            <w:vAlign w:val="bottom"/>
          </w:tcPr>
          <w:p w:rsidR="00AF1DF2" w:rsidRPr="004E6F13" w:rsidRDefault="00AF1DF2" w:rsidP="00C37165">
            <w:pPr>
              <w:widowControl/>
              <w:autoSpaceDE/>
              <w:autoSpaceDN/>
              <w:adjustRightInd/>
              <w:jc w:val="center"/>
              <w:rPr>
                <w:color w:val="000000"/>
                <w:sz w:val="20"/>
                <w:szCs w:val="20"/>
              </w:rPr>
            </w:pPr>
            <w:r w:rsidRPr="004E6F13">
              <w:rPr>
                <w:sz w:val="20"/>
                <w:szCs w:val="20"/>
              </w:rPr>
              <w:t>119</w:t>
            </w:r>
          </w:p>
        </w:tc>
        <w:tc>
          <w:tcPr>
            <w:tcW w:w="2195" w:type="dxa"/>
            <w:shd w:val="clear" w:color="auto" w:fill="auto"/>
            <w:noWrap/>
            <w:vAlign w:val="bottom"/>
          </w:tcPr>
          <w:p w:rsidR="00AF1DF2" w:rsidRPr="004E6F13" w:rsidRDefault="00AF1DF2" w:rsidP="00C37165">
            <w:pPr>
              <w:widowControl/>
              <w:autoSpaceDE/>
              <w:autoSpaceDN/>
              <w:adjustRightInd/>
              <w:jc w:val="center"/>
              <w:rPr>
                <w:sz w:val="20"/>
                <w:szCs w:val="20"/>
              </w:rPr>
            </w:pPr>
            <w:r w:rsidRPr="004E6F13">
              <w:rPr>
                <w:sz w:val="20"/>
                <w:szCs w:val="20"/>
              </w:rPr>
              <w:t>595</w:t>
            </w:r>
          </w:p>
        </w:tc>
        <w:tc>
          <w:tcPr>
            <w:tcW w:w="2115" w:type="dxa"/>
            <w:shd w:val="clear" w:color="auto" w:fill="auto"/>
            <w:noWrap/>
            <w:vAlign w:val="bottom"/>
          </w:tcPr>
          <w:p w:rsidR="00AF1DF2" w:rsidRPr="004E6F13" w:rsidRDefault="00AF1DF2" w:rsidP="00C37165">
            <w:pPr>
              <w:widowControl/>
              <w:autoSpaceDE/>
              <w:autoSpaceDN/>
              <w:adjustRightInd/>
              <w:jc w:val="center"/>
              <w:rPr>
                <w:sz w:val="20"/>
                <w:szCs w:val="20"/>
              </w:rPr>
            </w:pPr>
            <w:r w:rsidRPr="004E6F13">
              <w:rPr>
                <w:sz w:val="20"/>
                <w:szCs w:val="20"/>
              </w:rPr>
              <w:t>198</w:t>
            </w:r>
          </w:p>
        </w:tc>
      </w:tr>
      <w:tr w:rsidR="00AF1DF2" w:rsidRPr="004E6F13" w:rsidTr="009F76F5">
        <w:trPr>
          <w:trHeight w:val="510"/>
        </w:trPr>
        <w:tc>
          <w:tcPr>
            <w:tcW w:w="1545" w:type="dxa"/>
            <w:shd w:val="clear" w:color="auto" w:fill="auto"/>
            <w:vAlign w:val="center"/>
          </w:tcPr>
          <w:p w:rsidR="00AF1DF2" w:rsidRPr="004E6F13" w:rsidRDefault="00AF1DF2" w:rsidP="009E245E">
            <w:pPr>
              <w:spacing w:line="120" w:lineRule="exact"/>
              <w:jc w:val="center"/>
              <w:rPr>
                <w:color w:val="000000"/>
                <w:sz w:val="20"/>
                <w:szCs w:val="20"/>
              </w:rPr>
            </w:pPr>
          </w:p>
          <w:p w:rsidR="00AF1DF2" w:rsidRPr="004E6F13" w:rsidRDefault="00AF1DF2" w:rsidP="009E245E">
            <w:pPr>
              <w:widowControl/>
              <w:autoSpaceDE/>
              <w:autoSpaceDN/>
              <w:adjustRightInd/>
              <w:jc w:val="center"/>
              <w:rPr>
                <w:color w:val="000000"/>
                <w:sz w:val="20"/>
                <w:szCs w:val="20"/>
              </w:rPr>
            </w:pPr>
            <w:r w:rsidRPr="004E6F13">
              <w:rPr>
                <w:color w:val="000000"/>
                <w:sz w:val="20"/>
                <w:szCs w:val="20"/>
              </w:rPr>
              <w:t>New Large Solid Units</w:t>
            </w:r>
          </w:p>
        </w:tc>
        <w:tc>
          <w:tcPr>
            <w:tcW w:w="1638" w:type="dxa"/>
            <w:shd w:val="clear" w:color="auto" w:fill="auto"/>
            <w:vAlign w:val="bottom"/>
          </w:tcPr>
          <w:p w:rsidR="00AF1DF2" w:rsidRPr="004E6F13" w:rsidRDefault="00AF1DF2" w:rsidP="009E245E">
            <w:pPr>
              <w:widowControl/>
              <w:autoSpaceDE/>
              <w:autoSpaceDN/>
              <w:adjustRightInd/>
              <w:jc w:val="center"/>
              <w:rPr>
                <w:color w:val="000000"/>
                <w:sz w:val="20"/>
                <w:szCs w:val="20"/>
              </w:rPr>
            </w:pPr>
            <w:r w:rsidRPr="004E6F13">
              <w:rPr>
                <w:sz w:val="20"/>
                <w:szCs w:val="20"/>
              </w:rPr>
              <w:t>0</w:t>
            </w:r>
          </w:p>
        </w:tc>
        <w:tc>
          <w:tcPr>
            <w:tcW w:w="2195" w:type="dxa"/>
            <w:shd w:val="clear" w:color="auto" w:fill="auto"/>
            <w:vAlign w:val="bottom"/>
          </w:tcPr>
          <w:p w:rsidR="00AF1DF2" w:rsidRPr="004E6F13" w:rsidRDefault="00AF1DF2" w:rsidP="009E245E">
            <w:pPr>
              <w:widowControl/>
              <w:autoSpaceDE/>
              <w:autoSpaceDN/>
              <w:adjustRightInd/>
              <w:jc w:val="center"/>
              <w:rPr>
                <w:sz w:val="20"/>
                <w:szCs w:val="20"/>
              </w:rPr>
            </w:pPr>
            <w:r w:rsidRPr="004E6F13">
              <w:rPr>
                <w:sz w:val="20"/>
                <w:szCs w:val="20"/>
              </w:rPr>
              <w:t>0</w:t>
            </w:r>
          </w:p>
        </w:tc>
        <w:tc>
          <w:tcPr>
            <w:tcW w:w="2115" w:type="dxa"/>
            <w:shd w:val="clear" w:color="auto" w:fill="auto"/>
            <w:noWrap/>
            <w:vAlign w:val="bottom"/>
          </w:tcPr>
          <w:p w:rsidR="00AF1DF2" w:rsidRPr="004E6F13" w:rsidRDefault="00AF1DF2" w:rsidP="009E245E">
            <w:pPr>
              <w:widowControl/>
              <w:autoSpaceDE/>
              <w:autoSpaceDN/>
              <w:adjustRightInd/>
              <w:jc w:val="center"/>
              <w:rPr>
                <w:sz w:val="20"/>
                <w:szCs w:val="20"/>
              </w:rPr>
            </w:pPr>
            <w:r w:rsidRPr="004E6F13">
              <w:rPr>
                <w:sz w:val="20"/>
                <w:szCs w:val="20"/>
              </w:rPr>
              <w:t>0</w:t>
            </w:r>
          </w:p>
        </w:tc>
      </w:tr>
      <w:tr w:rsidR="00AF1DF2" w:rsidRPr="004E6F13" w:rsidTr="009F76F5">
        <w:trPr>
          <w:trHeight w:val="510"/>
        </w:trPr>
        <w:tc>
          <w:tcPr>
            <w:tcW w:w="1545" w:type="dxa"/>
            <w:shd w:val="clear" w:color="auto" w:fill="auto"/>
            <w:vAlign w:val="center"/>
          </w:tcPr>
          <w:p w:rsidR="00AF1DF2" w:rsidRPr="004E6F13" w:rsidRDefault="00AF1DF2" w:rsidP="009E245E">
            <w:pPr>
              <w:spacing w:line="120" w:lineRule="exact"/>
              <w:jc w:val="center"/>
              <w:rPr>
                <w:color w:val="000000"/>
                <w:sz w:val="20"/>
                <w:szCs w:val="20"/>
              </w:rPr>
            </w:pPr>
          </w:p>
          <w:p w:rsidR="00AF1DF2" w:rsidRPr="004E6F13" w:rsidRDefault="00AF1DF2" w:rsidP="009E245E">
            <w:pPr>
              <w:widowControl/>
              <w:autoSpaceDE/>
              <w:autoSpaceDN/>
              <w:adjustRightInd/>
              <w:jc w:val="center"/>
              <w:rPr>
                <w:color w:val="000000"/>
                <w:sz w:val="20"/>
                <w:szCs w:val="20"/>
              </w:rPr>
            </w:pPr>
            <w:r w:rsidRPr="004E6F13">
              <w:rPr>
                <w:color w:val="000000"/>
                <w:sz w:val="20"/>
                <w:szCs w:val="20"/>
              </w:rPr>
              <w:t xml:space="preserve">Existing Small and Limited Use </w:t>
            </w:r>
            <w:r w:rsidRPr="004E6F13">
              <w:rPr>
                <w:color w:val="000000"/>
                <w:sz w:val="20"/>
                <w:szCs w:val="20"/>
              </w:rPr>
              <w:lastRenderedPageBreak/>
              <w:t>Solid Units</w:t>
            </w:r>
          </w:p>
        </w:tc>
        <w:tc>
          <w:tcPr>
            <w:tcW w:w="1638" w:type="dxa"/>
            <w:shd w:val="clear" w:color="auto" w:fill="auto"/>
            <w:vAlign w:val="bottom"/>
          </w:tcPr>
          <w:p w:rsidR="00AF1DF2" w:rsidRPr="004E6F13" w:rsidRDefault="00AF1DF2" w:rsidP="009E245E">
            <w:pPr>
              <w:widowControl/>
              <w:autoSpaceDE/>
              <w:autoSpaceDN/>
              <w:adjustRightInd/>
              <w:jc w:val="center"/>
              <w:rPr>
                <w:color w:val="000000"/>
                <w:sz w:val="20"/>
                <w:szCs w:val="20"/>
              </w:rPr>
            </w:pPr>
            <w:r w:rsidRPr="004E6F13">
              <w:rPr>
                <w:sz w:val="20"/>
                <w:szCs w:val="20"/>
              </w:rPr>
              <w:lastRenderedPageBreak/>
              <w:t>4</w:t>
            </w:r>
          </w:p>
        </w:tc>
        <w:tc>
          <w:tcPr>
            <w:tcW w:w="2195" w:type="dxa"/>
            <w:shd w:val="clear" w:color="auto" w:fill="auto"/>
            <w:vAlign w:val="bottom"/>
          </w:tcPr>
          <w:p w:rsidR="00AF1DF2" w:rsidRPr="004E6F13" w:rsidRDefault="00AF1DF2" w:rsidP="009E245E">
            <w:pPr>
              <w:widowControl/>
              <w:autoSpaceDE/>
              <w:autoSpaceDN/>
              <w:adjustRightInd/>
              <w:jc w:val="center"/>
              <w:rPr>
                <w:sz w:val="20"/>
                <w:szCs w:val="20"/>
              </w:rPr>
            </w:pPr>
            <w:r w:rsidRPr="004E6F13">
              <w:rPr>
                <w:sz w:val="20"/>
                <w:szCs w:val="20"/>
              </w:rPr>
              <w:t>14</w:t>
            </w:r>
          </w:p>
        </w:tc>
        <w:tc>
          <w:tcPr>
            <w:tcW w:w="2115" w:type="dxa"/>
            <w:shd w:val="clear" w:color="auto" w:fill="auto"/>
            <w:noWrap/>
            <w:vAlign w:val="bottom"/>
          </w:tcPr>
          <w:p w:rsidR="00AF1DF2" w:rsidRPr="004E6F13" w:rsidRDefault="00AF1DF2" w:rsidP="009E245E">
            <w:pPr>
              <w:widowControl/>
              <w:autoSpaceDE/>
              <w:autoSpaceDN/>
              <w:adjustRightInd/>
              <w:jc w:val="center"/>
              <w:rPr>
                <w:sz w:val="20"/>
                <w:szCs w:val="20"/>
              </w:rPr>
            </w:pPr>
            <w:r w:rsidRPr="004E6F13">
              <w:rPr>
                <w:sz w:val="20"/>
                <w:szCs w:val="20"/>
              </w:rPr>
              <w:t>5</w:t>
            </w:r>
          </w:p>
        </w:tc>
      </w:tr>
      <w:tr w:rsidR="00AF1DF2" w:rsidRPr="004E6F13" w:rsidTr="009F76F5">
        <w:trPr>
          <w:trHeight w:val="510"/>
        </w:trPr>
        <w:tc>
          <w:tcPr>
            <w:tcW w:w="1545" w:type="dxa"/>
            <w:shd w:val="clear" w:color="auto" w:fill="auto"/>
            <w:vAlign w:val="center"/>
          </w:tcPr>
          <w:p w:rsidR="00AF1DF2" w:rsidRPr="004E6F13" w:rsidRDefault="00AF1DF2" w:rsidP="009E245E">
            <w:pPr>
              <w:widowControl/>
              <w:autoSpaceDE/>
              <w:autoSpaceDN/>
              <w:adjustRightInd/>
              <w:jc w:val="center"/>
              <w:rPr>
                <w:color w:val="000000"/>
                <w:sz w:val="20"/>
                <w:szCs w:val="20"/>
              </w:rPr>
            </w:pPr>
            <w:r w:rsidRPr="004E6F13">
              <w:rPr>
                <w:color w:val="000000"/>
                <w:sz w:val="20"/>
                <w:szCs w:val="20"/>
              </w:rPr>
              <w:lastRenderedPageBreak/>
              <w:t>New Small Solid Units</w:t>
            </w:r>
          </w:p>
        </w:tc>
        <w:tc>
          <w:tcPr>
            <w:tcW w:w="1638" w:type="dxa"/>
            <w:shd w:val="clear" w:color="auto" w:fill="auto"/>
            <w:vAlign w:val="bottom"/>
          </w:tcPr>
          <w:p w:rsidR="00AF1DF2" w:rsidRPr="004E6F13" w:rsidRDefault="00AF1DF2" w:rsidP="009E245E">
            <w:pPr>
              <w:widowControl/>
              <w:autoSpaceDE/>
              <w:autoSpaceDN/>
              <w:adjustRightInd/>
              <w:jc w:val="center"/>
              <w:rPr>
                <w:sz w:val="20"/>
                <w:szCs w:val="20"/>
              </w:rPr>
            </w:pPr>
            <w:r w:rsidRPr="004E6F13">
              <w:rPr>
                <w:sz w:val="20"/>
                <w:szCs w:val="20"/>
              </w:rPr>
              <w:t>0</w:t>
            </w:r>
          </w:p>
        </w:tc>
        <w:tc>
          <w:tcPr>
            <w:tcW w:w="2195" w:type="dxa"/>
            <w:shd w:val="clear" w:color="auto" w:fill="auto"/>
            <w:noWrap/>
            <w:vAlign w:val="bottom"/>
          </w:tcPr>
          <w:p w:rsidR="00AF1DF2" w:rsidRPr="004E6F13" w:rsidRDefault="00AF1DF2" w:rsidP="009E245E">
            <w:pPr>
              <w:widowControl/>
              <w:autoSpaceDE/>
              <w:autoSpaceDN/>
              <w:adjustRightInd/>
              <w:jc w:val="center"/>
              <w:rPr>
                <w:sz w:val="20"/>
                <w:szCs w:val="20"/>
              </w:rPr>
            </w:pPr>
            <w:r w:rsidRPr="004E6F13">
              <w:rPr>
                <w:sz w:val="20"/>
                <w:szCs w:val="20"/>
              </w:rPr>
              <w:t>0</w:t>
            </w:r>
          </w:p>
        </w:tc>
        <w:tc>
          <w:tcPr>
            <w:tcW w:w="2115" w:type="dxa"/>
            <w:shd w:val="clear" w:color="auto" w:fill="auto"/>
            <w:noWrap/>
            <w:vAlign w:val="bottom"/>
          </w:tcPr>
          <w:p w:rsidR="00AF1DF2" w:rsidRPr="004E6F13" w:rsidRDefault="00AF1DF2" w:rsidP="009E245E">
            <w:pPr>
              <w:widowControl/>
              <w:autoSpaceDE/>
              <w:autoSpaceDN/>
              <w:adjustRightInd/>
              <w:jc w:val="center"/>
              <w:rPr>
                <w:sz w:val="20"/>
                <w:szCs w:val="20"/>
              </w:rPr>
            </w:pPr>
            <w:r w:rsidRPr="004E6F13">
              <w:rPr>
                <w:sz w:val="20"/>
                <w:szCs w:val="20"/>
              </w:rPr>
              <w:t>0</w:t>
            </w:r>
          </w:p>
        </w:tc>
      </w:tr>
      <w:tr w:rsidR="00AF1DF2" w:rsidRPr="004E6F13" w:rsidTr="009F76F5">
        <w:trPr>
          <w:trHeight w:val="585"/>
        </w:trPr>
        <w:tc>
          <w:tcPr>
            <w:tcW w:w="1545" w:type="dxa"/>
            <w:shd w:val="clear" w:color="auto" w:fill="auto"/>
            <w:vAlign w:val="center"/>
          </w:tcPr>
          <w:p w:rsidR="00AF1DF2" w:rsidRPr="004E6F13" w:rsidRDefault="00AF1DF2" w:rsidP="009E245E">
            <w:pPr>
              <w:spacing w:line="120" w:lineRule="exact"/>
              <w:jc w:val="center"/>
              <w:rPr>
                <w:color w:val="000000"/>
                <w:sz w:val="20"/>
                <w:szCs w:val="20"/>
              </w:rPr>
            </w:pPr>
          </w:p>
          <w:p w:rsidR="00AF1DF2" w:rsidRPr="004E6F13" w:rsidRDefault="00AF1DF2" w:rsidP="009E245E">
            <w:pPr>
              <w:widowControl/>
              <w:autoSpaceDE/>
              <w:autoSpaceDN/>
              <w:adjustRightInd/>
              <w:jc w:val="center"/>
              <w:rPr>
                <w:color w:val="000000"/>
                <w:sz w:val="20"/>
                <w:szCs w:val="20"/>
              </w:rPr>
            </w:pPr>
            <w:r w:rsidRPr="004E6F13">
              <w:rPr>
                <w:color w:val="000000"/>
                <w:sz w:val="20"/>
                <w:szCs w:val="20"/>
              </w:rPr>
              <w:t>Existing Large Liquid Units</w:t>
            </w:r>
          </w:p>
        </w:tc>
        <w:tc>
          <w:tcPr>
            <w:tcW w:w="1638" w:type="dxa"/>
            <w:shd w:val="clear" w:color="auto" w:fill="auto"/>
            <w:vAlign w:val="bottom"/>
          </w:tcPr>
          <w:p w:rsidR="00AF1DF2" w:rsidRPr="004E6F13" w:rsidRDefault="00AF1DF2" w:rsidP="00C37165">
            <w:pPr>
              <w:widowControl/>
              <w:autoSpaceDE/>
              <w:autoSpaceDN/>
              <w:adjustRightInd/>
              <w:jc w:val="center"/>
              <w:rPr>
                <w:sz w:val="20"/>
                <w:szCs w:val="20"/>
              </w:rPr>
            </w:pPr>
            <w:r w:rsidRPr="004E6F13">
              <w:rPr>
                <w:sz w:val="20"/>
                <w:szCs w:val="20"/>
              </w:rPr>
              <w:t>58</w:t>
            </w:r>
          </w:p>
        </w:tc>
        <w:tc>
          <w:tcPr>
            <w:tcW w:w="2195" w:type="dxa"/>
            <w:shd w:val="clear" w:color="auto" w:fill="auto"/>
            <w:noWrap/>
            <w:vAlign w:val="bottom"/>
          </w:tcPr>
          <w:p w:rsidR="00AF1DF2" w:rsidRPr="004E6F13" w:rsidRDefault="00AF1DF2" w:rsidP="00C37165">
            <w:pPr>
              <w:widowControl/>
              <w:autoSpaceDE/>
              <w:autoSpaceDN/>
              <w:adjustRightInd/>
              <w:jc w:val="center"/>
              <w:rPr>
                <w:sz w:val="20"/>
                <w:szCs w:val="20"/>
              </w:rPr>
            </w:pPr>
            <w:r w:rsidRPr="004E6F13">
              <w:rPr>
                <w:sz w:val="20"/>
                <w:szCs w:val="20"/>
              </w:rPr>
              <w:t>290</w:t>
            </w:r>
          </w:p>
        </w:tc>
        <w:tc>
          <w:tcPr>
            <w:tcW w:w="2115" w:type="dxa"/>
            <w:shd w:val="clear" w:color="auto" w:fill="auto"/>
            <w:noWrap/>
            <w:vAlign w:val="bottom"/>
          </w:tcPr>
          <w:p w:rsidR="00AF1DF2" w:rsidRPr="004E6F13" w:rsidRDefault="00AF1DF2" w:rsidP="00C37165">
            <w:pPr>
              <w:widowControl/>
              <w:autoSpaceDE/>
              <w:autoSpaceDN/>
              <w:adjustRightInd/>
              <w:jc w:val="center"/>
              <w:rPr>
                <w:sz w:val="20"/>
                <w:szCs w:val="20"/>
              </w:rPr>
            </w:pPr>
            <w:r w:rsidRPr="004E6F13">
              <w:rPr>
                <w:sz w:val="20"/>
                <w:szCs w:val="20"/>
              </w:rPr>
              <w:t>97</w:t>
            </w:r>
          </w:p>
        </w:tc>
      </w:tr>
      <w:tr w:rsidR="00AF1DF2" w:rsidRPr="004E6F13" w:rsidTr="009F76F5">
        <w:trPr>
          <w:trHeight w:val="510"/>
        </w:trPr>
        <w:tc>
          <w:tcPr>
            <w:tcW w:w="1545" w:type="dxa"/>
            <w:shd w:val="clear" w:color="auto" w:fill="auto"/>
            <w:vAlign w:val="center"/>
          </w:tcPr>
          <w:p w:rsidR="00AF1DF2" w:rsidRPr="004E6F13" w:rsidRDefault="00AF1DF2" w:rsidP="009E245E">
            <w:pPr>
              <w:spacing w:line="120" w:lineRule="exact"/>
              <w:jc w:val="center"/>
              <w:rPr>
                <w:color w:val="000000"/>
                <w:sz w:val="20"/>
                <w:szCs w:val="20"/>
              </w:rPr>
            </w:pPr>
          </w:p>
          <w:p w:rsidR="00AF1DF2" w:rsidRPr="004E6F13" w:rsidRDefault="00AF1DF2" w:rsidP="009E245E">
            <w:pPr>
              <w:widowControl/>
              <w:autoSpaceDE/>
              <w:autoSpaceDN/>
              <w:adjustRightInd/>
              <w:jc w:val="center"/>
              <w:rPr>
                <w:color w:val="000000"/>
                <w:sz w:val="20"/>
                <w:szCs w:val="20"/>
              </w:rPr>
            </w:pPr>
            <w:r w:rsidRPr="004E6F13">
              <w:rPr>
                <w:color w:val="000000"/>
                <w:sz w:val="20"/>
                <w:szCs w:val="20"/>
              </w:rPr>
              <w:t>New Large Liquid Units</w:t>
            </w:r>
          </w:p>
        </w:tc>
        <w:tc>
          <w:tcPr>
            <w:tcW w:w="1638" w:type="dxa"/>
            <w:shd w:val="clear" w:color="auto" w:fill="auto"/>
            <w:vAlign w:val="bottom"/>
          </w:tcPr>
          <w:p w:rsidR="00AF1DF2" w:rsidRPr="004E6F13" w:rsidRDefault="00AF1DF2" w:rsidP="009E245E">
            <w:pPr>
              <w:widowControl/>
              <w:autoSpaceDE/>
              <w:autoSpaceDN/>
              <w:adjustRightInd/>
              <w:jc w:val="center"/>
              <w:rPr>
                <w:sz w:val="20"/>
                <w:szCs w:val="20"/>
              </w:rPr>
            </w:pPr>
            <w:r w:rsidRPr="004E6F13">
              <w:rPr>
                <w:sz w:val="20"/>
                <w:szCs w:val="20"/>
              </w:rPr>
              <w:t>4</w:t>
            </w:r>
          </w:p>
        </w:tc>
        <w:tc>
          <w:tcPr>
            <w:tcW w:w="2195" w:type="dxa"/>
            <w:shd w:val="clear" w:color="auto" w:fill="auto"/>
            <w:noWrap/>
            <w:vAlign w:val="bottom"/>
          </w:tcPr>
          <w:p w:rsidR="00AF1DF2" w:rsidRPr="004E6F13" w:rsidRDefault="00AF1DF2" w:rsidP="00C37165">
            <w:pPr>
              <w:widowControl/>
              <w:autoSpaceDE/>
              <w:autoSpaceDN/>
              <w:adjustRightInd/>
              <w:jc w:val="center"/>
              <w:rPr>
                <w:sz w:val="20"/>
                <w:szCs w:val="20"/>
              </w:rPr>
            </w:pPr>
            <w:r w:rsidRPr="004E6F13">
              <w:rPr>
                <w:sz w:val="20"/>
                <w:szCs w:val="20"/>
              </w:rPr>
              <w:t>26</w:t>
            </w:r>
          </w:p>
        </w:tc>
        <w:tc>
          <w:tcPr>
            <w:tcW w:w="2115" w:type="dxa"/>
            <w:shd w:val="clear" w:color="auto" w:fill="auto"/>
            <w:noWrap/>
            <w:vAlign w:val="bottom"/>
          </w:tcPr>
          <w:p w:rsidR="00AF1DF2" w:rsidRPr="004E6F13" w:rsidRDefault="00AF1DF2" w:rsidP="00571952">
            <w:pPr>
              <w:widowControl/>
              <w:autoSpaceDE/>
              <w:autoSpaceDN/>
              <w:adjustRightInd/>
              <w:jc w:val="center"/>
              <w:rPr>
                <w:sz w:val="20"/>
                <w:szCs w:val="20"/>
              </w:rPr>
            </w:pPr>
            <w:r w:rsidRPr="004E6F13">
              <w:rPr>
                <w:sz w:val="20"/>
                <w:szCs w:val="20"/>
              </w:rPr>
              <w:t>9</w:t>
            </w:r>
          </w:p>
        </w:tc>
      </w:tr>
      <w:tr w:rsidR="00AF1DF2" w:rsidRPr="004E6F13" w:rsidTr="009F76F5">
        <w:trPr>
          <w:trHeight w:val="630"/>
        </w:trPr>
        <w:tc>
          <w:tcPr>
            <w:tcW w:w="1545" w:type="dxa"/>
            <w:shd w:val="clear" w:color="auto" w:fill="auto"/>
            <w:vAlign w:val="center"/>
          </w:tcPr>
          <w:p w:rsidR="00AF1DF2" w:rsidRPr="004E6F13" w:rsidRDefault="00AF1DF2" w:rsidP="009E245E">
            <w:pPr>
              <w:spacing w:line="120" w:lineRule="exact"/>
              <w:jc w:val="center"/>
              <w:rPr>
                <w:color w:val="000000"/>
                <w:sz w:val="20"/>
                <w:szCs w:val="20"/>
              </w:rPr>
            </w:pPr>
          </w:p>
          <w:p w:rsidR="00AF1DF2" w:rsidRPr="004E6F13" w:rsidRDefault="00AF1DF2" w:rsidP="009E245E">
            <w:pPr>
              <w:widowControl/>
              <w:autoSpaceDE/>
              <w:autoSpaceDN/>
              <w:adjustRightInd/>
              <w:jc w:val="center"/>
              <w:rPr>
                <w:color w:val="000000"/>
                <w:sz w:val="20"/>
                <w:szCs w:val="20"/>
              </w:rPr>
            </w:pPr>
            <w:r w:rsidRPr="004E6F13">
              <w:rPr>
                <w:color w:val="000000"/>
                <w:sz w:val="20"/>
                <w:szCs w:val="20"/>
              </w:rPr>
              <w:t>Existing Small and Limited Use Liquid Units</w:t>
            </w:r>
          </w:p>
        </w:tc>
        <w:tc>
          <w:tcPr>
            <w:tcW w:w="1638" w:type="dxa"/>
            <w:shd w:val="clear" w:color="auto" w:fill="auto"/>
            <w:vAlign w:val="bottom"/>
          </w:tcPr>
          <w:p w:rsidR="00AF1DF2" w:rsidRPr="004E6F13" w:rsidRDefault="00AF1DF2" w:rsidP="00C37165">
            <w:pPr>
              <w:widowControl/>
              <w:autoSpaceDE/>
              <w:autoSpaceDN/>
              <w:adjustRightInd/>
              <w:jc w:val="center"/>
              <w:rPr>
                <w:sz w:val="20"/>
                <w:szCs w:val="20"/>
              </w:rPr>
            </w:pPr>
            <w:r w:rsidRPr="004E6F13">
              <w:rPr>
                <w:sz w:val="20"/>
                <w:szCs w:val="20"/>
              </w:rPr>
              <w:t>42</w:t>
            </w:r>
          </w:p>
        </w:tc>
        <w:tc>
          <w:tcPr>
            <w:tcW w:w="2195" w:type="dxa"/>
            <w:shd w:val="clear" w:color="auto" w:fill="auto"/>
            <w:noWrap/>
            <w:vAlign w:val="bottom"/>
          </w:tcPr>
          <w:p w:rsidR="00AF1DF2" w:rsidRPr="004E6F13" w:rsidRDefault="00AF1DF2" w:rsidP="00C37165">
            <w:pPr>
              <w:widowControl/>
              <w:autoSpaceDE/>
              <w:autoSpaceDN/>
              <w:adjustRightInd/>
              <w:jc w:val="center"/>
              <w:rPr>
                <w:sz w:val="20"/>
                <w:szCs w:val="20"/>
              </w:rPr>
            </w:pPr>
            <w:r w:rsidRPr="004E6F13">
              <w:rPr>
                <w:sz w:val="20"/>
                <w:szCs w:val="20"/>
              </w:rPr>
              <w:t>147</w:t>
            </w:r>
          </w:p>
        </w:tc>
        <w:tc>
          <w:tcPr>
            <w:tcW w:w="2115" w:type="dxa"/>
            <w:shd w:val="clear" w:color="auto" w:fill="auto"/>
            <w:noWrap/>
            <w:vAlign w:val="bottom"/>
          </w:tcPr>
          <w:p w:rsidR="00AF1DF2" w:rsidRPr="004E6F13" w:rsidRDefault="00AF1DF2" w:rsidP="00C37165">
            <w:pPr>
              <w:widowControl/>
              <w:autoSpaceDE/>
              <w:autoSpaceDN/>
              <w:adjustRightInd/>
              <w:jc w:val="center"/>
              <w:rPr>
                <w:sz w:val="20"/>
                <w:szCs w:val="20"/>
              </w:rPr>
            </w:pPr>
            <w:r w:rsidRPr="004E6F13">
              <w:rPr>
                <w:sz w:val="20"/>
                <w:szCs w:val="20"/>
              </w:rPr>
              <w:t>49</w:t>
            </w:r>
          </w:p>
        </w:tc>
      </w:tr>
      <w:tr w:rsidR="00AF1DF2" w:rsidRPr="004E6F13" w:rsidTr="009F76F5">
        <w:trPr>
          <w:trHeight w:val="510"/>
        </w:trPr>
        <w:tc>
          <w:tcPr>
            <w:tcW w:w="1545" w:type="dxa"/>
            <w:shd w:val="clear" w:color="auto" w:fill="auto"/>
            <w:vAlign w:val="center"/>
          </w:tcPr>
          <w:p w:rsidR="00AF1DF2" w:rsidRPr="004E6F13" w:rsidRDefault="00AF1DF2" w:rsidP="009E245E">
            <w:pPr>
              <w:widowControl/>
              <w:autoSpaceDE/>
              <w:autoSpaceDN/>
              <w:adjustRightInd/>
              <w:jc w:val="center"/>
              <w:rPr>
                <w:color w:val="000000"/>
                <w:sz w:val="20"/>
                <w:szCs w:val="20"/>
              </w:rPr>
            </w:pPr>
            <w:r w:rsidRPr="004E6F13">
              <w:rPr>
                <w:color w:val="000000"/>
                <w:sz w:val="20"/>
                <w:szCs w:val="20"/>
              </w:rPr>
              <w:t>New Small Liquid Units</w:t>
            </w:r>
          </w:p>
        </w:tc>
        <w:tc>
          <w:tcPr>
            <w:tcW w:w="1638" w:type="dxa"/>
            <w:shd w:val="clear" w:color="auto" w:fill="auto"/>
            <w:vAlign w:val="bottom"/>
          </w:tcPr>
          <w:p w:rsidR="00AF1DF2" w:rsidRPr="004E6F13" w:rsidRDefault="00AF1DF2" w:rsidP="009E245E">
            <w:pPr>
              <w:widowControl/>
              <w:autoSpaceDE/>
              <w:autoSpaceDN/>
              <w:adjustRightInd/>
              <w:jc w:val="center"/>
              <w:rPr>
                <w:sz w:val="20"/>
                <w:szCs w:val="20"/>
              </w:rPr>
            </w:pPr>
            <w:r w:rsidRPr="004E6F13">
              <w:rPr>
                <w:sz w:val="20"/>
                <w:szCs w:val="20"/>
              </w:rPr>
              <w:t>1</w:t>
            </w:r>
          </w:p>
        </w:tc>
        <w:tc>
          <w:tcPr>
            <w:tcW w:w="2195" w:type="dxa"/>
            <w:shd w:val="clear" w:color="auto" w:fill="auto"/>
            <w:noWrap/>
            <w:vAlign w:val="bottom"/>
          </w:tcPr>
          <w:p w:rsidR="00AF1DF2" w:rsidRPr="004E6F13" w:rsidRDefault="00AF1DF2" w:rsidP="00C37165">
            <w:pPr>
              <w:widowControl/>
              <w:autoSpaceDE/>
              <w:autoSpaceDN/>
              <w:adjustRightInd/>
              <w:jc w:val="center"/>
              <w:rPr>
                <w:sz w:val="20"/>
                <w:szCs w:val="20"/>
              </w:rPr>
            </w:pPr>
            <w:r w:rsidRPr="004E6F13">
              <w:rPr>
                <w:sz w:val="20"/>
                <w:szCs w:val="20"/>
              </w:rPr>
              <w:t>5</w:t>
            </w:r>
          </w:p>
        </w:tc>
        <w:tc>
          <w:tcPr>
            <w:tcW w:w="2115" w:type="dxa"/>
            <w:shd w:val="clear" w:color="auto" w:fill="auto"/>
            <w:noWrap/>
            <w:vAlign w:val="bottom"/>
          </w:tcPr>
          <w:p w:rsidR="00AF1DF2" w:rsidRPr="004E6F13" w:rsidRDefault="00AF1DF2" w:rsidP="009E245E">
            <w:pPr>
              <w:widowControl/>
              <w:autoSpaceDE/>
              <w:autoSpaceDN/>
              <w:adjustRightInd/>
              <w:jc w:val="center"/>
              <w:rPr>
                <w:sz w:val="20"/>
                <w:szCs w:val="20"/>
              </w:rPr>
            </w:pPr>
            <w:r w:rsidRPr="004E6F13">
              <w:rPr>
                <w:sz w:val="20"/>
                <w:szCs w:val="20"/>
              </w:rPr>
              <w:t>2</w:t>
            </w:r>
          </w:p>
        </w:tc>
      </w:tr>
      <w:tr w:rsidR="00AF1DF2" w:rsidRPr="004E6F13" w:rsidTr="009F76F5">
        <w:trPr>
          <w:trHeight w:val="510"/>
        </w:trPr>
        <w:tc>
          <w:tcPr>
            <w:tcW w:w="1545" w:type="dxa"/>
            <w:shd w:val="clear" w:color="auto" w:fill="auto"/>
            <w:vAlign w:val="center"/>
          </w:tcPr>
          <w:p w:rsidR="00AF1DF2" w:rsidRPr="004E6F13" w:rsidRDefault="00AF1DF2" w:rsidP="009E245E">
            <w:pPr>
              <w:spacing w:line="120" w:lineRule="exact"/>
              <w:jc w:val="center"/>
              <w:rPr>
                <w:color w:val="000000"/>
                <w:sz w:val="20"/>
                <w:szCs w:val="20"/>
              </w:rPr>
            </w:pPr>
          </w:p>
          <w:p w:rsidR="00AF1DF2" w:rsidRPr="004E6F13" w:rsidRDefault="00AF1DF2" w:rsidP="009E245E">
            <w:pPr>
              <w:widowControl/>
              <w:autoSpaceDE/>
              <w:autoSpaceDN/>
              <w:adjustRightInd/>
              <w:jc w:val="center"/>
              <w:rPr>
                <w:color w:val="000000"/>
                <w:sz w:val="20"/>
                <w:szCs w:val="20"/>
              </w:rPr>
            </w:pPr>
            <w:r w:rsidRPr="004E6F13">
              <w:rPr>
                <w:color w:val="000000"/>
                <w:sz w:val="20"/>
                <w:szCs w:val="20"/>
              </w:rPr>
              <w:t>Existing Large Gaseous Units</w:t>
            </w:r>
          </w:p>
        </w:tc>
        <w:tc>
          <w:tcPr>
            <w:tcW w:w="1638" w:type="dxa"/>
            <w:shd w:val="clear" w:color="auto" w:fill="auto"/>
            <w:vAlign w:val="bottom"/>
          </w:tcPr>
          <w:p w:rsidR="00AF1DF2" w:rsidRPr="004E6F13" w:rsidRDefault="00AF1DF2" w:rsidP="00C37165">
            <w:pPr>
              <w:widowControl/>
              <w:autoSpaceDE/>
              <w:autoSpaceDN/>
              <w:adjustRightInd/>
              <w:jc w:val="center"/>
              <w:rPr>
                <w:sz w:val="20"/>
                <w:szCs w:val="20"/>
              </w:rPr>
            </w:pPr>
            <w:r w:rsidRPr="004E6F13">
              <w:rPr>
                <w:sz w:val="20"/>
                <w:szCs w:val="20"/>
              </w:rPr>
              <w:t>529</w:t>
            </w:r>
          </w:p>
        </w:tc>
        <w:tc>
          <w:tcPr>
            <w:tcW w:w="2195" w:type="dxa"/>
            <w:shd w:val="clear" w:color="auto" w:fill="auto"/>
            <w:noWrap/>
            <w:vAlign w:val="bottom"/>
          </w:tcPr>
          <w:p w:rsidR="00AF1DF2" w:rsidRPr="004E6F13" w:rsidRDefault="00AF1DF2" w:rsidP="00C37165">
            <w:pPr>
              <w:widowControl/>
              <w:autoSpaceDE/>
              <w:autoSpaceDN/>
              <w:adjustRightInd/>
              <w:jc w:val="center"/>
              <w:rPr>
                <w:sz w:val="20"/>
                <w:szCs w:val="20"/>
              </w:rPr>
            </w:pPr>
            <w:r w:rsidRPr="004E6F13">
              <w:rPr>
                <w:sz w:val="20"/>
                <w:szCs w:val="20"/>
              </w:rPr>
              <w:t>2,905</w:t>
            </w:r>
          </w:p>
        </w:tc>
        <w:tc>
          <w:tcPr>
            <w:tcW w:w="2115" w:type="dxa"/>
            <w:shd w:val="clear" w:color="auto" w:fill="auto"/>
            <w:noWrap/>
            <w:vAlign w:val="bottom"/>
          </w:tcPr>
          <w:p w:rsidR="00AF1DF2" w:rsidRPr="004E6F13" w:rsidRDefault="00AF1DF2" w:rsidP="00C37165">
            <w:pPr>
              <w:widowControl/>
              <w:autoSpaceDE/>
              <w:autoSpaceDN/>
              <w:adjustRightInd/>
              <w:jc w:val="center"/>
              <w:rPr>
                <w:sz w:val="20"/>
                <w:szCs w:val="20"/>
              </w:rPr>
            </w:pPr>
            <w:r w:rsidRPr="004E6F13">
              <w:rPr>
                <w:sz w:val="20"/>
                <w:szCs w:val="20"/>
              </w:rPr>
              <w:t>968</w:t>
            </w:r>
          </w:p>
        </w:tc>
      </w:tr>
      <w:tr w:rsidR="00AF1DF2" w:rsidRPr="004E6F13" w:rsidTr="009F76F5">
        <w:trPr>
          <w:trHeight w:val="510"/>
        </w:trPr>
        <w:tc>
          <w:tcPr>
            <w:tcW w:w="1545" w:type="dxa"/>
            <w:shd w:val="clear" w:color="auto" w:fill="auto"/>
            <w:vAlign w:val="center"/>
          </w:tcPr>
          <w:p w:rsidR="00AF1DF2" w:rsidRPr="004E6F13" w:rsidRDefault="00AF1DF2" w:rsidP="009E245E">
            <w:pPr>
              <w:spacing w:line="120" w:lineRule="exact"/>
              <w:jc w:val="center"/>
              <w:rPr>
                <w:color w:val="000000"/>
                <w:sz w:val="20"/>
                <w:szCs w:val="20"/>
              </w:rPr>
            </w:pPr>
          </w:p>
          <w:p w:rsidR="00AF1DF2" w:rsidRPr="004E6F13" w:rsidRDefault="00AF1DF2" w:rsidP="009E245E">
            <w:pPr>
              <w:widowControl/>
              <w:autoSpaceDE/>
              <w:autoSpaceDN/>
              <w:adjustRightInd/>
              <w:jc w:val="center"/>
              <w:rPr>
                <w:color w:val="000000"/>
                <w:sz w:val="20"/>
                <w:szCs w:val="20"/>
              </w:rPr>
            </w:pPr>
            <w:r w:rsidRPr="004E6F13">
              <w:rPr>
                <w:color w:val="000000"/>
                <w:sz w:val="20"/>
                <w:szCs w:val="20"/>
              </w:rPr>
              <w:t>New Large Gaseous Units</w:t>
            </w:r>
          </w:p>
        </w:tc>
        <w:tc>
          <w:tcPr>
            <w:tcW w:w="1638" w:type="dxa"/>
            <w:shd w:val="clear" w:color="auto" w:fill="auto"/>
            <w:vAlign w:val="bottom"/>
          </w:tcPr>
          <w:p w:rsidR="00AF1DF2" w:rsidRPr="004E6F13" w:rsidRDefault="00AF1DF2" w:rsidP="009E245E">
            <w:pPr>
              <w:widowControl/>
              <w:autoSpaceDE/>
              <w:autoSpaceDN/>
              <w:adjustRightInd/>
              <w:jc w:val="center"/>
              <w:rPr>
                <w:sz w:val="20"/>
                <w:szCs w:val="20"/>
              </w:rPr>
            </w:pPr>
            <w:r w:rsidRPr="004E6F13">
              <w:rPr>
                <w:sz w:val="20"/>
                <w:szCs w:val="20"/>
              </w:rPr>
              <w:t>2</w:t>
            </w:r>
          </w:p>
        </w:tc>
        <w:tc>
          <w:tcPr>
            <w:tcW w:w="2195" w:type="dxa"/>
            <w:shd w:val="clear" w:color="auto" w:fill="auto"/>
            <w:noWrap/>
            <w:vAlign w:val="bottom"/>
          </w:tcPr>
          <w:p w:rsidR="00AF1DF2" w:rsidRPr="004E6F13" w:rsidRDefault="00AF1DF2" w:rsidP="00571952">
            <w:pPr>
              <w:widowControl/>
              <w:autoSpaceDE/>
              <w:autoSpaceDN/>
              <w:adjustRightInd/>
              <w:jc w:val="center"/>
              <w:rPr>
                <w:sz w:val="20"/>
                <w:szCs w:val="20"/>
              </w:rPr>
            </w:pPr>
            <w:r w:rsidRPr="004E6F13">
              <w:rPr>
                <w:sz w:val="20"/>
                <w:szCs w:val="20"/>
              </w:rPr>
              <w:t>25</w:t>
            </w:r>
          </w:p>
        </w:tc>
        <w:tc>
          <w:tcPr>
            <w:tcW w:w="2115" w:type="dxa"/>
            <w:shd w:val="clear" w:color="auto" w:fill="auto"/>
            <w:noWrap/>
            <w:vAlign w:val="bottom"/>
          </w:tcPr>
          <w:p w:rsidR="00AF1DF2" w:rsidRPr="004E6F13" w:rsidRDefault="00AF1DF2" w:rsidP="00571952">
            <w:pPr>
              <w:widowControl/>
              <w:autoSpaceDE/>
              <w:autoSpaceDN/>
              <w:adjustRightInd/>
              <w:jc w:val="center"/>
              <w:rPr>
                <w:sz w:val="20"/>
                <w:szCs w:val="20"/>
              </w:rPr>
            </w:pPr>
            <w:r w:rsidRPr="004E6F13">
              <w:rPr>
                <w:sz w:val="20"/>
                <w:szCs w:val="20"/>
              </w:rPr>
              <w:t>8</w:t>
            </w:r>
          </w:p>
        </w:tc>
      </w:tr>
      <w:tr w:rsidR="00AF1DF2" w:rsidRPr="004E6F13" w:rsidTr="009F76F5">
        <w:trPr>
          <w:trHeight w:val="510"/>
        </w:trPr>
        <w:tc>
          <w:tcPr>
            <w:tcW w:w="1545" w:type="dxa"/>
            <w:shd w:val="clear" w:color="auto" w:fill="auto"/>
            <w:vAlign w:val="center"/>
          </w:tcPr>
          <w:p w:rsidR="00AF1DF2" w:rsidRPr="004E6F13" w:rsidRDefault="00AF1DF2" w:rsidP="009E245E">
            <w:pPr>
              <w:spacing w:line="120" w:lineRule="exact"/>
              <w:jc w:val="center"/>
              <w:rPr>
                <w:color w:val="000000"/>
                <w:sz w:val="20"/>
                <w:szCs w:val="20"/>
              </w:rPr>
            </w:pPr>
          </w:p>
          <w:p w:rsidR="00AF1DF2" w:rsidRPr="004E6F13" w:rsidRDefault="00AF1DF2" w:rsidP="009E245E">
            <w:pPr>
              <w:widowControl/>
              <w:autoSpaceDE/>
              <w:autoSpaceDN/>
              <w:adjustRightInd/>
              <w:jc w:val="center"/>
              <w:rPr>
                <w:color w:val="000000"/>
                <w:sz w:val="20"/>
                <w:szCs w:val="20"/>
              </w:rPr>
            </w:pPr>
            <w:r w:rsidRPr="004E6F13">
              <w:rPr>
                <w:color w:val="000000"/>
                <w:sz w:val="20"/>
                <w:szCs w:val="20"/>
              </w:rPr>
              <w:t>Existing Small Gaseous Units</w:t>
            </w:r>
          </w:p>
        </w:tc>
        <w:tc>
          <w:tcPr>
            <w:tcW w:w="1638" w:type="dxa"/>
            <w:shd w:val="clear" w:color="auto" w:fill="auto"/>
            <w:vAlign w:val="bottom"/>
          </w:tcPr>
          <w:p w:rsidR="00AF1DF2" w:rsidRPr="004E6F13" w:rsidRDefault="00AF1DF2" w:rsidP="00C37165">
            <w:pPr>
              <w:widowControl/>
              <w:autoSpaceDE/>
              <w:autoSpaceDN/>
              <w:adjustRightInd/>
              <w:jc w:val="center"/>
              <w:rPr>
                <w:sz w:val="20"/>
                <w:szCs w:val="20"/>
              </w:rPr>
            </w:pPr>
            <w:r w:rsidRPr="004E6F13">
              <w:rPr>
                <w:sz w:val="20"/>
                <w:szCs w:val="20"/>
              </w:rPr>
              <w:t>887</w:t>
            </w:r>
          </w:p>
        </w:tc>
        <w:tc>
          <w:tcPr>
            <w:tcW w:w="2195" w:type="dxa"/>
            <w:shd w:val="clear" w:color="auto" w:fill="auto"/>
            <w:noWrap/>
            <w:vAlign w:val="bottom"/>
          </w:tcPr>
          <w:p w:rsidR="00AF1DF2" w:rsidRPr="004E6F13" w:rsidRDefault="00AF1DF2" w:rsidP="00C37165">
            <w:pPr>
              <w:widowControl/>
              <w:autoSpaceDE/>
              <w:autoSpaceDN/>
              <w:adjustRightInd/>
              <w:jc w:val="center"/>
              <w:rPr>
                <w:sz w:val="20"/>
                <w:szCs w:val="20"/>
              </w:rPr>
            </w:pPr>
            <w:r w:rsidRPr="004E6F13">
              <w:rPr>
                <w:sz w:val="20"/>
                <w:szCs w:val="20"/>
              </w:rPr>
              <w:t>3,105</w:t>
            </w:r>
          </w:p>
        </w:tc>
        <w:tc>
          <w:tcPr>
            <w:tcW w:w="2115" w:type="dxa"/>
            <w:shd w:val="clear" w:color="auto" w:fill="auto"/>
            <w:noWrap/>
            <w:vAlign w:val="bottom"/>
          </w:tcPr>
          <w:p w:rsidR="00AF1DF2" w:rsidRPr="004E6F13" w:rsidRDefault="00AF1DF2" w:rsidP="00C37165">
            <w:pPr>
              <w:widowControl/>
              <w:autoSpaceDE/>
              <w:autoSpaceDN/>
              <w:adjustRightInd/>
              <w:jc w:val="center"/>
              <w:rPr>
                <w:sz w:val="20"/>
                <w:szCs w:val="20"/>
              </w:rPr>
            </w:pPr>
            <w:r w:rsidRPr="004E6F13">
              <w:rPr>
                <w:sz w:val="20"/>
                <w:szCs w:val="20"/>
              </w:rPr>
              <w:t>1035</w:t>
            </w:r>
          </w:p>
        </w:tc>
      </w:tr>
      <w:tr w:rsidR="00AF1DF2" w:rsidRPr="004E6F13" w:rsidTr="009F76F5">
        <w:trPr>
          <w:trHeight w:val="510"/>
        </w:trPr>
        <w:tc>
          <w:tcPr>
            <w:tcW w:w="1545" w:type="dxa"/>
            <w:shd w:val="clear" w:color="auto" w:fill="auto"/>
            <w:vAlign w:val="center"/>
          </w:tcPr>
          <w:p w:rsidR="00AF1DF2" w:rsidRPr="004E6F13" w:rsidRDefault="00AF1DF2" w:rsidP="009E245E">
            <w:pPr>
              <w:widowControl/>
              <w:autoSpaceDE/>
              <w:autoSpaceDN/>
              <w:adjustRightInd/>
              <w:jc w:val="center"/>
              <w:rPr>
                <w:color w:val="000000"/>
                <w:sz w:val="20"/>
                <w:szCs w:val="20"/>
              </w:rPr>
            </w:pPr>
            <w:r w:rsidRPr="004E6F13">
              <w:rPr>
                <w:color w:val="000000"/>
                <w:sz w:val="20"/>
                <w:szCs w:val="20"/>
              </w:rPr>
              <w:t>New Small Gaseous Units</w:t>
            </w:r>
          </w:p>
        </w:tc>
        <w:tc>
          <w:tcPr>
            <w:tcW w:w="1638" w:type="dxa"/>
            <w:shd w:val="clear" w:color="auto" w:fill="auto"/>
            <w:vAlign w:val="bottom"/>
          </w:tcPr>
          <w:p w:rsidR="00AF1DF2" w:rsidRPr="004E6F13" w:rsidRDefault="00AF1DF2" w:rsidP="009E245E">
            <w:pPr>
              <w:widowControl/>
              <w:autoSpaceDE/>
              <w:autoSpaceDN/>
              <w:adjustRightInd/>
              <w:jc w:val="center"/>
              <w:rPr>
                <w:sz w:val="20"/>
                <w:szCs w:val="20"/>
              </w:rPr>
            </w:pPr>
            <w:r w:rsidRPr="004E6F13">
              <w:rPr>
                <w:sz w:val="20"/>
                <w:szCs w:val="20"/>
              </w:rPr>
              <w:t>9</w:t>
            </w:r>
          </w:p>
        </w:tc>
        <w:tc>
          <w:tcPr>
            <w:tcW w:w="2195" w:type="dxa"/>
            <w:shd w:val="clear" w:color="auto" w:fill="auto"/>
            <w:noWrap/>
            <w:vAlign w:val="bottom"/>
          </w:tcPr>
          <w:p w:rsidR="00AF1DF2" w:rsidRPr="004E6F13" w:rsidRDefault="00AF1DF2" w:rsidP="00C37165">
            <w:pPr>
              <w:widowControl/>
              <w:autoSpaceDE/>
              <w:autoSpaceDN/>
              <w:adjustRightInd/>
              <w:jc w:val="center"/>
              <w:rPr>
                <w:sz w:val="20"/>
                <w:szCs w:val="20"/>
              </w:rPr>
            </w:pPr>
            <w:r w:rsidRPr="004E6F13">
              <w:rPr>
                <w:sz w:val="20"/>
                <w:szCs w:val="20"/>
              </w:rPr>
              <w:t>27</w:t>
            </w:r>
          </w:p>
        </w:tc>
        <w:tc>
          <w:tcPr>
            <w:tcW w:w="2115" w:type="dxa"/>
            <w:shd w:val="clear" w:color="auto" w:fill="auto"/>
            <w:noWrap/>
            <w:vAlign w:val="bottom"/>
          </w:tcPr>
          <w:p w:rsidR="00AF1DF2" w:rsidRPr="004E6F13" w:rsidRDefault="00AF1DF2" w:rsidP="009E245E">
            <w:pPr>
              <w:widowControl/>
              <w:autoSpaceDE/>
              <w:autoSpaceDN/>
              <w:adjustRightInd/>
              <w:jc w:val="center"/>
              <w:rPr>
                <w:sz w:val="20"/>
                <w:szCs w:val="20"/>
              </w:rPr>
            </w:pPr>
            <w:r w:rsidRPr="004E6F13">
              <w:rPr>
                <w:sz w:val="20"/>
                <w:szCs w:val="20"/>
              </w:rPr>
              <w:t>9</w:t>
            </w:r>
          </w:p>
        </w:tc>
      </w:tr>
      <w:tr w:rsidR="00282435" w:rsidRPr="004E6F13" w:rsidTr="009F76F5">
        <w:trPr>
          <w:trHeight w:val="510"/>
        </w:trPr>
        <w:tc>
          <w:tcPr>
            <w:tcW w:w="1545" w:type="dxa"/>
            <w:shd w:val="clear" w:color="auto" w:fill="auto"/>
            <w:vAlign w:val="center"/>
          </w:tcPr>
          <w:p w:rsidR="00282435" w:rsidRPr="004E6F13" w:rsidRDefault="00282435" w:rsidP="009E245E">
            <w:pPr>
              <w:widowControl/>
              <w:autoSpaceDE/>
              <w:autoSpaceDN/>
              <w:adjustRightInd/>
              <w:jc w:val="center"/>
              <w:rPr>
                <w:color w:val="000000"/>
                <w:sz w:val="20"/>
                <w:szCs w:val="20"/>
              </w:rPr>
            </w:pPr>
            <w:r w:rsidRPr="004E6F13">
              <w:rPr>
                <w:color w:val="000000"/>
                <w:sz w:val="20"/>
                <w:szCs w:val="20"/>
              </w:rPr>
              <w:t>Affirmative Defense</w:t>
            </w:r>
          </w:p>
        </w:tc>
        <w:tc>
          <w:tcPr>
            <w:tcW w:w="1638" w:type="dxa"/>
            <w:shd w:val="clear" w:color="auto" w:fill="auto"/>
            <w:vAlign w:val="bottom"/>
          </w:tcPr>
          <w:p w:rsidR="00282435" w:rsidRPr="004E6F13" w:rsidRDefault="00282435" w:rsidP="009E245E">
            <w:pPr>
              <w:widowControl/>
              <w:autoSpaceDE/>
              <w:autoSpaceDN/>
              <w:adjustRightInd/>
              <w:jc w:val="center"/>
              <w:rPr>
                <w:sz w:val="20"/>
                <w:szCs w:val="20"/>
              </w:rPr>
            </w:pPr>
            <w:r w:rsidRPr="004E6F13">
              <w:rPr>
                <w:sz w:val="20"/>
                <w:szCs w:val="20"/>
              </w:rPr>
              <w:t>0</w:t>
            </w:r>
          </w:p>
        </w:tc>
        <w:tc>
          <w:tcPr>
            <w:tcW w:w="2195" w:type="dxa"/>
            <w:shd w:val="clear" w:color="auto" w:fill="auto"/>
            <w:noWrap/>
            <w:vAlign w:val="bottom"/>
          </w:tcPr>
          <w:p w:rsidR="00282435" w:rsidRPr="004E6F13" w:rsidRDefault="00282435" w:rsidP="00C37165">
            <w:pPr>
              <w:widowControl/>
              <w:autoSpaceDE/>
              <w:autoSpaceDN/>
              <w:adjustRightInd/>
              <w:jc w:val="center"/>
              <w:rPr>
                <w:sz w:val="20"/>
                <w:szCs w:val="20"/>
              </w:rPr>
            </w:pPr>
            <w:r w:rsidRPr="004E6F13">
              <w:rPr>
                <w:sz w:val="20"/>
                <w:szCs w:val="20"/>
              </w:rPr>
              <w:t>0</w:t>
            </w:r>
          </w:p>
        </w:tc>
        <w:tc>
          <w:tcPr>
            <w:tcW w:w="2115" w:type="dxa"/>
            <w:shd w:val="clear" w:color="auto" w:fill="auto"/>
            <w:noWrap/>
            <w:vAlign w:val="bottom"/>
          </w:tcPr>
          <w:p w:rsidR="00282435" w:rsidRPr="004E6F13" w:rsidRDefault="00282435" w:rsidP="009E245E">
            <w:pPr>
              <w:widowControl/>
              <w:autoSpaceDE/>
              <w:autoSpaceDN/>
              <w:adjustRightInd/>
              <w:jc w:val="center"/>
              <w:rPr>
                <w:sz w:val="20"/>
                <w:szCs w:val="20"/>
              </w:rPr>
            </w:pPr>
            <w:r w:rsidRPr="004E6F13">
              <w:rPr>
                <w:sz w:val="20"/>
                <w:szCs w:val="20"/>
              </w:rPr>
              <w:t>0</w:t>
            </w:r>
          </w:p>
        </w:tc>
      </w:tr>
    </w:tbl>
    <w:p w:rsidR="009E245E" w:rsidRPr="009769D3" w:rsidRDefault="009E245E">
      <w:pPr>
        <w:pBdr>
          <w:top w:val="single" w:sz="6" w:space="0" w:color="FFFFFF"/>
          <w:left w:val="single" w:sz="6" w:space="0" w:color="FFFFFF"/>
          <w:bottom w:val="single" w:sz="6" w:space="0" w:color="FFFFFF"/>
          <w:right w:val="single" w:sz="6" w:space="0" w:color="FFFFFF"/>
        </w:pBdr>
        <w:rPr>
          <w:sz w:val="20"/>
          <w:szCs w:val="20"/>
        </w:rPr>
      </w:pPr>
      <w:r w:rsidRPr="009769D3">
        <w:rPr>
          <w:sz w:val="20"/>
          <w:szCs w:val="20"/>
        </w:rPr>
        <w:t>* Some responses are one-time only requirements and do not occur each year. Initial one-time requirements are included in the annual average for this in</w:t>
      </w:r>
      <w:r w:rsidR="008C1BBD" w:rsidRPr="009769D3">
        <w:rPr>
          <w:sz w:val="20"/>
          <w:szCs w:val="20"/>
        </w:rPr>
        <w:t>i</w:t>
      </w:r>
      <w:r w:rsidRPr="009769D3">
        <w:rPr>
          <w:sz w:val="20"/>
          <w:szCs w:val="20"/>
        </w:rPr>
        <w:t>tial 3-year ICR period.</w:t>
      </w:r>
    </w:p>
    <w:p w:rsidR="00CA4CD6" w:rsidRPr="009769D3" w:rsidRDefault="00CA4CD6">
      <w:pPr>
        <w:pBdr>
          <w:top w:val="single" w:sz="6" w:space="0" w:color="FFFFFF"/>
          <w:left w:val="single" w:sz="6" w:space="0" w:color="FFFFFF"/>
          <w:bottom w:val="single" w:sz="6" w:space="0" w:color="FFFFFF"/>
          <w:right w:val="single" w:sz="6" w:space="0" w:color="FFFFFF"/>
        </w:pBdr>
        <w:rPr>
          <w:color w:val="FF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6(e</w:t>
      </w:r>
      <w:proofErr w:type="gramStart"/>
      <w:r w:rsidRPr="009769D3">
        <w:rPr>
          <w:b/>
          <w:bCs/>
          <w:color w:val="000000"/>
        </w:rPr>
        <w:t>)  Bottom</w:t>
      </w:r>
      <w:proofErr w:type="gramEnd"/>
      <w:r w:rsidRPr="009769D3">
        <w:rPr>
          <w:b/>
          <w:bCs/>
          <w:color w:val="000000"/>
        </w:rPr>
        <w:t xml:space="preserve"> Line Burden Hours and Cost Tables</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37510E" w:rsidRPr="009769D3" w:rsidRDefault="0037510E" w:rsidP="0037510E">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The detailed bottom line burden hours and cost calculations for the respondents and the Agency are shown in Tables 1.A-12.C and 13.A-13.C </w:t>
      </w:r>
      <w:r w:rsidRPr="009769D3">
        <w:t>in Appendix A and B</w:t>
      </w:r>
      <w:r w:rsidRPr="009769D3">
        <w:rPr>
          <w:color w:val="000000"/>
        </w:rPr>
        <w:t xml:space="preserve"> respectively, and summarized below.  </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1440"/>
        <w:rPr>
          <w:color w:val="000000"/>
        </w:rPr>
      </w:pPr>
      <w:r w:rsidRPr="009769D3">
        <w:rPr>
          <w:b/>
          <w:bCs/>
          <w:color w:val="000000"/>
        </w:rPr>
        <w:t>(</w:t>
      </w:r>
      <w:proofErr w:type="spellStart"/>
      <w:r w:rsidRPr="009769D3">
        <w:rPr>
          <w:b/>
          <w:bCs/>
          <w:color w:val="000000"/>
        </w:rPr>
        <w:t>i</w:t>
      </w:r>
      <w:proofErr w:type="spellEnd"/>
      <w:r w:rsidRPr="009769D3">
        <w:rPr>
          <w:b/>
          <w:bCs/>
          <w:color w:val="000000"/>
        </w:rPr>
        <w:t>) Respondent Tally</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69D3"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The total annual labor </w:t>
      </w:r>
      <w:r w:rsidR="002C416A" w:rsidRPr="009769D3">
        <w:rPr>
          <w:color w:val="000000"/>
        </w:rPr>
        <w:t>hours are</w:t>
      </w:r>
      <w:r w:rsidRPr="009769D3">
        <w:rPr>
          <w:color w:val="000000"/>
        </w:rPr>
        <w:t xml:space="preserve"> </w:t>
      </w:r>
      <w:r w:rsidR="009769D3" w:rsidRPr="009769D3">
        <w:rPr>
          <w:color w:val="000000"/>
        </w:rPr>
        <w:t>2</w:t>
      </w:r>
      <w:r w:rsidR="00AF1DF2">
        <w:rPr>
          <w:color w:val="000000"/>
        </w:rPr>
        <w:t>80</w:t>
      </w:r>
      <w:r w:rsidR="009769D3" w:rsidRPr="009769D3">
        <w:rPr>
          <w:color w:val="000000"/>
        </w:rPr>
        <w:t>,</w:t>
      </w:r>
      <w:r w:rsidR="00AF1DF2">
        <w:rPr>
          <w:color w:val="000000"/>
        </w:rPr>
        <w:t>459</w:t>
      </w:r>
      <w:r w:rsidRPr="009769D3">
        <w:rPr>
          <w:color w:val="000000"/>
        </w:rPr>
        <w:t>.</w:t>
      </w:r>
      <w:r w:rsidR="00507EC5" w:rsidRPr="009769D3">
        <w:rPr>
          <w:color w:val="000000"/>
        </w:rPr>
        <w:t xml:space="preserve">  </w:t>
      </w:r>
      <w:r w:rsidRPr="009769D3">
        <w:rPr>
          <w:color w:val="000000"/>
        </w:rPr>
        <w:t>Details regarding these estimates may be found in</w:t>
      </w:r>
      <w:r w:rsidR="0037510E" w:rsidRPr="009769D3">
        <w:rPr>
          <w:color w:val="000000"/>
        </w:rPr>
        <w:t xml:space="preserve"> </w:t>
      </w:r>
      <w:proofErr w:type="gramStart"/>
      <w:r w:rsidR="0037510E" w:rsidRPr="009769D3">
        <w:rPr>
          <w:color w:val="000000"/>
        </w:rPr>
        <w:t>tables</w:t>
      </w:r>
      <w:proofErr w:type="gramEnd"/>
      <w:r w:rsidR="0037510E" w:rsidRPr="009769D3">
        <w:rPr>
          <w:color w:val="000000"/>
        </w:rPr>
        <w:t xml:space="preserve"> 1.A-12.C in Appendix A.</w:t>
      </w:r>
      <w:r w:rsidRPr="009769D3">
        <w:rPr>
          <w:color w:val="000000"/>
        </w:rPr>
        <w:t xml:space="preserve">  Furthermore, the annual public reporting and recordkeeping burden for this collection of information is estimated to </w:t>
      </w:r>
      <w:r w:rsidRPr="009769D3">
        <w:t xml:space="preserve">average </w:t>
      </w:r>
      <w:r w:rsidR="008C1BBD" w:rsidRPr="009769D3">
        <w:t>11</w:t>
      </w:r>
      <w:r w:rsidR="00AF1DF2">
        <w:t>8</w:t>
      </w:r>
      <w:r w:rsidRPr="009769D3">
        <w:t xml:space="preserve"> hours</w:t>
      </w:r>
      <w:r w:rsidRPr="009769D3">
        <w:rPr>
          <w:color w:val="000000"/>
        </w:rPr>
        <w:t xml:space="preserve"> per response</w:t>
      </w:r>
      <w:r w:rsidR="0021722B" w:rsidRPr="009769D3">
        <w:rPr>
          <w:color w:val="000000"/>
        </w:rPr>
        <w:t>.</w:t>
      </w:r>
      <w:r w:rsidR="008C1BBD" w:rsidRPr="009769D3">
        <w:rPr>
          <w:color w:val="000000"/>
        </w:rPr>
        <w:t xml:space="preserve"> </w:t>
      </w:r>
    </w:p>
    <w:p w:rsidR="0021722B" w:rsidRPr="009769D3"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The total annual capital/startup and O&amp;M costs to the regulated entity are </w:t>
      </w:r>
      <w:r w:rsidR="00DD3B64" w:rsidRPr="009769D3">
        <w:rPr>
          <w:color w:val="000000"/>
        </w:rPr>
        <w:t>$6</w:t>
      </w:r>
      <w:r w:rsidR="009769D3" w:rsidRPr="009769D3">
        <w:rPr>
          <w:color w:val="000000"/>
        </w:rPr>
        <w:t>9</w:t>
      </w:r>
      <w:r w:rsidR="008C1BBD" w:rsidRPr="009769D3">
        <w:rPr>
          <w:color w:val="000000"/>
        </w:rPr>
        <w:t xml:space="preserve"> million</w:t>
      </w:r>
      <w:r w:rsidR="00507EC5" w:rsidRPr="009769D3">
        <w:rPr>
          <w:color w:val="000000"/>
        </w:rPr>
        <w:t xml:space="preserve">.  </w:t>
      </w:r>
      <w:r w:rsidRPr="009769D3">
        <w:rPr>
          <w:color w:val="000000"/>
        </w:rPr>
        <w:t>The cost calculations are detailed in Section 6(b</w:t>
      </w:r>
      <w:proofErr w:type="gramStart"/>
      <w:r w:rsidRPr="009769D3">
        <w:rPr>
          <w:color w:val="000000"/>
        </w:rPr>
        <w:t>)(</w:t>
      </w:r>
      <w:proofErr w:type="gramEnd"/>
      <w:r w:rsidRPr="009769D3">
        <w:rPr>
          <w:color w:val="000000"/>
        </w:rPr>
        <w:t>iii), Capital/Startup vs. Operation and Maintenance (O&amp;M) Costs.</w:t>
      </w:r>
    </w:p>
    <w:p w:rsidR="00CA4CD6" w:rsidRPr="009769D3"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1440"/>
        <w:rPr>
          <w:color w:val="000000"/>
        </w:rPr>
      </w:pPr>
      <w:r w:rsidRPr="009769D3">
        <w:rPr>
          <w:b/>
          <w:bCs/>
          <w:color w:val="000000"/>
        </w:rPr>
        <w:lastRenderedPageBreak/>
        <w:t>(ii) The Agency Tally</w:t>
      </w:r>
    </w:p>
    <w:p w:rsidR="00CA4CD6" w:rsidRPr="009769D3" w:rsidRDefault="00CA4CD6">
      <w:pPr>
        <w:pBdr>
          <w:top w:val="single" w:sz="6" w:space="0" w:color="FFFFFF"/>
          <w:left w:val="single" w:sz="6" w:space="0" w:color="FFFFFF"/>
          <w:bottom w:val="single" w:sz="6" w:space="0" w:color="FFFFFF"/>
          <w:right w:val="single" w:sz="6" w:space="0" w:color="FFFFFF"/>
        </w:pBdr>
        <w:rPr>
          <w:color w:val="FF0000"/>
        </w:rPr>
      </w:pPr>
    </w:p>
    <w:p w:rsidR="00CA4CD6" w:rsidRPr="009769D3" w:rsidRDefault="00CA4CD6">
      <w:pPr>
        <w:pBdr>
          <w:top w:val="single" w:sz="6" w:space="0" w:color="FFFFFF"/>
          <w:left w:val="single" w:sz="6" w:space="0" w:color="FFFFFF"/>
          <w:bottom w:val="single" w:sz="6" w:space="0" w:color="FFFFFF"/>
          <w:right w:val="single" w:sz="6" w:space="0" w:color="FFFFFF"/>
        </w:pBdr>
      </w:pPr>
      <w:r w:rsidRPr="009769D3">
        <w:rPr>
          <w:color w:val="000000"/>
        </w:rPr>
        <w:t xml:space="preserve">The average annual Agency burden and cost over </w:t>
      </w:r>
      <w:r w:rsidRPr="009769D3">
        <w:t xml:space="preserve">next three years is estimated to be </w:t>
      </w:r>
      <w:r w:rsidR="009769D3" w:rsidRPr="009769D3">
        <w:t>97,</w:t>
      </w:r>
      <w:r w:rsidR="009A0F4F">
        <w:t>563</w:t>
      </w:r>
      <w:r w:rsidRPr="009769D3">
        <w:t xml:space="preserve"> labor hours at a cost of </w:t>
      </w:r>
      <w:r w:rsidR="00FE17D3" w:rsidRPr="009769D3">
        <w:t>$</w:t>
      </w:r>
      <w:r w:rsidR="009769D3" w:rsidRPr="009769D3">
        <w:t>5.2</w:t>
      </w:r>
      <w:r w:rsidR="008C1BBD" w:rsidRPr="009769D3">
        <w:t xml:space="preserve"> million</w:t>
      </w:r>
      <w:r w:rsidRPr="009769D3">
        <w:t xml:space="preserve">.  See </w:t>
      </w:r>
      <w:proofErr w:type="gramStart"/>
      <w:r w:rsidR="008431F8" w:rsidRPr="009769D3">
        <w:t>tables</w:t>
      </w:r>
      <w:proofErr w:type="gramEnd"/>
      <w:r w:rsidR="008431F8" w:rsidRPr="009769D3">
        <w:t xml:space="preserve"> 13.A-C in Appendix B.</w:t>
      </w:r>
    </w:p>
    <w:p w:rsidR="00CA4CD6" w:rsidRPr="009769D3" w:rsidRDefault="00CA4CD6">
      <w:pPr>
        <w:pBdr>
          <w:top w:val="single" w:sz="6" w:space="0" w:color="FFFFFF"/>
          <w:left w:val="single" w:sz="6" w:space="0" w:color="FFFFFF"/>
          <w:bottom w:val="single" w:sz="6" w:space="0" w:color="FFFFFF"/>
          <w:right w:val="single" w:sz="6" w:space="0" w:color="FFFFFF"/>
        </w:pBd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FF0000"/>
        </w:rPr>
      </w:pPr>
      <w:r w:rsidRPr="00AF1DF2">
        <w:rPr>
          <w:b/>
          <w:bCs/>
          <w:color w:val="000000"/>
        </w:rPr>
        <w:t>6(f</w:t>
      </w:r>
      <w:proofErr w:type="gramStart"/>
      <w:r w:rsidRPr="00AF1DF2">
        <w:rPr>
          <w:b/>
          <w:bCs/>
          <w:color w:val="000000"/>
        </w:rPr>
        <w:t>)  Reasons</w:t>
      </w:r>
      <w:proofErr w:type="gramEnd"/>
      <w:r w:rsidRPr="00AF1DF2">
        <w:rPr>
          <w:b/>
          <w:bCs/>
          <w:color w:val="000000"/>
        </w:rPr>
        <w:t xml:space="preserve"> for Change in Burden</w:t>
      </w:r>
    </w:p>
    <w:p w:rsidR="00CA4CD6" w:rsidRPr="009769D3" w:rsidRDefault="00CA4CD6">
      <w:pPr>
        <w:pBdr>
          <w:top w:val="single" w:sz="6" w:space="0" w:color="FFFFFF"/>
          <w:left w:val="single" w:sz="6" w:space="0" w:color="FFFFFF"/>
          <w:bottom w:val="single" w:sz="6" w:space="0" w:color="FFFFFF"/>
          <w:right w:val="single" w:sz="6" w:space="0" w:color="FFFFFF"/>
        </w:pBdr>
        <w:rPr>
          <w:color w:val="FF0000"/>
        </w:rPr>
      </w:pPr>
    </w:p>
    <w:p w:rsidR="007F40C2" w:rsidRPr="004E6F13" w:rsidRDefault="009102B0" w:rsidP="007F40C2">
      <w:pPr>
        <w:pBdr>
          <w:top w:val="single" w:sz="6" w:space="0" w:color="FFFFFF"/>
          <w:left w:val="single" w:sz="6" w:space="0" w:color="FFFFFF"/>
          <w:bottom w:val="single" w:sz="6" w:space="0" w:color="FFFFFF"/>
          <w:right w:val="single" w:sz="6" w:space="0" w:color="FFFFFF"/>
        </w:pBdr>
        <w:ind w:firstLine="720"/>
      </w:pPr>
      <w:r w:rsidRPr="009769D3">
        <w:rPr>
          <w:rFonts w:cs="Courier New"/>
        </w:rPr>
        <w:t xml:space="preserve">The increase in burden from the proposal ICR to this final ICR is due to </w:t>
      </w:r>
      <w:r w:rsidR="00DE1052" w:rsidRPr="009769D3">
        <w:rPr>
          <w:rFonts w:cs="Courier New"/>
        </w:rPr>
        <w:t>changes</w:t>
      </w:r>
      <w:r w:rsidRPr="009769D3">
        <w:rPr>
          <w:rFonts w:cs="Courier New"/>
        </w:rPr>
        <w:t xml:space="preserve"> in the rule and the boiler population.  There were increases of 285 existing boilers and one additional new boiler.</w:t>
      </w:r>
      <w:r w:rsidR="00DE1052" w:rsidRPr="009769D3">
        <w:rPr>
          <w:rFonts w:cs="Courier New"/>
        </w:rPr>
        <w:t xml:space="preserve">  Addi</w:t>
      </w:r>
      <w:r w:rsidR="00AF1DF2">
        <w:rPr>
          <w:rFonts w:cs="Courier New"/>
        </w:rPr>
        <w:t>ti</w:t>
      </w:r>
      <w:r w:rsidR="00DE1052" w:rsidRPr="009769D3">
        <w:rPr>
          <w:rFonts w:cs="Courier New"/>
        </w:rPr>
        <w:t xml:space="preserve">onally, with the floor limits changing </w:t>
      </w:r>
      <w:r w:rsidR="00AF1DF2">
        <w:rPr>
          <w:rFonts w:cs="Courier New"/>
        </w:rPr>
        <w:t xml:space="preserve">between proposal and final rule, </w:t>
      </w:r>
      <w:r w:rsidR="00DE1052" w:rsidRPr="009769D3">
        <w:rPr>
          <w:rFonts w:cs="Courier New"/>
        </w:rPr>
        <w:t>the count for control devices</w:t>
      </w:r>
      <w:r w:rsidR="00AF1DF2">
        <w:rPr>
          <w:rFonts w:cs="Courier New"/>
        </w:rPr>
        <w:t xml:space="preserve"> needed to meet limits</w:t>
      </w:r>
      <w:r w:rsidR="00DE1052" w:rsidRPr="009769D3">
        <w:rPr>
          <w:rFonts w:cs="Courier New"/>
        </w:rPr>
        <w:t xml:space="preserve"> and their associated monitor</w:t>
      </w:r>
      <w:r w:rsidR="00AF1DF2">
        <w:rPr>
          <w:rFonts w:cs="Courier New"/>
        </w:rPr>
        <w:t xml:space="preserve">ing </w:t>
      </w:r>
      <w:r w:rsidR="005E6A95">
        <w:rPr>
          <w:rFonts w:cs="Courier New"/>
        </w:rPr>
        <w:t>equipment</w:t>
      </w:r>
      <w:r w:rsidR="00DE1052" w:rsidRPr="009769D3">
        <w:rPr>
          <w:rFonts w:cs="Courier New"/>
        </w:rPr>
        <w:t xml:space="preserve"> has changed.  </w:t>
      </w:r>
      <w:r w:rsidR="00BC60D3" w:rsidRPr="009769D3">
        <w:rPr>
          <w:rFonts w:cs="Courier New"/>
        </w:rPr>
        <w:t xml:space="preserve">Floor limits were eliminated for new small units and all limited use units and </w:t>
      </w:r>
      <w:r w:rsidR="00AF1DF2">
        <w:rPr>
          <w:rFonts w:cs="Courier New"/>
        </w:rPr>
        <w:t xml:space="preserve">replaced with </w:t>
      </w:r>
      <w:r w:rsidR="00BC60D3" w:rsidRPr="009769D3">
        <w:rPr>
          <w:rFonts w:cs="Courier New"/>
        </w:rPr>
        <w:t>a tune-up require</w:t>
      </w:r>
      <w:r w:rsidR="00AF1DF2">
        <w:rPr>
          <w:rFonts w:cs="Courier New"/>
        </w:rPr>
        <w:t>ment</w:t>
      </w:r>
      <w:r w:rsidR="00BC60D3" w:rsidRPr="009769D3">
        <w:rPr>
          <w:rFonts w:cs="Courier New"/>
        </w:rPr>
        <w:t xml:space="preserve">.  </w:t>
      </w:r>
      <w:r w:rsidR="00DE1052" w:rsidRPr="009769D3">
        <w:rPr>
          <w:rFonts w:cs="Courier New"/>
        </w:rPr>
        <w:t xml:space="preserve">The use of CO CEMS for units &gt;100 </w:t>
      </w:r>
      <w:proofErr w:type="spellStart"/>
      <w:r w:rsidR="00DE1052" w:rsidRPr="009769D3">
        <w:rPr>
          <w:rFonts w:cs="Courier New"/>
        </w:rPr>
        <w:t>mmBtu</w:t>
      </w:r>
      <w:proofErr w:type="spellEnd"/>
      <w:r w:rsidR="00DE1052" w:rsidRPr="009769D3">
        <w:rPr>
          <w:rFonts w:cs="Courier New"/>
        </w:rPr>
        <w:t>/hr was removed, but O2 mon</w:t>
      </w:r>
      <w:r w:rsidR="007F40C2" w:rsidRPr="009769D3">
        <w:rPr>
          <w:rFonts w:cs="Courier New"/>
        </w:rPr>
        <w:t xml:space="preserve">itors were added for all </w:t>
      </w:r>
      <w:r w:rsidR="00AF1DF2">
        <w:rPr>
          <w:rFonts w:cs="Courier New"/>
        </w:rPr>
        <w:t xml:space="preserve">units subject to emission limits that are 10 </w:t>
      </w:r>
      <w:proofErr w:type="spellStart"/>
      <w:r w:rsidR="00AF1DF2">
        <w:rPr>
          <w:rFonts w:cs="Courier New"/>
        </w:rPr>
        <w:t>mmBtu</w:t>
      </w:r>
      <w:proofErr w:type="spellEnd"/>
      <w:r w:rsidR="00AF1DF2">
        <w:rPr>
          <w:rFonts w:cs="Courier New"/>
        </w:rPr>
        <w:t>/hr or greater</w:t>
      </w:r>
      <w:r w:rsidR="007F40C2" w:rsidRPr="009769D3">
        <w:rPr>
          <w:rFonts w:cs="Courier New"/>
        </w:rPr>
        <w:t>.  An estimate for repeat stack tests</w:t>
      </w:r>
      <w:r w:rsidR="00AF1DF2">
        <w:rPr>
          <w:rFonts w:cs="Courier New"/>
        </w:rPr>
        <w:t xml:space="preserve"> to establish worst-case operating conditions</w:t>
      </w:r>
      <w:r w:rsidR="007F40C2" w:rsidRPr="009769D3">
        <w:rPr>
          <w:rFonts w:cs="Courier New"/>
        </w:rPr>
        <w:t xml:space="preserve"> was added to capture those facilities </w:t>
      </w:r>
      <w:r w:rsidR="00AF1DF2">
        <w:rPr>
          <w:rFonts w:cs="Courier New"/>
        </w:rPr>
        <w:t xml:space="preserve">firing solid fuels </w:t>
      </w:r>
      <w:r w:rsidR="007F40C2" w:rsidRPr="009769D3">
        <w:rPr>
          <w:rFonts w:cs="Courier New"/>
        </w:rPr>
        <w:t xml:space="preserve">which </w:t>
      </w:r>
      <w:r w:rsidR="00AF1DF2">
        <w:rPr>
          <w:rFonts w:cs="Courier New"/>
        </w:rPr>
        <w:t xml:space="preserve">may co-fire or </w:t>
      </w:r>
      <w:r w:rsidR="007F40C2" w:rsidRPr="009769D3">
        <w:rPr>
          <w:rFonts w:cs="Courier New"/>
        </w:rPr>
        <w:t>switch fuel</w:t>
      </w:r>
      <w:r w:rsidR="00AF1DF2">
        <w:rPr>
          <w:rFonts w:cs="Courier New"/>
        </w:rPr>
        <w:t xml:space="preserve"> types</w:t>
      </w:r>
      <w:r w:rsidR="007F40C2" w:rsidRPr="009769D3">
        <w:rPr>
          <w:rFonts w:cs="Courier New"/>
        </w:rPr>
        <w:t xml:space="preserve"> and the Notification of Alternative Fuel Use </w:t>
      </w:r>
      <w:r w:rsidR="00AF1DF2">
        <w:rPr>
          <w:rFonts w:cs="Courier New"/>
        </w:rPr>
        <w:t xml:space="preserve">for gas units firing alternative fuels during periods of curtailment </w:t>
      </w:r>
      <w:r w:rsidR="00BC60D3" w:rsidRPr="009769D3">
        <w:rPr>
          <w:rFonts w:cs="Courier New"/>
        </w:rPr>
        <w:t>and a fuel spec analysis for H</w:t>
      </w:r>
      <w:r w:rsidR="007F40C2" w:rsidRPr="009769D3">
        <w:rPr>
          <w:rFonts w:cs="Courier New"/>
        </w:rPr>
        <w:t>g and H2S were also estimated.</w:t>
      </w:r>
      <w:r w:rsidR="00C82112" w:rsidRPr="009769D3">
        <w:rPr>
          <w:rFonts w:cs="Courier New"/>
        </w:rPr>
        <w:t xml:space="preserve">  For those liquid units which comply by Hg and </w:t>
      </w:r>
      <w:proofErr w:type="spellStart"/>
      <w:r w:rsidR="00C82112" w:rsidRPr="009769D3">
        <w:rPr>
          <w:rFonts w:cs="Courier New"/>
        </w:rPr>
        <w:t>HCl</w:t>
      </w:r>
      <w:proofErr w:type="spellEnd"/>
      <w:r w:rsidR="00C82112" w:rsidRPr="009769D3">
        <w:rPr>
          <w:rFonts w:cs="Courier New"/>
        </w:rPr>
        <w:t xml:space="preserve"> fuel </w:t>
      </w:r>
      <w:r w:rsidR="008F1C4F" w:rsidRPr="009769D3">
        <w:rPr>
          <w:rFonts w:cs="Courier New"/>
        </w:rPr>
        <w:t>analysis</w:t>
      </w:r>
      <w:r w:rsidR="00C82112" w:rsidRPr="009769D3">
        <w:rPr>
          <w:rFonts w:cs="Courier New"/>
        </w:rPr>
        <w:t>, monthly fuel analyses are now included</w:t>
      </w:r>
      <w:r w:rsidR="008F1C4F" w:rsidRPr="009769D3">
        <w:rPr>
          <w:rFonts w:cs="Courier New"/>
        </w:rPr>
        <w:t xml:space="preserve"> in addition to the </w:t>
      </w:r>
      <w:r w:rsidR="008F1C4F" w:rsidRPr="00244AA5">
        <w:t>initial analysis</w:t>
      </w:r>
      <w:r w:rsidR="00AF1DF2" w:rsidRPr="00244AA5">
        <w:t xml:space="preserve"> to be consistent with rule requirements</w:t>
      </w:r>
      <w:r w:rsidR="00C82112" w:rsidRPr="00244AA5">
        <w:t>.</w:t>
      </w:r>
      <w:r w:rsidR="00BC60D3" w:rsidRPr="00244AA5">
        <w:t xml:space="preserve">  In order to capture the on-going training which will be necessary for the facilities to educate their personnel on the rule</w:t>
      </w:r>
      <w:r w:rsidR="00AF1DF2" w:rsidRPr="00244AA5">
        <w:t>’s recordkeeping and reporting details</w:t>
      </w:r>
      <w:r w:rsidR="00BC60D3" w:rsidRPr="00244AA5">
        <w:t>, training hours have also been added</w:t>
      </w:r>
      <w:r w:rsidR="00AF1DF2" w:rsidRPr="00244AA5">
        <w:t xml:space="preserve"> in response to public </w:t>
      </w:r>
      <w:r w:rsidR="00AF1DF2" w:rsidRPr="004E6F13">
        <w:t>comments about underestimating the burden hours for affected sources</w:t>
      </w:r>
      <w:r w:rsidR="00BC60D3" w:rsidRPr="004E6F13">
        <w:t xml:space="preserve">.  </w:t>
      </w:r>
    </w:p>
    <w:p w:rsidR="00C63CEA" w:rsidRPr="004E6F13" w:rsidRDefault="00C63CEA" w:rsidP="007F40C2">
      <w:pPr>
        <w:pBdr>
          <w:top w:val="single" w:sz="6" w:space="0" w:color="FFFFFF"/>
          <w:left w:val="single" w:sz="6" w:space="0" w:color="FFFFFF"/>
          <w:bottom w:val="single" w:sz="6" w:space="0" w:color="FFFFFF"/>
          <w:right w:val="single" w:sz="6" w:space="0" w:color="FFFFFF"/>
        </w:pBdr>
        <w:ind w:firstLine="720"/>
      </w:pPr>
    </w:p>
    <w:p w:rsidR="00CA4CD6" w:rsidRPr="004E6F13" w:rsidRDefault="00244AA5" w:rsidP="009102B0">
      <w:pPr>
        <w:pBdr>
          <w:top w:val="single" w:sz="6" w:space="0" w:color="FFFFFF"/>
          <w:left w:val="single" w:sz="6" w:space="0" w:color="FFFFFF"/>
          <w:bottom w:val="single" w:sz="6" w:space="0" w:color="FFFFFF"/>
          <w:right w:val="single" w:sz="6" w:space="0" w:color="FFFFFF"/>
        </w:pBdr>
        <w:ind w:firstLine="720"/>
      </w:pPr>
      <w:r w:rsidRPr="004E6F13">
        <w:t>To provide the public with an estimate of the relative magnitude of the burden associated with a source asserting the affirmative defense position, EPA is providing an administrative adjustment to this ICR.  The adjustment shows the notification, recordkeeping and reporting requirements associated with the assertion of the affirmative defense.  This illustrative example does not result in an increase in the burden for this rule. EPA provides this estimate of the burden because these costs are only incurred if the source believes that there has been a violation, and chooses to take advantage of the affirmative defense.</w:t>
      </w:r>
      <w:r w:rsidR="00F70E87" w:rsidRPr="004E6F13">
        <w:t xml:space="preserve"> </w:t>
      </w:r>
    </w:p>
    <w:p w:rsidR="00244AA5" w:rsidRPr="004E6F13" w:rsidRDefault="00244AA5" w:rsidP="009102B0">
      <w:pPr>
        <w:pBdr>
          <w:top w:val="single" w:sz="6" w:space="0" w:color="FFFFFF"/>
          <w:left w:val="single" w:sz="6" w:space="0" w:color="FFFFFF"/>
          <w:bottom w:val="single" w:sz="6" w:space="0" w:color="FFFFFF"/>
          <w:right w:val="single" w:sz="6" w:space="0" w:color="FFFFFF"/>
        </w:pBdr>
        <w:ind w:firstLine="720"/>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b/>
          <w:bCs/>
          <w:color w:val="000000"/>
        </w:rPr>
        <w:t>6(g</w:t>
      </w:r>
      <w:proofErr w:type="gramStart"/>
      <w:r w:rsidRPr="009769D3">
        <w:rPr>
          <w:b/>
          <w:bCs/>
          <w:color w:val="000000"/>
        </w:rPr>
        <w:t>)  Burden</w:t>
      </w:r>
      <w:proofErr w:type="gramEnd"/>
      <w:r w:rsidRPr="009769D3">
        <w:rPr>
          <w:b/>
          <w:bCs/>
          <w:color w:val="000000"/>
        </w:rPr>
        <w:t xml:space="preserve"> Statement</w:t>
      </w:r>
    </w:p>
    <w:p w:rsidR="00CA4CD6" w:rsidRPr="009769D3" w:rsidRDefault="00CA4CD6">
      <w:pPr>
        <w:pBdr>
          <w:top w:val="single" w:sz="6" w:space="0" w:color="FFFFFF"/>
          <w:left w:val="single" w:sz="6" w:space="0" w:color="FFFFFF"/>
          <w:bottom w:val="single" w:sz="6" w:space="0" w:color="FFFFFF"/>
          <w:right w:val="single" w:sz="6" w:space="0" w:color="FFFFFF"/>
        </w:pBdr>
        <w:rPr>
          <w:color w:val="000000"/>
        </w:rPr>
      </w:pPr>
    </w:p>
    <w:p w:rsidR="00DF75D1" w:rsidRPr="009769D3" w:rsidRDefault="008431F8" w:rsidP="00DF75D1">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The annual public reporting and recordkeeping burden for this collection of information </w:t>
      </w:r>
      <w:r w:rsidRPr="009769D3">
        <w:rPr>
          <w:rFonts w:cs="Courier New"/>
        </w:rPr>
        <w:t xml:space="preserve">is estimated to be </w:t>
      </w:r>
      <w:r w:rsidR="008C1BBD" w:rsidRPr="009769D3">
        <w:rPr>
          <w:rFonts w:cs="Courier New"/>
        </w:rPr>
        <w:t>11</w:t>
      </w:r>
      <w:r w:rsidR="00AF1DF2">
        <w:rPr>
          <w:rFonts w:cs="Courier New"/>
        </w:rPr>
        <w:t>8</w:t>
      </w:r>
      <w:r w:rsidRPr="009769D3">
        <w:rPr>
          <w:rFonts w:cs="Courier New"/>
        </w:rPr>
        <w:t xml:space="preserve"> hours per </w:t>
      </w:r>
      <w:r w:rsidR="00232A8D" w:rsidRPr="009769D3">
        <w:rPr>
          <w:rFonts w:cs="Courier New"/>
        </w:rPr>
        <w:t xml:space="preserve">response. </w:t>
      </w:r>
      <w:r w:rsidR="00DF75D1" w:rsidRPr="009769D3">
        <w:rPr>
          <w:color w:val="000000"/>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w:t>
      </w:r>
      <w:r w:rsidR="00DF75D1" w:rsidRPr="009769D3">
        <w:rPr>
          <w:color w:val="000000"/>
        </w:rPr>
        <w:lastRenderedPageBreak/>
        <w:t>sources; complete and review the collection of information; and transmit or otherwise disclose the information.</w:t>
      </w:r>
    </w:p>
    <w:p w:rsidR="00CA4CD6" w:rsidRPr="009769D3" w:rsidRDefault="00CA4CD6" w:rsidP="008431F8">
      <w:pPr>
        <w:pBdr>
          <w:top w:val="single" w:sz="6" w:space="0" w:color="FFFFFF"/>
          <w:left w:val="single" w:sz="6" w:space="0" w:color="FFFFFF"/>
          <w:bottom w:val="single" w:sz="6" w:space="0" w:color="FFFFFF"/>
          <w:right w:val="single" w:sz="6" w:space="0" w:color="FFFFFF"/>
        </w:pBdr>
        <w:ind w:firstLine="720"/>
        <w:rPr>
          <w:color w:val="000000"/>
        </w:rPr>
      </w:pPr>
    </w:p>
    <w:p w:rsidR="00CA4CD6" w:rsidRPr="009769D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An agency may not conduct or sponsor, and a person is not required to respond to, a collection of information unless it displays a valid OMB Control Number.  The OMB Control Numbers for EPA</w:t>
      </w:r>
      <w:r w:rsidR="00906EDB" w:rsidRPr="009769D3">
        <w:rPr>
          <w:color w:val="000000"/>
        </w:rPr>
        <w:t xml:space="preserve"> </w:t>
      </w:r>
      <w:r w:rsidRPr="009769D3">
        <w:rPr>
          <w:color w:val="000000"/>
        </w:rPr>
        <w:t>regulations are listed at 40 CFR part 9 and 48 CFR chapter 15.</w:t>
      </w:r>
    </w:p>
    <w:p w:rsidR="006741F7" w:rsidRPr="009769D3" w:rsidRDefault="006741F7" w:rsidP="00354C15"/>
    <w:p w:rsidR="00354C15" w:rsidRPr="009769D3" w:rsidRDefault="00FB0650" w:rsidP="00354C15">
      <w:r w:rsidRPr="009769D3">
        <w:tab/>
      </w:r>
      <w:r w:rsidR="00CA4CD6" w:rsidRPr="009769D3">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232A8D" w:rsidRPr="009769D3">
        <w:rPr>
          <w:bCs/>
        </w:rPr>
        <w:t>EPA-HQ-OAR-2002-0058</w:t>
      </w:r>
      <w:r w:rsidR="00354C15" w:rsidRPr="009769D3">
        <w:rPr>
          <w:color w:val="FF0000"/>
        </w:rPr>
        <w:t xml:space="preserve">.  </w:t>
      </w:r>
      <w:r w:rsidR="00354C15" w:rsidRPr="009769D3">
        <w:t>An electronic version of the public docket is available at http://www.regulations.gov/ 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354C15" w:rsidRPr="009769D3">
        <w:rPr>
          <w:rStyle w:val="1"/>
        </w:rPr>
        <w:t xml:space="preserve">, select “search,” then key in the docket ID number identified in this document.  The documents are also </w:t>
      </w:r>
      <w:r w:rsidR="00CA4CD6" w:rsidRPr="009769D3">
        <w:t xml:space="preserve">available for public viewing at the Enforcement and Compliance Docket and Information Center in the EPA Docket Center (EPA/DC), </w:t>
      </w:r>
      <w:r w:rsidR="00D95819" w:rsidRPr="009769D3">
        <w:t>EPA West, Room 3334</w:t>
      </w:r>
      <w:r w:rsidR="00CA4CD6" w:rsidRPr="009769D3">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rsidRPr="009769D3">
        <w:t>for the docket center i</w:t>
      </w:r>
      <w:r w:rsidR="00CA4CD6" w:rsidRPr="009769D3">
        <w:t>s (202) 566-</w:t>
      </w:r>
      <w:r w:rsidR="00850ACF" w:rsidRPr="009769D3">
        <w:t>1927</w:t>
      </w:r>
      <w:r w:rsidR="00354C15" w:rsidRPr="009769D3">
        <w:t xml:space="preserve">.  </w:t>
      </w:r>
      <w:r w:rsidR="00CA4CD6" w:rsidRPr="009769D3">
        <w:t xml:space="preserve">Also, you can send comments to the Office of Information and Regulatory Affairs, Office of Management and Budget, 725 17th Street, NW, Washington, DC 20503, Attention: Desk Officer for EPA.  Please include the EPA Docket ID Number </w:t>
      </w:r>
      <w:r w:rsidR="00144A82" w:rsidRPr="009769D3">
        <w:t>EPA-HQ-O</w:t>
      </w:r>
      <w:r w:rsidR="008C366A" w:rsidRPr="009769D3">
        <w:t>AR</w:t>
      </w:r>
      <w:r w:rsidR="00144A82" w:rsidRPr="009769D3">
        <w:t>-200</w:t>
      </w:r>
      <w:r w:rsidR="00DC3A1B" w:rsidRPr="009769D3">
        <w:t>2</w:t>
      </w:r>
      <w:r w:rsidR="00CA4CD6" w:rsidRPr="009769D3">
        <w:t>-</w:t>
      </w:r>
      <w:r w:rsidR="008C366A" w:rsidRPr="009769D3">
        <w:t>0058</w:t>
      </w:r>
      <w:r w:rsidR="00CA4CD6" w:rsidRPr="009769D3">
        <w:t xml:space="preserve"> in any correspondence. </w:t>
      </w:r>
    </w:p>
    <w:p w:rsidR="00F340DF" w:rsidRPr="009769D3" w:rsidRDefault="00F340DF" w:rsidP="00F340DF">
      <w:pPr>
        <w:rPr>
          <w:rStyle w:val="1"/>
          <w:rFonts w:ascii="WP TypographicSymbols" w:hAnsi="WP TypographicSymbols" w:cs="WP TypographicSymbols"/>
          <w:color w:val="000000"/>
        </w:rPr>
      </w:pPr>
    </w:p>
    <w:p w:rsidR="00F340DF" w:rsidRPr="009769D3" w:rsidRDefault="00CA4CD6" w:rsidP="00F340DF">
      <w:pPr>
        <w:rPr>
          <w:b/>
          <w:bCs/>
          <w:color w:val="000000"/>
        </w:rPr>
      </w:pPr>
      <w:r w:rsidRPr="009769D3">
        <w:rPr>
          <w:b/>
          <w:bCs/>
          <w:color w:val="000000"/>
        </w:rPr>
        <w:t>Part B of the Supporting Statement</w:t>
      </w:r>
    </w:p>
    <w:p w:rsidR="00F340DF" w:rsidRPr="009769D3" w:rsidRDefault="00F340DF" w:rsidP="00F340DF">
      <w:pPr>
        <w:rPr>
          <w:b/>
          <w:bCs/>
          <w:color w:val="000000"/>
        </w:rPr>
      </w:pPr>
    </w:p>
    <w:p w:rsidR="00CA4CD6" w:rsidRDefault="00CA4CD6" w:rsidP="00F340DF">
      <w:pPr>
        <w:rPr>
          <w:color w:val="000000"/>
        </w:rPr>
      </w:pPr>
      <w:r w:rsidRPr="009769D3">
        <w:rPr>
          <w:color w:val="000000"/>
        </w:rPr>
        <w:t>This part is not applicable because no statistical methods were used in collecting this information.</w:t>
      </w:r>
    </w:p>
    <w:sectPr w:rsidR="00CA4CD6" w:rsidSect="00CA4CD6">
      <w:headerReference w:type="even" r:id="rId12"/>
      <w:headerReference w:type="default" r:id="rId13"/>
      <w:headerReference w:type="first" r:id="rId14"/>
      <w:type w:val="continuous"/>
      <w:pgSz w:w="12240" w:h="15840"/>
      <w:pgMar w:top="1350" w:right="1440" w:bottom="1440" w:left="1440" w:header="135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915" w:rsidRDefault="001D1915">
      <w:r>
        <w:separator/>
      </w:r>
    </w:p>
  </w:endnote>
  <w:endnote w:type="continuationSeparator" w:id="0">
    <w:p w:rsidR="001D1915" w:rsidRDefault="001D1915">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4E" w:rsidRDefault="0077704E">
    <w:pPr>
      <w:spacing w:line="240" w:lineRule="exact"/>
    </w:pPr>
  </w:p>
  <w:p w:rsidR="0077704E" w:rsidRDefault="00722390">
    <w:pPr>
      <w:framePr w:w="9361" w:wrap="notBeside" w:vAnchor="text" w:hAnchor="text" w:x="1" w:y="1"/>
      <w:jc w:val="center"/>
      <w:rPr>
        <w:rFonts w:ascii="Courier" w:hAnsi="Courier" w:cs="Courier"/>
      </w:rPr>
    </w:pPr>
    <w:r>
      <w:rPr>
        <w:rFonts w:ascii="Courier" w:hAnsi="Courier" w:cs="Courier"/>
      </w:rPr>
      <w:fldChar w:fldCharType="begin"/>
    </w:r>
    <w:r w:rsidR="0077704E">
      <w:rPr>
        <w:rFonts w:ascii="Courier" w:hAnsi="Courier" w:cs="Courier"/>
      </w:rPr>
      <w:instrText xml:space="preserve">PAGE </w:instrText>
    </w:r>
    <w:r>
      <w:rPr>
        <w:rFonts w:ascii="Courier" w:hAnsi="Courier" w:cs="Courier"/>
      </w:rPr>
      <w:fldChar w:fldCharType="separate"/>
    </w:r>
    <w:r w:rsidR="009E103E">
      <w:rPr>
        <w:rFonts w:ascii="Courier" w:hAnsi="Courier" w:cs="Courier"/>
        <w:noProof/>
      </w:rPr>
      <w:t>19</w:t>
    </w:r>
    <w:r>
      <w:rPr>
        <w:rFonts w:ascii="Courier" w:hAnsi="Courier" w:cs="Courier"/>
      </w:rPr>
      <w:fldChar w:fldCharType="end"/>
    </w:r>
  </w:p>
  <w:p w:rsidR="0077704E" w:rsidRDefault="0077704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915" w:rsidRDefault="001D1915">
      <w:r>
        <w:separator/>
      </w:r>
    </w:p>
  </w:footnote>
  <w:footnote w:type="continuationSeparator" w:id="0">
    <w:p w:rsidR="001D1915" w:rsidRDefault="001D19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4E" w:rsidRDefault="007770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4E" w:rsidRDefault="007770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4E" w:rsidRDefault="0077704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4E" w:rsidRDefault="0077704E">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4E" w:rsidRDefault="00722390">
    <w:pPr>
      <w:framePr w:w="9361" w:wrap="notBeside" w:vAnchor="text" w:hAnchor="text" w:x="1" w:y="1"/>
      <w:jc w:val="center"/>
    </w:pPr>
    <w:fldSimple w:instr="PAGE ">
      <w:r w:rsidR="009E103E">
        <w:rPr>
          <w:noProof/>
        </w:rPr>
        <w:t>19</w:t>
      </w:r>
    </w:fldSimple>
  </w:p>
  <w:p w:rsidR="0077704E" w:rsidRDefault="0077704E"/>
  <w:p w:rsidR="0077704E" w:rsidRDefault="0077704E">
    <w:pPr>
      <w:spacing w:line="240" w:lineRule="exac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4E" w:rsidRDefault="007770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8"/>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A4CD6"/>
    <w:rsid w:val="0000687D"/>
    <w:rsid w:val="0001033B"/>
    <w:rsid w:val="0003619B"/>
    <w:rsid w:val="00042359"/>
    <w:rsid w:val="00051257"/>
    <w:rsid w:val="00055BDF"/>
    <w:rsid w:val="00055DC5"/>
    <w:rsid w:val="00097849"/>
    <w:rsid w:val="000A1FBB"/>
    <w:rsid w:val="000A687C"/>
    <w:rsid w:val="000A688B"/>
    <w:rsid w:val="000D2272"/>
    <w:rsid w:val="000D3A36"/>
    <w:rsid w:val="000E4BEB"/>
    <w:rsid w:val="000E5D0D"/>
    <w:rsid w:val="000F772C"/>
    <w:rsid w:val="00101B40"/>
    <w:rsid w:val="0010697C"/>
    <w:rsid w:val="00115A4A"/>
    <w:rsid w:val="00123889"/>
    <w:rsid w:val="00126A7C"/>
    <w:rsid w:val="0014079D"/>
    <w:rsid w:val="00141EFC"/>
    <w:rsid w:val="00144978"/>
    <w:rsid w:val="00144A82"/>
    <w:rsid w:val="0015433E"/>
    <w:rsid w:val="00171F8F"/>
    <w:rsid w:val="00186DA3"/>
    <w:rsid w:val="00195753"/>
    <w:rsid w:val="00196025"/>
    <w:rsid w:val="001A0B41"/>
    <w:rsid w:val="001B0B9A"/>
    <w:rsid w:val="001B2223"/>
    <w:rsid w:val="001B35F2"/>
    <w:rsid w:val="001C5991"/>
    <w:rsid w:val="001D1915"/>
    <w:rsid w:val="001D5DD5"/>
    <w:rsid w:val="001D762C"/>
    <w:rsid w:val="001F19FF"/>
    <w:rsid w:val="001F3ED7"/>
    <w:rsid w:val="002041C5"/>
    <w:rsid w:val="002063FE"/>
    <w:rsid w:val="00206932"/>
    <w:rsid w:val="0021722B"/>
    <w:rsid w:val="0022738C"/>
    <w:rsid w:val="00232A8D"/>
    <w:rsid w:val="00234A28"/>
    <w:rsid w:val="00235F6B"/>
    <w:rsid w:val="002431D9"/>
    <w:rsid w:val="00244AA5"/>
    <w:rsid w:val="00247718"/>
    <w:rsid w:val="00255394"/>
    <w:rsid w:val="002634D0"/>
    <w:rsid w:val="002638A0"/>
    <w:rsid w:val="002712EB"/>
    <w:rsid w:val="0027222A"/>
    <w:rsid w:val="002743D2"/>
    <w:rsid w:val="00277F42"/>
    <w:rsid w:val="00282435"/>
    <w:rsid w:val="0029006A"/>
    <w:rsid w:val="002904E7"/>
    <w:rsid w:val="0029441D"/>
    <w:rsid w:val="002976E9"/>
    <w:rsid w:val="002A096B"/>
    <w:rsid w:val="002B29A7"/>
    <w:rsid w:val="002B29E3"/>
    <w:rsid w:val="002B517F"/>
    <w:rsid w:val="002B6993"/>
    <w:rsid w:val="002C1F95"/>
    <w:rsid w:val="002C416A"/>
    <w:rsid w:val="002C77DF"/>
    <w:rsid w:val="002D7683"/>
    <w:rsid w:val="002F1147"/>
    <w:rsid w:val="002F22A9"/>
    <w:rsid w:val="002F3C19"/>
    <w:rsid w:val="002F674B"/>
    <w:rsid w:val="002F6DB3"/>
    <w:rsid w:val="003033F1"/>
    <w:rsid w:val="003139FC"/>
    <w:rsid w:val="0032193B"/>
    <w:rsid w:val="00324704"/>
    <w:rsid w:val="00341540"/>
    <w:rsid w:val="003511C6"/>
    <w:rsid w:val="00354C15"/>
    <w:rsid w:val="0036088E"/>
    <w:rsid w:val="00367686"/>
    <w:rsid w:val="0037510E"/>
    <w:rsid w:val="003C47F1"/>
    <w:rsid w:val="003C4B46"/>
    <w:rsid w:val="003C5023"/>
    <w:rsid w:val="003E30B5"/>
    <w:rsid w:val="003E4C18"/>
    <w:rsid w:val="003E6878"/>
    <w:rsid w:val="004006B7"/>
    <w:rsid w:val="0040391F"/>
    <w:rsid w:val="004246C9"/>
    <w:rsid w:val="004269BC"/>
    <w:rsid w:val="00431EF9"/>
    <w:rsid w:val="00432157"/>
    <w:rsid w:val="004363C1"/>
    <w:rsid w:val="0044133C"/>
    <w:rsid w:val="00446586"/>
    <w:rsid w:val="00455557"/>
    <w:rsid w:val="00484240"/>
    <w:rsid w:val="00484A45"/>
    <w:rsid w:val="004A4B25"/>
    <w:rsid w:val="004E35B9"/>
    <w:rsid w:val="004E6F13"/>
    <w:rsid w:val="004F1469"/>
    <w:rsid w:val="00507EC5"/>
    <w:rsid w:val="00516952"/>
    <w:rsid w:val="00524F24"/>
    <w:rsid w:val="005253D4"/>
    <w:rsid w:val="00531311"/>
    <w:rsid w:val="0054681F"/>
    <w:rsid w:val="00551815"/>
    <w:rsid w:val="00565A51"/>
    <w:rsid w:val="0056614C"/>
    <w:rsid w:val="00571260"/>
    <w:rsid w:val="00571952"/>
    <w:rsid w:val="0057506C"/>
    <w:rsid w:val="005832AD"/>
    <w:rsid w:val="00583626"/>
    <w:rsid w:val="00595833"/>
    <w:rsid w:val="005A1986"/>
    <w:rsid w:val="005B5DE8"/>
    <w:rsid w:val="005B6606"/>
    <w:rsid w:val="005C04C2"/>
    <w:rsid w:val="005C3665"/>
    <w:rsid w:val="005C49BB"/>
    <w:rsid w:val="005C666A"/>
    <w:rsid w:val="005C72C7"/>
    <w:rsid w:val="005D0654"/>
    <w:rsid w:val="005D1895"/>
    <w:rsid w:val="005D385C"/>
    <w:rsid w:val="005E194B"/>
    <w:rsid w:val="005E6A95"/>
    <w:rsid w:val="005F1CDC"/>
    <w:rsid w:val="005F42F8"/>
    <w:rsid w:val="00601205"/>
    <w:rsid w:val="00606CE8"/>
    <w:rsid w:val="00606DEF"/>
    <w:rsid w:val="006175B8"/>
    <w:rsid w:val="0061778B"/>
    <w:rsid w:val="0062135D"/>
    <w:rsid w:val="00631517"/>
    <w:rsid w:val="00635DBD"/>
    <w:rsid w:val="006741F7"/>
    <w:rsid w:val="00694B55"/>
    <w:rsid w:val="006A4E80"/>
    <w:rsid w:val="006B57DF"/>
    <w:rsid w:val="006C0F7B"/>
    <w:rsid w:val="006C4452"/>
    <w:rsid w:val="006D1E58"/>
    <w:rsid w:val="006E2576"/>
    <w:rsid w:val="006E2611"/>
    <w:rsid w:val="006E4A6E"/>
    <w:rsid w:val="006E642B"/>
    <w:rsid w:val="00722390"/>
    <w:rsid w:val="0075482F"/>
    <w:rsid w:val="00763160"/>
    <w:rsid w:val="007659D9"/>
    <w:rsid w:val="0077704E"/>
    <w:rsid w:val="00780612"/>
    <w:rsid w:val="00786A20"/>
    <w:rsid w:val="007A0210"/>
    <w:rsid w:val="007A0634"/>
    <w:rsid w:val="007A16F4"/>
    <w:rsid w:val="007A458D"/>
    <w:rsid w:val="007B7C8E"/>
    <w:rsid w:val="007C0FAA"/>
    <w:rsid w:val="007D601A"/>
    <w:rsid w:val="007F07FB"/>
    <w:rsid w:val="007F2519"/>
    <w:rsid w:val="007F40C2"/>
    <w:rsid w:val="00806435"/>
    <w:rsid w:val="00810507"/>
    <w:rsid w:val="00813E69"/>
    <w:rsid w:val="00817E8B"/>
    <w:rsid w:val="00826CBA"/>
    <w:rsid w:val="008338D4"/>
    <w:rsid w:val="00837BF6"/>
    <w:rsid w:val="008416AD"/>
    <w:rsid w:val="0084255D"/>
    <w:rsid w:val="008431F8"/>
    <w:rsid w:val="0085048C"/>
    <w:rsid w:val="00850ACF"/>
    <w:rsid w:val="00852038"/>
    <w:rsid w:val="00867588"/>
    <w:rsid w:val="00885F0A"/>
    <w:rsid w:val="0088639E"/>
    <w:rsid w:val="00893F9B"/>
    <w:rsid w:val="008B407C"/>
    <w:rsid w:val="008B4D98"/>
    <w:rsid w:val="008C1BBD"/>
    <w:rsid w:val="008C366A"/>
    <w:rsid w:val="008D3BA5"/>
    <w:rsid w:val="008E65E6"/>
    <w:rsid w:val="008F1C4F"/>
    <w:rsid w:val="009018EC"/>
    <w:rsid w:val="00906EDB"/>
    <w:rsid w:val="009102B0"/>
    <w:rsid w:val="00912E00"/>
    <w:rsid w:val="00922E9D"/>
    <w:rsid w:val="00923C46"/>
    <w:rsid w:val="00952057"/>
    <w:rsid w:val="009542D9"/>
    <w:rsid w:val="009711DB"/>
    <w:rsid w:val="00974AF4"/>
    <w:rsid w:val="009769D3"/>
    <w:rsid w:val="009A0F4F"/>
    <w:rsid w:val="009A0F50"/>
    <w:rsid w:val="009A16CD"/>
    <w:rsid w:val="009C06F5"/>
    <w:rsid w:val="009D6567"/>
    <w:rsid w:val="009E0F31"/>
    <w:rsid w:val="009E103E"/>
    <w:rsid w:val="009E245E"/>
    <w:rsid w:val="009F0A9C"/>
    <w:rsid w:val="009F0B61"/>
    <w:rsid w:val="009F0C77"/>
    <w:rsid w:val="009F124E"/>
    <w:rsid w:val="009F76F5"/>
    <w:rsid w:val="00A007F5"/>
    <w:rsid w:val="00A038EC"/>
    <w:rsid w:val="00A11D29"/>
    <w:rsid w:val="00A145B0"/>
    <w:rsid w:val="00A15172"/>
    <w:rsid w:val="00A26EF7"/>
    <w:rsid w:val="00A379F8"/>
    <w:rsid w:val="00A42B73"/>
    <w:rsid w:val="00A54EEA"/>
    <w:rsid w:val="00A56BFF"/>
    <w:rsid w:val="00A733BE"/>
    <w:rsid w:val="00A73600"/>
    <w:rsid w:val="00A74C1E"/>
    <w:rsid w:val="00A83F07"/>
    <w:rsid w:val="00A962DF"/>
    <w:rsid w:val="00AA42A1"/>
    <w:rsid w:val="00AC4B96"/>
    <w:rsid w:val="00AD22CA"/>
    <w:rsid w:val="00AD2F3C"/>
    <w:rsid w:val="00AF1DF2"/>
    <w:rsid w:val="00B0245B"/>
    <w:rsid w:val="00B06C5C"/>
    <w:rsid w:val="00B07F79"/>
    <w:rsid w:val="00B10154"/>
    <w:rsid w:val="00B154DE"/>
    <w:rsid w:val="00B16C07"/>
    <w:rsid w:val="00B2580A"/>
    <w:rsid w:val="00B37578"/>
    <w:rsid w:val="00B46A57"/>
    <w:rsid w:val="00B472B4"/>
    <w:rsid w:val="00B569CA"/>
    <w:rsid w:val="00B65754"/>
    <w:rsid w:val="00B66231"/>
    <w:rsid w:val="00B769F1"/>
    <w:rsid w:val="00B80BD2"/>
    <w:rsid w:val="00B82025"/>
    <w:rsid w:val="00B84210"/>
    <w:rsid w:val="00B92258"/>
    <w:rsid w:val="00BA0A91"/>
    <w:rsid w:val="00BA3B20"/>
    <w:rsid w:val="00BA4887"/>
    <w:rsid w:val="00BB25D8"/>
    <w:rsid w:val="00BB3C1A"/>
    <w:rsid w:val="00BC60D3"/>
    <w:rsid w:val="00BC6DEF"/>
    <w:rsid w:val="00BC6FCE"/>
    <w:rsid w:val="00BD042F"/>
    <w:rsid w:val="00BE2989"/>
    <w:rsid w:val="00BE7A11"/>
    <w:rsid w:val="00BF722F"/>
    <w:rsid w:val="00C13FE8"/>
    <w:rsid w:val="00C30A60"/>
    <w:rsid w:val="00C333EE"/>
    <w:rsid w:val="00C33ABA"/>
    <w:rsid w:val="00C37165"/>
    <w:rsid w:val="00C37BB6"/>
    <w:rsid w:val="00C52EFD"/>
    <w:rsid w:val="00C63CEA"/>
    <w:rsid w:val="00C64378"/>
    <w:rsid w:val="00C677FA"/>
    <w:rsid w:val="00C7331D"/>
    <w:rsid w:val="00C75CF0"/>
    <w:rsid w:val="00C808B5"/>
    <w:rsid w:val="00C815D9"/>
    <w:rsid w:val="00C82112"/>
    <w:rsid w:val="00C82DB6"/>
    <w:rsid w:val="00CA4CD6"/>
    <w:rsid w:val="00CA6BA6"/>
    <w:rsid w:val="00CB03DD"/>
    <w:rsid w:val="00CB3E68"/>
    <w:rsid w:val="00CB54F6"/>
    <w:rsid w:val="00CC4236"/>
    <w:rsid w:val="00CC48AB"/>
    <w:rsid w:val="00CD2069"/>
    <w:rsid w:val="00CD280D"/>
    <w:rsid w:val="00CE13C8"/>
    <w:rsid w:val="00CF05C3"/>
    <w:rsid w:val="00D13D9A"/>
    <w:rsid w:val="00D14A8D"/>
    <w:rsid w:val="00D21198"/>
    <w:rsid w:val="00D2273E"/>
    <w:rsid w:val="00D41C0F"/>
    <w:rsid w:val="00D42D52"/>
    <w:rsid w:val="00D46FA2"/>
    <w:rsid w:val="00D5080D"/>
    <w:rsid w:val="00D56F5F"/>
    <w:rsid w:val="00D5776A"/>
    <w:rsid w:val="00D60A0B"/>
    <w:rsid w:val="00D61B37"/>
    <w:rsid w:val="00D63B96"/>
    <w:rsid w:val="00D647EF"/>
    <w:rsid w:val="00D86E28"/>
    <w:rsid w:val="00D92F66"/>
    <w:rsid w:val="00D934C4"/>
    <w:rsid w:val="00D95819"/>
    <w:rsid w:val="00DA7285"/>
    <w:rsid w:val="00DB59E1"/>
    <w:rsid w:val="00DC1581"/>
    <w:rsid w:val="00DC17FA"/>
    <w:rsid w:val="00DC3A1B"/>
    <w:rsid w:val="00DC5EC9"/>
    <w:rsid w:val="00DD1AC1"/>
    <w:rsid w:val="00DD3B64"/>
    <w:rsid w:val="00DD3E06"/>
    <w:rsid w:val="00DD505D"/>
    <w:rsid w:val="00DD7D49"/>
    <w:rsid w:val="00DE1052"/>
    <w:rsid w:val="00DF3AC7"/>
    <w:rsid w:val="00DF5C4E"/>
    <w:rsid w:val="00DF75D1"/>
    <w:rsid w:val="00E007F4"/>
    <w:rsid w:val="00E10DA7"/>
    <w:rsid w:val="00E1538C"/>
    <w:rsid w:val="00E20758"/>
    <w:rsid w:val="00E252E2"/>
    <w:rsid w:val="00E25DB6"/>
    <w:rsid w:val="00E276CD"/>
    <w:rsid w:val="00E32EDA"/>
    <w:rsid w:val="00E53137"/>
    <w:rsid w:val="00E702F6"/>
    <w:rsid w:val="00E749C6"/>
    <w:rsid w:val="00E762E7"/>
    <w:rsid w:val="00E77D5E"/>
    <w:rsid w:val="00E8580E"/>
    <w:rsid w:val="00E868BB"/>
    <w:rsid w:val="00E955C3"/>
    <w:rsid w:val="00EA37A9"/>
    <w:rsid w:val="00EA7026"/>
    <w:rsid w:val="00EB1C7F"/>
    <w:rsid w:val="00EB4FF6"/>
    <w:rsid w:val="00EC4074"/>
    <w:rsid w:val="00EC7520"/>
    <w:rsid w:val="00EE3542"/>
    <w:rsid w:val="00EE4731"/>
    <w:rsid w:val="00EE5E90"/>
    <w:rsid w:val="00EF113F"/>
    <w:rsid w:val="00EF4EC2"/>
    <w:rsid w:val="00F013BD"/>
    <w:rsid w:val="00F066C9"/>
    <w:rsid w:val="00F20822"/>
    <w:rsid w:val="00F2232A"/>
    <w:rsid w:val="00F26A70"/>
    <w:rsid w:val="00F340DF"/>
    <w:rsid w:val="00F35A7E"/>
    <w:rsid w:val="00F538BC"/>
    <w:rsid w:val="00F575E5"/>
    <w:rsid w:val="00F65970"/>
    <w:rsid w:val="00F70E87"/>
    <w:rsid w:val="00F72770"/>
    <w:rsid w:val="00F736E8"/>
    <w:rsid w:val="00F857B1"/>
    <w:rsid w:val="00F874CB"/>
    <w:rsid w:val="00F9092B"/>
    <w:rsid w:val="00F92D0F"/>
    <w:rsid w:val="00F92D22"/>
    <w:rsid w:val="00FA4543"/>
    <w:rsid w:val="00FA6B1F"/>
    <w:rsid w:val="00FB0650"/>
    <w:rsid w:val="00FB4D98"/>
    <w:rsid w:val="00FB54CB"/>
    <w:rsid w:val="00FB7BCE"/>
    <w:rsid w:val="00FC4E09"/>
    <w:rsid w:val="00FC76A3"/>
    <w:rsid w:val="00FD654B"/>
    <w:rsid w:val="00FE17D3"/>
    <w:rsid w:val="00FE2099"/>
    <w:rsid w:val="00FE675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688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A688B"/>
  </w:style>
  <w:style w:type="character" w:customStyle="1" w:styleId="Hypertext">
    <w:name w:val="Hypertext"/>
    <w:rsid w:val="000A688B"/>
    <w:rPr>
      <w:color w:val="0000FF"/>
      <w:u w:val="single"/>
    </w:rPr>
  </w:style>
  <w:style w:type="paragraph" w:customStyle="1" w:styleId="Level1">
    <w:name w:val="Level 1"/>
    <w:basedOn w:val="Normal"/>
    <w:rsid w:val="000A688B"/>
    <w:pPr>
      <w:ind w:left="1440" w:hanging="720"/>
    </w:pPr>
  </w:style>
  <w:style w:type="character" w:customStyle="1" w:styleId="1">
    <w:name w:val="1"/>
    <w:rsid w:val="000A688B"/>
  </w:style>
  <w:style w:type="paragraph" w:styleId="Caption">
    <w:name w:val="caption"/>
    <w:basedOn w:val="Normal"/>
    <w:next w:val="Normal"/>
    <w:qFormat/>
    <w:rsid w:val="00B472B4"/>
    <w:pPr>
      <w:spacing w:before="120" w:after="120"/>
    </w:pPr>
    <w:rPr>
      <w:rFonts w:ascii="Courier New" w:hAnsi="Courier New"/>
      <w:b/>
      <w:bCs/>
      <w:sz w:val="20"/>
      <w:szCs w:val="20"/>
    </w:rPr>
  </w:style>
  <w:style w:type="character" w:styleId="CommentReference">
    <w:name w:val="annotation reference"/>
    <w:basedOn w:val="DefaultParagraphFont"/>
    <w:semiHidden/>
    <w:rsid w:val="0037510E"/>
    <w:rPr>
      <w:sz w:val="16"/>
      <w:szCs w:val="16"/>
    </w:rPr>
  </w:style>
  <w:style w:type="paragraph" w:styleId="CommentText">
    <w:name w:val="annotation text"/>
    <w:basedOn w:val="Normal"/>
    <w:semiHidden/>
    <w:rsid w:val="0037510E"/>
    <w:rPr>
      <w:sz w:val="20"/>
      <w:szCs w:val="20"/>
    </w:rPr>
  </w:style>
  <w:style w:type="paragraph" w:styleId="CommentSubject">
    <w:name w:val="annotation subject"/>
    <w:basedOn w:val="CommentText"/>
    <w:next w:val="CommentText"/>
    <w:semiHidden/>
    <w:rsid w:val="0037510E"/>
    <w:rPr>
      <w:b/>
      <w:bCs/>
    </w:rPr>
  </w:style>
  <w:style w:type="paragraph" w:styleId="BalloonText">
    <w:name w:val="Balloon Text"/>
    <w:basedOn w:val="Normal"/>
    <w:semiHidden/>
    <w:rsid w:val="0037510E"/>
    <w:rPr>
      <w:rFonts w:ascii="Tahoma" w:hAnsi="Tahoma" w:cs="Tahoma"/>
      <w:sz w:val="16"/>
      <w:szCs w:val="16"/>
    </w:rPr>
  </w:style>
  <w:style w:type="paragraph" w:styleId="Header">
    <w:name w:val="header"/>
    <w:basedOn w:val="Normal"/>
    <w:rsid w:val="00F65970"/>
    <w:pPr>
      <w:tabs>
        <w:tab w:val="center" w:pos="4320"/>
        <w:tab w:val="right" w:pos="8640"/>
      </w:tabs>
    </w:pPr>
  </w:style>
  <w:style w:type="paragraph" w:styleId="Footer">
    <w:name w:val="footer"/>
    <w:basedOn w:val="Normal"/>
    <w:rsid w:val="00F65970"/>
    <w:pPr>
      <w:tabs>
        <w:tab w:val="center" w:pos="4320"/>
        <w:tab w:val="right" w:pos="8640"/>
      </w:tabs>
    </w:pPr>
  </w:style>
  <w:style w:type="paragraph" w:styleId="Revision">
    <w:name w:val="Revision"/>
    <w:hidden/>
    <w:uiPriority w:val="99"/>
    <w:semiHidden/>
    <w:rsid w:val="009F0B61"/>
    <w:rPr>
      <w:sz w:val="24"/>
      <w:szCs w:val="24"/>
    </w:rPr>
  </w:style>
  <w:style w:type="paragraph" w:customStyle="1" w:styleId="GHGPARAGRAPH">
    <w:name w:val="___GHG PARAGRAPH"/>
    <w:link w:val="GHGPARAGRAPHCharChar"/>
    <w:rsid w:val="00D86E28"/>
    <w:pPr>
      <w:spacing w:line="480" w:lineRule="auto"/>
      <w:ind w:firstLine="720"/>
    </w:pPr>
    <w:rPr>
      <w:rFonts w:ascii="Courier New" w:hAnsi="Courier New" w:cs="Courier New"/>
      <w:bCs/>
      <w:sz w:val="24"/>
      <w:szCs w:val="24"/>
    </w:rPr>
  </w:style>
  <w:style w:type="character" w:customStyle="1" w:styleId="GHGPARAGRAPHCharChar">
    <w:name w:val="___GHG PARAGRAPH Char Char"/>
    <w:basedOn w:val="DefaultParagraphFont"/>
    <w:link w:val="GHGPARAGRAPH"/>
    <w:rsid w:val="00D86E28"/>
    <w:rPr>
      <w:rFonts w:ascii="Courier New" w:hAnsi="Courier New" w:cs="Courier New"/>
      <w:bCs/>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45525642">
      <w:bodyDiv w:val="1"/>
      <w:marLeft w:val="0"/>
      <w:marRight w:val="0"/>
      <w:marTop w:val="0"/>
      <w:marBottom w:val="0"/>
      <w:divBdr>
        <w:top w:val="none" w:sz="0" w:space="0" w:color="auto"/>
        <w:left w:val="none" w:sz="0" w:space="0" w:color="auto"/>
        <w:bottom w:val="none" w:sz="0" w:space="0" w:color="auto"/>
        <w:right w:val="none" w:sz="0" w:space="0" w:color="auto"/>
      </w:divBdr>
    </w:div>
    <w:div w:id="142364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EA1B3-3880-4A18-8781-0908FA20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7297</Words>
  <Characters>41598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Company>
  <LinksUpToDate>false</LinksUpToDate>
  <CharactersWithSpaces>48798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rmarshal</dc:creator>
  <cp:keywords/>
  <dc:description/>
  <cp:lastModifiedBy>EPA</cp:lastModifiedBy>
  <cp:revision>2</cp:revision>
  <cp:lastPrinted>2011-02-18T15:32:00Z</cp:lastPrinted>
  <dcterms:created xsi:type="dcterms:W3CDTF">2011-02-18T21:45:00Z</dcterms:created>
  <dcterms:modified xsi:type="dcterms:W3CDTF">2011-02-18T21:45:00Z</dcterms:modified>
</cp:coreProperties>
</file>