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6B" w:rsidRDefault="005F73F2" w:rsidP="0057066B">
      <w:pPr>
        <w:spacing w:after="0" w:line="240" w:lineRule="auto"/>
        <w:rPr>
          <w:rFonts w:ascii="Times New Roman" w:hAnsi="Times New Roman"/>
          <w:sz w:val="24"/>
          <w:szCs w:val="24"/>
        </w:rPr>
      </w:pPr>
      <w:r>
        <w:rPr>
          <w:rFonts w:ascii="Times New Roman" w:hAnsi="Times New Roman"/>
          <w:noProof/>
          <w:sz w:val="24"/>
          <w:szCs w:val="24"/>
        </w:rPr>
        <w:pict>
          <v:rect id="_x0000_s1026" style="position:absolute;margin-left:26.25pt;margin-top:-46.5pt;width:415.5pt;height:48pt;z-index:251657216;mso-position-horizontal-relative:margin;mso-position-vertical-relative:margin">
            <v:textbox style="mso-next-textbox:#_x0000_s1026">
              <w:txbxContent>
                <w:p w:rsidR="00BD0138" w:rsidRPr="004226A7" w:rsidRDefault="00BD0138"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BD0138" w:rsidRPr="00671D23" w:rsidRDefault="00BD0138" w:rsidP="0057066B">
                  <w:pPr>
                    <w:shd w:val="clear" w:color="auto" w:fill="D9D9D9"/>
                    <w:jc w:val="center"/>
                    <w:rPr>
                      <w:rFonts w:ascii="Times New Roman" w:hAnsi="Times New Roman"/>
                      <w:sz w:val="32"/>
                      <w:szCs w:val="32"/>
                    </w:rPr>
                  </w:pPr>
                  <w:r>
                    <w:rPr>
                      <w:rFonts w:ascii="Times New Roman" w:hAnsi="Times New Roman"/>
                      <w:sz w:val="32"/>
                      <w:szCs w:val="32"/>
                    </w:rPr>
                    <w:t>Progress Update</w:t>
                  </w:r>
                  <w:r w:rsidR="00590969">
                    <w:rPr>
                      <w:rFonts w:ascii="Times New Roman" w:hAnsi="Times New Roman"/>
                      <w:sz w:val="32"/>
                      <w:szCs w:val="32"/>
                    </w:rPr>
                    <w:t xml:space="preserve"> – On-site Review</w:t>
                  </w:r>
                </w:p>
              </w:txbxContent>
            </v:textbox>
            <w10:wrap type="square" anchorx="margin" anchory="margin"/>
          </v:rect>
        </w:pict>
      </w:r>
    </w:p>
    <w:p w:rsidR="00671D23" w:rsidRDefault="00671D23" w:rsidP="00671D23">
      <w:pPr>
        <w:spacing w:after="0" w:line="360" w:lineRule="auto"/>
        <w:rPr>
          <w:rFonts w:ascii="Times New Roman" w:hAnsi="Times New Roman"/>
          <w:b/>
          <w:sz w:val="24"/>
          <w:szCs w:val="24"/>
        </w:rPr>
      </w:pPr>
      <w:r w:rsidRPr="00F627C5">
        <w:rPr>
          <w:rFonts w:ascii="Times New Roman" w:hAnsi="Times New Roman"/>
          <w:b/>
          <w:sz w:val="24"/>
          <w:szCs w:val="24"/>
        </w:rPr>
        <w:t>State</w:t>
      </w:r>
      <w:r w:rsidRPr="00F627C5">
        <w:rPr>
          <w:rFonts w:ascii="Times New Roman" w:hAnsi="Times New Roman"/>
          <w:sz w:val="24"/>
          <w:szCs w:val="24"/>
        </w:rPr>
        <w:t>:</w:t>
      </w:r>
      <w:r w:rsidR="00590969">
        <w:rPr>
          <w:rFonts w:ascii="Times New Roman" w:hAnsi="Times New Roman"/>
          <w:b/>
          <w:sz w:val="24"/>
          <w:szCs w:val="24"/>
        </w:rPr>
        <w:t xml:space="preserve"> </w:t>
      </w:r>
      <w:r w:rsidR="00590969" w:rsidRPr="00590969">
        <w:rPr>
          <w:rFonts w:ascii="Times New Roman" w:hAnsi="Times New Roman"/>
          <w:b/>
          <w:sz w:val="24"/>
          <w:szCs w:val="24"/>
          <w:highlight w:val="yellow"/>
        </w:rPr>
        <w:t>Hawaii</w:t>
      </w:r>
    </w:p>
    <w:p w:rsidR="005E714D" w:rsidRDefault="005E714D" w:rsidP="0057066B">
      <w:pPr>
        <w:spacing w:after="0" w:line="240" w:lineRule="auto"/>
        <w:rPr>
          <w:rFonts w:ascii="Times New Roman" w:hAnsi="Times New Roman"/>
          <w:i/>
        </w:rPr>
      </w:pPr>
    </w:p>
    <w:p w:rsidR="00671D23" w:rsidRDefault="00F627C5" w:rsidP="0057066B">
      <w:pPr>
        <w:spacing w:after="0" w:line="240" w:lineRule="auto"/>
        <w:rPr>
          <w:rFonts w:ascii="Times New Roman" w:hAnsi="Times New Roman"/>
          <w:i/>
        </w:rPr>
      </w:pPr>
      <w:r w:rsidRPr="00465BC0">
        <w:rPr>
          <w:rFonts w:ascii="Times New Roman" w:hAnsi="Times New Roman"/>
          <w:b/>
          <w:u w:val="single"/>
        </w:rPr>
        <w:t>Part B:</w:t>
      </w:r>
      <w:r>
        <w:rPr>
          <w:rFonts w:ascii="Times New Roman" w:hAnsi="Times New Roman"/>
          <w:i/>
        </w:rPr>
        <w:t xml:space="preserve"> </w:t>
      </w:r>
      <w:r w:rsidR="0057066B" w:rsidRPr="0064106D">
        <w:rPr>
          <w:rFonts w:ascii="Times New Roman" w:hAnsi="Times New Roman"/>
          <w:i/>
        </w:rPr>
        <w:t xml:space="preserve">In preparation </w:t>
      </w:r>
      <w:r w:rsidR="00B65ED3">
        <w:rPr>
          <w:rFonts w:ascii="Times New Roman" w:hAnsi="Times New Roman"/>
          <w:i/>
        </w:rPr>
        <w:t>for</w:t>
      </w:r>
      <w:r w:rsidR="00B65ED3" w:rsidRPr="0064106D">
        <w:rPr>
          <w:rFonts w:ascii="Times New Roman" w:hAnsi="Times New Roman"/>
          <w:i/>
        </w:rPr>
        <w:t xml:space="preserve"> </w:t>
      </w:r>
      <w:r w:rsidR="0057066B" w:rsidRPr="0064106D">
        <w:rPr>
          <w:rFonts w:ascii="Times New Roman" w:hAnsi="Times New Roman"/>
          <w:i/>
        </w:rPr>
        <w:t>the on-site program review</w:t>
      </w:r>
      <w:r w:rsidR="005B6D1E">
        <w:rPr>
          <w:rFonts w:ascii="Times New Roman" w:hAnsi="Times New Roman"/>
          <w:i/>
        </w:rPr>
        <w:t xml:space="preserve"> and stocktakes</w:t>
      </w:r>
      <w:r w:rsidR="0057066B" w:rsidRPr="0064106D">
        <w:rPr>
          <w:rFonts w:ascii="Times New Roman" w:hAnsi="Times New Roman"/>
          <w:i/>
        </w:rPr>
        <w:t xml:space="preserve">, </w:t>
      </w:r>
      <w:r w:rsidR="00346153" w:rsidRPr="0064106D">
        <w:rPr>
          <w:rFonts w:ascii="Times New Roman" w:hAnsi="Times New Roman"/>
          <w:i/>
        </w:rPr>
        <w:t xml:space="preserve">the </w:t>
      </w:r>
      <w:r w:rsidR="003E65EE" w:rsidRPr="0064106D">
        <w:rPr>
          <w:rFonts w:ascii="Times New Roman" w:hAnsi="Times New Roman"/>
          <w:i/>
        </w:rPr>
        <w:t>State</w:t>
      </w:r>
      <w:r w:rsidR="0057066B" w:rsidRPr="0064106D">
        <w:rPr>
          <w:rFonts w:ascii="Times New Roman" w:hAnsi="Times New Roman"/>
          <w:i/>
        </w:rPr>
        <w:t xml:space="preserve"> </w:t>
      </w:r>
      <w:r w:rsidR="00346153" w:rsidRPr="0064106D">
        <w:rPr>
          <w:rFonts w:ascii="Times New Roman" w:hAnsi="Times New Roman"/>
          <w:i/>
        </w:rPr>
        <w:t xml:space="preserve">must update </w:t>
      </w:r>
      <w:r>
        <w:rPr>
          <w:rFonts w:ascii="Times New Roman" w:hAnsi="Times New Roman"/>
          <w:i/>
        </w:rPr>
        <w:t xml:space="preserve">and provide </w:t>
      </w:r>
      <w:r w:rsidRPr="0064106D">
        <w:rPr>
          <w:rFonts w:ascii="Times New Roman" w:hAnsi="Times New Roman"/>
          <w:i/>
        </w:rPr>
        <w:t xml:space="preserve">appropriate documentation to substantiate </w:t>
      </w:r>
      <w:r>
        <w:rPr>
          <w:rFonts w:ascii="Times New Roman" w:hAnsi="Times New Roman"/>
          <w:i/>
        </w:rPr>
        <w:t>its</w:t>
      </w:r>
      <w:r w:rsidRPr="0064106D">
        <w:rPr>
          <w:rFonts w:ascii="Times New Roman" w:hAnsi="Times New Roman"/>
          <w:i/>
        </w:rPr>
        <w:t xml:space="preserve"> responses </w:t>
      </w:r>
      <w:r w:rsidR="0057066B" w:rsidRPr="0064106D">
        <w:rPr>
          <w:rFonts w:ascii="Times New Roman" w:hAnsi="Times New Roman"/>
          <w:i/>
        </w:rPr>
        <w:t>for each application criterion</w:t>
      </w:r>
      <w:r w:rsidR="0099407B">
        <w:rPr>
          <w:rFonts w:ascii="Times New Roman" w:hAnsi="Times New Roman"/>
          <w:i/>
        </w:rPr>
        <w:t>.</w:t>
      </w:r>
      <w:r w:rsidR="001427B5" w:rsidRPr="001427B5">
        <w:rPr>
          <w:rStyle w:val="FootnoteReference"/>
          <w:rFonts w:ascii="Times New Roman" w:hAnsi="Times New Roman"/>
          <w:i/>
        </w:rPr>
        <w:t xml:space="preserve"> </w:t>
      </w:r>
      <w:r w:rsidR="001427B5">
        <w:rPr>
          <w:rStyle w:val="FootnoteReference"/>
          <w:rFonts w:ascii="Times New Roman" w:hAnsi="Times New Roman"/>
          <w:i/>
        </w:rPr>
        <w:footnoteReference w:id="1"/>
      </w:r>
      <w:r w:rsidR="00346153" w:rsidRPr="0064106D">
        <w:rPr>
          <w:rFonts w:ascii="Times New Roman" w:hAnsi="Times New Roman"/>
          <w:i/>
        </w:rPr>
        <w:t xml:space="preserve"> </w:t>
      </w:r>
    </w:p>
    <w:p w:rsidR="00590969" w:rsidRPr="0064106D" w:rsidRDefault="00590969" w:rsidP="0057066B">
      <w:pPr>
        <w:spacing w:after="0" w:line="240" w:lineRule="auto"/>
        <w:rPr>
          <w:rFonts w:ascii="Times New Roman" w:hAnsi="Times New Roman"/>
          <w:i/>
        </w:rPr>
      </w:pPr>
    </w:p>
    <w:p w:rsidR="00590969" w:rsidRPr="00590969" w:rsidRDefault="00590969" w:rsidP="00590969">
      <w:pPr>
        <w:spacing w:after="0" w:line="360" w:lineRule="auto"/>
        <w:ind w:firstLine="360"/>
        <w:rPr>
          <w:rFonts w:ascii="Times New Roman" w:hAnsi="Times New Roman"/>
        </w:rPr>
      </w:pPr>
      <w:r w:rsidRPr="00590969">
        <w:rPr>
          <w:rFonts w:ascii="Times New Roman" w:hAnsi="Times New Roman"/>
        </w:rPr>
        <w:t xml:space="preserve">Assurance area: </w:t>
      </w:r>
      <w:r w:rsidRPr="00590969">
        <w:rPr>
          <w:rFonts w:ascii="Times New Roman" w:hAnsi="Times New Roman"/>
          <w:highlight w:val="yellow"/>
        </w:rPr>
        <w:t>B – Standards and Assessments</w:t>
      </w:r>
      <w:r w:rsidRPr="00590969">
        <w:rPr>
          <w:rFonts w:ascii="Times New Roman" w:hAnsi="Times New Roman"/>
        </w:rPr>
        <w:t xml:space="preserve">       </w:t>
      </w:r>
    </w:p>
    <w:p w:rsidR="00590969" w:rsidRPr="00590969" w:rsidRDefault="00590969" w:rsidP="00590969">
      <w:pPr>
        <w:spacing w:after="0" w:line="360" w:lineRule="auto"/>
        <w:ind w:left="360"/>
        <w:rPr>
          <w:rFonts w:ascii="Times New Roman" w:hAnsi="Times New Roman"/>
        </w:rPr>
      </w:pPr>
      <w:r w:rsidRPr="00590969">
        <w:rPr>
          <w:rFonts w:ascii="Times New Roman" w:hAnsi="Times New Roman"/>
        </w:rPr>
        <w:t xml:space="preserve">Application criterion: </w:t>
      </w:r>
      <w:r w:rsidRPr="00590969">
        <w:rPr>
          <w:rFonts w:ascii="Times New Roman" w:hAnsi="Times New Roman"/>
          <w:highlight w:val="yellow"/>
        </w:rPr>
        <w:t>B3 – Supporting the transitions to enhanced standards and high-quality assessments</w:t>
      </w:r>
    </w:p>
    <w:p w:rsidR="00590969" w:rsidRDefault="00590969" w:rsidP="00590969">
      <w:pPr>
        <w:spacing w:after="0" w:line="360" w:lineRule="auto"/>
        <w:ind w:left="360"/>
        <w:rPr>
          <w:rFonts w:ascii="Times New Roman" w:hAnsi="Times New Roman"/>
        </w:rPr>
      </w:pPr>
      <w:r w:rsidRPr="00590969">
        <w:rPr>
          <w:rFonts w:ascii="Times New Roman" w:hAnsi="Times New Roman"/>
        </w:rPr>
        <w:t>Relevant projects:</w:t>
      </w:r>
      <w:r w:rsidRPr="00590969">
        <w:rPr>
          <w:rFonts w:ascii="Times New Roman" w:hAnsi="Times New Roman"/>
          <w:highlight w:val="yellow"/>
        </w:rPr>
        <w:t>1) Common Core Standards Implementation, 2) Assessment Literacy, 3) End-of-course Assessments, and 4) Continuum of Proactive Student Supports for Early Intervention and Prevention</w:t>
      </w:r>
      <w:r w:rsidRPr="00590969">
        <w:rPr>
          <w:rFonts w:ascii="Times New Roman" w:hAnsi="Times New Roman"/>
        </w:rPr>
        <w:t xml:space="preserve"> </w:t>
      </w:r>
    </w:p>
    <w:p w:rsidR="00590969" w:rsidRPr="00590969" w:rsidRDefault="00590969" w:rsidP="00590969">
      <w:pPr>
        <w:spacing w:after="0" w:line="360" w:lineRule="auto"/>
        <w:ind w:left="360"/>
        <w:rPr>
          <w:rFonts w:ascii="Times New Roman" w:hAnsi="Times New Roman"/>
        </w:rPr>
      </w:pPr>
    </w:p>
    <w:p w:rsidR="00590969" w:rsidRDefault="00590969" w:rsidP="00590969">
      <w:pPr>
        <w:pStyle w:val="ListParagraph"/>
        <w:numPr>
          <w:ilvl w:val="0"/>
          <w:numId w:val="1"/>
        </w:numPr>
        <w:spacing w:after="0" w:line="240" w:lineRule="auto"/>
        <w:rPr>
          <w:rFonts w:ascii="Times New Roman" w:hAnsi="Times New Roman"/>
        </w:rPr>
      </w:pPr>
      <w:r w:rsidRPr="001B349E">
        <w:rPr>
          <w:rFonts w:ascii="Times New Roman" w:hAnsi="Times New Roman"/>
        </w:rPr>
        <w:t>What methods, tools, and processes is the State using to determine the progress toward goals and the quality of implementation of the activities described in this application criterion</w:t>
      </w:r>
      <w:r>
        <w:rPr>
          <w:rFonts w:ascii="Times New Roman" w:hAnsi="Times New Roman"/>
        </w:rPr>
        <w:t>?</w:t>
      </w:r>
      <w:r>
        <w:rPr>
          <w:rFonts w:ascii="Times New Roman" w:hAnsi="Times New Roman"/>
        </w:rPr>
        <w:br/>
      </w:r>
      <w:r>
        <w:rPr>
          <w:rFonts w:ascii="Times New Roman" w:hAnsi="Times New Roman"/>
        </w:rPr>
        <w:br/>
      </w:r>
      <w:r>
        <w:rPr>
          <w:rFonts w:ascii="Times New Roman" w:hAnsi="Times New Roman"/>
        </w:rPr>
        <w:br/>
      </w:r>
    </w:p>
    <w:p w:rsidR="00590969" w:rsidRPr="001B349E" w:rsidRDefault="00590969" w:rsidP="00590969">
      <w:pPr>
        <w:pStyle w:val="ListParagraph"/>
        <w:numPr>
          <w:ilvl w:val="0"/>
          <w:numId w:val="1"/>
        </w:numPr>
        <w:spacing w:after="0" w:line="240" w:lineRule="auto"/>
        <w:rPr>
          <w:rFonts w:ascii="Times New Roman" w:hAnsi="Times New Roman"/>
        </w:rPr>
      </w:pPr>
      <w:r w:rsidRPr="001B349E">
        <w:rPr>
          <w:rFonts w:ascii="Times New Roman" w:hAnsi="Times New Roman"/>
        </w:rPr>
        <w:t>Provide a narrative that demonstrates the extent of the State’s progress toward its goals and alignment to the scope of work.</w:t>
      </w:r>
      <w:r>
        <w:rPr>
          <w:rFonts w:ascii="Times New Roman" w:hAnsi="Times New Roman"/>
        </w:rPr>
        <w:br/>
      </w:r>
      <w:r>
        <w:rPr>
          <w:rFonts w:ascii="Times New Roman" w:hAnsi="Times New Roman"/>
        </w:rPr>
        <w:br/>
      </w:r>
      <w:r>
        <w:rPr>
          <w:rFonts w:ascii="Times New Roman" w:hAnsi="Times New Roman"/>
        </w:rPr>
        <w:br/>
      </w:r>
    </w:p>
    <w:p w:rsidR="00590969" w:rsidRPr="0064106D" w:rsidRDefault="00590969" w:rsidP="00590969">
      <w:pPr>
        <w:pStyle w:val="ListParagraph"/>
        <w:numPr>
          <w:ilvl w:val="0"/>
          <w:numId w:val="1"/>
        </w:numPr>
        <w:spacing w:after="0" w:line="240" w:lineRule="auto"/>
        <w:rPr>
          <w:rFonts w:ascii="Times New Roman" w:hAnsi="Times New Roman"/>
        </w:rPr>
      </w:pPr>
      <w:r w:rsidRPr="0064106D">
        <w:rPr>
          <w:rFonts w:ascii="Times New Roman" w:hAnsi="Times New Roman"/>
        </w:rPr>
        <w:t>What is the State</w:t>
      </w:r>
      <w:r>
        <w:rPr>
          <w:rFonts w:ascii="Times New Roman" w:hAnsi="Times New Roman"/>
        </w:rPr>
        <w:t>’s</w:t>
      </w:r>
      <w:r w:rsidRPr="0064106D">
        <w:rPr>
          <w:rFonts w:ascii="Times New Roman" w:hAnsi="Times New Roman"/>
        </w:rPr>
        <w:t xml:space="preserve"> assessment of the quality of implementation to date?</w:t>
      </w:r>
      <w:r>
        <w:rPr>
          <w:rFonts w:ascii="Times New Roman" w:hAnsi="Times New Roman"/>
        </w:rPr>
        <w:br/>
      </w:r>
      <w:r>
        <w:rPr>
          <w:rFonts w:ascii="Times New Roman" w:hAnsi="Times New Roman"/>
        </w:rPr>
        <w:br/>
      </w:r>
      <w:r>
        <w:rPr>
          <w:rFonts w:ascii="Times New Roman" w:hAnsi="Times New Roman"/>
        </w:rPr>
        <w:br/>
      </w:r>
    </w:p>
    <w:p w:rsidR="00590969" w:rsidRPr="0064106D" w:rsidRDefault="00590969" w:rsidP="00590969">
      <w:pPr>
        <w:pStyle w:val="ListParagraph"/>
        <w:numPr>
          <w:ilvl w:val="0"/>
          <w:numId w:val="1"/>
        </w:numPr>
        <w:spacing w:after="0" w:line="240" w:lineRule="auto"/>
        <w:rPr>
          <w:rFonts w:ascii="Times New Roman" w:hAnsi="Times New Roman"/>
        </w:rPr>
      </w:pPr>
      <w:r w:rsidRPr="0064106D">
        <w:rPr>
          <w:rFonts w:ascii="Times New Roman" w:hAnsi="Times New Roman"/>
        </w:rPr>
        <w:t xml:space="preserve">If the State is not on track with the goals, timelines and quality of implementation outlined in the scope of work, why </w:t>
      </w:r>
      <w:r>
        <w:rPr>
          <w:rFonts w:ascii="Times New Roman" w:hAnsi="Times New Roman"/>
        </w:rPr>
        <w:t xml:space="preserve">not, and what </w:t>
      </w:r>
      <w:r w:rsidRPr="0064106D">
        <w:rPr>
          <w:rFonts w:ascii="Times New Roman" w:hAnsi="Times New Roman"/>
        </w:rPr>
        <w:t>strategies is the State employing in order to meet its goals?</w:t>
      </w:r>
      <w:r>
        <w:rPr>
          <w:rFonts w:ascii="Times New Roman" w:hAnsi="Times New Roman"/>
        </w:rPr>
        <w:br/>
      </w:r>
      <w:r>
        <w:rPr>
          <w:rFonts w:ascii="Times New Roman" w:hAnsi="Times New Roman"/>
        </w:rPr>
        <w:br/>
      </w:r>
      <w:r>
        <w:rPr>
          <w:rFonts w:ascii="Times New Roman" w:hAnsi="Times New Roman"/>
        </w:rPr>
        <w:br/>
      </w:r>
    </w:p>
    <w:p w:rsidR="00590969" w:rsidRPr="0064106D" w:rsidRDefault="00590969" w:rsidP="00590969">
      <w:pPr>
        <w:pStyle w:val="ListParagraph"/>
        <w:numPr>
          <w:ilvl w:val="0"/>
          <w:numId w:val="1"/>
        </w:numPr>
        <w:spacing w:after="0" w:line="240" w:lineRule="auto"/>
        <w:rPr>
          <w:rFonts w:ascii="Times New Roman" w:hAnsi="Times New Roman"/>
        </w:rPr>
      </w:pPr>
      <w:r w:rsidRPr="0064106D">
        <w:rPr>
          <w:rFonts w:ascii="Times New Roman" w:hAnsi="Times New Roman"/>
        </w:rPr>
        <w:t>What are the potential obstacles and/or risks that could impact the State</w:t>
      </w:r>
      <w:r>
        <w:rPr>
          <w:rFonts w:ascii="Times New Roman" w:hAnsi="Times New Roman"/>
        </w:rPr>
        <w:t>’s</w:t>
      </w:r>
      <w:r w:rsidRPr="0064106D">
        <w:rPr>
          <w:rFonts w:ascii="Times New Roman" w:hAnsi="Times New Roman"/>
        </w:rPr>
        <w:t xml:space="preserve"> ability to achieve its goals?</w:t>
      </w:r>
      <w:r>
        <w:rPr>
          <w:rFonts w:ascii="Times New Roman" w:hAnsi="Times New Roman"/>
        </w:rPr>
        <w:br/>
      </w:r>
      <w:r>
        <w:rPr>
          <w:rFonts w:ascii="Times New Roman" w:hAnsi="Times New Roman"/>
        </w:rPr>
        <w:br/>
      </w:r>
      <w:r>
        <w:rPr>
          <w:rFonts w:ascii="Times New Roman" w:hAnsi="Times New Roman"/>
        </w:rPr>
        <w:br/>
      </w:r>
    </w:p>
    <w:p w:rsidR="00590969" w:rsidRPr="00465BC0" w:rsidRDefault="00590969" w:rsidP="00590969">
      <w:pPr>
        <w:pStyle w:val="ListParagraph"/>
        <w:spacing w:after="0" w:line="240" w:lineRule="auto"/>
        <w:ind w:left="0" w:firstLine="360"/>
        <w:rPr>
          <w:rFonts w:ascii="Times New Roman" w:hAnsi="Times New Roman"/>
          <w:i/>
        </w:rPr>
      </w:pPr>
      <w:r>
        <w:rPr>
          <w:rFonts w:ascii="Times New Roman" w:hAnsi="Times New Roman"/>
          <w:i/>
        </w:rPr>
        <w:t xml:space="preserve">Evaluation: </w:t>
      </w:r>
      <w:r w:rsidRPr="00465BC0">
        <w:rPr>
          <w:rFonts w:ascii="Times New Roman" w:hAnsi="Times New Roman"/>
          <w:i/>
        </w:rPr>
        <w:t xml:space="preserve">Performance and progress to </w:t>
      </w:r>
      <w:r w:rsidRPr="00AB69BB">
        <w:rPr>
          <w:rFonts w:ascii="Times New Roman" w:hAnsi="Times New Roman"/>
          <w:i/>
        </w:rPr>
        <w:t xml:space="preserve">date </w:t>
      </w:r>
      <w:r w:rsidRPr="00754A74">
        <w:rPr>
          <w:rFonts w:ascii="Times New Roman" w:hAnsi="Times New Roman"/>
          <w:i/>
        </w:rPr>
        <w:t>(choose one)</w:t>
      </w:r>
    </w:p>
    <w:p w:rsidR="00590969" w:rsidRDefault="00590969" w:rsidP="00590969">
      <w:pPr>
        <w:spacing w:after="0" w:line="240" w:lineRule="auto"/>
        <w:jc w:val="center"/>
        <w:rPr>
          <w:rFonts w:ascii="Times New Roman" w:hAnsi="Times New Roman"/>
        </w:rPr>
      </w:pPr>
      <w:r w:rsidRPr="002970A9">
        <w:rPr>
          <w:rFonts w:ascii="Times New Roman" w:hAnsi="Times New Roman"/>
        </w:rPr>
        <w:t>Problematic (1)</w:t>
      </w:r>
      <w:r>
        <w:rPr>
          <w:rFonts w:ascii="Times New Roman" w:hAnsi="Times New Roman"/>
        </w:rPr>
        <w:tab/>
        <w:t xml:space="preserve">     </w:t>
      </w:r>
      <w:r w:rsidRPr="002970A9">
        <w:rPr>
          <w:rFonts w:ascii="Times New Roman" w:hAnsi="Times New Roman"/>
        </w:rPr>
        <w:t>Weak (2)</w:t>
      </w:r>
      <w:r>
        <w:rPr>
          <w:rFonts w:ascii="Times New Roman" w:hAnsi="Times New Roman"/>
        </w:rPr>
        <w:t xml:space="preserve">     </w:t>
      </w:r>
      <w:r w:rsidRPr="002970A9">
        <w:rPr>
          <w:rFonts w:ascii="Times New Roman" w:hAnsi="Times New Roman"/>
        </w:rPr>
        <w:t>Adequate (3)</w:t>
      </w:r>
      <w:r>
        <w:rPr>
          <w:rFonts w:ascii="Times New Roman" w:hAnsi="Times New Roman"/>
        </w:rPr>
        <w:t xml:space="preserve">     </w:t>
      </w:r>
      <w:r w:rsidRPr="002970A9">
        <w:rPr>
          <w:rFonts w:ascii="Times New Roman" w:hAnsi="Times New Roman"/>
        </w:rPr>
        <w:t>Strong (4)</w:t>
      </w:r>
      <w:r>
        <w:rPr>
          <w:rFonts w:ascii="Times New Roman" w:hAnsi="Times New Roman"/>
        </w:rPr>
        <w:t xml:space="preserve">     </w:t>
      </w:r>
      <w:r w:rsidRPr="002970A9">
        <w:rPr>
          <w:rFonts w:ascii="Times New Roman" w:hAnsi="Times New Roman"/>
        </w:rPr>
        <w:t>Advanced (5)</w:t>
      </w:r>
    </w:p>
    <w:p w:rsidR="0057066B" w:rsidRDefault="0057066B" w:rsidP="0057066B">
      <w:pPr>
        <w:pStyle w:val="ListParagraph"/>
        <w:spacing w:after="0" w:line="240" w:lineRule="auto"/>
        <w:ind w:left="0"/>
        <w:rPr>
          <w:rFonts w:ascii="Times New Roman" w:hAnsi="Times New Roman"/>
          <w:b/>
        </w:rPr>
      </w:pPr>
    </w:p>
    <w:p w:rsidR="00671D23" w:rsidRDefault="00671D23" w:rsidP="00465BC0">
      <w:pPr>
        <w:tabs>
          <w:tab w:val="left" w:pos="7395"/>
        </w:tabs>
        <w:spacing w:after="0" w:line="240" w:lineRule="auto"/>
        <w:rPr>
          <w:rFonts w:ascii="Times New Roman" w:hAnsi="Times New Roman"/>
          <w:i/>
          <w:sz w:val="24"/>
          <w:szCs w:val="24"/>
        </w:rPr>
      </w:pPr>
    </w:p>
    <w:p w:rsidR="00590969" w:rsidRDefault="00590969">
      <w:pPr>
        <w:spacing w:after="0" w:line="240" w:lineRule="auto"/>
        <w:rPr>
          <w:rFonts w:ascii="Times New Roman" w:hAnsi="Times New Roman"/>
          <w:b/>
          <w:u w:val="single"/>
        </w:rPr>
      </w:pPr>
      <w:r>
        <w:rPr>
          <w:rFonts w:ascii="Times New Roman" w:hAnsi="Times New Roman"/>
          <w:b/>
          <w:u w:val="single"/>
        </w:rPr>
        <w:br w:type="page"/>
      </w:r>
    </w:p>
    <w:p w:rsidR="00671D23" w:rsidRDefault="00F627C5" w:rsidP="00671D23">
      <w:pPr>
        <w:spacing w:after="0" w:line="240" w:lineRule="auto"/>
        <w:rPr>
          <w:rFonts w:ascii="Times New Roman" w:hAnsi="Times New Roman"/>
          <w:i/>
        </w:rPr>
      </w:pPr>
      <w:r w:rsidRPr="00465BC0">
        <w:rPr>
          <w:rFonts w:ascii="Times New Roman" w:hAnsi="Times New Roman"/>
          <w:b/>
          <w:u w:val="single"/>
        </w:rPr>
        <w:lastRenderedPageBreak/>
        <w:t>Part C:</w:t>
      </w:r>
      <w:r>
        <w:rPr>
          <w:rFonts w:ascii="Times New Roman" w:hAnsi="Times New Roman"/>
          <w:i/>
        </w:rPr>
        <w:t xml:space="preserve"> </w:t>
      </w:r>
      <w:r w:rsidR="0057066B" w:rsidRPr="0064106D">
        <w:rPr>
          <w:rFonts w:ascii="Times New Roman" w:hAnsi="Times New Roman"/>
          <w:i/>
        </w:rPr>
        <w:t xml:space="preserve">In preparation </w:t>
      </w:r>
      <w:r w:rsidR="001427B5">
        <w:rPr>
          <w:rFonts w:ascii="Times New Roman" w:hAnsi="Times New Roman"/>
          <w:i/>
        </w:rPr>
        <w:t>for</w:t>
      </w:r>
      <w:r w:rsidR="0057066B" w:rsidRPr="0064106D">
        <w:rPr>
          <w:rFonts w:ascii="Times New Roman" w:hAnsi="Times New Roman"/>
          <w:i/>
        </w:rPr>
        <w:t xml:space="preserve"> the on-site program review and stocktakes, </w:t>
      </w:r>
      <w:r w:rsidR="00346153" w:rsidRPr="0064106D">
        <w:rPr>
          <w:rFonts w:ascii="Times New Roman" w:hAnsi="Times New Roman"/>
          <w:i/>
        </w:rPr>
        <w:t xml:space="preserve">States </w:t>
      </w:r>
      <w:r w:rsidR="005B6D1E">
        <w:rPr>
          <w:rFonts w:ascii="Times New Roman" w:hAnsi="Times New Roman"/>
          <w:i/>
        </w:rPr>
        <w:t>must</w:t>
      </w:r>
      <w:r w:rsidR="00346153" w:rsidRPr="0064106D">
        <w:rPr>
          <w:rFonts w:ascii="Times New Roman" w:hAnsi="Times New Roman"/>
          <w:i/>
        </w:rPr>
        <w:t xml:space="preserve"> </w:t>
      </w:r>
      <w:r w:rsidR="0057066B" w:rsidRPr="0064106D">
        <w:rPr>
          <w:rFonts w:ascii="Times New Roman" w:hAnsi="Times New Roman"/>
          <w:i/>
        </w:rPr>
        <w:t>answer the following questions and complete the evaluation for each assurance area (e.g.</w:t>
      </w:r>
      <w:r w:rsidR="00465BC0">
        <w:rPr>
          <w:rFonts w:ascii="Times New Roman" w:hAnsi="Times New Roman"/>
          <w:i/>
        </w:rPr>
        <w:t xml:space="preserve"> </w:t>
      </w:r>
      <w:r w:rsidR="00EE6C63">
        <w:rPr>
          <w:rFonts w:ascii="Times New Roman" w:hAnsi="Times New Roman"/>
          <w:i/>
        </w:rPr>
        <w:t>a</w:t>
      </w:r>
      <w:r w:rsidR="00465BC0">
        <w:rPr>
          <w:rFonts w:ascii="Times New Roman" w:hAnsi="Times New Roman"/>
          <w:i/>
        </w:rPr>
        <w:t xml:space="preserve">ssurance </w:t>
      </w:r>
      <w:r w:rsidR="00EE6C63">
        <w:rPr>
          <w:rFonts w:ascii="Times New Roman" w:hAnsi="Times New Roman"/>
          <w:i/>
        </w:rPr>
        <w:t>a</w:t>
      </w:r>
      <w:r w:rsidR="00465BC0">
        <w:rPr>
          <w:rFonts w:ascii="Times New Roman" w:hAnsi="Times New Roman"/>
          <w:i/>
        </w:rPr>
        <w:t>rea B</w:t>
      </w:r>
      <w:r w:rsidR="0057066B" w:rsidRPr="0064106D">
        <w:rPr>
          <w:rFonts w:ascii="Times New Roman" w:hAnsi="Times New Roman"/>
          <w:i/>
        </w:rPr>
        <w:t xml:space="preserve">) and </w:t>
      </w:r>
      <w:r w:rsidR="00B65ED3">
        <w:rPr>
          <w:rFonts w:ascii="Times New Roman" w:hAnsi="Times New Roman"/>
          <w:i/>
        </w:rPr>
        <w:t>for Priority 2</w:t>
      </w:r>
      <w:r w:rsidR="00465BC0">
        <w:rPr>
          <w:rFonts w:ascii="Times New Roman" w:hAnsi="Times New Roman"/>
          <w:i/>
        </w:rPr>
        <w:t xml:space="preserve"> (Science, Technology, Engineering and Math</w:t>
      </w:r>
      <w:r w:rsidR="00590969">
        <w:rPr>
          <w:rFonts w:ascii="Times New Roman" w:hAnsi="Times New Roman"/>
          <w:i/>
        </w:rPr>
        <w:t>, STEM</w:t>
      </w:r>
      <w:r w:rsidR="00465BC0">
        <w:rPr>
          <w:rFonts w:ascii="Times New Roman" w:hAnsi="Times New Roman"/>
          <w:i/>
        </w:rPr>
        <w:t>)</w:t>
      </w:r>
      <w:r w:rsidR="005B6D1E">
        <w:rPr>
          <w:rFonts w:ascii="Times New Roman" w:hAnsi="Times New Roman"/>
          <w:i/>
        </w:rPr>
        <w:t>.</w:t>
      </w:r>
      <w:r w:rsidR="0057066B" w:rsidRPr="0064106D">
        <w:rPr>
          <w:rFonts w:ascii="Times New Roman" w:hAnsi="Times New Roman"/>
          <w:i/>
        </w:rPr>
        <w:t xml:space="preserve"> </w:t>
      </w:r>
    </w:p>
    <w:p w:rsidR="00590969" w:rsidRPr="000E66E5" w:rsidRDefault="00590969" w:rsidP="00671D23">
      <w:pPr>
        <w:spacing w:after="0" w:line="240" w:lineRule="auto"/>
        <w:rPr>
          <w:rFonts w:ascii="Times New Roman" w:hAnsi="Times New Roman"/>
          <w:i/>
          <w:sz w:val="16"/>
          <w:szCs w:val="16"/>
        </w:rPr>
      </w:pPr>
    </w:p>
    <w:p w:rsidR="0057066B" w:rsidRPr="0064106D" w:rsidRDefault="00465BC0" w:rsidP="00671D23">
      <w:pPr>
        <w:spacing w:after="0" w:line="360" w:lineRule="auto"/>
        <w:ind w:firstLine="360"/>
        <w:rPr>
          <w:rFonts w:ascii="Times New Roman" w:hAnsi="Times New Roman"/>
        </w:rPr>
      </w:pPr>
      <w:r>
        <w:rPr>
          <w:rFonts w:ascii="Times New Roman" w:hAnsi="Times New Roman"/>
        </w:rPr>
        <w:t>A</w:t>
      </w:r>
      <w:r w:rsidR="00671D23" w:rsidRPr="0064106D">
        <w:rPr>
          <w:rFonts w:ascii="Times New Roman" w:hAnsi="Times New Roman"/>
        </w:rPr>
        <w:t xml:space="preserve">ssurance </w:t>
      </w:r>
      <w:r w:rsidR="00B65ED3">
        <w:rPr>
          <w:rFonts w:ascii="Times New Roman" w:hAnsi="Times New Roman"/>
        </w:rPr>
        <w:t>a</w:t>
      </w:r>
      <w:r w:rsidR="00671D23" w:rsidRPr="0064106D">
        <w:rPr>
          <w:rFonts w:ascii="Times New Roman" w:hAnsi="Times New Roman"/>
        </w:rPr>
        <w:t xml:space="preserve">rea: </w:t>
      </w:r>
      <w:r w:rsidR="00590969" w:rsidRPr="00590969">
        <w:rPr>
          <w:rFonts w:ascii="Times New Roman" w:hAnsi="Times New Roman"/>
          <w:highlight w:val="yellow"/>
        </w:rPr>
        <w:t>B- Standards and Assessments</w:t>
      </w:r>
    </w:p>
    <w:p w:rsidR="0057066B" w:rsidRDefault="0057066B" w:rsidP="0057066B">
      <w:pPr>
        <w:pStyle w:val="ListParagraph"/>
        <w:numPr>
          <w:ilvl w:val="0"/>
          <w:numId w:val="2"/>
        </w:numPr>
        <w:spacing w:after="0" w:line="240" w:lineRule="auto"/>
        <w:rPr>
          <w:rFonts w:ascii="Times New Roman" w:hAnsi="Times New Roman"/>
        </w:rPr>
      </w:pPr>
      <w:r w:rsidRPr="0064106D">
        <w:rPr>
          <w:rFonts w:ascii="Times New Roman" w:hAnsi="Times New Roman"/>
        </w:rPr>
        <w:t>How has the State</w:t>
      </w:r>
      <w:r w:rsidR="00B65ED3">
        <w:rPr>
          <w:rFonts w:ascii="Times New Roman" w:hAnsi="Times New Roman"/>
        </w:rPr>
        <w:t>’s</w:t>
      </w:r>
      <w:r w:rsidRPr="0064106D">
        <w:rPr>
          <w:rFonts w:ascii="Times New Roman" w:hAnsi="Times New Roman"/>
        </w:rPr>
        <w:t xml:space="preserve"> progress to date directly or indirectly impacted student achievement?</w:t>
      </w:r>
    </w:p>
    <w:p w:rsidR="00590969" w:rsidRDefault="00590969" w:rsidP="00590969">
      <w:pPr>
        <w:spacing w:after="0" w:line="240" w:lineRule="auto"/>
        <w:rPr>
          <w:rFonts w:ascii="Times New Roman" w:hAnsi="Times New Roman"/>
        </w:rPr>
      </w:pPr>
    </w:p>
    <w:p w:rsidR="00590969" w:rsidRDefault="00590969" w:rsidP="00590969">
      <w:pPr>
        <w:spacing w:after="0" w:line="240" w:lineRule="auto"/>
        <w:rPr>
          <w:rFonts w:ascii="Times New Roman" w:hAnsi="Times New Roman"/>
        </w:rPr>
      </w:pPr>
    </w:p>
    <w:p w:rsidR="00590969" w:rsidRPr="00590969" w:rsidRDefault="00590969" w:rsidP="00590969">
      <w:pPr>
        <w:spacing w:after="0" w:line="240" w:lineRule="auto"/>
        <w:rPr>
          <w:rFonts w:ascii="Times New Roman" w:hAnsi="Times New Roman"/>
        </w:rPr>
      </w:pPr>
    </w:p>
    <w:p w:rsidR="0057066B" w:rsidRDefault="0057066B" w:rsidP="0048756C">
      <w:pPr>
        <w:pStyle w:val="ListParagraph"/>
        <w:numPr>
          <w:ilvl w:val="0"/>
          <w:numId w:val="2"/>
        </w:numPr>
        <w:spacing w:after="0" w:line="240" w:lineRule="auto"/>
        <w:rPr>
          <w:rFonts w:ascii="Times New Roman" w:hAnsi="Times New Roman"/>
        </w:rPr>
      </w:pPr>
      <w:r w:rsidRPr="0064106D">
        <w:rPr>
          <w:rFonts w:ascii="Times New Roman" w:hAnsi="Times New Roman"/>
        </w:rPr>
        <w:t>Identify 2</w:t>
      </w:r>
      <w:r w:rsidR="00B65ED3">
        <w:rPr>
          <w:rFonts w:ascii="Times New Roman" w:hAnsi="Times New Roman"/>
        </w:rPr>
        <w:t xml:space="preserve"> to </w:t>
      </w:r>
      <w:r w:rsidRPr="0064106D">
        <w:rPr>
          <w:rFonts w:ascii="Times New Roman" w:hAnsi="Times New Roman"/>
        </w:rPr>
        <w:t>3 key deliverables that are essential for meeting the State</w:t>
      </w:r>
      <w:r w:rsidR="00590969">
        <w:rPr>
          <w:rFonts w:ascii="Times New Roman" w:hAnsi="Times New Roman"/>
        </w:rPr>
        <w:t>’</w:t>
      </w:r>
      <w:r w:rsidRPr="0064106D">
        <w:rPr>
          <w:rFonts w:ascii="Times New Roman" w:hAnsi="Times New Roman"/>
        </w:rPr>
        <w:t>s goals in th</w:t>
      </w:r>
      <w:r w:rsidR="002970A9">
        <w:rPr>
          <w:rFonts w:ascii="Times New Roman" w:hAnsi="Times New Roman"/>
        </w:rPr>
        <w:t>is</w:t>
      </w:r>
      <w:r w:rsidRPr="0064106D">
        <w:rPr>
          <w:rFonts w:ascii="Times New Roman" w:hAnsi="Times New Roman"/>
        </w:rPr>
        <w:t xml:space="preserve"> </w:t>
      </w:r>
      <w:r w:rsidR="00AB69BB">
        <w:rPr>
          <w:rFonts w:ascii="Times New Roman" w:hAnsi="Times New Roman"/>
        </w:rPr>
        <w:t>assurance area</w:t>
      </w:r>
      <w:r w:rsidR="00590969">
        <w:rPr>
          <w:rFonts w:ascii="Times New Roman" w:hAnsi="Times New Roman"/>
        </w:rPr>
        <w:t xml:space="preserve">/Priority 2: STEM. </w:t>
      </w:r>
    </w:p>
    <w:p w:rsidR="00590969" w:rsidRDefault="00590969" w:rsidP="00590969">
      <w:pPr>
        <w:spacing w:after="0" w:line="240" w:lineRule="auto"/>
        <w:rPr>
          <w:rFonts w:ascii="Times New Roman" w:hAnsi="Times New Roman"/>
        </w:rPr>
      </w:pPr>
    </w:p>
    <w:p w:rsidR="00590969" w:rsidRPr="00590969" w:rsidRDefault="00590969" w:rsidP="00590969">
      <w:pPr>
        <w:spacing w:after="0" w:line="240" w:lineRule="auto"/>
        <w:rPr>
          <w:rFonts w:ascii="Times New Roman" w:hAnsi="Times New Roman"/>
        </w:rPr>
      </w:pPr>
    </w:p>
    <w:p w:rsidR="0057066B" w:rsidRPr="000E66E5" w:rsidRDefault="0057066B" w:rsidP="0057066B">
      <w:pPr>
        <w:pStyle w:val="ListParagraph"/>
        <w:spacing w:after="0" w:line="240" w:lineRule="auto"/>
        <w:rPr>
          <w:rFonts w:ascii="Times New Roman" w:hAnsi="Times New Roman"/>
          <w:b/>
          <w:sz w:val="16"/>
          <w:szCs w:val="16"/>
        </w:rPr>
      </w:pPr>
    </w:p>
    <w:p w:rsidR="00F627C5" w:rsidRPr="00465BC0" w:rsidRDefault="0057066B" w:rsidP="00F627C5">
      <w:pPr>
        <w:pStyle w:val="ListParagraph"/>
        <w:spacing w:after="0" w:line="240" w:lineRule="auto"/>
        <w:ind w:left="0" w:firstLine="360"/>
        <w:rPr>
          <w:rFonts w:ascii="Times New Roman" w:hAnsi="Times New Roman"/>
          <w:i/>
        </w:rPr>
      </w:pPr>
      <w:r w:rsidRPr="00465BC0">
        <w:rPr>
          <w:rFonts w:ascii="Times New Roman" w:hAnsi="Times New Roman"/>
          <w:i/>
        </w:rPr>
        <w:t>Evaluation</w:t>
      </w:r>
      <w:r w:rsidR="00AB69BB">
        <w:rPr>
          <w:rFonts w:ascii="Times New Roman" w:hAnsi="Times New Roman"/>
          <w:i/>
        </w:rPr>
        <w:t>:</w:t>
      </w:r>
      <w:r w:rsidR="001427B5" w:rsidRPr="00465BC0">
        <w:rPr>
          <w:rStyle w:val="FootnoteReference"/>
          <w:rFonts w:ascii="Times New Roman" w:hAnsi="Times New Roman"/>
        </w:rPr>
        <w:t xml:space="preserve"> </w:t>
      </w:r>
      <w:r w:rsidR="001427B5" w:rsidRPr="00465BC0">
        <w:rPr>
          <w:rStyle w:val="FootnoteReference"/>
          <w:rFonts w:ascii="Times New Roman" w:hAnsi="Times New Roman"/>
        </w:rPr>
        <w:footnoteReference w:id="2"/>
      </w:r>
      <w:r w:rsidR="001427B5" w:rsidRPr="00465BC0">
        <w:rPr>
          <w:rStyle w:val="FootnoteReference"/>
          <w:rFonts w:ascii="Times New Roman" w:hAnsi="Times New Roman"/>
        </w:rPr>
        <w:t xml:space="preserve"> </w:t>
      </w:r>
      <w:r w:rsidRPr="00465BC0">
        <w:rPr>
          <w:rFonts w:ascii="Times New Roman" w:hAnsi="Times New Roman"/>
          <w:i/>
        </w:rPr>
        <w:t>Likelihood of reaching performance measures in this assurance area (</w:t>
      </w:r>
      <w:r w:rsidR="00E90E7D" w:rsidRPr="00465BC0">
        <w:rPr>
          <w:rFonts w:ascii="Times New Roman" w:hAnsi="Times New Roman"/>
          <w:i/>
        </w:rPr>
        <w:t xml:space="preserve">choose one)  </w:t>
      </w:r>
    </w:p>
    <w:p w:rsidR="0088735A" w:rsidRDefault="0057066B">
      <w:pPr>
        <w:spacing w:after="0" w:line="240" w:lineRule="auto"/>
        <w:jc w:val="center"/>
        <w:rPr>
          <w:rFonts w:ascii="Times New Roman" w:hAnsi="Times New Roman"/>
        </w:rPr>
      </w:pPr>
      <w:r w:rsidRPr="002970A9">
        <w:rPr>
          <w:rFonts w:ascii="Times New Roman" w:hAnsi="Times New Roman"/>
        </w:rPr>
        <w:t>Red (1</w:t>
      </w:r>
      <w:r w:rsidR="0099407B">
        <w:rPr>
          <w:rFonts w:ascii="Times New Roman" w:hAnsi="Times New Roman"/>
        </w:rPr>
        <w:t>)</w:t>
      </w:r>
      <w:r w:rsidR="00AB69BB">
        <w:rPr>
          <w:rFonts w:ascii="Times New Roman" w:hAnsi="Times New Roman"/>
        </w:rPr>
        <w:t xml:space="preserve">     </w:t>
      </w:r>
      <w:r w:rsidR="005B6D1E" w:rsidRPr="002970A9">
        <w:rPr>
          <w:rFonts w:ascii="Times New Roman" w:hAnsi="Times New Roman"/>
        </w:rPr>
        <w:t>Orange</w:t>
      </w:r>
      <w:r w:rsidRPr="002970A9">
        <w:rPr>
          <w:rFonts w:ascii="Times New Roman" w:hAnsi="Times New Roman"/>
        </w:rPr>
        <w:t xml:space="preserve"> (2)</w:t>
      </w:r>
      <w:r w:rsidR="00AB69BB">
        <w:rPr>
          <w:rFonts w:ascii="Times New Roman" w:hAnsi="Times New Roman"/>
        </w:rPr>
        <w:t xml:space="preserve">     </w:t>
      </w:r>
      <w:r w:rsidR="005B6D1E" w:rsidRPr="002970A9">
        <w:rPr>
          <w:rFonts w:ascii="Times New Roman" w:hAnsi="Times New Roman"/>
        </w:rPr>
        <w:t>Yellow</w:t>
      </w:r>
      <w:r w:rsidRPr="002970A9">
        <w:rPr>
          <w:rFonts w:ascii="Times New Roman" w:hAnsi="Times New Roman"/>
        </w:rPr>
        <w:t xml:space="preserve"> (3)</w:t>
      </w:r>
      <w:r w:rsidR="00AB69BB">
        <w:rPr>
          <w:rFonts w:ascii="Times New Roman" w:hAnsi="Times New Roman"/>
        </w:rPr>
        <w:t xml:space="preserve">     </w:t>
      </w:r>
      <w:r w:rsidRPr="002970A9">
        <w:rPr>
          <w:rFonts w:ascii="Times New Roman" w:hAnsi="Times New Roman"/>
        </w:rPr>
        <w:t>Green (4)</w:t>
      </w:r>
    </w:p>
    <w:p w:rsidR="00E05BD7" w:rsidRDefault="00E05BD7">
      <w:pPr>
        <w:spacing w:after="0" w:line="240" w:lineRule="auto"/>
        <w:rPr>
          <w:rFonts w:ascii="Times New Roman" w:hAnsi="Times New Roman"/>
        </w:rPr>
      </w:pPr>
      <w:r>
        <w:rPr>
          <w:rFonts w:ascii="Times New Roman" w:hAnsi="Times New Roman"/>
        </w:rPr>
        <w:br w:type="page"/>
      </w:r>
    </w:p>
    <w:tbl>
      <w:tblPr>
        <w:tblpPr w:leftFromText="180" w:rightFromText="180" w:vertAnchor="text" w:tblpY="601"/>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25"/>
        <w:gridCol w:w="7833"/>
      </w:tblGrid>
      <w:tr w:rsidR="00E05BD7" w:rsidRPr="008C73C0" w:rsidTr="00E05BD7">
        <w:trPr>
          <w:cantSplit/>
          <w:trHeight w:val="1610"/>
        </w:trPr>
        <w:tc>
          <w:tcPr>
            <w:tcW w:w="1725" w:type="dxa"/>
            <w:textDirection w:val="btLr"/>
          </w:tcPr>
          <w:p w:rsidR="00E05BD7" w:rsidRDefault="00E05BD7" w:rsidP="00E05BD7">
            <w:pPr>
              <w:spacing w:after="0" w:line="240" w:lineRule="auto"/>
              <w:ind w:left="113" w:right="113"/>
              <w:jc w:val="center"/>
              <w:rPr>
                <w:rFonts w:ascii="Times New Roman" w:hAnsi="Times New Roman"/>
                <w:b/>
                <w:sz w:val="20"/>
                <w:szCs w:val="20"/>
              </w:rPr>
            </w:pPr>
            <w:r w:rsidRPr="008C73C0">
              <w:rPr>
                <w:rFonts w:ascii="Times New Roman" w:hAnsi="Times New Roman"/>
                <w:b/>
                <w:sz w:val="20"/>
                <w:szCs w:val="20"/>
              </w:rPr>
              <w:lastRenderedPageBreak/>
              <w:t xml:space="preserve">Allocation of </w:t>
            </w:r>
          </w:p>
          <w:p w:rsidR="00E05BD7" w:rsidRPr="008C73C0" w:rsidRDefault="00E05BD7" w:rsidP="00E05BD7">
            <w:pPr>
              <w:spacing w:after="0" w:line="240" w:lineRule="auto"/>
              <w:ind w:left="113" w:right="113"/>
              <w:jc w:val="center"/>
              <w:rPr>
                <w:rFonts w:ascii="Times New Roman" w:hAnsi="Times New Roman"/>
                <w:b/>
                <w:sz w:val="20"/>
                <w:szCs w:val="20"/>
              </w:rPr>
            </w:pPr>
            <w:r w:rsidRPr="008C73C0">
              <w:rPr>
                <w:rFonts w:ascii="Times New Roman" w:hAnsi="Times New Roman"/>
                <w:b/>
                <w:sz w:val="20"/>
                <w:szCs w:val="20"/>
              </w:rPr>
              <w:t>Funds</w:t>
            </w:r>
          </w:p>
          <w:p w:rsidR="00E05BD7" w:rsidRPr="008C73C0" w:rsidRDefault="00E05BD7" w:rsidP="00E05BD7">
            <w:pPr>
              <w:spacing w:after="0" w:line="240" w:lineRule="auto"/>
              <w:ind w:left="113" w:right="113"/>
              <w:jc w:val="center"/>
              <w:rPr>
                <w:rFonts w:ascii="Times New Roman" w:hAnsi="Times New Roman"/>
                <w:sz w:val="20"/>
                <w:szCs w:val="20"/>
              </w:rPr>
            </w:pPr>
          </w:p>
          <w:p w:rsidR="00E05BD7" w:rsidRPr="008C73C0" w:rsidRDefault="00E05BD7" w:rsidP="00E05BD7">
            <w:pPr>
              <w:spacing w:after="0" w:line="240" w:lineRule="auto"/>
              <w:ind w:left="113" w:right="113"/>
              <w:jc w:val="center"/>
              <w:rPr>
                <w:rFonts w:ascii="Times New Roman" w:hAnsi="Times New Roman"/>
                <w:b/>
                <w:sz w:val="20"/>
                <w:szCs w:val="20"/>
              </w:rPr>
            </w:pPr>
          </w:p>
        </w:tc>
        <w:tc>
          <w:tcPr>
            <w:tcW w:w="7833" w:type="dxa"/>
          </w:tcPr>
          <w:p w:rsidR="00E05BD7" w:rsidRPr="008C73C0" w:rsidRDefault="00E05BD7" w:rsidP="00E05BD7">
            <w:pPr>
              <w:spacing w:after="0" w:line="240" w:lineRule="auto"/>
              <w:rPr>
                <w:rFonts w:ascii="Times New Roman" w:hAnsi="Times New Roman"/>
                <w:sz w:val="20"/>
                <w:szCs w:val="20"/>
              </w:rPr>
            </w:pPr>
            <w:r w:rsidRPr="008C73C0">
              <w:rPr>
                <w:rFonts w:ascii="Times New Roman" w:hAnsi="Times New Roman"/>
                <w:b/>
                <w:sz w:val="20"/>
                <w:szCs w:val="20"/>
              </w:rPr>
              <w:t xml:space="preserve">Requirement: </w:t>
            </w:r>
            <w:r w:rsidRPr="008C73C0">
              <w:rPr>
                <w:rFonts w:ascii="Times New Roman" w:hAnsi="Times New Roman"/>
                <w:sz w:val="20"/>
                <w:szCs w:val="20"/>
              </w:rPr>
              <w:t>The State allocated funds to participating LEAs based on their relative share of funding under Title I, Part A of the Elementary and Secondary Education Act of 1965.</w:t>
            </w:r>
          </w:p>
          <w:p w:rsidR="00E05BD7" w:rsidRPr="008C73C0" w:rsidRDefault="00E05BD7" w:rsidP="00E05BD7">
            <w:pPr>
              <w:spacing w:after="0" w:line="240" w:lineRule="auto"/>
              <w:rPr>
                <w:rFonts w:ascii="Times New Roman" w:hAnsi="Times New Roman"/>
                <w:sz w:val="20"/>
                <w:szCs w:val="20"/>
              </w:rPr>
            </w:pPr>
          </w:p>
          <w:p w:rsidR="00E05BD7" w:rsidRPr="008C73C0" w:rsidRDefault="00E05BD7" w:rsidP="00E05BD7">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E05BD7" w:rsidRPr="008C73C0" w:rsidRDefault="00E05BD7" w:rsidP="00E05BD7">
            <w:pPr>
              <w:numPr>
                <w:ilvl w:val="2"/>
                <w:numId w:val="7"/>
              </w:numPr>
              <w:spacing w:after="0" w:line="240" w:lineRule="auto"/>
              <w:ind w:left="252" w:hanging="162"/>
              <w:rPr>
                <w:rFonts w:ascii="Times New Roman" w:hAnsi="Times New Roman"/>
                <w:b/>
                <w:sz w:val="20"/>
                <w:szCs w:val="20"/>
              </w:rPr>
            </w:pPr>
            <w:r>
              <w:rPr>
                <w:rFonts w:ascii="Times New Roman" w:hAnsi="Times New Roman"/>
                <w:sz w:val="20"/>
                <w:szCs w:val="20"/>
              </w:rPr>
              <w:t>A</w:t>
            </w:r>
            <w:r w:rsidRPr="008C73C0">
              <w:rPr>
                <w:rFonts w:ascii="Times New Roman" w:hAnsi="Times New Roman"/>
                <w:sz w:val="20"/>
                <w:szCs w:val="20"/>
              </w:rPr>
              <w:t xml:space="preserve">llocation </w:t>
            </w:r>
            <w:r>
              <w:rPr>
                <w:rFonts w:ascii="Times New Roman" w:hAnsi="Times New Roman"/>
                <w:sz w:val="20"/>
                <w:szCs w:val="20"/>
              </w:rPr>
              <w:t xml:space="preserve">and disbursement </w:t>
            </w:r>
            <w:r w:rsidRPr="008C73C0">
              <w:rPr>
                <w:rFonts w:ascii="Times New Roman" w:hAnsi="Times New Roman"/>
                <w:sz w:val="20"/>
                <w:szCs w:val="20"/>
              </w:rPr>
              <w:t>information</w:t>
            </w:r>
          </w:p>
          <w:p w:rsidR="00E05BD7" w:rsidRPr="008C73C0" w:rsidRDefault="00E05BD7" w:rsidP="00E05BD7">
            <w:pPr>
              <w:numPr>
                <w:ilvl w:val="2"/>
                <w:numId w:val="7"/>
              </w:numPr>
              <w:spacing w:after="0" w:line="240" w:lineRule="auto"/>
              <w:ind w:left="252" w:hanging="162"/>
              <w:rPr>
                <w:rFonts w:ascii="Times New Roman" w:hAnsi="Times New Roman"/>
                <w:b/>
                <w:sz w:val="20"/>
                <w:szCs w:val="20"/>
              </w:rPr>
            </w:pPr>
            <w:r w:rsidRPr="008C73C0">
              <w:rPr>
                <w:rFonts w:ascii="Times New Roman" w:hAnsi="Times New Roman"/>
                <w:sz w:val="20"/>
                <w:szCs w:val="20"/>
              </w:rPr>
              <w:t>LEA budgets for scope of work</w:t>
            </w:r>
            <w:r>
              <w:rPr>
                <w:rFonts w:ascii="Times New Roman" w:hAnsi="Times New Roman"/>
                <w:sz w:val="20"/>
                <w:szCs w:val="20"/>
              </w:rPr>
              <w:t xml:space="preserve"> activities</w:t>
            </w:r>
          </w:p>
        </w:tc>
      </w:tr>
      <w:tr w:rsidR="00E05BD7" w:rsidRPr="008C73C0" w:rsidTr="00E05BD7">
        <w:trPr>
          <w:cantSplit/>
          <w:trHeight w:val="5213"/>
        </w:trPr>
        <w:tc>
          <w:tcPr>
            <w:tcW w:w="1725" w:type="dxa"/>
            <w:textDirection w:val="btLr"/>
          </w:tcPr>
          <w:p w:rsidR="00E05BD7" w:rsidRPr="008C73C0" w:rsidRDefault="00E05BD7" w:rsidP="00E05BD7">
            <w:pPr>
              <w:spacing w:after="0" w:line="240" w:lineRule="auto"/>
              <w:ind w:left="113" w:right="113"/>
              <w:jc w:val="center"/>
              <w:rPr>
                <w:rFonts w:ascii="Times New Roman" w:hAnsi="Times New Roman"/>
                <w:b/>
                <w:sz w:val="20"/>
                <w:szCs w:val="20"/>
              </w:rPr>
            </w:pPr>
            <w:r w:rsidRPr="008C73C0">
              <w:rPr>
                <w:rFonts w:ascii="Times New Roman" w:hAnsi="Times New Roman"/>
                <w:b/>
                <w:sz w:val="20"/>
                <w:szCs w:val="20"/>
              </w:rPr>
              <w:t>Fiscal Management</w:t>
            </w:r>
          </w:p>
          <w:p w:rsidR="00E05BD7" w:rsidRPr="008C73C0" w:rsidRDefault="00E05BD7" w:rsidP="00E05BD7">
            <w:pPr>
              <w:spacing w:line="240" w:lineRule="auto"/>
              <w:ind w:left="113" w:right="113"/>
              <w:jc w:val="center"/>
              <w:rPr>
                <w:rFonts w:ascii="Times New Roman" w:hAnsi="Times New Roman"/>
                <w:bCs/>
                <w:i/>
                <w:sz w:val="20"/>
                <w:szCs w:val="20"/>
              </w:rPr>
            </w:pPr>
            <w:r w:rsidRPr="008C73C0">
              <w:rPr>
                <w:rFonts w:ascii="Times New Roman" w:hAnsi="Times New Roman"/>
                <w:bCs/>
                <w:i/>
                <w:sz w:val="20"/>
                <w:szCs w:val="20"/>
              </w:rPr>
              <w:t xml:space="preserve">EDGAR 80.20, 80.21, </w:t>
            </w:r>
            <w:r>
              <w:rPr>
                <w:rFonts w:ascii="Times New Roman" w:hAnsi="Times New Roman"/>
                <w:bCs/>
                <w:i/>
                <w:sz w:val="20"/>
                <w:szCs w:val="20"/>
              </w:rPr>
              <w:br/>
            </w:r>
            <w:r w:rsidRPr="008C73C0">
              <w:rPr>
                <w:rFonts w:ascii="Times New Roman" w:hAnsi="Times New Roman"/>
                <w:bCs/>
                <w:i/>
                <w:sz w:val="20"/>
                <w:szCs w:val="20"/>
              </w:rPr>
              <w:t xml:space="preserve">and ARRA Sections 14002(b), 14003, 14004, </w:t>
            </w:r>
            <w:r>
              <w:rPr>
                <w:rFonts w:ascii="Times New Roman" w:hAnsi="Times New Roman"/>
                <w:bCs/>
                <w:i/>
                <w:sz w:val="20"/>
                <w:szCs w:val="20"/>
              </w:rPr>
              <w:br/>
            </w:r>
            <w:r w:rsidRPr="008C73C0">
              <w:rPr>
                <w:rFonts w:ascii="Times New Roman" w:hAnsi="Times New Roman"/>
                <w:bCs/>
                <w:i/>
                <w:sz w:val="20"/>
                <w:szCs w:val="20"/>
              </w:rPr>
              <w:t>1604, 1605, and 1606</w:t>
            </w:r>
          </w:p>
          <w:p w:rsidR="00E05BD7" w:rsidRPr="008C73C0" w:rsidRDefault="00E05BD7" w:rsidP="00E05BD7">
            <w:pPr>
              <w:spacing w:line="240" w:lineRule="auto"/>
              <w:ind w:left="113" w:right="113"/>
              <w:jc w:val="center"/>
              <w:rPr>
                <w:rFonts w:ascii="Times New Roman" w:hAnsi="Times New Roman"/>
                <w:b/>
                <w:sz w:val="20"/>
                <w:szCs w:val="20"/>
                <w:u w:val="single"/>
              </w:rPr>
            </w:pPr>
          </w:p>
        </w:tc>
        <w:tc>
          <w:tcPr>
            <w:tcW w:w="7833" w:type="dxa"/>
          </w:tcPr>
          <w:p w:rsidR="00E05BD7" w:rsidRPr="008C73C0" w:rsidRDefault="00E05BD7" w:rsidP="00E05BD7">
            <w:pPr>
              <w:spacing w:line="240" w:lineRule="auto"/>
              <w:rPr>
                <w:rFonts w:ascii="Times New Roman" w:hAnsi="Times New Roman"/>
                <w:b/>
                <w:sz w:val="20"/>
                <w:szCs w:val="20"/>
              </w:rPr>
            </w:pPr>
            <w:r w:rsidRPr="008C73C0">
              <w:rPr>
                <w:rFonts w:ascii="Times New Roman" w:hAnsi="Times New Roman"/>
                <w:b/>
                <w:sz w:val="20"/>
                <w:szCs w:val="20"/>
              </w:rPr>
              <w:t xml:space="preserve">Requirement: </w:t>
            </w:r>
            <w:r w:rsidRPr="008C73C0">
              <w:rPr>
                <w:rFonts w:ascii="Times New Roman" w:hAnsi="Times New Roman"/>
                <w:sz w:val="20"/>
                <w:szCs w:val="20"/>
              </w:rPr>
              <w:t xml:space="preserve">The State is practicing fiscal responsibility and administering the use of Race to the Top funds (both internally and externally with LEAs and contractors) to ensure compliance with Federal regulations and prevent fraud, waste, and abuse.  </w:t>
            </w:r>
          </w:p>
          <w:p w:rsidR="00E05BD7" w:rsidRPr="008C73C0" w:rsidRDefault="00E05BD7" w:rsidP="00E05BD7">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E05BD7" w:rsidRPr="008C73C0" w:rsidRDefault="00E05BD7" w:rsidP="00E05BD7">
            <w:pPr>
              <w:numPr>
                <w:ilvl w:val="2"/>
                <w:numId w:val="6"/>
              </w:numPr>
              <w:spacing w:after="0" w:line="240" w:lineRule="auto"/>
              <w:ind w:left="252" w:hanging="162"/>
              <w:rPr>
                <w:rFonts w:ascii="Times New Roman" w:hAnsi="Times New Roman"/>
                <w:sz w:val="20"/>
                <w:szCs w:val="20"/>
              </w:rPr>
            </w:pPr>
            <w:r w:rsidRPr="008C73C0">
              <w:rPr>
                <w:rFonts w:ascii="Times New Roman" w:hAnsi="Times New Roman"/>
                <w:sz w:val="20"/>
                <w:szCs w:val="20"/>
              </w:rPr>
              <w:t xml:space="preserve">The State Chart of Accounts identifying all </w:t>
            </w:r>
            <w:proofErr w:type="gramStart"/>
            <w:r w:rsidRPr="008C73C0">
              <w:rPr>
                <w:rFonts w:ascii="Times New Roman" w:hAnsi="Times New Roman"/>
                <w:sz w:val="20"/>
                <w:szCs w:val="20"/>
              </w:rPr>
              <w:t>Race</w:t>
            </w:r>
            <w:proofErr w:type="gramEnd"/>
            <w:r w:rsidRPr="008C73C0">
              <w:rPr>
                <w:rFonts w:ascii="Times New Roman" w:hAnsi="Times New Roman"/>
                <w:sz w:val="20"/>
                <w:szCs w:val="20"/>
              </w:rPr>
              <w:t xml:space="preserve"> to the Top related fund, program, and account codes</w:t>
            </w:r>
            <w:r>
              <w:rPr>
                <w:rFonts w:ascii="Times New Roman" w:hAnsi="Times New Roman"/>
                <w:sz w:val="20"/>
                <w:szCs w:val="20"/>
              </w:rPr>
              <w:t>.</w:t>
            </w:r>
          </w:p>
          <w:p w:rsidR="00E05BD7" w:rsidRPr="008C73C0" w:rsidRDefault="00E05BD7" w:rsidP="00E05BD7">
            <w:pPr>
              <w:numPr>
                <w:ilvl w:val="2"/>
                <w:numId w:val="6"/>
              </w:numPr>
              <w:spacing w:after="0" w:line="240" w:lineRule="auto"/>
              <w:ind w:left="252" w:hanging="162"/>
              <w:rPr>
                <w:rFonts w:ascii="Times New Roman" w:hAnsi="Times New Roman"/>
                <w:sz w:val="20"/>
                <w:szCs w:val="20"/>
              </w:rPr>
            </w:pPr>
            <w:r w:rsidRPr="008C73C0">
              <w:rPr>
                <w:rFonts w:ascii="Times New Roman" w:hAnsi="Times New Roman"/>
                <w:sz w:val="20"/>
                <w:szCs w:val="20"/>
              </w:rPr>
              <w:t>A summary report of the Race to the Top revenues evidencing that the revenues have been tracked with unique fund codes</w:t>
            </w:r>
            <w:r>
              <w:rPr>
                <w:rFonts w:ascii="Times New Roman" w:hAnsi="Times New Roman"/>
                <w:sz w:val="20"/>
                <w:szCs w:val="20"/>
              </w:rPr>
              <w:t>.</w:t>
            </w:r>
          </w:p>
          <w:p w:rsidR="00E05BD7" w:rsidRPr="008C73C0" w:rsidRDefault="00E05BD7" w:rsidP="00E05BD7">
            <w:pPr>
              <w:numPr>
                <w:ilvl w:val="2"/>
                <w:numId w:val="6"/>
              </w:numPr>
              <w:spacing w:after="0" w:line="240" w:lineRule="auto"/>
              <w:ind w:left="252" w:hanging="162"/>
              <w:rPr>
                <w:rFonts w:ascii="Times New Roman" w:hAnsi="Times New Roman"/>
                <w:sz w:val="20"/>
                <w:szCs w:val="20"/>
              </w:rPr>
            </w:pPr>
            <w:r w:rsidRPr="008C73C0">
              <w:rPr>
                <w:rFonts w:ascii="Times New Roman" w:hAnsi="Times New Roman"/>
                <w:sz w:val="20"/>
                <w:szCs w:val="20"/>
              </w:rPr>
              <w:t>Expenditure reports to demonstrate tracking of Race to the Top funds to allowable (project-based and approved) costs</w:t>
            </w:r>
            <w:r>
              <w:rPr>
                <w:rFonts w:ascii="Times New Roman" w:hAnsi="Times New Roman"/>
                <w:sz w:val="20"/>
                <w:szCs w:val="20"/>
              </w:rPr>
              <w:t>.</w:t>
            </w:r>
          </w:p>
          <w:p w:rsidR="00E05BD7" w:rsidRPr="008C73C0" w:rsidRDefault="00E05BD7" w:rsidP="00E05BD7">
            <w:pPr>
              <w:numPr>
                <w:ilvl w:val="2"/>
                <w:numId w:val="6"/>
              </w:numPr>
              <w:spacing w:after="0" w:line="240" w:lineRule="auto"/>
              <w:ind w:left="252" w:hanging="162"/>
              <w:rPr>
                <w:rFonts w:ascii="Times New Roman" w:hAnsi="Times New Roman"/>
                <w:sz w:val="20"/>
                <w:szCs w:val="20"/>
              </w:rPr>
            </w:pPr>
            <w:r w:rsidRPr="008C73C0">
              <w:rPr>
                <w:rFonts w:ascii="Times New Roman" w:hAnsi="Times New Roman"/>
                <w:sz w:val="20"/>
                <w:szCs w:val="20"/>
              </w:rPr>
              <w:t>Expenditure reports that demonstrate compliance with cash management principles</w:t>
            </w:r>
            <w:r>
              <w:rPr>
                <w:rFonts w:ascii="Times New Roman" w:hAnsi="Times New Roman"/>
                <w:sz w:val="20"/>
                <w:szCs w:val="20"/>
              </w:rPr>
              <w:t>.</w:t>
            </w:r>
          </w:p>
          <w:p w:rsidR="00E05BD7" w:rsidRPr="008C73C0" w:rsidRDefault="00E05BD7" w:rsidP="00E05BD7">
            <w:pPr>
              <w:numPr>
                <w:ilvl w:val="2"/>
                <w:numId w:val="6"/>
              </w:numPr>
              <w:spacing w:after="0" w:line="240" w:lineRule="auto"/>
              <w:ind w:left="252" w:hanging="162"/>
              <w:rPr>
                <w:rFonts w:ascii="Times New Roman" w:hAnsi="Times New Roman"/>
                <w:sz w:val="20"/>
                <w:szCs w:val="20"/>
              </w:rPr>
            </w:pPr>
            <w:r w:rsidRPr="008C73C0">
              <w:rPr>
                <w:rFonts w:ascii="Times New Roman" w:hAnsi="Times New Roman"/>
                <w:sz w:val="20"/>
                <w:szCs w:val="20"/>
              </w:rPr>
              <w:t>Alignment of spending to proposed and approved budget</w:t>
            </w:r>
            <w:r>
              <w:rPr>
                <w:rFonts w:ascii="Times New Roman" w:hAnsi="Times New Roman"/>
                <w:sz w:val="20"/>
                <w:szCs w:val="20"/>
              </w:rPr>
              <w:t>.</w:t>
            </w:r>
          </w:p>
          <w:p w:rsidR="00E05BD7" w:rsidRPr="008C73C0" w:rsidRDefault="00E05BD7" w:rsidP="00E05BD7">
            <w:pPr>
              <w:numPr>
                <w:ilvl w:val="2"/>
                <w:numId w:val="6"/>
              </w:numPr>
              <w:spacing w:after="0" w:line="240" w:lineRule="auto"/>
              <w:ind w:left="252" w:hanging="162"/>
              <w:rPr>
                <w:rFonts w:ascii="Times New Roman" w:hAnsi="Times New Roman"/>
                <w:sz w:val="20"/>
                <w:szCs w:val="20"/>
              </w:rPr>
            </w:pPr>
            <w:r w:rsidRPr="008C73C0">
              <w:rPr>
                <w:rFonts w:ascii="Times New Roman" w:hAnsi="Times New Roman"/>
                <w:sz w:val="20"/>
                <w:szCs w:val="20"/>
              </w:rPr>
              <w:t xml:space="preserve">Evidence of use of funds only during the period of </w:t>
            </w:r>
            <w:proofErr w:type="spellStart"/>
            <w:r w:rsidRPr="008C73C0">
              <w:rPr>
                <w:rFonts w:ascii="Times New Roman" w:hAnsi="Times New Roman"/>
                <w:sz w:val="20"/>
                <w:szCs w:val="20"/>
              </w:rPr>
              <w:t>allowability</w:t>
            </w:r>
            <w:proofErr w:type="spellEnd"/>
            <w:r>
              <w:rPr>
                <w:rFonts w:ascii="Times New Roman" w:hAnsi="Times New Roman"/>
                <w:sz w:val="20"/>
                <w:szCs w:val="20"/>
              </w:rPr>
              <w:t>.</w:t>
            </w:r>
          </w:p>
          <w:p w:rsidR="00E05BD7" w:rsidRPr="000373D3" w:rsidRDefault="00E05BD7" w:rsidP="00E05BD7">
            <w:pPr>
              <w:pStyle w:val="ListParagraph"/>
              <w:numPr>
                <w:ilvl w:val="0"/>
                <w:numId w:val="4"/>
              </w:numPr>
              <w:spacing w:after="0" w:line="240" w:lineRule="auto"/>
              <w:ind w:left="252" w:hanging="180"/>
              <w:rPr>
                <w:rFonts w:ascii="Times New Roman" w:hAnsi="Times New Roman"/>
                <w:sz w:val="20"/>
                <w:szCs w:val="20"/>
              </w:rPr>
            </w:pPr>
            <w:r w:rsidRPr="000373D3">
              <w:rPr>
                <w:rFonts w:ascii="Times New Roman" w:hAnsi="Times New Roman"/>
                <w:sz w:val="20"/>
                <w:szCs w:val="20"/>
              </w:rPr>
              <w:t xml:space="preserve">For the account that the RTT funds are residing in at the State level, provide: </w:t>
            </w:r>
          </w:p>
          <w:p w:rsidR="00E05BD7" w:rsidRPr="000373D3" w:rsidRDefault="00E05BD7" w:rsidP="00E05BD7">
            <w:pPr>
              <w:pStyle w:val="ListParagraph"/>
              <w:numPr>
                <w:ilvl w:val="0"/>
                <w:numId w:val="5"/>
              </w:numPr>
              <w:spacing w:after="0" w:line="240" w:lineRule="auto"/>
              <w:ind w:left="612" w:hanging="180"/>
              <w:rPr>
                <w:rFonts w:ascii="Times New Roman" w:hAnsi="Times New Roman"/>
                <w:sz w:val="20"/>
                <w:szCs w:val="20"/>
              </w:rPr>
            </w:pPr>
            <w:r w:rsidRPr="000373D3">
              <w:rPr>
                <w:rFonts w:ascii="Times New Roman" w:hAnsi="Times New Roman"/>
                <w:sz w:val="20"/>
                <w:szCs w:val="20"/>
              </w:rPr>
              <w:t>Documentation (i.e. monthly or quarterly bank statement, report from State Treasury account) evidencing whether or not the account is an interest bearing account.</w:t>
            </w:r>
          </w:p>
          <w:p w:rsidR="00E05BD7" w:rsidRPr="000373D3" w:rsidRDefault="00E05BD7" w:rsidP="00E05BD7">
            <w:pPr>
              <w:pStyle w:val="ListParagraph"/>
              <w:numPr>
                <w:ilvl w:val="0"/>
                <w:numId w:val="5"/>
              </w:numPr>
              <w:spacing w:after="0" w:line="240" w:lineRule="auto"/>
              <w:ind w:left="612" w:hanging="180"/>
              <w:rPr>
                <w:rFonts w:ascii="Times New Roman" w:hAnsi="Times New Roman"/>
                <w:sz w:val="20"/>
                <w:szCs w:val="20"/>
              </w:rPr>
            </w:pPr>
            <w:r w:rsidRPr="000373D3">
              <w:rPr>
                <w:rFonts w:ascii="Times New Roman" w:hAnsi="Times New Roman"/>
                <w:sz w:val="20"/>
                <w:szCs w:val="20"/>
              </w:rPr>
              <w:t>An example of evidence of receipt of RTT funds drawn down from G5 (e.g. wire transfer, cash receipt form, bank statement) into a non-interest bearing account.</w:t>
            </w:r>
          </w:p>
          <w:p w:rsidR="00E05BD7" w:rsidRPr="000373D3" w:rsidRDefault="00E05BD7" w:rsidP="00E05BD7">
            <w:pPr>
              <w:pStyle w:val="ListParagraph"/>
              <w:numPr>
                <w:ilvl w:val="0"/>
                <w:numId w:val="5"/>
              </w:numPr>
              <w:spacing w:after="0" w:line="240" w:lineRule="auto"/>
              <w:ind w:left="612" w:hanging="180"/>
              <w:rPr>
                <w:rFonts w:ascii="Times New Roman" w:hAnsi="Times New Roman"/>
                <w:sz w:val="20"/>
                <w:szCs w:val="20"/>
              </w:rPr>
            </w:pPr>
            <w:r w:rsidRPr="000373D3">
              <w:rPr>
                <w:rFonts w:ascii="Times New Roman" w:hAnsi="Times New Roman"/>
                <w:sz w:val="20"/>
                <w:szCs w:val="20"/>
              </w:rPr>
              <w:t xml:space="preserve">Evidence of corresponding outlay of RTT funds from the State’s account to </w:t>
            </w:r>
            <w:r>
              <w:rPr>
                <w:rFonts w:ascii="Times New Roman" w:hAnsi="Times New Roman"/>
                <w:sz w:val="20"/>
                <w:szCs w:val="20"/>
              </w:rPr>
              <w:t xml:space="preserve">allowable expenditures, including </w:t>
            </w:r>
            <w:proofErr w:type="spellStart"/>
            <w:r>
              <w:rPr>
                <w:rFonts w:ascii="Times New Roman" w:hAnsi="Times New Roman"/>
                <w:sz w:val="20"/>
                <w:szCs w:val="20"/>
              </w:rPr>
              <w:t>sub</w:t>
            </w:r>
            <w:r w:rsidRPr="000373D3">
              <w:rPr>
                <w:rFonts w:ascii="Times New Roman" w:hAnsi="Times New Roman"/>
                <w:sz w:val="20"/>
                <w:szCs w:val="20"/>
              </w:rPr>
              <w:t>recipient</w:t>
            </w:r>
            <w:proofErr w:type="spellEnd"/>
            <w:r w:rsidRPr="000373D3">
              <w:rPr>
                <w:rFonts w:ascii="Times New Roman" w:hAnsi="Times New Roman"/>
                <w:sz w:val="20"/>
                <w:szCs w:val="20"/>
              </w:rPr>
              <w:t xml:space="preserve"> account</w:t>
            </w:r>
            <w:r>
              <w:rPr>
                <w:rFonts w:ascii="Times New Roman" w:hAnsi="Times New Roman"/>
                <w:sz w:val="20"/>
                <w:szCs w:val="20"/>
              </w:rPr>
              <w:t>s</w:t>
            </w:r>
            <w:r w:rsidRPr="000373D3">
              <w:rPr>
                <w:rFonts w:ascii="Times New Roman" w:hAnsi="Times New Roman"/>
                <w:sz w:val="20"/>
                <w:szCs w:val="20"/>
              </w:rPr>
              <w:t xml:space="preserve"> (e.g. journal entry).</w:t>
            </w:r>
          </w:p>
          <w:p w:rsidR="00E05BD7" w:rsidRPr="008C73C0" w:rsidRDefault="00E05BD7" w:rsidP="00E05BD7">
            <w:pPr>
              <w:spacing w:after="0" w:line="240" w:lineRule="auto"/>
              <w:rPr>
                <w:rFonts w:ascii="Times New Roman" w:hAnsi="Times New Roman"/>
                <w:sz w:val="20"/>
                <w:szCs w:val="20"/>
              </w:rPr>
            </w:pPr>
          </w:p>
        </w:tc>
      </w:tr>
      <w:tr w:rsidR="00E05BD7" w:rsidRPr="008C73C0" w:rsidTr="00E05BD7">
        <w:trPr>
          <w:cantSplit/>
          <w:trHeight w:val="3323"/>
        </w:trPr>
        <w:tc>
          <w:tcPr>
            <w:tcW w:w="1725" w:type="dxa"/>
            <w:textDirection w:val="btLr"/>
          </w:tcPr>
          <w:p w:rsidR="00E05BD7" w:rsidRPr="008C73C0" w:rsidRDefault="00E05BD7" w:rsidP="00E05BD7">
            <w:pPr>
              <w:spacing w:after="0" w:line="240" w:lineRule="auto"/>
              <w:ind w:left="113" w:right="113"/>
              <w:jc w:val="center"/>
              <w:rPr>
                <w:rFonts w:ascii="Times New Roman" w:eastAsia="MS Mincho" w:hAnsi="Times New Roman"/>
                <w:bCs/>
                <w:sz w:val="20"/>
                <w:szCs w:val="20"/>
              </w:rPr>
            </w:pPr>
            <w:proofErr w:type="spellStart"/>
            <w:r w:rsidRPr="008C73C0">
              <w:rPr>
                <w:rFonts w:ascii="Times New Roman" w:hAnsi="Times New Roman"/>
                <w:b/>
                <w:sz w:val="20"/>
                <w:szCs w:val="20"/>
              </w:rPr>
              <w:t>Sub</w:t>
            </w:r>
            <w:r>
              <w:rPr>
                <w:rFonts w:ascii="Times New Roman" w:hAnsi="Times New Roman"/>
                <w:b/>
                <w:sz w:val="20"/>
                <w:szCs w:val="20"/>
              </w:rPr>
              <w:t>r</w:t>
            </w:r>
            <w:r w:rsidRPr="008C73C0">
              <w:rPr>
                <w:rFonts w:ascii="Times New Roman" w:hAnsi="Times New Roman"/>
                <w:b/>
                <w:sz w:val="20"/>
                <w:szCs w:val="20"/>
              </w:rPr>
              <w:t>ecipient</w:t>
            </w:r>
            <w:proofErr w:type="spellEnd"/>
            <w:r w:rsidRPr="008C73C0">
              <w:rPr>
                <w:rFonts w:ascii="Times New Roman" w:hAnsi="Times New Roman"/>
                <w:b/>
                <w:sz w:val="20"/>
                <w:szCs w:val="20"/>
              </w:rPr>
              <w:t xml:space="preserve"> Monitoring</w:t>
            </w:r>
          </w:p>
          <w:p w:rsidR="00E05BD7" w:rsidRPr="008C73C0" w:rsidRDefault="00E05BD7" w:rsidP="00E05BD7">
            <w:pPr>
              <w:spacing w:after="0" w:line="240" w:lineRule="auto"/>
              <w:ind w:left="113" w:right="113"/>
              <w:jc w:val="center"/>
              <w:rPr>
                <w:rFonts w:ascii="Times New Roman" w:hAnsi="Times New Roman"/>
                <w:b/>
                <w:sz w:val="20"/>
                <w:szCs w:val="20"/>
              </w:rPr>
            </w:pPr>
            <w:r w:rsidRPr="008C73C0">
              <w:rPr>
                <w:rFonts w:ascii="Times New Roman" w:hAnsi="Times New Roman"/>
                <w:i/>
                <w:sz w:val="20"/>
                <w:szCs w:val="20"/>
              </w:rPr>
              <w:t>(</w:t>
            </w:r>
            <w:r w:rsidRPr="008C73C0">
              <w:rPr>
                <w:rFonts w:ascii="Times New Roman" w:eastAsia="MS Mincho" w:hAnsi="Times New Roman"/>
                <w:bCs/>
                <w:i/>
                <w:sz w:val="20"/>
                <w:szCs w:val="20"/>
              </w:rPr>
              <w:t>EDGAR §80.40)</w:t>
            </w:r>
          </w:p>
        </w:tc>
        <w:tc>
          <w:tcPr>
            <w:tcW w:w="7833" w:type="dxa"/>
          </w:tcPr>
          <w:p w:rsidR="00E05BD7" w:rsidRPr="008C73C0" w:rsidRDefault="00E05BD7" w:rsidP="00E05BD7">
            <w:pPr>
              <w:spacing w:after="0" w:line="240" w:lineRule="auto"/>
              <w:rPr>
                <w:rFonts w:ascii="Times New Roman" w:hAnsi="Times New Roman"/>
                <w:i/>
                <w:sz w:val="20"/>
                <w:szCs w:val="20"/>
              </w:rPr>
            </w:pPr>
            <w:r w:rsidRPr="008C73C0">
              <w:rPr>
                <w:rFonts w:ascii="Times New Roman" w:hAnsi="Times New Roman"/>
                <w:b/>
                <w:sz w:val="20"/>
                <w:szCs w:val="20"/>
              </w:rPr>
              <w:t>Requirement</w:t>
            </w:r>
            <w:r w:rsidRPr="008C73C0">
              <w:rPr>
                <w:rFonts w:ascii="Times New Roman" w:hAnsi="Times New Roman"/>
                <w:sz w:val="20"/>
                <w:szCs w:val="20"/>
              </w:rPr>
              <w:t>: The State’s monitoring strategy includes all components (detailed in first bullet below</w:t>
            </w:r>
            <w:r w:rsidRPr="008C73C0">
              <w:rPr>
                <w:rFonts w:ascii="Times New Roman" w:hAnsi="Times New Roman"/>
                <w:i/>
                <w:sz w:val="20"/>
                <w:szCs w:val="20"/>
              </w:rPr>
              <w:t xml:space="preserve">).  </w:t>
            </w:r>
          </w:p>
          <w:p w:rsidR="00E05BD7" w:rsidRPr="008C73C0" w:rsidRDefault="00E05BD7" w:rsidP="00E05BD7">
            <w:pPr>
              <w:spacing w:after="0" w:line="240" w:lineRule="auto"/>
              <w:rPr>
                <w:rFonts w:ascii="Times New Roman" w:hAnsi="Times New Roman"/>
                <w:sz w:val="20"/>
                <w:szCs w:val="20"/>
              </w:rPr>
            </w:pPr>
          </w:p>
          <w:p w:rsidR="00E05BD7" w:rsidRPr="008C73C0" w:rsidRDefault="00E05BD7" w:rsidP="00E05BD7">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E05BD7" w:rsidRPr="008C73C0" w:rsidRDefault="00E05BD7" w:rsidP="00E05BD7">
            <w:pPr>
              <w:pStyle w:val="ListParagraph"/>
              <w:numPr>
                <w:ilvl w:val="0"/>
                <w:numId w:val="9"/>
              </w:numPr>
              <w:spacing w:after="0" w:line="240" w:lineRule="auto"/>
              <w:ind w:left="342" w:hanging="180"/>
              <w:rPr>
                <w:rFonts w:ascii="Times New Roman" w:hAnsi="Times New Roman"/>
                <w:sz w:val="20"/>
                <w:szCs w:val="20"/>
              </w:rPr>
            </w:pPr>
            <w:r w:rsidRPr="008C73C0">
              <w:rPr>
                <w:rFonts w:ascii="Times New Roman" w:hAnsi="Times New Roman"/>
                <w:sz w:val="20"/>
                <w:szCs w:val="20"/>
              </w:rPr>
              <w:t>Race to the Top-specific monitoring plan, prot</w:t>
            </w:r>
            <w:r>
              <w:rPr>
                <w:rFonts w:ascii="Times New Roman" w:hAnsi="Times New Roman"/>
                <w:sz w:val="20"/>
                <w:szCs w:val="20"/>
              </w:rPr>
              <w:t xml:space="preserve">ocols, and schedule for all </w:t>
            </w:r>
            <w:proofErr w:type="spellStart"/>
            <w:r>
              <w:rPr>
                <w:rFonts w:ascii="Times New Roman" w:hAnsi="Times New Roman"/>
                <w:sz w:val="20"/>
                <w:szCs w:val="20"/>
              </w:rPr>
              <w:t>sub</w:t>
            </w:r>
            <w:r w:rsidRPr="008C73C0">
              <w:rPr>
                <w:rFonts w:ascii="Times New Roman" w:hAnsi="Times New Roman"/>
                <w:sz w:val="20"/>
                <w:szCs w:val="20"/>
              </w:rPr>
              <w:t>recipients</w:t>
            </w:r>
            <w:proofErr w:type="spellEnd"/>
            <w:r w:rsidRPr="008C73C0">
              <w:rPr>
                <w:rFonts w:ascii="Times New Roman" w:hAnsi="Times New Roman"/>
                <w:sz w:val="20"/>
                <w:szCs w:val="20"/>
              </w:rPr>
              <w:t>, vendors, and contractors</w:t>
            </w:r>
            <w:r>
              <w:rPr>
                <w:rFonts w:ascii="Times New Roman" w:hAnsi="Times New Roman"/>
                <w:sz w:val="20"/>
                <w:szCs w:val="20"/>
              </w:rPr>
              <w:t>.</w:t>
            </w:r>
          </w:p>
          <w:p w:rsidR="00E05BD7" w:rsidRPr="008C73C0" w:rsidRDefault="00E05BD7" w:rsidP="00E05BD7">
            <w:pPr>
              <w:pStyle w:val="ListParagraph"/>
              <w:numPr>
                <w:ilvl w:val="0"/>
                <w:numId w:val="9"/>
              </w:numPr>
              <w:spacing w:after="0" w:line="240" w:lineRule="auto"/>
              <w:ind w:left="342" w:hanging="180"/>
              <w:rPr>
                <w:rFonts w:ascii="Times New Roman" w:hAnsi="Times New Roman"/>
                <w:sz w:val="20"/>
                <w:szCs w:val="20"/>
              </w:rPr>
            </w:pPr>
            <w:r w:rsidRPr="008C73C0">
              <w:rPr>
                <w:rFonts w:ascii="Times New Roman" w:hAnsi="Times New Roman"/>
                <w:sz w:val="20"/>
                <w:szCs w:val="20"/>
              </w:rPr>
              <w:t>Evidence that the State’s monitoring strategy outlines its ability to:</w:t>
            </w:r>
          </w:p>
          <w:p w:rsidR="00E05BD7" w:rsidRPr="008C73C0" w:rsidRDefault="00E05BD7" w:rsidP="00E05BD7">
            <w:pPr>
              <w:pStyle w:val="ListParagraph"/>
              <w:numPr>
                <w:ilvl w:val="0"/>
                <w:numId w:val="10"/>
              </w:numPr>
              <w:spacing w:after="0" w:line="240" w:lineRule="auto"/>
              <w:ind w:left="522" w:hanging="198"/>
              <w:rPr>
                <w:rFonts w:ascii="Times New Roman" w:hAnsi="Times New Roman"/>
                <w:sz w:val="20"/>
                <w:szCs w:val="20"/>
              </w:rPr>
            </w:pPr>
            <w:r w:rsidRPr="008C73C0">
              <w:rPr>
                <w:rFonts w:ascii="Times New Roman" w:hAnsi="Times New Roman"/>
                <w:sz w:val="20"/>
                <w:szCs w:val="20"/>
              </w:rPr>
              <w:t>Assess LEA progress and alignment to the</w:t>
            </w:r>
            <w:r>
              <w:rPr>
                <w:rFonts w:ascii="Times New Roman" w:hAnsi="Times New Roman"/>
                <w:sz w:val="20"/>
                <w:szCs w:val="20"/>
              </w:rPr>
              <w:t>ir</w:t>
            </w:r>
            <w:r w:rsidRPr="008C73C0">
              <w:rPr>
                <w:rFonts w:ascii="Times New Roman" w:hAnsi="Times New Roman"/>
                <w:sz w:val="20"/>
                <w:szCs w:val="20"/>
              </w:rPr>
              <w:t xml:space="preserve"> scopes of work, determine the quality of LEA implementation through established methods, tools, and processes, and identify and work to mitigate potential obstacles and/or risks that could impact the </w:t>
            </w:r>
            <w:proofErr w:type="spellStart"/>
            <w:r w:rsidRPr="008C73C0">
              <w:rPr>
                <w:rFonts w:ascii="Times New Roman" w:hAnsi="Times New Roman"/>
                <w:sz w:val="20"/>
                <w:szCs w:val="20"/>
              </w:rPr>
              <w:t>LEAs</w:t>
            </w:r>
            <w:r>
              <w:rPr>
                <w:rFonts w:ascii="Times New Roman" w:hAnsi="Times New Roman"/>
                <w:sz w:val="20"/>
                <w:szCs w:val="20"/>
              </w:rPr>
              <w:t>’</w:t>
            </w:r>
            <w:proofErr w:type="spellEnd"/>
            <w:r w:rsidRPr="008C73C0">
              <w:rPr>
                <w:rFonts w:ascii="Times New Roman" w:hAnsi="Times New Roman"/>
                <w:sz w:val="20"/>
                <w:szCs w:val="20"/>
              </w:rPr>
              <w:t xml:space="preserve"> ability to achieve its goals. </w:t>
            </w:r>
          </w:p>
          <w:p w:rsidR="00E05BD7" w:rsidRPr="008C73C0" w:rsidRDefault="00E05BD7" w:rsidP="00E05BD7">
            <w:pPr>
              <w:pStyle w:val="ListParagraph"/>
              <w:numPr>
                <w:ilvl w:val="0"/>
                <w:numId w:val="10"/>
              </w:numPr>
              <w:spacing w:after="0" w:line="240" w:lineRule="auto"/>
              <w:ind w:left="522" w:hanging="198"/>
              <w:rPr>
                <w:rFonts w:ascii="Times New Roman" w:hAnsi="Times New Roman"/>
                <w:sz w:val="20"/>
                <w:szCs w:val="20"/>
              </w:rPr>
            </w:pPr>
            <w:r w:rsidRPr="008C73C0">
              <w:rPr>
                <w:rFonts w:ascii="Times New Roman" w:hAnsi="Times New Roman"/>
                <w:sz w:val="20"/>
                <w:szCs w:val="20"/>
              </w:rPr>
              <w:t xml:space="preserve">Monitor grant and </w:t>
            </w:r>
            <w:proofErr w:type="spellStart"/>
            <w:r w:rsidRPr="008C73C0">
              <w:rPr>
                <w:rFonts w:ascii="Times New Roman" w:hAnsi="Times New Roman"/>
                <w:sz w:val="20"/>
                <w:szCs w:val="20"/>
              </w:rPr>
              <w:t>subgrant</w:t>
            </w:r>
            <w:proofErr w:type="spellEnd"/>
            <w:r w:rsidRPr="008C73C0">
              <w:rPr>
                <w:rFonts w:ascii="Times New Roman" w:hAnsi="Times New Roman"/>
                <w:sz w:val="20"/>
                <w:szCs w:val="20"/>
              </w:rPr>
              <w:t xml:space="preserve"> activities to assure compliance with applicable Federal requirements; and </w:t>
            </w:r>
          </w:p>
          <w:p w:rsidR="00E05BD7" w:rsidRDefault="00E05BD7" w:rsidP="00E05BD7">
            <w:pPr>
              <w:pStyle w:val="ListParagraph"/>
              <w:numPr>
                <w:ilvl w:val="0"/>
                <w:numId w:val="9"/>
              </w:numPr>
              <w:spacing w:after="0" w:line="240" w:lineRule="auto"/>
              <w:ind w:left="342" w:hanging="180"/>
              <w:rPr>
                <w:rFonts w:ascii="Times New Roman" w:hAnsi="Times New Roman"/>
                <w:sz w:val="20"/>
                <w:szCs w:val="20"/>
              </w:rPr>
            </w:pPr>
            <w:r w:rsidRPr="008C73C0">
              <w:rPr>
                <w:rFonts w:ascii="Times New Roman" w:hAnsi="Times New Roman"/>
                <w:sz w:val="20"/>
                <w:szCs w:val="20"/>
              </w:rPr>
              <w:t>Sample monitoring reports and corrective action follow-up</w:t>
            </w:r>
          </w:p>
          <w:p w:rsidR="00E05BD7" w:rsidRPr="00E05BD7" w:rsidRDefault="00E05BD7" w:rsidP="00E05BD7">
            <w:pPr>
              <w:pStyle w:val="ListParagraph"/>
              <w:spacing w:after="0" w:line="240" w:lineRule="auto"/>
              <w:ind w:left="342"/>
              <w:rPr>
                <w:rFonts w:ascii="Times New Roman" w:hAnsi="Times New Roman"/>
                <w:sz w:val="20"/>
                <w:szCs w:val="20"/>
              </w:rPr>
            </w:pPr>
            <w:r>
              <w:rPr>
                <w:rFonts w:ascii="Times New Roman" w:hAnsi="Times New Roman"/>
                <w:sz w:val="20"/>
                <w:szCs w:val="20"/>
              </w:rPr>
              <w:t>.</w:t>
            </w:r>
          </w:p>
        </w:tc>
      </w:tr>
      <w:tr w:rsidR="00E05BD7" w:rsidRPr="008C73C0" w:rsidTr="00E05BD7">
        <w:trPr>
          <w:cantSplit/>
          <w:trHeight w:val="1790"/>
        </w:trPr>
        <w:tc>
          <w:tcPr>
            <w:tcW w:w="1725" w:type="dxa"/>
            <w:textDirection w:val="btLr"/>
          </w:tcPr>
          <w:p w:rsidR="00E05BD7" w:rsidRPr="008C73C0" w:rsidRDefault="00E05BD7" w:rsidP="00E05BD7">
            <w:pPr>
              <w:spacing w:after="0" w:line="240" w:lineRule="auto"/>
              <w:ind w:left="113" w:right="113"/>
              <w:jc w:val="center"/>
              <w:rPr>
                <w:rFonts w:ascii="Times New Roman" w:hAnsi="Times New Roman"/>
                <w:sz w:val="20"/>
                <w:szCs w:val="20"/>
              </w:rPr>
            </w:pPr>
            <w:r w:rsidRPr="008C73C0">
              <w:rPr>
                <w:rFonts w:ascii="Times New Roman" w:hAnsi="Times New Roman"/>
                <w:b/>
                <w:sz w:val="20"/>
                <w:szCs w:val="20"/>
              </w:rPr>
              <w:t>Quarterly ARRA Section 1512 Reporting</w:t>
            </w:r>
          </w:p>
          <w:p w:rsidR="00E05BD7" w:rsidRPr="008C73C0" w:rsidRDefault="00E05BD7" w:rsidP="00E05BD7">
            <w:pPr>
              <w:spacing w:after="0" w:line="240" w:lineRule="auto"/>
              <w:ind w:left="113" w:right="113"/>
              <w:jc w:val="center"/>
              <w:rPr>
                <w:rFonts w:ascii="Times New Roman" w:hAnsi="Times New Roman"/>
                <w:b/>
                <w:sz w:val="20"/>
                <w:szCs w:val="20"/>
              </w:rPr>
            </w:pPr>
            <w:r w:rsidRPr="008C73C0">
              <w:rPr>
                <w:rFonts w:ascii="Times New Roman" w:hAnsi="Times New Roman"/>
                <w:sz w:val="20"/>
                <w:szCs w:val="20"/>
              </w:rPr>
              <w:t>(</w:t>
            </w:r>
            <w:r w:rsidRPr="008C73C0">
              <w:rPr>
                <w:rFonts w:ascii="Times New Roman" w:hAnsi="Times New Roman"/>
                <w:i/>
                <w:sz w:val="20"/>
                <w:szCs w:val="20"/>
              </w:rPr>
              <w:t>ARRA Sections 14008 and 1512)</w:t>
            </w:r>
          </w:p>
        </w:tc>
        <w:tc>
          <w:tcPr>
            <w:tcW w:w="7833" w:type="dxa"/>
          </w:tcPr>
          <w:p w:rsidR="00E05BD7" w:rsidRPr="008C73C0" w:rsidRDefault="00E05BD7" w:rsidP="00E05BD7">
            <w:pPr>
              <w:spacing w:after="0" w:line="240" w:lineRule="auto"/>
              <w:rPr>
                <w:rFonts w:ascii="Times New Roman" w:hAnsi="Times New Roman"/>
                <w:sz w:val="20"/>
                <w:szCs w:val="20"/>
              </w:rPr>
            </w:pPr>
            <w:r w:rsidRPr="008C73C0">
              <w:rPr>
                <w:rFonts w:ascii="Times New Roman" w:hAnsi="Times New Roman"/>
                <w:b/>
                <w:sz w:val="20"/>
                <w:szCs w:val="20"/>
              </w:rPr>
              <w:t xml:space="preserve">Requirement: </w:t>
            </w:r>
            <w:r w:rsidRPr="008C73C0">
              <w:rPr>
                <w:rFonts w:ascii="Times New Roman" w:hAnsi="Times New Roman"/>
                <w:sz w:val="20"/>
                <w:szCs w:val="20"/>
              </w:rPr>
              <w:t xml:space="preserve">The State is ensuring compliance with ARRA Section 1512 quarterly reporting regulations.  </w:t>
            </w:r>
          </w:p>
          <w:p w:rsidR="00E05BD7" w:rsidRPr="008C73C0" w:rsidRDefault="00E05BD7" w:rsidP="00E05BD7">
            <w:pPr>
              <w:spacing w:after="0" w:line="240" w:lineRule="auto"/>
              <w:rPr>
                <w:rFonts w:ascii="Times New Roman" w:hAnsi="Times New Roman"/>
                <w:b/>
                <w:sz w:val="20"/>
                <w:szCs w:val="20"/>
              </w:rPr>
            </w:pPr>
          </w:p>
          <w:p w:rsidR="00E05BD7" w:rsidRPr="008C73C0" w:rsidRDefault="00E05BD7" w:rsidP="00E05BD7">
            <w:pPr>
              <w:spacing w:after="0" w:line="240" w:lineRule="auto"/>
              <w:rPr>
                <w:rFonts w:ascii="Times New Roman" w:hAnsi="Times New Roman"/>
                <w:b/>
                <w:sz w:val="20"/>
                <w:szCs w:val="20"/>
              </w:rPr>
            </w:pPr>
            <w:r w:rsidRPr="008C73C0">
              <w:rPr>
                <w:rFonts w:ascii="Times New Roman" w:hAnsi="Times New Roman"/>
                <w:b/>
                <w:sz w:val="20"/>
                <w:szCs w:val="20"/>
              </w:rPr>
              <w:t>Documentation:</w:t>
            </w:r>
          </w:p>
          <w:p w:rsidR="00E05BD7" w:rsidRPr="008C73C0" w:rsidRDefault="00E05BD7" w:rsidP="00E05BD7">
            <w:pPr>
              <w:numPr>
                <w:ilvl w:val="0"/>
                <w:numId w:val="8"/>
              </w:numPr>
              <w:spacing w:after="0" w:line="240" w:lineRule="auto"/>
              <w:ind w:left="162" w:hanging="180"/>
              <w:rPr>
                <w:rFonts w:ascii="Times New Roman" w:hAnsi="Times New Roman"/>
                <w:sz w:val="20"/>
                <w:szCs w:val="20"/>
              </w:rPr>
            </w:pPr>
            <w:r w:rsidRPr="008C73C0">
              <w:rPr>
                <w:rFonts w:ascii="Times New Roman" w:hAnsi="Times New Roman"/>
                <w:sz w:val="20"/>
                <w:szCs w:val="20"/>
              </w:rPr>
              <w:t>An explanation of/example for section 1512 reporting process</w:t>
            </w:r>
            <w:r>
              <w:rPr>
                <w:rFonts w:ascii="Times New Roman" w:hAnsi="Times New Roman"/>
                <w:sz w:val="20"/>
                <w:szCs w:val="20"/>
              </w:rPr>
              <w:t>.</w:t>
            </w:r>
          </w:p>
          <w:p w:rsidR="00E05BD7" w:rsidRPr="008C73C0" w:rsidRDefault="00E05BD7" w:rsidP="00E05BD7">
            <w:pPr>
              <w:numPr>
                <w:ilvl w:val="0"/>
                <w:numId w:val="8"/>
              </w:numPr>
              <w:spacing w:after="0" w:line="240" w:lineRule="auto"/>
              <w:ind w:left="162" w:hanging="180"/>
              <w:rPr>
                <w:rFonts w:ascii="Times New Roman" w:hAnsi="Times New Roman"/>
                <w:sz w:val="20"/>
                <w:szCs w:val="20"/>
              </w:rPr>
            </w:pPr>
            <w:r w:rsidRPr="008C73C0">
              <w:rPr>
                <w:rFonts w:ascii="Times New Roman" w:hAnsi="Times New Roman"/>
                <w:sz w:val="20"/>
                <w:szCs w:val="20"/>
              </w:rPr>
              <w:t>Sample of documentation supporting the data in Section 1512 quarterly report</w:t>
            </w:r>
            <w:r>
              <w:rPr>
                <w:rFonts w:ascii="Times New Roman" w:hAnsi="Times New Roman"/>
                <w:sz w:val="20"/>
                <w:szCs w:val="20"/>
              </w:rPr>
              <w:t>.</w:t>
            </w:r>
          </w:p>
          <w:p w:rsidR="00E05BD7" w:rsidRPr="008C73C0" w:rsidRDefault="00E05BD7" w:rsidP="00E05BD7">
            <w:pPr>
              <w:spacing w:line="240" w:lineRule="auto"/>
              <w:rPr>
                <w:rFonts w:ascii="Times New Roman" w:hAnsi="Times New Roman"/>
                <w:b/>
                <w:sz w:val="20"/>
                <w:szCs w:val="20"/>
              </w:rPr>
            </w:pPr>
            <w:r w:rsidRPr="008C73C0">
              <w:rPr>
                <w:rFonts w:ascii="Times New Roman" w:hAnsi="Times New Roman"/>
                <w:sz w:val="20"/>
                <w:szCs w:val="20"/>
              </w:rPr>
              <w:t>Evidence of State ensuring the validity of LEA-reported numbers.</w:t>
            </w:r>
          </w:p>
        </w:tc>
      </w:tr>
    </w:tbl>
    <w:p w:rsidR="006E1AEE" w:rsidRDefault="005F73F2" w:rsidP="00E05BD7">
      <w:pPr>
        <w:spacing w:after="0" w:line="240" w:lineRule="auto"/>
        <w:rPr>
          <w:rFonts w:ascii="Times New Roman" w:hAnsi="Times New Roman"/>
        </w:rPr>
      </w:pPr>
      <w:r>
        <w:rPr>
          <w:rFonts w:ascii="Times New Roman" w:hAnsi="Times New Roman"/>
          <w:noProof/>
        </w:rPr>
        <w:pict>
          <v:rect id="_x0000_s1030" style="position:absolute;margin-left:38.25pt;margin-top:-34.5pt;width:415.5pt;height:48pt;z-index:251658240;mso-position-horizontal-relative:margin;mso-position-vertical-relative:margin">
            <v:textbox style="mso-next-textbox:#_x0000_s1030">
              <w:txbxContent>
                <w:p w:rsidR="00E05BD7" w:rsidRPr="004226A7" w:rsidRDefault="00E05BD7" w:rsidP="00E05BD7">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E05BD7" w:rsidRPr="00671D23" w:rsidRDefault="00E05BD7" w:rsidP="00E05BD7">
                  <w:pPr>
                    <w:shd w:val="clear" w:color="auto" w:fill="D9D9D9"/>
                    <w:jc w:val="center"/>
                    <w:rPr>
                      <w:rFonts w:ascii="Times New Roman" w:hAnsi="Times New Roman"/>
                      <w:sz w:val="32"/>
                      <w:szCs w:val="32"/>
                    </w:rPr>
                  </w:pPr>
                  <w:r>
                    <w:rPr>
                      <w:rFonts w:ascii="Times New Roman" w:hAnsi="Times New Roman"/>
                      <w:sz w:val="32"/>
                      <w:szCs w:val="32"/>
                    </w:rPr>
                    <w:t>Accountability and Oversight</w:t>
                  </w:r>
                </w:p>
              </w:txbxContent>
            </v:textbox>
            <w10:wrap type="square" anchorx="margin" anchory="margin"/>
          </v:rect>
        </w:pict>
      </w:r>
    </w:p>
    <w:sectPr w:rsidR="006E1AEE" w:rsidSect="003171D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138" w:rsidRDefault="00BD0138" w:rsidP="0057066B">
      <w:pPr>
        <w:spacing w:after="0" w:line="240" w:lineRule="auto"/>
      </w:pPr>
      <w:r>
        <w:separator/>
      </w:r>
    </w:p>
  </w:endnote>
  <w:endnote w:type="continuationSeparator" w:id="0">
    <w:p w:rsidR="00BD0138" w:rsidRDefault="00BD0138"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FE" w:rsidRDefault="007A23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FE" w:rsidRDefault="007A23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FE" w:rsidRDefault="007A23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138" w:rsidRDefault="00BD0138" w:rsidP="0057066B">
      <w:pPr>
        <w:spacing w:after="0" w:line="240" w:lineRule="auto"/>
      </w:pPr>
      <w:r>
        <w:separator/>
      </w:r>
    </w:p>
  </w:footnote>
  <w:footnote w:type="continuationSeparator" w:id="0">
    <w:p w:rsidR="00BD0138" w:rsidRDefault="00BD0138" w:rsidP="0057066B">
      <w:pPr>
        <w:spacing w:after="0" w:line="240" w:lineRule="auto"/>
      </w:pPr>
      <w:r>
        <w:continuationSeparator/>
      </w:r>
    </w:p>
  </w:footnote>
  <w:footnote w:id="1">
    <w:p w:rsidR="00BD0138" w:rsidRPr="005B6D1E" w:rsidRDefault="00BD0138" w:rsidP="001427B5">
      <w:pPr>
        <w:pStyle w:val="FootnoteText"/>
        <w:spacing w:after="0"/>
        <w:rPr>
          <w:rFonts w:ascii="Times New Roman" w:hAnsi="Times New Roman"/>
          <w:sz w:val="18"/>
          <w:szCs w:val="18"/>
        </w:rPr>
      </w:pPr>
      <w:r w:rsidRPr="005B6D1E">
        <w:rPr>
          <w:rStyle w:val="FootnoteReference"/>
          <w:rFonts w:ascii="Times New Roman" w:hAnsi="Times New Roman"/>
          <w:sz w:val="18"/>
          <w:szCs w:val="18"/>
        </w:rPr>
        <w:footnoteRef/>
      </w:r>
      <w:r w:rsidRPr="005B6D1E">
        <w:rPr>
          <w:rFonts w:ascii="Times New Roman" w:hAnsi="Times New Roman"/>
          <w:sz w:val="18"/>
          <w:szCs w:val="18"/>
        </w:rPr>
        <w:t xml:space="preserve"> Note that States will only be required to submit documentation for the on-site program review, not </w:t>
      </w:r>
      <w:r>
        <w:rPr>
          <w:rFonts w:ascii="Times New Roman" w:hAnsi="Times New Roman"/>
          <w:sz w:val="18"/>
          <w:szCs w:val="18"/>
        </w:rPr>
        <w:t xml:space="preserve">for </w:t>
      </w:r>
      <w:r w:rsidRPr="005B6D1E">
        <w:rPr>
          <w:rFonts w:ascii="Times New Roman" w:hAnsi="Times New Roman"/>
          <w:sz w:val="18"/>
          <w:szCs w:val="18"/>
        </w:rPr>
        <w:t xml:space="preserve">monthly calls. </w:t>
      </w:r>
    </w:p>
  </w:footnote>
  <w:footnote w:id="2">
    <w:p w:rsidR="00BD0138" w:rsidRPr="000E66E5" w:rsidRDefault="00BD0138" w:rsidP="001427B5">
      <w:pPr>
        <w:pStyle w:val="FootnoteText"/>
        <w:spacing w:after="0"/>
        <w:rPr>
          <w:rFonts w:ascii="Times New Roman" w:hAnsi="Times New Roman"/>
          <w:sz w:val="18"/>
          <w:szCs w:val="18"/>
        </w:rPr>
      </w:pPr>
      <w:r w:rsidRPr="000E66E5">
        <w:rPr>
          <w:rStyle w:val="FootnoteReference"/>
          <w:rFonts w:ascii="Times New Roman" w:hAnsi="Times New Roman"/>
          <w:sz w:val="18"/>
          <w:szCs w:val="18"/>
        </w:rPr>
        <w:footnoteRef/>
      </w:r>
      <w:r w:rsidRPr="000E66E5">
        <w:rPr>
          <w:rFonts w:ascii="Times New Roman" w:hAnsi="Times New Roman"/>
          <w:sz w:val="18"/>
          <w:szCs w:val="18"/>
        </w:rPr>
        <w:t xml:space="preserve"> Red – requires urgent and decisive action; Orange – requires substantial attention, some aspects need urgent attention; Yellow – aspect(s) require substantial attention, some</w:t>
      </w:r>
      <w:r>
        <w:rPr>
          <w:rFonts w:ascii="Times New Roman" w:hAnsi="Times New Roman"/>
          <w:sz w:val="18"/>
          <w:szCs w:val="18"/>
        </w:rPr>
        <w:t xml:space="preserve"> aspects </w:t>
      </w:r>
      <w:r w:rsidRPr="000E66E5">
        <w:rPr>
          <w:rFonts w:ascii="Times New Roman" w:hAnsi="Times New Roman"/>
          <w:sz w:val="18"/>
          <w:szCs w:val="18"/>
        </w:rPr>
        <w:t xml:space="preserve">good; Green – </w:t>
      </w:r>
      <w:r>
        <w:rPr>
          <w:rFonts w:ascii="Times New Roman" w:hAnsi="Times New Roman"/>
          <w:sz w:val="18"/>
          <w:szCs w:val="18"/>
        </w:rPr>
        <w:t xml:space="preserve">good, </w:t>
      </w:r>
      <w:r w:rsidRPr="000E66E5">
        <w:rPr>
          <w:rFonts w:ascii="Times New Roman" w:hAnsi="Times New Roman"/>
          <w:sz w:val="18"/>
          <w:szCs w:val="18"/>
        </w:rPr>
        <w:t>requires refinement and systematic implementation.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FE" w:rsidRDefault="007A23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1196"/>
      <w:docPartObj>
        <w:docPartGallery w:val="Watermarks"/>
        <w:docPartUnique/>
      </w:docPartObj>
    </w:sdtPr>
    <w:sdtContent>
      <w:p w:rsidR="007A23FE" w:rsidRDefault="005F73F2">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3FE" w:rsidRDefault="007A23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DF"/>
    <w:multiLevelType w:val="hybridMultilevel"/>
    <w:tmpl w:val="A9FE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21ADB"/>
    <w:multiLevelType w:val="hybridMultilevel"/>
    <w:tmpl w:val="0EA8A24E"/>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86716"/>
    <w:multiLevelType w:val="hybridMultilevel"/>
    <w:tmpl w:val="F22C3D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8A65F0"/>
    <w:multiLevelType w:val="hybridMultilevel"/>
    <w:tmpl w:val="D9AC2076"/>
    <w:lvl w:ilvl="0" w:tplc="15C442D0">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295F5682"/>
    <w:multiLevelType w:val="hybridMultilevel"/>
    <w:tmpl w:val="DCE6D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D28AF"/>
    <w:multiLevelType w:val="hybridMultilevel"/>
    <w:tmpl w:val="E8F21574"/>
    <w:lvl w:ilvl="0" w:tplc="15C442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D36061"/>
    <w:multiLevelType w:val="hybridMultilevel"/>
    <w:tmpl w:val="785A7F12"/>
    <w:lvl w:ilvl="0" w:tplc="7B329A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EFB2A79"/>
    <w:multiLevelType w:val="hybridMultilevel"/>
    <w:tmpl w:val="41E44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C442D0">
      <w:start w:val="1"/>
      <w:numFmt w:val="bullet"/>
      <w:lvlText w:val=""/>
      <w:lvlJc w:val="left"/>
      <w:pPr>
        <w:ind w:left="45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F37106"/>
    <w:multiLevelType w:val="hybridMultilevel"/>
    <w:tmpl w:val="9646A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5C442D0">
      <w:start w:val="1"/>
      <w:numFmt w:val="bullet"/>
      <w:lvlText w:val=""/>
      <w:lvlJc w:val="left"/>
      <w:pPr>
        <w:ind w:left="45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0"/>
  </w:num>
  <w:num w:numId="4">
    <w:abstractNumId w:val="4"/>
  </w:num>
  <w:num w:numId="5">
    <w:abstractNumId w:val="3"/>
  </w:num>
  <w:num w:numId="6">
    <w:abstractNumId w:val="8"/>
  </w:num>
  <w:num w:numId="7">
    <w:abstractNumId w:val="7"/>
  </w:num>
  <w:num w:numId="8">
    <w:abstractNumId w:val="1"/>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57066B"/>
    <w:rsid w:val="00041625"/>
    <w:rsid w:val="00042CB1"/>
    <w:rsid w:val="000571A8"/>
    <w:rsid w:val="000707A4"/>
    <w:rsid w:val="000E66E5"/>
    <w:rsid w:val="00114C12"/>
    <w:rsid w:val="001427B5"/>
    <w:rsid w:val="001450B6"/>
    <w:rsid w:val="001742A0"/>
    <w:rsid w:val="001764FC"/>
    <w:rsid w:val="001A1D34"/>
    <w:rsid w:val="001D7E55"/>
    <w:rsid w:val="0022271B"/>
    <w:rsid w:val="002800A0"/>
    <w:rsid w:val="002970A9"/>
    <w:rsid w:val="002A3B3E"/>
    <w:rsid w:val="002C35A5"/>
    <w:rsid w:val="0031322A"/>
    <w:rsid w:val="003171D2"/>
    <w:rsid w:val="003239E4"/>
    <w:rsid w:val="00323B09"/>
    <w:rsid w:val="00343F3B"/>
    <w:rsid w:val="00346153"/>
    <w:rsid w:val="003E65EE"/>
    <w:rsid w:val="00423DBA"/>
    <w:rsid w:val="00465BC0"/>
    <w:rsid w:val="00485F6E"/>
    <w:rsid w:val="0048756C"/>
    <w:rsid w:val="004A179D"/>
    <w:rsid w:val="00546E06"/>
    <w:rsid w:val="0057066B"/>
    <w:rsid w:val="00574D67"/>
    <w:rsid w:val="00590969"/>
    <w:rsid w:val="005B6D1E"/>
    <w:rsid w:val="005E275C"/>
    <w:rsid w:val="005E714D"/>
    <w:rsid w:val="005F73F2"/>
    <w:rsid w:val="0064106D"/>
    <w:rsid w:val="00671D23"/>
    <w:rsid w:val="006A2DD2"/>
    <w:rsid w:val="006E1AEE"/>
    <w:rsid w:val="007046DE"/>
    <w:rsid w:val="00734ABF"/>
    <w:rsid w:val="00741FE7"/>
    <w:rsid w:val="00754A74"/>
    <w:rsid w:val="007A23FE"/>
    <w:rsid w:val="007A2A80"/>
    <w:rsid w:val="007D7412"/>
    <w:rsid w:val="007F17BA"/>
    <w:rsid w:val="007F5934"/>
    <w:rsid w:val="0086775C"/>
    <w:rsid w:val="0088735A"/>
    <w:rsid w:val="008E2E2D"/>
    <w:rsid w:val="009023B2"/>
    <w:rsid w:val="009118B4"/>
    <w:rsid w:val="00930125"/>
    <w:rsid w:val="00960C07"/>
    <w:rsid w:val="00964D88"/>
    <w:rsid w:val="00967E40"/>
    <w:rsid w:val="0099407B"/>
    <w:rsid w:val="00994758"/>
    <w:rsid w:val="009B3309"/>
    <w:rsid w:val="009F13CA"/>
    <w:rsid w:val="00A04BDD"/>
    <w:rsid w:val="00AB69BB"/>
    <w:rsid w:val="00AD6A85"/>
    <w:rsid w:val="00B5102D"/>
    <w:rsid w:val="00B62CB8"/>
    <w:rsid w:val="00B65ED3"/>
    <w:rsid w:val="00BD0138"/>
    <w:rsid w:val="00BE17F8"/>
    <w:rsid w:val="00C37C8B"/>
    <w:rsid w:val="00C8095E"/>
    <w:rsid w:val="00C92618"/>
    <w:rsid w:val="00C97EEC"/>
    <w:rsid w:val="00D124EE"/>
    <w:rsid w:val="00D82997"/>
    <w:rsid w:val="00D9412B"/>
    <w:rsid w:val="00DB6C42"/>
    <w:rsid w:val="00DF6322"/>
    <w:rsid w:val="00E05BD7"/>
    <w:rsid w:val="00E34050"/>
    <w:rsid w:val="00E44136"/>
    <w:rsid w:val="00E81837"/>
    <w:rsid w:val="00E90E7D"/>
    <w:rsid w:val="00EE6C63"/>
    <w:rsid w:val="00EF438E"/>
    <w:rsid w:val="00F451F0"/>
    <w:rsid w:val="00F627C5"/>
    <w:rsid w:val="00F90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BalloonText">
    <w:name w:val="Balloon Text"/>
    <w:basedOn w:val="Normal"/>
    <w:link w:val="BalloonTextChar"/>
    <w:uiPriority w:val="99"/>
    <w:semiHidden/>
    <w:unhideWhenUsed/>
    <w:rsid w:val="00222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271B"/>
    <w:rPr>
      <w:sz w:val="16"/>
      <w:szCs w:val="16"/>
    </w:rPr>
  </w:style>
  <w:style w:type="paragraph" w:styleId="CommentText">
    <w:name w:val="annotation text"/>
    <w:basedOn w:val="Normal"/>
    <w:link w:val="CommentTextChar"/>
    <w:uiPriority w:val="99"/>
    <w:semiHidden/>
    <w:unhideWhenUsed/>
    <w:rsid w:val="0022271B"/>
    <w:pPr>
      <w:spacing w:line="240" w:lineRule="auto"/>
    </w:pPr>
    <w:rPr>
      <w:sz w:val="20"/>
      <w:szCs w:val="20"/>
    </w:rPr>
  </w:style>
  <w:style w:type="character" w:customStyle="1" w:styleId="CommentTextChar">
    <w:name w:val="Comment Text Char"/>
    <w:basedOn w:val="DefaultParagraphFont"/>
    <w:link w:val="CommentText"/>
    <w:uiPriority w:val="99"/>
    <w:semiHidden/>
    <w:rsid w:val="0022271B"/>
    <w:rPr>
      <w:rFonts w:eastAsia="Times New Roman"/>
    </w:rPr>
  </w:style>
  <w:style w:type="paragraph" w:styleId="CommentSubject">
    <w:name w:val="annotation subject"/>
    <w:basedOn w:val="CommentText"/>
    <w:next w:val="CommentText"/>
    <w:link w:val="CommentSubjectChar"/>
    <w:uiPriority w:val="99"/>
    <w:semiHidden/>
    <w:unhideWhenUsed/>
    <w:rsid w:val="0022271B"/>
    <w:rPr>
      <w:b/>
      <w:bCs/>
    </w:rPr>
  </w:style>
  <w:style w:type="character" w:customStyle="1" w:styleId="CommentSubjectChar">
    <w:name w:val="Comment Subject Char"/>
    <w:basedOn w:val="CommentTextChar"/>
    <w:link w:val="CommentSubject"/>
    <w:uiPriority w:val="99"/>
    <w:semiHidden/>
    <w:rsid w:val="0022271B"/>
    <w:rPr>
      <w:b/>
      <w:bCs/>
    </w:rPr>
  </w:style>
  <w:style w:type="character" w:styleId="Hyperlink">
    <w:name w:val="Hyperlink"/>
    <w:basedOn w:val="DefaultParagraphFont"/>
    <w:uiPriority w:val="99"/>
    <w:semiHidden/>
    <w:unhideWhenUsed/>
    <w:rsid w:val="0088735A"/>
    <w:rPr>
      <w:color w:val="0000FF" w:themeColor="hyperlink"/>
      <w:u w:val="single"/>
    </w:rPr>
  </w:style>
  <w:style w:type="paragraph" w:styleId="Header">
    <w:name w:val="header"/>
    <w:basedOn w:val="Normal"/>
    <w:link w:val="HeaderChar"/>
    <w:uiPriority w:val="99"/>
    <w:semiHidden/>
    <w:unhideWhenUsed/>
    <w:rsid w:val="007A23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3FE"/>
    <w:rPr>
      <w:rFonts w:eastAsia="Times New Roman"/>
      <w:sz w:val="22"/>
      <w:szCs w:val="22"/>
    </w:rPr>
  </w:style>
  <w:style w:type="paragraph" w:styleId="Footer">
    <w:name w:val="footer"/>
    <w:basedOn w:val="Normal"/>
    <w:link w:val="FooterChar"/>
    <w:uiPriority w:val="99"/>
    <w:semiHidden/>
    <w:unhideWhenUsed/>
    <w:rsid w:val="007A23F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3FE"/>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262999530">
      <w:bodyDiv w:val="1"/>
      <w:marLeft w:val="0"/>
      <w:marRight w:val="0"/>
      <w:marTop w:val="0"/>
      <w:marBottom w:val="0"/>
      <w:divBdr>
        <w:top w:val="none" w:sz="0" w:space="0" w:color="auto"/>
        <w:left w:val="none" w:sz="0" w:space="0" w:color="auto"/>
        <w:bottom w:val="none" w:sz="0" w:space="0" w:color="auto"/>
        <w:right w:val="none" w:sz="0" w:space="0" w:color="auto"/>
      </w:divBdr>
    </w:div>
    <w:div w:id="379666916">
      <w:bodyDiv w:val="1"/>
      <w:marLeft w:val="0"/>
      <w:marRight w:val="0"/>
      <w:marTop w:val="0"/>
      <w:marBottom w:val="0"/>
      <w:divBdr>
        <w:top w:val="none" w:sz="0" w:space="0" w:color="auto"/>
        <w:left w:val="none" w:sz="0" w:space="0" w:color="auto"/>
        <w:bottom w:val="none" w:sz="0" w:space="0" w:color="auto"/>
        <w:right w:val="none" w:sz="0" w:space="0" w:color="auto"/>
      </w:divBdr>
    </w:div>
    <w:div w:id="5523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C238-EF45-4134-9148-00150F4E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Melissa Siry</cp:lastModifiedBy>
  <cp:revision>4</cp:revision>
  <cp:lastPrinted>2011-02-07T18:59:00Z</cp:lastPrinted>
  <dcterms:created xsi:type="dcterms:W3CDTF">2011-03-15T18:44:00Z</dcterms:created>
  <dcterms:modified xsi:type="dcterms:W3CDTF">2011-03-16T17:55:00Z</dcterms:modified>
</cp:coreProperties>
</file>