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Supporting Statement B</w:t>
      </w:r>
    </w:p>
    <w:p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rsidR="00365B63" w:rsidRPr="00365B63" w:rsidRDefault="00365B63" w:rsidP="00365B63">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sz w:val="24"/>
          <w:szCs w:val="24"/>
        </w:rPr>
      </w:pPr>
      <w:r w:rsidRPr="00365B63">
        <w:rPr>
          <w:sz w:val="24"/>
          <w:szCs w:val="24"/>
        </w:rPr>
        <w:t xml:space="preserve">Visitor Use Surveys </w:t>
      </w:r>
      <w:r w:rsidR="00EC672A">
        <w:rPr>
          <w:sz w:val="24"/>
          <w:szCs w:val="24"/>
        </w:rPr>
        <w:t>for</w:t>
      </w:r>
    </w:p>
    <w:p w:rsidR="00365B63" w:rsidRPr="00365B63" w:rsidRDefault="00365B63" w:rsidP="00365B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24"/>
          <w:szCs w:val="24"/>
        </w:rPr>
      </w:pPr>
      <w:r w:rsidRPr="00365B63">
        <w:rPr>
          <w:sz w:val="24"/>
          <w:szCs w:val="24"/>
        </w:rPr>
        <w:t>Headwaters Forest Reserve and King Range National Conservation Area</w:t>
      </w:r>
    </w:p>
    <w:p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 xml:space="preserve">OMB Control </w:t>
      </w:r>
      <w:r w:rsidR="00B31CAC">
        <w:rPr>
          <w:b/>
          <w:bCs/>
          <w:sz w:val="32"/>
          <w:szCs w:val="32"/>
        </w:rPr>
        <w:t xml:space="preserve">Number </w:t>
      </w:r>
      <w:r>
        <w:rPr>
          <w:b/>
          <w:bCs/>
          <w:sz w:val="32"/>
          <w:szCs w:val="32"/>
        </w:rPr>
        <w:t>10</w:t>
      </w:r>
      <w:r w:rsidR="00031645">
        <w:rPr>
          <w:b/>
          <w:bCs/>
          <w:sz w:val="32"/>
          <w:szCs w:val="32"/>
        </w:rPr>
        <w:t>04-NEW</w:t>
      </w:r>
    </w:p>
    <w:p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Collections of Information Employing Statistical Methods</w:t>
      </w:r>
    </w:p>
    <w:p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agency should be prepared to justify its decision not to use statistical methods in any case where such methods might reduce burden or improve accuracy of results.  When the question “Does this ICR contain surveys, censuses</w:t>
      </w:r>
      <w:r w:rsidR="000C30DF">
        <w:rPr>
          <w:sz w:val="24"/>
          <w:szCs w:val="24"/>
        </w:rPr>
        <w:t>,</w:t>
      </w:r>
      <w:r>
        <w:rPr>
          <w:sz w:val="24"/>
          <w:szCs w:val="24"/>
        </w:rPr>
        <w:t xml:space="preserve"> or employ statistical methods?” is checked "Yes," the following documentation should be included in Supporting Statement B to the extent that it applies to the methods proposed:</w:t>
      </w:r>
    </w:p>
    <w:p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RPr="00870D20"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870D20">
        <w:rPr>
          <w:b/>
          <w:sz w:val="24"/>
          <w:szCs w:val="24"/>
        </w:rPr>
        <w:t>1.</w:t>
      </w:r>
      <w:r w:rsidRPr="00870D20">
        <w:rPr>
          <w:b/>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365B63" w:rsidRPr="00365B63" w:rsidRDefault="00365B63"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u w:val="single"/>
        </w:rPr>
      </w:pPr>
    </w:p>
    <w:p w:rsidR="00E0413B" w:rsidRDefault="00AC065D" w:rsidP="00960A83">
      <w:pPr>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potential respondent universe, based on 2010 annual recreation visitation, is 13,500 people</w:t>
      </w:r>
      <w:r w:rsidR="00365B63">
        <w:rPr>
          <w:sz w:val="24"/>
          <w:szCs w:val="24"/>
        </w:rPr>
        <w:t xml:space="preserve"> at Headwaters and 6,000 at the Lost Coast Trail in </w:t>
      </w:r>
      <w:r w:rsidR="00D97618" w:rsidRPr="00365B63">
        <w:rPr>
          <w:sz w:val="24"/>
          <w:szCs w:val="24"/>
        </w:rPr>
        <w:t>King Range National Conservation Area</w:t>
      </w:r>
      <w:r w:rsidR="00D97618">
        <w:rPr>
          <w:sz w:val="24"/>
          <w:szCs w:val="24"/>
        </w:rPr>
        <w:t xml:space="preserve"> (</w:t>
      </w:r>
      <w:r w:rsidR="00365B63">
        <w:rPr>
          <w:sz w:val="24"/>
          <w:szCs w:val="24"/>
        </w:rPr>
        <w:t>KRNCA</w:t>
      </w:r>
      <w:r w:rsidR="00D97618">
        <w:rPr>
          <w:sz w:val="24"/>
          <w:szCs w:val="24"/>
        </w:rPr>
        <w:t>)</w:t>
      </w:r>
      <w:r>
        <w:rPr>
          <w:sz w:val="24"/>
          <w:szCs w:val="24"/>
        </w:rPr>
        <w:t>.</w:t>
      </w:r>
    </w:p>
    <w:p w:rsidR="00AC065D" w:rsidRDefault="00AC065D" w:rsidP="00AC06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p>
    <w:p w:rsidR="00AC065D" w:rsidRDefault="00AC065D" w:rsidP="00960A83">
      <w:pPr>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vast majority of this use occurs during the months of May through September, with more use occurring on weekends</w:t>
      </w:r>
      <w:r w:rsidR="00BA2EB0">
        <w:rPr>
          <w:sz w:val="24"/>
          <w:szCs w:val="24"/>
        </w:rPr>
        <w:t xml:space="preserve"> than on weekdays</w:t>
      </w:r>
      <w:r>
        <w:rPr>
          <w:sz w:val="24"/>
          <w:szCs w:val="24"/>
        </w:rPr>
        <w:t>.</w:t>
      </w:r>
    </w:p>
    <w:p w:rsidR="00AC065D" w:rsidRDefault="00AC065D" w:rsidP="00AC06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p>
    <w:p w:rsidR="00D07849" w:rsidRPr="00D07849" w:rsidRDefault="00365B63" w:rsidP="00D07849">
      <w:pPr>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At Headwaters, w</w:t>
      </w:r>
      <w:r w:rsidR="00AC065D">
        <w:rPr>
          <w:sz w:val="24"/>
          <w:szCs w:val="24"/>
        </w:rPr>
        <w:t>e will sample June 1 through Sept. 30.</w:t>
      </w:r>
      <w:r w:rsidRPr="00365B63">
        <w:rPr>
          <w:sz w:val="24"/>
          <w:szCs w:val="24"/>
        </w:rPr>
        <w:t xml:space="preserve"> </w:t>
      </w:r>
      <w:r>
        <w:rPr>
          <w:sz w:val="24"/>
          <w:szCs w:val="24"/>
        </w:rPr>
        <w:t xml:space="preserve">At KRNCA, we will sample </w:t>
      </w:r>
      <w:r w:rsidR="00D07849">
        <w:rPr>
          <w:sz w:val="24"/>
          <w:szCs w:val="24"/>
        </w:rPr>
        <w:t xml:space="preserve">primarily </w:t>
      </w:r>
      <w:r>
        <w:rPr>
          <w:sz w:val="24"/>
          <w:szCs w:val="24"/>
        </w:rPr>
        <w:t>May 23 through September 2 (Memorial Day weekend through Labor Day weekend).</w:t>
      </w:r>
      <w:r w:rsidR="00D07849">
        <w:rPr>
          <w:sz w:val="24"/>
          <w:szCs w:val="24"/>
        </w:rPr>
        <w:t xml:space="preserve"> However, if possible, we may also sample earlier in the </w:t>
      </w:r>
      <w:proofErr w:type="gramStart"/>
      <w:r w:rsidR="00D07849">
        <w:rPr>
          <w:sz w:val="24"/>
          <w:szCs w:val="24"/>
        </w:rPr>
        <w:t>Spring</w:t>
      </w:r>
      <w:proofErr w:type="gramEnd"/>
      <w:r w:rsidR="00D07849">
        <w:rPr>
          <w:sz w:val="24"/>
          <w:szCs w:val="24"/>
        </w:rPr>
        <w:t xml:space="preserve"> or later in the Fall to encompass increasing visitation during this timeframe.</w:t>
      </w:r>
    </w:p>
    <w:p w:rsidR="00D07849" w:rsidRDefault="00D07849" w:rsidP="00D078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4"/>
          <w:szCs w:val="24"/>
        </w:rPr>
      </w:pPr>
    </w:p>
    <w:p w:rsidR="00AC065D" w:rsidRPr="0083399A" w:rsidRDefault="00D07849" w:rsidP="00D07849">
      <w:pPr>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3399A">
        <w:rPr>
          <w:sz w:val="24"/>
          <w:szCs w:val="24"/>
        </w:rPr>
        <w:t>We</w:t>
      </w:r>
      <w:r w:rsidR="00AC065D" w:rsidRPr="0083399A">
        <w:rPr>
          <w:sz w:val="24"/>
          <w:szCs w:val="24"/>
        </w:rPr>
        <w:t xml:space="preserve"> will sample weekdays (Mon-Fri) and weekend days (Sat-Sun) equally</w:t>
      </w:r>
      <w:r w:rsidR="00BA2EB0" w:rsidRPr="0083399A">
        <w:rPr>
          <w:sz w:val="24"/>
          <w:szCs w:val="24"/>
        </w:rPr>
        <w:t xml:space="preserve"> (50/50)</w:t>
      </w:r>
      <w:r w:rsidR="00AC065D" w:rsidRPr="0083399A">
        <w:rPr>
          <w:sz w:val="24"/>
          <w:szCs w:val="24"/>
        </w:rPr>
        <w:t>.</w:t>
      </w:r>
      <w:r w:rsidR="00365B63" w:rsidRPr="0083399A">
        <w:rPr>
          <w:sz w:val="24"/>
          <w:szCs w:val="24"/>
        </w:rPr>
        <w:t xml:space="preserve"> </w:t>
      </w:r>
    </w:p>
    <w:p w:rsidR="000A6EDE" w:rsidRPr="00D07849" w:rsidRDefault="000A6EDE" w:rsidP="000A6E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4"/>
          <w:szCs w:val="24"/>
        </w:rPr>
      </w:pPr>
    </w:p>
    <w:p w:rsidR="00AC065D" w:rsidRDefault="00BA2EB0" w:rsidP="00960A83">
      <w:pPr>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e</w:t>
      </w:r>
      <w:r w:rsidR="00AC065D">
        <w:rPr>
          <w:sz w:val="24"/>
          <w:szCs w:val="24"/>
        </w:rPr>
        <w:t>xpected response rate is 70%. The response rate</w:t>
      </w:r>
      <w:r w:rsidR="00D07849">
        <w:rPr>
          <w:sz w:val="24"/>
          <w:szCs w:val="24"/>
        </w:rPr>
        <w:t>s</w:t>
      </w:r>
      <w:r w:rsidR="00AC065D">
        <w:rPr>
          <w:sz w:val="24"/>
          <w:szCs w:val="24"/>
        </w:rPr>
        <w:t xml:space="preserve"> from the previous collection</w:t>
      </w:r>
      <w:r w:rsidR="00D07849">
        <w:rPr>
          <w:sz w:val="24"/>
          <w:szCs w:val="24"/>
        </w:rPr>
        <w:t>s</w:t>
      </w:r>
      <w:r w:rsidR="00AC065D">
        <w:rPr>
          <w:sz w:val="24"/>
          <w:szCs w:val="24"/>
        </w:rPr>
        <w:t xml:space="preserve"> (1999</w:t>
      </w:r>
      <w:r w:rsidR="00D07849">
        <w:rPr>
          <w:sz w:val="24"/>
          <w:szCs w:val="24"/>
        </w:rPr>
        <w:t xml:space="preserve"> Headwaters and 2003 KRNCA</w:t>
      </w:r>
      <w:r w:rsidR="00AC065D">
        <w:rPr>
          <w:sz w:val="24"/>
          <w:szCs w:val="24"/>
        </w:rPr>
        <w:t>) w</w:t>
      </w:r>
      <w:r w:rsidR="00D07849">
        <w:rPr>
          <w:sz w:val="24"/>
          <w:szCs w:val="24"/>
        </w:rPr>
        <w:t>ere 70.9% and 72% respectively.</w:t>
      </w:r>
    </w:p>
    <w:p w:rsidR="00AC065D" w:rsidRDefault="00AC065D" w:rsidP="00AC06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p>
    <w:p w:rsidR="00AC065D" w:rsidRDefault="00AC065D" w:rsidP="00960A83">
      <w:pPr>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Our sample target is 600 contacts, and 420 completed surveys</w:t>
      </w:r>
      <w:r w:rsidR="00D07849">
        <w:rPr>
          <w:sz w:val="24"/>
          <w:szCs w:val="24"/>
        </w:rPr>
        <w:t xml:space="preserve"> for Headwaters and 400 contacts, and 280 completed surveys for KRNCA</w:t>
      </w:r>
      <w:r w:rsidR="00D97618">
        <w:rPr>
          <w:sz w:val="24"/>
          <w:szCs w:val="24"/>
        </w:rPr>
        <w:t xml:space="preserve"> (see table 1 below)</w:t>
      </w:r>
    </w:p>
    <w:p w:rsidR="005D5F22" w:rsidRDefault="005D5F22" w:rsidP="005D5F22">
      <w:pPr>
        <w:pStyle w:val="ListParagraph"/>
        <w:rPr>
          <w:sz w:val="24"/>
          <w:szCs w:val="24"/>
        </w:rPr>
      </w:pPr>
    </w:p>
    <w:p w:rsidR="00AC065D" w:rsidRDefault="00D97618" w:rsidP="00AC06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Pr>
          <w:sz w:val="24"/>
          <w:szCs w:val="24"/>
        </w:rPr>
        <w:lastRenderedPageBreak/>
        <w:t xml:space="preserve">Table 1 – Respondent Universe and sample for </w:t>
      </w:r>
      <w:r w:rsidR="005C467D">
        <w:rPr>
          <w:sz w:val="24"/>
          <w:szCs w:val="24"/>
        </w:rPr>
        <w:t xml:space="preserve">mail-back </w:t>
      </w:r>
      <w:r>
        <w:rPr>
          <w:sz w:val="24"/>
          <w:szCs w:val="24"/>
        </w:rPr>
        <w:t>survey effort.</w:t>
      </w:r>
    </w:p>
    <w:p w:rsidR="002A6309" w:rsidRDefault="002A6309" w:rsidP="00AC06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8"/>
        <w:gridCol w:w="1440"/>
        <w:gridCol w:w="1620"/>
        <w:gridCol w:w="1530"/>
        <w:gridCol w:w="1530"/>
      </w:tblGrid>
      <w:tr w:rsidR="00D97618" w:rsidRPr="00085664" w:rsidTr="00870D20">
        <w:tc>
          <w:tcPr>
            <w:tcW w:w="1728" w:type="dxa"/>
            <w:shd w:val="clear" w:color="auto" w:fill="auto"/>
          </w:tcPr>
          <w:p w:rsidR="00D97618" w:rsidRPr="00085664" w:rsidRDefault="00D97618" w:rsidP="000856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Location</w:t>
            </w:r>
          </w:p>
        </w:tc>
        <w:tc>
          <w:tcPr>
            <w:tcW w:w="1440" w:type="dxa"/>
            <w:tcBorders>
              <w:top w:val="single" w:sz="2" w:space="0" w:color="auto"/>
              <w:right w:val="single" w:sz="2" w:space="0" w:color="auto"/>
            </w:tcBorders>
            <w:shd w:val="clear" w:color="auto" w:fill="auto"/>
          </w:tcPr>
          <w:p w:rsidR="00D97618" w:rsidRPr="00085664" w:rsidRDefault="00F735B4" w:rsidP="008C3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Respondent U</w:t>
            </w:r>
            <w:r w:rsidR="00D97618" w:rsidRPr="00085664">
              <w:rPr>
                <w:sz w:val="24"/>
                <w:szCs w:val="24"/>
              </w:rPr>
              <w:t>niverse</w:t>
            </w:r>
          </w:p>
          <w:p w:rsidR="00D97618" w:rsidRPr="00085664" w:rsidRDefault="00D97618" w:rsidP="000856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620" w:type="dxa"/>
            <w:tcBorders>
              <w:top w:val="single" w:sz="2" w:space="0" w:color="auto"/>
              <w:left w:val="single" w:sz="2" w:space="0" w:color="auto"/>
            </w:tcBorders>
            <w:shd w:val="clear" w:color="auto" w:fill="auto"/>
          </w:tcPr>
          <w:p w:rsidR="00D97618" w:rsidRPr="00085664" w:rsidRDefault="00D97618" w:rsidP="00D976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Total Number of visitors to be sampled</w:t>
            </w:r>
          </w:p>
        </w:tc>
        <w:tc>
          <w:tcPr>
            <w:tcW w:w="1530" w:type="dxa"/>
            <w:shd w:val="clear" w:color="auto" w:fill="auto"/>
          </w:tcPr>
          <w:p w:rsidR="00D97618" w:rsidRPr="00085664" w:rsidRDefault="00D97618" w:rsidP="000856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85664">
              <w:rPr>
                <w:sz w:val="24"/>
                <w:szCs w:val="24"/>
              </w:rPr>
              <w:t>Projected response rate</w:t>
            </w:r>
          </w:p>
        </w:tc>
        <w:tc>
          <w:tcPr>
            <w:tcW w:w="1530" w:type="dxa"/>
            <w:shd w:val="clear" w:color="auto" w:fill="auto"/>
          </w:tcPr>
          <w:p w:rsidR="00D97618" w:rsidRPr="00085664" w:rsidRDefault="00D97618" w:rsidP="000856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Total number of expected respondents</w:t>
            </w:r>
          </w:p>
        </w:tc>
      </w:tr>
      <w:tr w:rsidR="00D97618" w:rsidRPr="00085664" w:rsidTr="00870D20">
        <w:tc>
          <w:tcPr>
            <w:tcW w:w="1728" w:type="dxa"/>
            <w:shd w:val="clear" w:color="auto" w:fill="auto"/>
          </w:tcPr>
          <w:p w:rsidR="00D97618" w:rsidRDefault="00D97618" w:rsidP="000856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Headwaters</w:t>
            </w:r>
          </w:p>
          <w:p w:rsidR="00D97618" w:rsidRPr="00085664" w:rsidRDefault="00D97618" w:rsidP="00D976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440" w:type="dxa"/>
            <w:tcBorders>
              <w:right w:val="single" w:sz="2" w:space="0" w:color="auto"/>
            </w:tcBorders>
            <w:shd w:val="clear" w:color="auto" w:fill="auto"/>
          </w:tcPr>
          <w:p w:rsidR="00D97618" w:rsidRPr="00085664" w:rsidRDefault="00D97618" w:rsidP="000856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85664">
              <w:rPr>
                <w:sz w:val="24"/>
                <w:szCs w:val="24"/>
              </w:rPr>
              <w:t xml:space="preserve">13,500 </w:t>
            </w:r>
          </w:p>
        </w:tc>
        <w:tc>
          <w:tcPr>
            <w:tcW w:w="1620" w:type="dxa"/>
            <w:tcBorders>
              <w:left w:val="single" w:sz="2" w:space="0" w:color="auto"/>
            </w:tcBorders>
            <w:shd w:val="clear" w:color="auto" w:fill="auto"/>
          </w:tcPr>
          <w:p w:rsidR="00D97618" w:rsidRPr="00085664" w:rsidRDefault="00D97618" w:rsidP="00D976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85664">
              <w:rPr>
                <w:sz w:val="24"/>
                <w:szCs w:val="24"/>
              </w:rPr>
              <w:t xml:space="preserve">600 </w:t>
            </w:r>
          </w:p>
        </w:tc>
        <w:tc>
          <w:tcPr>
            <w:tcW w:w="1530" w:type="dxa"/>
            <w:shd w:val="clear" w:color="auto" w:fill="auto"/>
          </w:tcPr>
          <w:p w:rsidR="00D97618" w:rsidRPr="00085664" w:rsidRDefault="005C467D" w:rsidP="000856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70</w:t>
            </w:r>
            <w:r w:rsidR="00D97618">
              <w:rPr>
                <w:sz w:val="24"/>
                <w:szCs w:val="24"/>
              </w:rPr>
              <w:t>%</w:t>
            </w:r>
          </w:p>
        </w:tc>
        <w:tc>
          <w:tcPr>
            <w:tcW w:w="1530" w:type="dxa"/>
            <w:shd w:val="clear" w:color="auto" w:fill="auto"/>
          </w:tcPr>
          <w:p w:rsidR="00D97618" w:rsidRPr="00085664" w:rsidRDefault="005C467D" w:rsidP="00D976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42</w:t>
            </w:r>
            <w:r w:rsidR="00D97618" w:rsidRPr="00085664">
              <w:rPr>
                <w:sz w:val="24"/>
                <w:szCs w:val="24"/>
              </w:rPr>
              <w:t xml:space="preserve">0 </w:t>
            </w:r>
          </w:p>
        </w:tc>
      </w:tr>
      <w:tr w:rsidR="00D97618" w:rsidRPr="00085664" w:rsidTr="00870D20">
        <w:tc>
          <w:tcPr>
            <w:tcW w:w="1728" w:type="dxa"/>
            <w:shd w:val="clear" w:color="auto" w:fill="auto"/>
          </w:tcPr>
          <w:p w:rsidR="00D97618" w:rsidRDefault="00D97618" w:rsidP="00D078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KRNCA </w:t>
            </w:r>
          </w:p>
          <w:p w:rsidR="00D97618" w:rsidRPr="00085664" w:rsidRDefault="00D97618" w:rsidP="00D976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440" w:type="dxa"/>
            <w:tcBorders>
              <w:right w:val="single" w:sz="2" w:space="0" w:color="auto"/>
            </w:tcBorders>
            <w:shd w:val="clear" w:color="auto" w:fill="auto"/>
          </w:tcPr>
          <w:p w:rsidR="00D97618" w:rsidRPr="00085664" w:rsidRDefault="00D97618" w:rsidP="00D078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6</w:t>
            </w:r>
            <w:r w:rsidR="00ED7B09">
              <w:rPr>
                <w:sz w:val="24"/>
                <w:szCs w:val="24"/>
              </w:rPr>
              <w:t>,</w:t>
            </w:r>
            <w:r>
              <w:rPr>
                <w:sz w:val="24"/>
                <w:szCs w:val="24"/>
              </w:rPr>
              <w:t>0</w:t>
            </w:r>
            <w:r w:rsidRPr="00085664">
              <w:rPr>
                <w:sz w:val="24"/>
                <w:szCs w:val="24"/>
              </w:rPr>
              <w:t>00</w:t>
            </w:r>
          </w:p>
        </w:tc>
        <w:tc>
          <w:tcPr>
            <w:tcW w:w="1620" w:type="dxa"/>
            <w:tcBorders>
              <w:left w:val="single" w:sz="2" w:space="0" w:color="auto"/>
            </w:tcBorders>
            <w:shd w:val="clear" w:color="auto" w:fill="auto"/>
          </w:tcPr>
          <w:p w:rsidR="00D97618" w:rsidRPr="00085664" w:rsidRDefault="00D97618" w:rsidP="00D976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40</w:t>
            </w:r>
            <w:r w:rsidRPr="00085664">
              <w:rPr>
                <w:sz w:val="24"/>
                <w:szCs w:val="24"/>
              </w:rPr>
              <w:t xml:space="preserve">0 </w:t>
            </w:r>
          </w:p>
        </w:tc>
        <w:tc>
          <w:tcPr>
            <w:tcW w:w="1530" w:type="dxa"/>
            <w:shd w:val="clear" w:color="auto" w:fill="auto"/>
          </w:tcPr>
          <w:p w:rsidR="00D97618" w:rsidRPr="00085664" w:rsidRDefault="00D97618" w:rsidP="00D078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70%</w:t>
            </w:r>
          </w:p>
        </w:tc>
        <w:tc>
          <w:tcPr>
            <w:tcW w:w="1530" w:type="dxa"/>
            <w:shd w:val="clear" w:color="auto" w:fill="auto"/>
          </w:tcPr>
          <w:p w:rsidR="00D97618" w:rsidRPr="00085664" w:rsidRDefault="005C467D" w:rsidP="00D976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280</w:t>
            </w:r>
          </w:p>
        </w:tc>
      </w:tr>
    </w:tbl>
    <w:p w:rsidR="00365B63" w:rsidRDefault="00365B63" w:rsidP="00365B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p>
    <w:p w:rsidR="003574AA" w:rsidRDefault="003574AA" w:rsidP="00365B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p>
    <w:p w:rsidR="008126AE" w:rsidRPr="00870D20"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870D20">
        <w:rPr>
          <w:b/>
          <w:sz w:val="24"/>
          <w:szCs w:val="24"/>
        </w:rPr>
        <w:t>2.</w:t>
      </w:r>
      <w:r w:rsidRPr="00870D20">
        <w:rPr>
          <w:b/>
          <w:sz w:val="24"/>
          <w:szCs w:val="24"/>
        </w:rPr>
        <w:tab/>
        <w:t>Describe the procedures for the collection of information including:</w:t>
      </w:r>
    </w:p>
    <w:p w:rsidR="008126AE" w:rsidRPr="00870D20"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870D20">
        <w:rPr>
          <w:b/>
          <w:sz w:val="24"/>
          <w:szCs w:val="24"/>
        </w:rPr>
        <w:tab/>
        <w:t>*</w:t>
      </w:r>
      <w:r w:rsidRPr="00870D20">
        <w:rPr>
          <w:b/>
          <w:sz w:val="24"/>
          <w:szCs w:val="24"/>
        </w:rPr>
        <w:tab/>
        <w:t>Statistical methodology for stratification and sample selection,</w:t>
      </w:r>
    </w:p>
    <w:p w:rsidR="008126AE" w:rsidRPr="00870D20"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870D20">
        <w:rPr>
          <w:b/>
          <w:sz w:val="24"/>
          <w:szCs w:val="24"/>
        </w:rPr>
        <w:tab/>
        <w:t>*</w:t>
      </w:r>
      <w:r w:rsidRPr="00870D20">
        <w:rPr>
          <w:b/>
          <w:sz w:val="24"/>
          <w:szCs w:val="24"/>
        </w:rPr>
        <w:tab/>
        <w:t>Estimation procedure,</w:t>
      </w:r>
    </w:p>
    <w:p w:rsidR="008126AE" w:rsidRPr="00870D20"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870D20">
        <w:rPr>
          <w:b/>
          <w:sz w:val="24"/>
          <w:szCs w:val="24"/>
        </w:rPr>
        <w:tab/>
        <w:t>*</w:t>
      </w:r>
      <w:r w:rsidRPr="00870D20">
        <w:rPr>
          <w:b/>
          <w:sz w:val="24"/>
          <w:szCs w:val="24"/>
        </w:rPr>
        <w:tab/>
        <w:t>Degree of accuracy needed for the purpose described in the justification,</w:t>
      </w:r>
    </w:p>
    <w:p w:rsidR="008126AE" w:rsidRPr="00870D20"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870D20">
        <w:rPr>
          <w:b/>
          <w:sz w:val="24"/>
          <w:szCs w:val="24"/>
        </w:rPr>
        <w:tab/>
        <w:t>*</w:t>
      </w:r>
      <w:r w:rsidRPr="00870D20">
        <w:rPr>
          <w:b/>
          <w:sz w:val="24"/>
          <w:szCs w:val="24"/>
        </w:rPr>
        <w:tab/>
        <w:t>Unusual problems requiring specialized sampling procedures, and</w:t>
      </w:r>
    </w:p>
    <w:p w:rsidR="008126AE" w:rsidRPr="00870D20"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870D20">
        <w:rPr>
          <w:b/>
          <w:sz w:val="24"/>
          <w:szCs w:val="24"/>
        </w:rPr>
        <w:tab/>
        <w:t>*</w:t>
      </w:r>
      <w:r w:rsidRPr="00870D20">
        <w:rPr>
          <w:b/>
          <w:sz w:val="24"/>
          <w:szCs w:val="24"/>
        </w:rPr>
        <w:tab/>
        <w:t>Any use of periodic (less frequent than annual) data collection cycles to reduce burden.</w:t>
      </w:r>
    </w:p>
    <w:p w:rsidR="00A76BEF" w:rsidRDefault="00A76BEF"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484779" w:rsidRDefault="00484779" w:rsidP="004F34C3">
      <w:pPr>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4"/>
          <w:szCs w:val="24"/>
        </w:rPr>
      </w:pPr>
      <w:r>
        <w:rPr>
          <w:sz w:val="24"/>
          <w:szCs w:val="24"/>
        </w:rPr>
        <w:t xml:space="preserve">We will sample during each week of the sample </w:t>
      </w:r>
      <w:r w:rsidR="00274634">
        <w:rPr>
          <w:sz w:val="24"/>
          <w:szCs w:val="24"/>
        </w:rPr>
        <w:t xml:space="preserve">period, </w:t>
      </w:r>
      <w:r w:rsidR="009B7C71">
        <w:rPr>
          <w:sz w:val="24"/>
          <w:szCs w:val="24"/>
        </w:rPr>
        <w:t>approximately from mid-May through September</w:t>
      </w:r>
      <w:r w:rsidR="0072409D">
        <w:rPr>
          <w:sz w:val="24"/>
          <w:szCs w:val="24"/>
        </w:rPr>
        <w:t>.</w:t>
      </w:r>
    </w:p>
    <w:p w:rsidR="00484779" w:rsidRDefault="00484779" w:rsidP="004F34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484779" w:rsidRDefault="00484779" w:rsidP="004F34C3">
      <w:pPr>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4"/>
          <w:szCs w:val="24"/>
        </w:rPr>
      </w:pPr>
      <w:r>
        <w:rPr>
          <w:sz w:val="24"/>
          <w:szCs w:val="24"/>
        </w:rPr>
        <w:t>Prior to sampling, we will randomly select weekdays (</w:t>
      </w:r>
      <w:r w:rsidR="009B7C71">
        <w:rPr>
          <w:sz w:val="24"/>
          <w:szCs w:val="24"/>
        </w:rPr>
        <w:t>25 Headwaters and 43 KRNCA</w:t>
      </w:r>
      <w:r w:rsidR="000A6EDE">
        <w:rPr>
          <w:sz w:val="24"/>
          <w:szCs w:val="24"/>
        </w:rPr>
        <w:t xml:space="preserve">) and weekend days </w:t>
      </w:r>
      <w:r w:rsidR="009B7C71">
        <w:rPr>
          <w:sz w:val="24"/>
          <w:szCs w:val="24"/>
        </w:rPr>
        <w:t xml:space="preserve">(25 Headwaters and 32 KRNCA) </w:t>
      </w:r>
      <w:r>
        <w:rPr>
          <w:sz w:val="24"/>
          <w:szCs w:val="24"/>
        </w:rPr>
        <w:t xml:space="preserve">from the sampling period. </w:t>
      </w:r>
    </w:p>
    <w:p w:rsidR="00484779" w:rsidRDefault="00484779" w:rsidP="004F34C3">
      <w:pPr>
        <w:pStyle w:val="ListParagraph"/>
        <w:ind w:left="1080"/>
        <w:rPr>
          <w:sz w:val="24"/>
          <w:szCs w:val="24"/>
        </w:rPr>
      </w:pPr>
    </w:p>
    <w:p w:rsidR="00484779" w:rsidRDefault="00484779" w:rsidP="004F34C3">
      <w:pPr>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4"/>
          <w:szCs w:val="24"/>
        </w:rPr>
      </w:pPr>
      <w:r>
        <w:rPr>
          <w:sz w:val="24"/>
          <w:szCs w:val="24"/>
        </w:rPr>
        <w:t xml:space="preserve">We will sample for 8 hours each sampled day. Half of the days in each </w:t>
      </w:r>
      <w:r w:rsidR="00356F63">
        <w:rPr>
          <w:sz w:val="24"/>
          <w:szCs w:val="24"/>
        </w:rPr>
        <w:t>stratum</w:t>
      </w:r>
      <w:r>
        <w:rPr>
          <w:sz w:val="24"/>
          <w:szCs w:val="24"/>
        </w:rPr>
        <w:t xml:space="preserve"> will be sampled from 8:00 am to 4:30 pm; the other half will be sampled from 11:00 am to 7:30 pm. </w:t>
      </w:r>
    </w:p>
    <w:p w:rsidR="00274634" w:rsidRDefault="00274634" w:rsidP="004F34C3">
      <w:pPr>
        <w:pStyle w:val="ListParagraph"/>
        <w:ind w:left="1080"/>
        <w:rPr>
          <w:sz w:val="24"/>
          <w:szCs w:val="24"/>
        </w:rPr>
      </w:pPr>
    </w:p>
    <w:p w:rsidR="00274634" w:rsidRDefault="00561792" w:rsidP="004F34C3">
      <w:pPr>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4"/>
          <w:szCs w:val="24"/>
        </w:rPr>
      </w:pPr>
      <w:r>
        <w:rPr>
          <w:sz w:val="24"/>
          <w:szCs w:val="24"/>
        </w:rPr>
        <w:t xml:space="preserve">50 sampled days </w:t>
      </w:r>
      <w:r w:rsidR="002A6309">
        <w:rPr>
          <w:sz w:val="24"/>
          <w:szCs w:val="24"/>
        </w:rPr>
        <w:t>(Headwaters</w:t>
      </w:r>
      <w:r w:rsidR="009B7C71">
        <w:rPr>
          <w:sz w:val="24"/>
          <w:szCs w:val="24"/>
        </w:rPr>
        <w:t xml:space="preserve">) and 75 sampled days (KRNCA) </w:t>
      </w:r>
      <w:r>
        <w:rPr>
          <w:sz w:val="24"/>
          <w:szCs w:val="24"/>
        </w:rPr>
        <w:t>should easily provide enough subjects to obtain our desired sample size</w:t>
      </w:r>
      <w:r w:rsidR="009B7C71">
        <w:rPr>
          <w:sz w:val="24"/>
          <w:szCs w:val="24"/>
        </w:rPr>
        <w:t>.</w:t>
      </w:r>
    </w:p>
    <w:p w:rsidR="00561792" w:rsidRDefault="00561792" w:rsidP="004F34C3">
      <w:pPr>
        <w:pStyle w:val="ListParagraph"/>
        <w:ind w:left="1080"/>
        <w:rPr>
          <w:sz w:val="24"/>
          <w:szCs w:val="24"/>
        </w:rPr>
      </w:pPr>
    </w:p>
    <w:p w:rsidR="00561792" w:rsidRDefault="00561792" w:rsidP="004F34C3">
      <w:pPr>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4"/>
          <w:szCs w:val="24"/>
        </w:rPr>
      </w:pPr>
      <w:r>
        <w:rPr>
          <w:sz w:val="24"/>
          <w:szCs w:val="24"/>
        </w:rPr>
        <w:t>A net sample (assuming 70% response rate) of 420 completed surveys</w:t>
      </w:r>
      <w:r w:rsidR="000A6EDE">
        <w:rPr>
          <w:sz w:val="24"/>
          <w:szCs w:val="24"/>
        </w:rPr>
        <w:t xml:space="preserve"> (Headwaters) and 280 (KRNCA) </w:t>
      </w:r>
      <w:r>
        <w:rPr>
          <w:sz w:val="24"/>
          <w:szCs w:val="24"/>
        </w:rPr>
        <w:t>is large enough to provide a 5% confidence interval (at a 95% confidence level), which is a sufficient degree of accuracy for the purpose of this collection.</w:t>
      </w:r>
    </w:p>
    <w:p w:rsidR="00664A7A" w:rsidRDefault="00664A7A" w:rsidP="00664A7A">
      <w:pPr>
        <w:pStyle w:val="ListParagraph"/>
        <w:rPr>
          <w:sz w:val="24"/>
          <w:szCs w:val="24"/>
        </w:rPr>
      </w:pPr>
    </w:p>
    <w:p w:rsidR="00664A7A" w:rsidRDefault="00664A7A" w:rsidP="004F34C3">
      <w:pPr>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4"/>
          <w:szCs w:val="24"/>
        </w:rPr>
      </w:pPr>
      <w:r>
        <w:rPr>
          <w:sz w:val="24"/>
          <w:szCs w:val="24"/>
        </w:rPr>
        <w:t>No unusual problems requiring specialized sampling procedures are anticipated.</w:t>
      </w:r>
    </w:p>
    <w:p w:rsidR="00664A7A" w:rsidRDefault="00664A7A" w:rsidP="00664A7A">
      <w:pPr>
        <w:pStyle w:val="ListParagraph"/>
        <w:rPr>
          <w:sz w:val="24"/>
          <w:szCs w:val="24"/>
        </w:rPr>
      </w:pPr>
    </w:p>
    <w:p w:rsidR="00664A7A" w:rsidRDefault="00664A7A" w:rsidP="004F34C3">
      <w:pPr>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4"/>
          <w:szCs w:val="24"/>
        </w:rPr>
      </w:pPr>
      <w:r>
        <w:rPr>
          <w:sz w:val="24"/>
          <w:szCs w:val="24"/>
        </w:rPr>
        <w:t>Th</w:t>
      </w:r>
      <w:r w:rsidR="000A6EDE">
        <w:rPr>
          <w:sz w:val="24"/>
          <w:szCs w:val="24"/>
        </w:rPr>
        <w:t>ese</w:t>
      </w:r>
      <w:r>
        <w:rPr>
          <w:sz w:val="24"/>
          <w:szCs w:val="24"/>
        </w:rPr>
        <w:t xml:space="preserve"> data </w:t>
      </w:r>
      <w:r w:rsidR="000A6EDE">
        <w:rPr>
          <w:sz w:val="24"/>
          <w:szCs w:val="24"/>
        </w:rPr>
        <w:t>should</w:t>
      </w:r>
      <w:r>
        <w:rPr>
          <w:sz w:val="24"/>
          <w:szCs w:val="24"/>
        </w:rPr>
        <w:t xml:space="preserve"> be collected every </w:t>
      </w:r>
      <w:r w:rsidR="000A6EDE">
        <w:rPr>
          <w:sz w:val="24"/>
          <w:szCs w:val="24"/>
        </w:rPr>
        <w:t xml:space="preserve">5 - </w:t>
      </w:r>
      <w:r>
        <w:rPr>
          <w:sz w:val="24"/>
          <w:szCs w:val="24"/>
        </w:rPr>
        <w:t>10 years.</w:t>
      </w:r>
    </w:p>
    <w:p w:rsidR="0072409D" w:rsidRDefault="0072409D" w:rsidP="0072409D">
      <w:pPr>
        <w:pStyle w:val="ListParagraph"/>
        <w:rPr>
          <w:sz w:val="24"/>
          <w:szCs w:val="24"/>
        </w:rPr>
      </w:pPr>
    </w:p>
    <w:p w:rsidR="0072409D" w:rsidRDefault="0072409D" w:rsidP="007240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4"/>
          <w:szCs w:val="24"/>
        </w:rPr>
      </w:pPr>
    </w:p>
    <w:p w:rsidR="008126AE" w:rsidRPr="00870D20" w:rsidRDefault="008126AE" w:rsidP="004847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870D20">
        <w:rPr>
          <w:b/>
          <w:sz w:val="24"/>
          <w:szCs w:val="24"/>
        </w:rPr>
        <w:t>3.</w:t>
      </w:r>
      <w:r w:rsidRPr="00870D20">
        <w:rPr>
          <w:b/>
          <w:sz w:val="24"/>
          <w:szCs w:val="24"/>
        </w:rPr>
        <w:tab/>
        <w:t xml:space="preserve">Describe methods to maximize response rates and to deal with issues of non-response.  The accuracy and reliability of information collected must be shown to be adequate for intended uses.  For collections based on sampling, a special justification must be provided </w:t>
      </w:r>
      <w:r w:rsidRPr="00870D20">
        <w:rPr>
          <w:b/>
          <w:sz w:val="24"/>
          <w:szCs w:val="24"/>
        </w:rPr>
        <w:lastRenderedPageBreak/>
        <w:t>for any collection that will not yield "reliable" data that can be generalized to the universe studied.</w:t>
      </w:r>
    </w:p>
    <w:p w:rsidR="009D2586" w:rsidRDefault="009D2586" w:rsidP="004847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A5908" w:rsidRDefault="004F1490" w:rsidP="004F14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sidR="009D2586" w:rsidRPr="00312A0B">
        <w:rPr>
          <w:sz w:val="24"/>
          <w:szCs w:val="24"/>
        </w:rPr>
        <w:t>In order to maximize response rates, individual, face-to-face contact will be made with every potential respondent. The person conducting the contacts will be trained in survey and interview methods. The purpose of the study will be explained to each person contacted. Subjects will be asked if they would be willing to participate, and will indicate their willingness by providing their contact information (name, address, e-mail address).</w:t>
      </w:r>
    </w:p>
    <w:p w:rsidR="004A5908" w:rsidRDefault="004A5908" w:rsidP="004F14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3574AA" w:rsidRDefault="00045868" w:rsidP="00312A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rPr>
      </w:pPr>
      <w:r>
        <w:tab/>
      </w:r>
      <w:r w:rsidR="00427E0A">
        <w:rPr>
          <w:sz w:val="24"/>
        </w:rPr>
        <w:t>N</w:t>
      </w:r>
      <w:r w:rsidR="00DA3CB1" w:rsidRPr="00DA3CB1">
        <w:rPr>
          <w:sz w:val="24"/>
        </w:rPr>
        <w:t xml:space="preserve">on-response </w:t>
      </w:r>
      <w:r w:rsidR="00427E0A">
        <w:rPr>
          <w:sz w:val="24"/>
        </w:rPr>
        <w:t xml:space="preserve">in not expected to </w:t>
      </w:r>
      <w:r w:rsidR="00DA3CB1" w:rsidRPr="00DA3CB1">
        <w:rPr>
          <w:sz w:val="24"/>
        </w:rPr>
        <w:t>be an issue for the on-site portion of either of these studies.</w:t>
      </w:r>
      <w:r w:rsidR="00427E0A">
        <w:rPr>
          <w:sz w:val="24"/>
        </w:rPr>
        <w:t xml:space="preserve">  </w:t>
      </w:r>
      <w:r w:rsidR="00DA3CB1" w:rsidRPr="00DA3CB1">
        <w:rPr>
          <w:sz w:val="24"/>
        </w:rPr>
        <w:t xml:space="preserve">At Headwaters in 1999 we had a 97% response rate for the on-site portion of the study, and at the Lost Coast Trail in 2003 we had a 98% response rate to the on-site portion of the study. </w:t>
      </w:r>
      <w:r>
        <w:rPr>
          <w:sz w:val="24"/>
        </w:rPr>
        <w:t xml:space="preserve">However, in an effort to prevent non-response bias, </w:t>
      </w:r>
      <w:r w:rsidR="00312A0B" w:rsidRPr="00312A0B">
        <w:rPr>
          <w:sz w:val="24"/>
          <w:szCs w:val="24"/>
        </w:rPr>
        <w:t xml:space="preserve">the person conducting the interview </w:t>
      </w:r>
      <w:r w:rsidR="00312A0B" w:rsidRPr="00312A0B">
        <w:rPr>
          <w:sz w:val="24"/>
        </w:rPr>
        <w:t xml:space="preserve">will make note of any groups who decline to participate, and will note their group size and whether or not they had a dog. This will allow us to check for a non-response bias in the event that the response rate for the on-site portion is significantly lower than in the past. Likewise we will make note of non-participants </w:t>
      </w:r>
      <w:r w:rsidR="00427E0A">
        <w:rPr>
          <w:sz w:val="24"/>
        </w:rPr>
        <w:t>in 2013</w:t>
      </w:r>
      <w:r w:rsidR="00312A0B" w:rsidRPr="00312A0B">
        <w:rPr>
          <w:sz w:val="24"/>
        </w:rPr>
        <w:t xml:space="preserve"> at the Lost Coast Trail.</w:t>
      </w:r>
    </w:p>
    <w:p w:rsidR="003574AA" w:rsidRDefault="003574AA" w:rsidP="00312A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rPr>
      </w:pPr>
    </w:p>
    <w:p w:rsidR="00247D4D" w:rsidRDefault="00312A0B" w:rsidP="00312A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sidR="009D2586" w:rsidRPr="000A6EDE">
        <w:rPr>
          <w:sz w:val="24"/>
          <w:szCs w:val="24"/>
        </w:rPr>
        <w:t xml:space="preserve">Each subject providing contact information will then receive, no more than one week later, a survey in the mail. First class postage stamps will be used on the envelope to make it look less like bulk (aka junk) mail. A cover letter will again explain the purpose of the study, and the importance of each subject completing and returning the survey in order to increase the reliability of the study results. The letter will also explain that all answers are </w:t>
      </w:r>
      <w:r w:rsidR="00F735B4">
        <w:rPr>
          <w:sz w:val="24"/>
          <w:szCs w:val="24"/>
        </w:rPr>
        <w:t xml:space="preserve">anonymous </w:t>
      </w:r>
      <w:r w:rsidR="009D2586" w:rsidRPr="000A6EDE">
        <w:rPr>
          <w:sz w:val="24"/>
          <w:szCs w:val="24"/>
        </w:rPr>
        <w:t>and will be analyzed in a way that</w:t>
      </w:r>
      <w:r w:rsidR="00F735B4">
        <w:rPr>
          <w:sz w:val="24"/>
          <w:szCs w:val="24"/>
        </w:rPr>
        <w:t xml:space="preserve"> will not</w:t>
      </w:r>
      <w:r w:rsidR="009D2586" w:rsidRPr="000A6EDE">
        <w:rPr>
          <w:sz w:val="24"/>
          <w:szCs w:val="24"/>
        </w:rPr>
        <w:t xml:space="preserve"> connect the respondent to their answer. An online </w:t>
      </w:r>
      <w:r w:rsidR="00A45FCD">
        <w:rPr>
          <w:sz w:val="24"/>
          <w:szCs w:val="24"/>
        </w:rPr>
        <w:t xml:space="preserve">(Survey Monkey) </w:t>
      </w:r>
      <w:r w:rsidR="009D2586" w:rsidRPr="000A6EDE">
        <w:rPr>
          <w:sz w:val="24"/>
          <w:szCs w:val="24"/>
        </w:rPr>
        <w:t>option</w:t>
      </w:r>
      <w:r w:rsidR="00AD6879">
        <w:rPr>
          <w:sz w:val="24"/>
          <w:szCs w:val="24"/>
        </w:rPr>
        <w:t xml:space="preserve"> </w:t>
      </w:r>
      <w:r w:rsidR="0030453C" w:rsidRPr="000A6EDE">
        <w:rPr>
          <w:sz w:val="24"/>
          <w:szCs w:val="24"/>
        </w:rPr>
        <w:t xml:space="preserve">to complete the survey </w:t>
      </w:r>
      <w:r w:rsidR="009D2586" w:rsidRPr="000A6EDE">
        <w:rPr>
          <w:sz w:val="24"/>
          <w:szCs w:val="24"/>
        </w:rPr>
        <w:t xml:space="preserve">will also be </w:t>
      </w:r>
      <w:r w:rsidR="000A7CCD" w:rsidRPr="000A6EDE">
        <w:rPr>
          <w:sz w:val="24"/>
          <w:szCs w:val="24"/>
        </w:rPr>
        <w:t xml:space="preserve">provided and explained. </w:t>
      </w:r>
      <w:r w:rsidR="00A327DA">
        <w:rPr>
          <w:sz w:val="24"/>
          <w:szCs w:val="24"/>
        </w:rPr>
        <w:t xml:space="preserve">Based on a similar study we expect about 20% of respondents to choose the online response option. </w:t>
      </w:r>
      <w:r w:rsidR="009D2586" w:rsidRPr="000A6EDE">
        <w:rPr>
          <w:sz w:val="24"/>
          <w:szCs w:val="24"/>
        </w:rPr>
        <w:t>A pre-addressed, postage-paid return envelope will be provided for return of the survey. A reminder postcard will be sent to each subject approximately one week after the mailing of the survey. The previous collection</w:t>
      </w:r>
      <w:r w:rsidR="000A6EDE" w:rsidRPr="000A6EDE">
        <w:rPr>
          <w:sz w:val="24"/>
          <w:szCs w:val="24"/>
        </w:rPr>
        <w:t>s</w:t>
      </w:r>
      <w:r w:rsidR="009D2586" w:rsidRPr="000A6EDE">
        <w:rPr>
          <w:sz w:val="24"/>
          <w:szCs w:val="24"/>
        </w:rPr>
        <w:t xml:space="preserve"> (1999</w:t>
      </w:r>
      <w:r w:rsidR="000A6EDE" w:rsidRPr="000A6EDE">
        <w:rPr>
          <w:sz w:val="24"/>
          <w:szCs w:val="24"/>
        </w:rPr>
        <w:t xml:space="preserve"> and 2003) </w:t>
      </w:r>
      <w:r w:rsidR="00356F63" w:rsidRPr="000A6EDE">
        <w:rPr>
          <w:sz w:val="24"/>
          <w:szCs w:val="24"/>
        </w:rPr>
        <w:t xml:space="preserve">achieved </w:t>
      </w:r>
      <w:r w:rsidR="009D2586" w:rsidRPr="000A6EDE">
        <w:rPr>
          <w:sz w:val="24"/>
          <w:szCs w:val="24"/>
        </w:rPr>
        <w:t>response rate</w:t>
      </w:r>
      <w:r w:rsidR="000A6EDE" w:rsidRPr="000A6EDE">
        <w:rPr>
          <w:sz w:val="24"/>
          <w:szCs w:val="24"/>
        </w:rPr>
        <w:t>s of 70.9% (Headwaters) and 72% (KRNCA</w:t>
      </w:r>
      <w:r w:rsidR="00356F63" w:rsidRPr="000A6EDE">
        <w:rPr>
          <w:sz w:val="24"/>
          <w:szCs w:val="24"/>
        </w:rPr>
        <w:t>) with</w:t>
      </w:r>
      <w:r w:rsidR="009D2586" w:rsidRPr="000A6EDE">
        <w:rPr>
          <w:sz w:val="24"/>
          <w:szCs w:val="24"/>
        </w:rPr>
        <w:t xml:space="preserve"> this method</w:t>
      </w:r>
      <w:r w:rsidR="0030453C" w:rsidRPr="000A6EDE">
        <w:rPr>
          <w:sz w:val="24"/>
          <w:szCs w:val="24"/>
        </w:rPr>
        <w:t xml:space="preserve"> (minus the online option)</w:t>
      </w:r>
      <w:r w:rsidR="009D2586" w:rsidRPr="000A6EDE">
        <w:rPr>
          <w:sz w:val="24"/>
          <w:szCs w:val="24"/>
        </w:rPr>
        <w:t>.</w:t>
      </w:r>
    </w:p>
    <w:p w:rsidR="003574AA" w:rsidRDefault="003574AA" w:rsidP="00312A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F735B4" w:rsidRDefault="00F735B4" w:rsidP="00870D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8126AE" w:rsidRPr="00870D20"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870D20">
        <w:rPr>
          <w:b/>
          <w:sz w:val="24"/>
          <w:szCs w:val="24"/>
        </w:rPr>
        <w:t>4.</w:t>
      </w:r>
      <w:r w:rsidRPr="00870D20">
        <w:rPr>
          <w:b/>
          <w:sz w:val="24"/>
          <w:szCs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A6EDE" w:rsidRDefault="000A6EDE" w:rsidP="004F14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sidR="00192622">
        <w:rPr>
          <w:sz w:val="24"/>
          <w:szCs w:val="24"/>
        </w:rPr>
        <w:t>Most</w:t>
      </w:r>
      <w:r w:rsidR="00A022F0">
        <w:rPr>
          <w:sz w:val="24"/>
          <w:szCs w:val="24"/>
        </w:rPr>
        <w:t xml:space="preserve"> of the s</w:t>
      </w:r>
      <w:r w:rsidR="005E02AD">
        <w:rPr>
          <w:sz w:val="24"/>
          <w:szCs w:val="24"/>
        </w:rPr>
        <w:t xml:space="preserve">urvey questions </w:t>
      </w:r>
      <w:r w:rsidR="00A022F0">
        <w:rPr>
          <w:sz w:val="24"/>
          <w:szCs w:val="24"/>
        </w:rPr>
        <w:t xml:space="preserve">will be questions that have been used in previous surveys </w:t>
      </w:r>
      <w:r w:rsidR="0009755E">
        <w:rPr>
          <w:sz w:val="24"/>
          <w:szCs w:val="24"/>
        </w:rPr>
        <w:t>or have already been pre-tested in groups smaller than ten</w:t>
      </w:r>
      <w:r w:rsidR="00A022F0">
        <w:rPr>
          <w:sz w:val="24"/>
          <w:szCs w:val="24"/>
        </w:rPr>
        <w:t xml:space="preserve">. </w:t>
      </w:r>
    </w:p>
    <w:p w:rsidR="003574AA" w:rsidRDefault="003574AA" w:rsidP="004F14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09755E" w:rsidRDefault="0009755E"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EB3B45" w:rsidRPr="00870D20" w:rsidRDefault="008126AE"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870D20">
        <w:rPr>
          <w:b/>
          <w:sz w:val="24"/>
          <w:szCs w:val="24"/>
        </w:rPr>
        <w:t>5.</w:t>
      </w:r>
      <w:r w:rsidRPr="00870D20">
        <w:rPr>
          <w:b/>
          <w:sz w:val="24"/>
          <w:szCs w:val="24"/>
        </w:rPr>
        <w:tab/>
        <w:t>Provide the name</w:t>
      </w:r>
      <w:r w:rsidR="00DD29FE" w:rsidRPr="00870D20">
        <w:rPr>
          <w:b/>
          <w:sz w:val="24"/>
          <w:szCs w:val="24"/>
        </w:rPr>
        <w:t>s</w:t>
      </w:r>
      <w:r w:rsidRPr="00870D20">
        <w:rPr>
          <w:b/>
          <w:sz w:val="24"/>
          <w:szCs w:val="24"/>
        </w:rPr>
        <w:t xml:space="preserve"> and telephone number</w:t>
      </w:r>
      <w:r w:rsidR="00DD29FE" w:rsidRPr="00870D20">
        <w:rPr>
          <w:b/>
          <w:sz w:val="24"/>
          <w:szCs w:val="24"/>
        </w:rPr>
        <w:t>s</w:t>
      </w:r>
      <w:r w:rsidRPr="00870D20">
        <w:rPr>
          <w:b/>
          <w:sz w:val="24"/>
          <w:szCs w:val="24"/>
        </w:rPr>
        <w:t xml:space="preserve"> of individuals consulted on statistical aspects of the design and the name of the agency unit, contractor(s), grantee(s), or other person(s) who will actually collect and/or analyze the information for the agency.</w:t>
      </w:r>
    </w:p>
    <w:p w:rsidR="005E02AD" w:rsidRDefault="005E02AD"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885998" w:rsidRDefault="000A6EDE"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lastRenderedPageBreak/>
        <w:tab/>
      </w:r>
      <w:r w:rsidR="00885998">
        <w:rPr>
          <w:sz w:val="24"/>
          <w:szCs w:val="24"/>
        </w:rPr>
        <w:t xml:space="preserve">The following individual was consulted on the statistical aspects of the study design, and is </w:t>
      </w:r>
      <w:r w:rsidR="00085664">
        <w:rPr>
          <w:sz w:val="24"/>
          <w:szCs w:val="24"/>
        </w:rPr>
        <w:t xml:space="preserve">also </w:t>
      </w:r>
      <w:r w:rsidR="00885998">
        <w:rPr>
          <w:sz w:val="24"/>
          <w:szCs w:val="24"/>
        </w:rPr>
        <w:t>the contractor who will collect and analyze the data for the agency. Dr. Martin has conducted over 20 similar recreation visitor studies, including the original (1999</w:t>
      </w:r>
      <w:r>
        <w:rPr>
          <w:sz w:val="24"/>
          <w:szCs w:val="24"/>
        </w:rPr>
        <w:t xml:space="preserve"> and 2003</w:t>
      </w:r>
      <w:r w:rsidR="00885998">
        <w:rPr>
          <w:sz w:val="24"/>
          <w:szCs w:val="24"/>
        </w:rPr>
        <w:t>) visitor stud</w:t>
      </w:r>
      <w:r>
        <w:rPr>
          <w:sz w:val="24"/>
          <w:szCs w:val="24"/>
        </w:rPr>
        <w:t>ies</w:t>
      </w:r>
      <w:r w:rsidR="00885998">
        <w:rPr>
          <w:sz w:val="24"/>
          <w:szCs w:val="24"/>
        </w:rPr>
        <w:t xml:space="preserve"> for the Headwaters Forest Reserve</w:t>
      </w:r>
      <w:r>
        <w:rPr>
          <w:sz w:val="24"/>
          <w:szCs w:val="24"/>
        </w:rPr>
        <w:t xml:space="preserve"> and KRNCA</w:t>
      </w:r>
      <w:r w:rsidR="00885998">
        <w:rPr>
          <w:sz w:val="24"/>
          <w:szCs w:val="24"/>
        </w:rPr>
        <w:t>.</w:t>
      </w:r>
    </w:p>
    <w:p w:rsidR="00885998" w:rsidRDefault="00885998"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5E02AD" w:rsidRDefault="005E02AD" w:rsidP="008859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Pr>
          <w:sz w:val="24"/>
          <w:szCs w:val="24"/>
        </w:rPr>
        <w:t>Dr. Steven R. Martin</w:t>
      </w:r>
    </w:p>
    <w:p w:rsidR="005E02AD" w:rsidRDefault="005E02AD" w:rsidP="008859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Pr>
          <w:sz w:val="24"/>
          <w:szCs w:val="24"/>
        </w:rPr>
        <w:t>Professor and Dept. Chair</w:t>
      </w:r>
    </w:p>
    <w:p w:rsidR="005E02AD" w:rsidRDefault="005E02AD" w:rsidP="008859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Pr>
          <w:sz w:val="24"/>
          <w:szCs w:val="24"/>
        </w:rPr>
        <w:t>Dept. of Environmental Science and Management</w:t>
      </w:r>
    </w:p>
    <w:p w:rsidR="005E02AD" w:rsidRDefault="005E02AD" w:rsidP="008859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Pr>
          <w:sz w:val="24"/>
          <w:szCs w:val="24"/>
        </w:rPr>
        <w:t>Humboldt State University</w:t>
      </w:r>
    </w:p>
    <w:p w:rsidR="005E02AD" w:rsidRDefault="005E02AD" w:rsidP="008859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Pr>
          <w:sz w:val="24"/>
          <w:szCs w:val="24"/>
        </w:rPr>
        <w:t>Arcata, CA 95521</w:t>
      </w:r>
    </w:p>
    <w:p w:rsidR="005E02AD" w:rsidRDefault="005E02AD" w:rsidP="008859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Pr>
          <w:sz w:val="24"/>
          <w:szCs w:val="24"/>
        </w:rPr>
        <w:t>707-826-5637</w:t>
      </w:r>
    </w:p>
    <w:p w:rsidR="005E02AD" w:rsidRDefault="005E02AD" w:rsidP="008859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Pr>
          <w:sz w:val="24"/>
          <w:szCs w:val="24"/>
        </w:rPr>
        <w:t>steven.martin@humboldt.edu</w:t>
      </w:r>
    </w:p>
    <w:p w:rsidR="005E02AD" w:rsidRDefault="005E02AD"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A76BEF" w:rsidRDefault="00A76BEF"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sectPr w:rsidR="00A76BEF" w:rsidSect="00EB3B45">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406" w:rsidRDefault="00B45406" w:rsidP="00356F63">
      <w:r>
        <w:separator/>
      </w:r>
    </w:p>
  </w:endnote>
  <w:endnote w:type="continuationSeparator" w:id="0">
    <w:p w:rsidR="00B45406" w:rsidRDefault="00B45406" w:rsidP="00356F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908" w:rsidRDefault="00DA3CB1">
    <w:pPr>
      <w:pStyle w:val="Footer"/>
      <w:jc w:val="center"/>
    </w:pPr>
    <w:fldSimple w:instr=" PAGE   \* MERGEFORMAT ">
      <w:r w:rsidR="003574AA">
        <w:rPr>
          <w:noProof/>
        </w:rPr>
        <w:t>4</w:t>
      </w:r>
    </w:fldSimple>
  </w:p>
  <w:p w:rsidR="004A5908" w:rsidRDefault="004A59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406" w:rsidRDefault="00B45406" w:rsidP="00356F63">
      <w:r>
        <w:separator/>
      </w:r>
    </w:p>
  </w:footnote>
  <w:footnote w:type="continuationSeparator" w:id="0">
    <w:p w:rsidR="00B45406" w:rsidRDefault="00B45406" w:rsidP="00356F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5D3256"/>
    <w:multiLevelType w:val="hybridMultilevel"/>
    <w:tmpl w:val="8B1AEBA0"/>
    <w:lvl w:ilvl="0" w:tplc="4FEC9F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A95B65"/>
    <w:multiLevelType w:val="hybridMultilevel"/>
    <w:tmpl w:val="1CBA855C"/>
    <w:lvl w:ilvl="0" w:tplc="4FEC9F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6763D5"/>
    <w:multiLevelType w:val="hybridMultilevel"/>
    <w:tmpl w:val="4BC42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221276"/>
    <w:multiLevelType w:val="hybridMultilevel"/>
    <w:tmpl w:val="EB885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076D68"/>
    <w:multiLevelType w:val="hybridMultilevel"/>
    <w:tmpl w:val="7480E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F93FE1"/>
    <w:multiLevelType w:val="hybridMultilevel"/>
    <w:tmpl w:val="A56ED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6701FD"/>
    <w:multiLevelType w:val="hybridMultilevel"/>
    <w:tmpl w:val="CA26B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9B7978"/>
    <w:multiLevelType w:val="hybridMultilevel"/>
    <w:tmpl w:val="83028672"/>
    <w:lvl w:ilvl="0" w:tplc="4FEC9F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9B05EA"/>
    <w:multiLevelType w:val="hybridMultilevel"/>
    <w:tmpl w:val="C442BF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3"/>
  </w:num>
  <w:num w:numId="3">
    <w:abstractNumId w:val="4"/>
  </w:num>
  <w:num w:numId="4">
    <w:abstractNumId w:val="5"/>
  </w:num>
  <w:num w:numId="5">
    <w:abstractNumId w:val="2"/>
  </w:num>
  <w:num w:numId="6">
    <w:abstractNumId w:val="6"/>
  </w:num>
  <w:num w:numId="7">
    <w:abstractNumId w:val="7"/>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trackRevisions/>
  <w:defaultTabStop w:val="720"/>
  <w:characterSpacingControl w:val="doNotCompress"/>
  <w:footnotePr>
    <w:footnote w:id="-1"/>
    <w:footnote w:id="0"/>
  </w:footnotePr>
  <w:endnotePr>
    <w:endnote w:id="-1"/>
    <w:endnote w:id="0"/>
  </w:endnotePr>
  <w:compat/>
  <w:rsids>
    <w:rsidRoot w:val="008126AE"/>
    <w:rsid w:val="000179DA"/>
    <w:rsid w:val="00024624"/>
    <w:rsid w:val="00031645"/>
    <w:rsid w:val="000370EA"/>
    <w:rsid w:val="00045868"/>
    <w:rsid w:val="00060EFB"/>
    <w:rsid w:val="00082004"/>
    <w:rsid w:val="00085664"/>
    <w:rsid w:val="0009755E"/>
    <w:rsid w:val="000A6EDE"/>
    <w:rsid w:val="000A7CCD"/>
    <w:rsid w:val="000C30DF"/>
    <w:rsid w:val="000C5BBC"/>
    <w:rsid w:val="000C6230"/>
    <w:rsid w:val="000C7C63"/>
    <w:rsid w:val="000E440B"/>
    <w:rsid w:val="001056A5"/>
    <w:rsid w:val="001153A1"/>
    <w:rsid w:val="00180BB7"/>
    <w:rsid w:val="001824A3"/>
    <w:rsid w:val="00185174"/>
    <w:rsid w:val="00192622"/>
    <w:rsid w:val="001A3FF5"/>
    <w:rsid w:val="001B2F10"/>
    <w:rsid w:val="00247D4D"/>
    <w:rsid w:val="00250EFB"/>
    <w:rsid w:val="00274634"/>
    <w:rsid w:val="002A6309"/>
    <w:rsid w:val="002F2849"/>
    <w:rsid w:val="002F5CC4"/>
    <w:rsid w:val="0030453C"/>
    <w:rsid w:val="00312A0B"/>
    <w:rsid w:val="00356F63"/>
    <w:rsid w:val="003574AA"/>
    <w:rsid w:val="00365B63"/>
    <w:rsid w:val="003C62C8"/>
    <w:rsid w:val="003F7C7E"/>
    <w:rsid w:val="00427E0A"/>
    <w:rsid w:val="00442C21"/>
    <w:rsid w:val="0044704B"/>
    <w:rsid w:val="00484779"/>
    <w:rsid w:val="004A5908"/>
    <w:rsid w:val="004A5A74"/>
    <w:rsid w:val="004C460E"/>
    <w:rsid w:val="004F1490"/>
    <w:rsid w:val="004F34C3"/>
    <w:rsid w:val="0051635B"/>
    <w:rsid w:val="00561792"/>
    <w:rsid w:val="005B3814"/>
    <w:rsid w:val="005B4545"/>
    <w:rsid w:val="005C467D"/>
    <w:rsid w:val="005D0A2A"/>
    <w:rsid w:val="005D5F22"/>
    <w:rsid w:val="005E02AD"/>
    <w:rsid w:val="005E7BBE"/>
    <w:rsid w:val="00604F26"/>
    <w:rsid w:val="00664A7A"/>
    <w:rsid w:val="0072409D"/>
    <w:rsid w:val="007311AA"/>
    <w:rsid w:val="007936E7"/>
    <w:rsid w:val="007E6822"/>
    <w:rsid w:val="008050EA"/>
    <w:rsid w:val="008126AE"/>
    <w:rsid w:val="00812974"/>
    <w:rsid w:val="0083399A"/>
    <w:rsid w:val="00835027"/>
    <w:rsid w:val="00870D20"/>
    <w:rsid w:val="00885998"/>
    <w:rsid w:val="008C3AF4"/>
    <w:rsid w:val="009077A4"/>
    <w:rsid w:val="00917268"/>
    <w:rsid w:val="00931822"/>
    <w:rsid w:val="00960A83"/>
    <w:rsid w:val="00966603"/>
    <w:rsid w:val="009A6B7C"/>
    <w:rsid w:val="009B7C71"/>
    <w:rsid w:val="009D2586"/>
    <w:rsid w:val="00A022F0"/>
    <w:rsid w:val="00A327DA"/>
    <w:rsid w:val="00A36277"/>
    <w:rsid w:val="00A45FCD"/>
    <w:rsid w:val="00A5451C"/>
    <w:rsid w:val="00A76BEF"/>
    <w:rsid w:val="00AC065D"/>
    <w:rsid w:val="00AD6879"/>
    <w:rsid w:val="00AE2BF5"/>
    <w:rsid w:val="00B15D2D"/>
    <w:rsid w:val="00B31CAC"/>
    <w:rsid w:val="00B45406"/>
    <w:rsid w:val="00B70B78"/>
    <w:rsid w:val="00BA2EB0"/>
    <w:rsid w:val="00BA351F"/>
    <w:rsid w:val="00BA376C"/>
    <w:rsid w:val="00BD43A8"/>
    <w:rsid w:val="00BF79F4"/>
    <w:rsid w:val="00C04919"/>
    <w:rsid w:val="00C07772"/>
    <w:rsid w:val="00CB32D6"/>
    <w:rsid w:val="00CE3473"/>
    <w:rsid w:val="00CF7BA1"/>
    <w:rsid w:val="00D07849"/>
    <w:rsid w:val="00D43B0E"/>
    <w:rsid w:val="00D53067"/>
    <w:rsid w:val="00D97618"/>
    <w:rsid w:val="00DA3CB1"/>
    <w:rsid w:val="00DA3EC2"/>
    <w:rsid w:val="00DD29FE"/>
    <w:rsid w:val="00E0413B"/>
    <w:rsid w:val="00E409BF"/>
    <w:rsid w:val="00E51AF3"/>
    <w:rsid w:val="00E75675"/>
    <w:rsid w:val="00EB3B45"/>
    <w:rsid w:val="00EC672A"/>
    <w:rsid w:val="00ED0173"/>
    <w:rsid w:val="00ED7B09"/>
    <w:rsid w:val="00F1498F"/>
    <w:rsid w:val="00F245B7"/>
    <w:rsid w:val="00F735B4"/>
    <w:rsid w:val="00FD4038"/>
    <w:rsid w:val="00FF40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character" w:styleId="FollowedHyperlink">
    <w:name w:val="FollowedHyperlink"/>
    <w:uiPriority w:val="99"/>
    <w:semiHidden/>
    <w:unhideWhenUsed/>
    <w:rsid w:val="00E0413B"/>
    <w:rPr>
      <w:color w:val="800080"/>
      <w:u w:val="single"/>
    </w:rPr>
  </w:style>
  <w:style w:type="table" w:styleId="TableGrid">
    <w:name w:val="Table Grid"/>
    <w:basedOn w:val="TableNormal"/>
    <w:uiPriority w:val="59"/>
    <w:rsid w:val="00E756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5F22"/>
    <w:pPr>
      <w:ind w:left="720"/>
    </w:pPr>
  </w:style>
  <w:style w:type="paragraph" w:styleId="BalloonText">
    <w:name w:val="Balloon Text"/>
    <w:basedOn w:val="Normal"/>
    <w:link w:val="BalloonTextChar"/>
    <w:uiPriority w:val="99"/>
    <w:semiHidden/>
    <w:unhideWhenUsed/>
    <w:rsid w:val="00365B63"/>
    <w:rPr>
      <w:rFonts w:ascii="Tahoma" w:hAnsi="Tahoma" w:cs="Tahoma"/>
      <w:sz w:val="16"/>
      <w:szCs w:val="16"/>
    </w:rPr>
  </w:style>
  <w:style w:type="character" w:customStyle="1" w:styleId="BalloonTextChar">
    <w:name w:val="Balloon Text Char"/>
    <w:link w:val="BalloonText"/>
    <w:uiPriority w:val="99"/>
    <w:semiHidden/>
    <w:rsid w:val="00365B63"/>
    <w:rPr>
      <w:rFonts w:ascii="Tahoma" w:eastAsia="Times New Roman" w:hAnsi="Tahoma" w:cs="Tahoma"/>
      <w:sz w:val="16"/>
      <w:szCs w:val="16"/>
    </w:rPr>
  </w:style>
  <w:style w:type="paragraph" w:styleId="Header">
    <w:name w:val="header"/>
    <w:basedOn w:val="Normal"/>
    <w:link w:val="HeaderChar"/>
    <w:uiPriority w:val="99"/>
    <w:unhideWhenUsed/>
    <w:rsid w:val="00356F63"/>
    <w:pPr>
      <w:tabs>
        <w:tab w:val="center" w:pos="4680"/>
        <w:tab w:val="right" w:pos="9360"/>
      </w:tabs>
    </w:pPr>
  </w:style>
  <w:style w:type="character" w:customStyle="1" w:styleId="HeaderChar">
    <w:name w:val="Header Char"/>
    <w:link w:val="Header"/>
    <w:uiPriority w:val="99"/>
    <w:rsid w:val="00356F63"/>
    <w:rPr>
      <w:rFonts w:ascii="Times New Roman" w:eastAsia="Times New Roman" w:hAnsi="Times New Roman"/>
    </w:rPr>
  </w:style>
  <w:style w:type="paragraph" w:styleId="Footer">
    <w:name w:val="footer"/>
    <w:basedOn w:val="Normal"/>
    <w:link w:val="FooterChar"/>
    <w:uiPriority w:val="99"/>
    <w:unhideWhenUsed/>
    <w:rsid w:val="00356F63"/>
    <w:pPr>
      <w:tabs>
        <w:tab w:val="center" w:pos="4680"/>
        <w:tab w:val="right" w:pos="9360"/>
      </w:tabs>
    </w:pPr>
  </w:style>
  <w:style w:type="character" w:customStyle="1" w:styleId="FooterChar">
    <w:name w:val="Footer Char"/>
    <w:link w:val="Footer"/>
    <w:uiPriority w:val="99"/>
    <w:rsid w:val="00356F63"/>
    <w:rPr>
      <w:rFonts w:ascii="Times New Roman" w:eastAsia="Times New Roman" w:hAnsi="Times New Roman"/>
    </w:rPr>
  </w:style>
  <w:style w:type="character" w:styleId="CommentReference">
    <w:name w:val="annotation reference"/>
    <w:uiPriority w:val="99"/>
    <w:semiHidden/>
    <w:unhideWhenUsed/>
    <w:rsid w:val="00D97618"/>
    <w:rPr>
      <w:sz w:val="16"/>
      <w:szCs w:val="16"/>
    </w:rPr>
  </w:style>
  <w:style w:type="paragraph" w:styleId="CommentText">
    <w:name w:val="annotation text"/>
    <w:basedOn w:val="Normal"/>
    <w:link w:val="CommentTextChar"/>
    <w:uiPriority w:val="99"/>
    <w:unhideWhenUsed/>
    <w:rsid w:val="00D97618"/>
  </w:style>
  <w:style w:type="character" w:customStyle="1" w:styleId="CommentTextChar">
    <w:name w:val="Comment Text Char"/>
    <w:link w:val="CommentText"/>
    <w:uiPriority w:val="99"/>
    <w:rsid w:val="00D9761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97618"/>
    <w:rPr>
      <w:b/>
      <w:bCs/>
    </w:rPr>
  </w:style>
  <w:style w:type="character" w:customStyle="1" w:styleId="CommentSubjectChar">
    <w:name w:val="Comment Subject Char"/>
    <w:link w:val="CommentSubject"/>
    <w:uiPriority w:val="99"/>
    <w:semiHidden/>
    <w:rsid w:val="00D97618"/>
    <w:rPr>
      <w:rFonts w:ascii="Times New Roman" w:eastAsia="Times New Roman" w:hAnsi="Times New Roman"/>
      <w:b/>
      <w:bCs/>
    </w:rPr>
  </w:style>
</w:styles>
</file>

<file path=word/webSettings.xml><?xml version="1.0" encoding="utf-8"?>
<w:webSettings xmlns:r="http://schemas.openxmlformats.org/officeDocument/2006/relationships" xmlns:w="http://schemas.openxmlformats.org/wordprocessingml/2006/main">
  <w:divs>
    <w:div w:id="87531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0588D-631C-4743-BBDF-CF659F512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1174</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Office of the Chief Information Officer</Company>
  <LinksUpToDate>false</LinksUpToDate>
  <CharactersWithSpaces>7857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cp:lastModifiedBy>Department Of The Interior</cp:lastModifiedBy>
  <cp:revision>5</cp:revision>
  <cp:lastPrinted>2012-06-01T18:59:00Z</cp:lastPrinted>
  <dcterms:created xsi:type="dcterms:W3CDTF">2012-06-05T18:37:00Z</dcterms:created>
  <dcterms:modified xsi:type="dcterms:W3CDTF">2012-06-05T18:42:00Z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