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28" w:rsidRDefault="00226B28" w:rsidP="00226B28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532FF7">
        <w:rPr>
          <w:b/>
          <w:bCs/>
        </w:rPr>
        <w:t>Supporting</w:t>
      </w:r>
      <w:r w:rsidR="00C465F4" w:rsidRPr="00C465F4">
        <w:rPr>
          <w:b/>
          <w:bCs/>
        </w:rPr>
        <w:t xml:space="preserve"> S</w:t>
      </w:r>
      <w:r w:rsidR="00532FF7">
        <w:rPr>
          <w:b/>
          <w:bCs/>
        </w:rPr>
        <w:t>tatement for</w:t>
      </w:r>
      <w:r w:rsidR="00C465F4" w:rsidRPr="00C465F4">
        <w:rPr>
          <w:b/>
          <w:bCs/>
        </w:rPr>
        <w:t xml:space="preserve"> </w:t>
      </w:r>
    </w:p>
    <w:p w:rsidR="00C465F4" w:rsidRDefault="00532FF7" w:rsidP="00226B28">
      <w:pPr>
        <w:jc w:val="center"/>
        <w:rPr>
          <w:b/>
          <w:bCs/>
        </w:rPr>
      </w:pPr>
      <w:r>
        <w:rPr>
          <w:b/>
          <w:bCs/>
        </w:rPr>
        <w:t>Medicare Part D Subsidies</w:t>
      </w:r>
    </w:p>
    <w:p w:rsidR="00226B28" w:rsidRDefault="0052104E" w:rsidP="00226B28">
      <w:pPr>
        <w:jc w:val="center"/>
        <w:rPr>
          <w:b/>
          <w:bCs/>
        </w:rPr>
      </w:pPr>
      <w:r>
        <w:rPr>
          <w:b/>
          <w:bCs/>
        </w:rPr>
        <w:t>20 CFR 418.3625(c), 418.3645, 418.3665(a), and 418.3670</w:t>
      </w:r>
    </w:p>
    <w:p w:rsidR="00226B28" w:rsidRDefault="00226B28" w:rsidP="00226B28">
      <w:pPr>
        <w:jc w:val="center"/>
        <w:rPr>
          <w:b/>
          <w:bCs/>
        </w:rPr>
      </w:pPr>
      <w:r>
        <w:rPr>
          <w:b/>
          <w:bCs/>
        </w:rPr>
        <w:t>OMB No. 0960-</w:t>
      </w:r>
      <w:r w:rsidR="009142E8">
        <w:rPr>
          <w:b/>
          <w:bCs/>
        </w:rPr>
        <w:t>0702</w:t>
      </w:r>
    </w:p>
    <w:p w:rsidR="00C465F4" w:rsidRDefault="00C465F4" w:rsidP="00C465F4">
      <w:pPr>
        <w:jc w:val="center"/>
        <w:rPr>
          <w:b/>
          <w:bCs/>
        </w:rPr>
      </w:pPr>
    </w:p>
    <w:p w:rsidR="00C465F4" w:rsidRPr="00226B28" w:rsidRDefault="00226B28" w:rsidP="00C465F4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       </w:t>
      </w:r>
      <w:r w:rsidR="00C465F4" w:rsidRPr="00226B28">
        <w:rPr>
          <w:b/>
          <w:bCs/>
          <w:u w:val="single"/>
        </w:rPr>
        <w:t>Justification</w:t>
      </w:r>
    </w:p>
    <w:p w:rsidR="00C465F4" w:rsidRDefault="00C465F4" w:rsidP="00C465F4">
      <w:pPr>
        <w:rPr>
          <w:b/>
          <w:bCs/>
        </w:rPr>
      </w:pPr>
    </w:p>
    <w:p w:rsidR="0052104E" w:rsidRPr="0052104E" w:rsidRDefault="0052104E" w:rsidP="007513B7">
      <w:pPr>
        <w:numPr>
          <w:ilvl w:val="1"/>
          <w:numId w:val="1"/>
        </w:numPr>
        <w:rPr>
          <w:color w:val="000000"/>
        </w:rPr>
      </w:pPr>
      <w:r>
        <w:rPr>
          <w:b/>
        </w:rPr>
        <w:t>Introduction/Authoring Laws and Regulations</w:t>
      </w:r>
    </w:p>
    <w:p w:rsidR="00567294" w:rsidRPr="00567294" w:rsidRDefault="006E5CE8" w:rsidP="0052104E">
      <w:pPr>
        <w:ind w:left="1080"/>
        <w:rPr>
          <w:color w:val="000000"/>
        </w:rPr>
      </w:pPr>
      <w:r>
        <w:t>The Medicare Prescription Drug Improvement</w:t>
      </w:r>
      <w:r w:rsidR="00226B28">
        <w:t xml:space="preserve"> and Modernization Act of 2003 (MMA) establishe</w:t>
      </w:r>
      <w:r w:rsidR="005D1A21">
        <w:t xml:space="preserve">d the </w:t>
      </w:r>
      <w:r w:rsidR="00226B28">
        <w:t>Medicare Part D program</w:t>
      </w:r>
      <w:r w:rsidR="00FE53BE">
        <w:t>, which provides</w:t>
      </w:r>
      <w:r w:rsidR="00226B28">
        <w:t xml:space="preserve"> voluntary prescription drug coverage</w:t>
      </w:r>
      <w:r w:rsidR="00747781">
        <w:t xml:space="preserve"> </w:t>
      </w:r>
      <w:r w:rsidR="007C0A44">
        <w:t>for Medicare recipients</w:t>
      </w:r>
      <w:r w:rsidR="00FE53BE">
        <w:t>.</w:t>
      </w:r>
      <w:r w:rsidR="005D1A21">
        <w:t xml:space="preserve">  The MMA also </w:t>
      </w:r>
      <w:r w:rsidR="007F5006">
        <w:t>established the</w:t>
      </w:r>
      <w:r w:rsidR="00226B28">
        <w:t xml:space="preserve"> </w:t>
      </w:r>
      <w:r w:rsidR="008F4144">
        <w:t xml:space="preserve">low-income </w:t>
      </w:r>
      <w:r w:rsidR="007F5006">
        <w:t xml:space="preserve">subsidy program </w:t>
      </w:r>
      <w:r w:rsidR="00226B28">
        <w:t xml:space="preserve">for those individuals who qualify for </w:t>
      </w:r>
      <w:r w:rsidR="007F5006">
        <w:t>Medicare Part D</w:t>
      </w:r>
      <w:r w:rsidR="00226B28">
        <w:t xml:space="preserve"> and meet eligibility criteria for help with premium, deductible, and co-payment costs.  The Social Security Administration (SSA) administer</w:t>
      </w:r>
      <w:r w:rsidR="00567294">
        <w:t>s</w:t>
      </w:r>
      <w:r w:rsidR="00226B28">
        <w:t xml:space="preserve"> the subsidy program.  </w:t>
      </w:r>
      <w:r w:rsidR="007151A6">
        <w:t xml:space="preserve">In addition, </w:t>
      </w:r>
      <w:r w:rsidR="00226B28">
        <w:t>this law</w:t>
      </w:r>
      <w:r w:rsidR="007151A6">
        <w:t xml:space="preserve"> require</w:t>
      </w:r>
      <w:r w:rsidR="005D1A21">
        <w:t>d</w:t>
      </w:r>
      <w:r w:rsidR="007151A6">
        <w:t xml:space="preserve"> SSA to </w:t>
      </w:r>
      <w:r w:rsidR="00226B28">
        <w:t xml:space="preserve">make eligibility redeterminations and to </w:t>
      </w:r>
      <w:r w:rsidR="007151A6">
        <w:t>provide a process for appealing SSA’s determinations.</w:t>
      </w:r>
      <w:r w:rsidR="00226B28">
        <w:t xml:space="preserve">  </w:t>
      </w:r>
    </w:p>
    <w:p w:rsidR="00567294" w:rsidRDefault="00567294" w:rsidP="00567294">
      <w:pPr>
        <w:ind w:left="720"/>
      </w:pPr>
    </w:p>
    <w:p w:rsidR="00226B28" w:rsidRDefault="00465EA7" w:rsidP="00567294">
      <w:pPr>
        <w:ind w:left="1080"/>
        <w:rPr>
          <w:color w:val="000000"/>
        </w:rPr>
      </w:pPr>
      <w:r>
        <w:rPr>
          <w:i/>
          <w:iCs/>
        </w:rPr>
        <w:t xml:space="preserve">Section 1860D-14 </w:t>
      </w:r>
      <w:r>
        <w:t xml:space="preserve">of the </w:t>
      </w:r>
      <w:r>
        <w:rPr>
          <w:i/>
          <w:iCs/>
        </w:rPr>
        <w:t xml:space="preserve">Social Security </w:t>
      </w:r>
      <w:r w:rsidRPr="00465EA7">
        <w:rPr>
          <w:i/>
          <w:iCs/>
        </w:rPr>
        <w:t>Act</w:t>
      </w:r>
      <w:r>
        <w:rPr>
          <w:i/>
          <w:iCs/>
        </w:rPr>
        <w:t xml:space="preserve"> </w:t>
      </w:r>
      <w:r>
        <w:t xml:space="preserve">describes </w:t>
      </w:r>
      <w:r w:rsidR="007513B7">
        <w:t>the Medicare Part D subsidy requirements.</w:t>
      </w:r>
      <w:r>
        <w:t xml:space="preserve">  </w:t>
      </w:r>
      <w:r w:rsidR="007D5231">
        <w:t>R</w:t>
      </w:r>
      <w:r w:rsidR="00226B28">
        <w:t xml:space="preserve">egulation sections </w:t>
      </w:r>
      <w:r w:rsidR="00226B28" w:rsidRPr="00F65F81">
        <w:rPr>
          <w:i/>
          <w:color w:val="000000"/>
        </w:rPr>
        <w:t xml:space="preserve">§§418.3120(b)(1)(2), 418.3201, 418.3205, 418.3210, 418.3215, 418.3220, 418.3225, 418.3230, 418.3501(c), 418.3515, 418.3625(b), 418.3625(c), 418.3630, 418.3635, 418.3645, 418.3665(a), </w:t>
      </w:r>
      <w:r w:rsidR="00226B28" w:rsidRPr="00F65F81">
        <w:rPr>
          <w:color w:val="000000"/>
        </w:rPr>
        <w:t>and</w:t>
      </w:r>
      <w:r w:rsidR="00226B28" w:rsidRPr="00F65F81">
        <w:rPr>
          <w:i/>
          <w:color w:val="000000"/>
        </w:rPr>
        <w:t xml:space="preserve"> 418.3670</w:t>
      </w:r>
      <w:r w:rsidR="00226B28">
        <w:rPr>
          <w:color w:val="000000"/>
        </w:rPr>
        <w:t xml:space="preserve"> </w:t>
      </w:r>
      <w:r w:rsidR="007513B7">
        <w:rPr>
          <w:color w:val="000000"/>
        </w:rPr>
        <w:t xml:space="preserve">of the </w:t>
      </w:r>
      <w:r w:rsidR="007513B7">
        <w:rPr>
          <w:i/>
          <w:iCs/>
          <w:color w:val="000000"/>
        </w:rPr>
        <w:t xml:space="preserve">Code of Federal Regulations </w:t>
      </w:r>
      <w:r w:rsidR="00226B28">
        <w:rPr>
          <w:color w:val="000000"/>
        </w:rPr>
        <w:t>contain the public reporting requi</w:t>
      </w:r>
      <w:r w:rsidR="005D1A21">
        <w:rPr>
          <w:color w:val="000000"/>
        </w:rPr>
        <w:t>rements for these regulations.  Of th</w:t>
      </w:r>
      <w:r w:rsidR="0045656E">
        <w:rPr>
          <w:color w:val="000000"/>
        </w:rPr>
        <w:t>o</w:t>
      </w:r>
      <w:r w:rsidR="005D1A21">
        <w:rPr>
          <w:color w:val="000000"/>
        </w:rPr>
        <w:t xml:space="preserve">se, only sections </w:t>
      </w:r>
      <w:r w:rsidR="005D1A21" w:rsidRPr="00F65F81">
        <w:rPr>
          <w:b/>
          <w:i/>
          <w:color w:val="000000"/>
        </w:rPr>
        <w:t>418.3</w:t>
      </w:r>
      <w:r w:rsidR="00C86290" w:rsidRPr="00F65F81">
        <w:rPr>
          <w:b/>
          <w:i/>
          <w:color w:val="000000"/>
        </w:rPr>
        <w:t>6</w:t>
      </w:r>
      <w:r w:rsidR="005D1A21" w:rsidRPr="00F65F81">
        <w:rPr>
          <w:b/>
          <w:i/>
          <w:color w:val="000000"/>
        </w:rPr>
        <w:t>25(c), 418.3645, 418.3665(a), and 418.3670</w:t>
      </w:r>
      <w:r w:rsidR="005D1A21">
        <w:rPr>
          <w:color w:val="000000"/>
        </w:rPr>
        <w:t xml:space="preserve"> contain public reporting requirements </w:t>
      </w:r>
      <w:r w:rsidR="000A247F">
        <w:rPr>
          <w:color w:val="000000"/>
        </w:rPr>
        <w:t xml:space="preserve">for information </w:t>
      </w:r>
      <w:r w:rsidR="001D3216">
        <w:rPr>
          <w:color w:val="000000"/>
        </w:rPr>
        <w:t xml:space="preserve">we do not already collect using </w:t>
      </w:r>
      <w:r w:rsidR="005D1A21">
        <w:rPr>
          <w:color w:val="000000"/>
        </w:rPr>
        <w:t xml:space="preserve">existing OMB-approved </w:t>
      </w:r>
      <w:r w:rsidR="0052104E">
        <w:rPr>
          <w:color w:val="000000"/>
        </w:rPr>
        <w:t>applications.</w:t>
      </w:r>
    </w:p>
    <w:p w:rsidR="00226B28" w:rsidRDefault="00226B28" w:rsidP="00226B28">
      <w:pPr>
        <w:ind w:left="720"/>
        <w:rPr>
          <w:color w:val="000000"/>
        </w:rPr>
      </w:pPr>
    </w:p>
    <w:p w:rsidR="0052104E" w:rsidRDefault="0052104E" w:rsidP="00C35C21">
      <w:pPr>
        <w:numPr>
          <w:ilvl w:val="1"/>
          <w:numId w:val="1"/>
        </w:numPr>
        <w:rPr>
          <w:color w:val="000000"/>
        </w:rPr>
      </w:pPr>
      <w:r>
        <w:rPr>
          <w:b/>
        </w:rPr>
        <w:t>Description of Collection</w:t>
      </w:r>
      <w:r w:rsidRPr="001D3216">
        <w:rPr>
          <w:color w:val="000000"/>
        </w:rPr>
        <w:t xml:space="preserve"> </w:t>
      </w:r>
    </w:p>
    <w:p w:rsidR="00226B28" w:rsidRDefault="00567294" w:rsidP="0052104E">
      <w:pPr>
        <w:ind w:left="1080"/>
        <w:rPr>
          <w:color w:val="000000"/>
        </w:rPr>
      </w:pPr>
      <w:r w:rsidRPr="001D3216">
        <w:rPr>
          <w:color w:val="000000"/>
        </w:rPr>
        <w:t xml:space="preserve">SSA uses the information </w:t>
      </w:r>
      <w:r w:rsidRPr="00485CEB">
        <w:rPr>
          <w:color w:val="000000"/>
        </w:rPr>
        <w:t xml:space="preserve">these four regulation sections </w:t>
      </w:r>
      <w:r w:rsidR="001D3216">
        <w:rPr>
          <w:color w:val="000000"/>
        </w:rPr>
        <w:t xml:space="preserve">require </w:t>
      </w:r>
      <w:r w:rsidRPr="00485CEB">
        <w:rPr>
          <w:color w:val="000000"/>
        </w:rPr>
        <w:t>(i</w:t>
      </w:r>
      <w:r w:rsidR="00340AA9">
        <w:rPr>
          <w:color w:val="000000"/>
        </w:rPr>
        <w:t xml:space="preserve">n combination </w:t>
      </w:r>
      <w:r w:rsidR="006C6DF4" w:rsidRPr="00485CEB">
        <w:rPr>
          <w:color w:val="000000"/>
        </w:rPr>
        <w:t>with</w:t>
      </w:r>
      <w:r w:rsidR="00340AA9">
        <w:rPr>
          <w:color w:val="000000"/>
        </w:rPr>
        <w:t xml:space="preserve"> </w:t>
      </w:r>
      <w:r w:rsidR="001D3216">
        <w:rPr>
          <w:color w:val="000000"/>
        </w:rPr>
        <w:t>other inf</w:t>
      </w:r>
      <w:r w:rsidR="008206AA">
        <w:rPr>
          <w:color w:val="000000"/>
        </w:rPr>
        <w:t>ormation</w:t>
      </w:r>
      <w:r w:rsidRPr="00485CEB">
        <w:rPr>
          <w:color w:val="000000"/>
        </w:rPr>
        <w:t xml:space="preserve">) to </w:t>
      </w:r>
      <w:r w:rsidR="00226B28" w:rsidRPr="00485CEB">
        <w:rPr>
          <w:color w:val="000000"/>
        </w:rPr>
        <w:t xml:space="preserve">determine eligibility for the Medicare Part D </w:t>
      </w:r>
      <w:r w:rsidR="001D3216">
        <w:rPr>
          <w:color w:val="000000"/>
        </w:rPr>
        <w:t xml:space="preserve">low-income </w:t>
      </w:r>
      <w:r w:rsidR="00226B28" w:rsidRPr="00485CEB">
        <w:rPr>
          <w:color w:val="000000"/>
        </w:rPr>
        <w:t xml:space="preserve">subsidy, to process eligibility redeterminations, and to enable determination appeals.  A description of the </w:t>
      </w:r>
      <w:r w:rsidR="00AB4E72" w:rsidRPr="00485CEB">
        <w:rPr>
          <w:color w:val="000000"/>
        </w:rPr>
        <w:t xml:space="preserve">specific </w:t>
      </w:r>
      <w:r w:rsidR="00C35C21" w:rsidRPr="00485CEB">
        <w:rPr>
          <w:color w:val="000000"/>
        </w:rPr>
        <w:t>information collection</w:t>
      </w:r>
      <w:r w:rsidR="00226B28" w:rsidRPr="00485CEB">
        <w:rPr>
          <w:color w:val="000000"/>
        </w:rPr>
        <w:t xml:space="preserve"> requirement</w:t>
      </w:r>
      <w:r w:rsidR="00AB4E72" w:rsidRPr="00485CEB">
        <w:rPr>
          <w:color w:val="000000"/>
        </w:rPr>
        <w:t>s</w:t>
      </w:r>
      <w:r w:rsidR="00226B28" w:rsidRPr="00485CEB">
        <w:rPr>
          <w:color w:val="000000"/>
        </w:rPr>
        <w:t xml:space="preserve"> for each </w:t>
      </w:r>
      <w:r w:rsidR="00A05FFD">
        <w:rPr>
          <w:color w:val="000000"/>
        </w:rPr>
        <w:t xml:space="preserve">of the four </w:t>
      </w:r>
      <w:r w:rsidR="00226B28" w:rsidRPr="00485CEB">
        <w:rPr>
          <w:color w:val="000000"/>
        </w:rPr>
        <w:t>section</w:t>
      </w:r>
      <w:r w:rsidR="00A05FFD">
        <w:rPr>
          <w:color w:val="000000"/>
        </w:rPr>
        <w:t>s</w:t>
      </w:r>
      <w:r w:rsidR="00226B28" w:rsidRPr="00485CEB">
        <w:rPr>
          <w:color w:val="000000"/>
        </w:rPr>
        <w:t xml:space="preserve"> follows</w:t>
      </w:r>
      <w:r w:rsidR="00226B28">
        <w:rPr>
          <w:color w:val="000000"/>
        </w:rPr>
        <w:t>:</w:t>
      </w:r>
    </w:p>
    <w:p w:rsidR="00226B28" w:rsidRDefault="00226B28" w:rsidP="00226B28">
      <w:pPr>
        <w:ind w:left="1080"/>
        <w:rPr>
          <w:color w:val="000000"/>
        </w:rPr>
      </w:pPr>
    </w:p>
    <w:p w:rsidR="005D1A21" w:rsidRPr="005D1A21" w:rsidRDefault="005D1A21" w:rsidP="005D1A21">
      <w:pPr>
        <w:ind w:left="1080"/>
      </w:pPr>
      <w:r w:rsidRPr="005D1A21">
        <w:rPr>
          <w:b/>
          <w:bCs/>
          <w:u w:val="single"/>
        </w:rPr>
        <w:t>418.3625(c)</w:t>
      </w:r>
      <w:r w:rsidRPr="005D1A21">
        <w:t xml:space="preserve"> – O</w:t>
      </w:r>
      <w:r w:rsidR="0052104E">
        <w:t xml:space="preserve">ne may request a change in date or </w:t>
      </w:r>
      <w:r w:rsidRPr="005D1A21">
        <w:t>time for an administrative review hearing, but must provide a reason for doing so and</w:t>
      </w:r>
      <w:r w:rsidR="0052104E">
        <w:t xml:space="preserve"> must provide alternative dates or </w:t>
      </w:r>
      <w:r w:rsidRPr="005D1A21">
        <w:t>times.</w:t>
      </w:r>
    </w:p>
    <w:p w:rsidR="005D1A21" w:rsidRPr="005D1A21" w:rsidRDefault="005D1A21" w:rsidP="005D1A21">
      <w:pPr>
        <w:ind w:left="1080"/>
      </w:pPr>
    </w:p>
    <w:p w:rsidR="005D1A21" w:rsidRPr="005D1A21" w:rsidRDefault="005D1A21" w:rsidP="005D1A21">
      <w:pPr>
        <w:ind w:left="1080"/>
      </w:pPr>
      <w:r w:rsidRPr="005D1A21">
        <w:rPr>
          <w:b/>
          <w:bCs/>
          <w:u w:val="single"/>
        </w:rPr>
        <w:t>418.3645</w:t>
      </w:r>
      <w:r w:rsidRPr="005D1A21">
        <w:t xml:space="preserve"> – One may </w:t>
      </w:r>
      <w:r w:rsidR="005F61A7">
        <w:t xml:space="preserve">object to the person who will be conducting </w:t>
      </w:r>
      <w:r w:rsidRPr="005D1A21">
        <w:t xml:space="preserve">the </w:t>
      </w:r>
      <w:r w:rsidR="00805EB9">
        <w:t>administrative review</w:t>
      </w:r>
      <w:r w:rsidR="005F61A7">
        <w:t xml:space="preserve"> hearing by notifying SSA at the earliest opportunity</w:t>
      </w:r>
      <w:r w:rsidRPr="005D1A21">
        <w:t>.</w:t>
      </w:r>
    </w:p>
    <w:p w:rsidR="005D1A21" w:rsidRPr="005D1A21" w:rsidRDefault="005D1A21" w:rsidP="005D1A21">
      <w:pPr>
        <w:ind w:left="1080"/>
      </w:pPr>
    </w:p>
    <w:p w:rsidR="005D1A21" w:rsidRPr="005D1A21" w:rsidRDefault="005D1A21" w:rsidP="005D1A21">
      <w:pPr>
        <w:ind w:left="1080"/>
      </w:pPr>
      <w:r w:rsidRPr="005D1A21">
        <w:rPr>
          <w:b/>
          <w:bCs/>
          <w:u w:val="single"/>
        </w:rPr>
        <w:t>418.3665(a)</w:t>
      </w:r>
      <w:r w:rsidRPr="005D1A21">
        <w:t xml:space="preserve"> – One may withdraw </w:t>
      </w:r>
      <w:r w:rsidR="000B500C">
        <w:t>a</w:t>
      </w:r>
      <w:r w:rsidRPr="005D1A21">
        <w:t xml:space="preserve"> request for administrative review</w:t>
      </w:r>
      <w:r w:rsidR="005F61A7">
        <w:t xml:space="preserve"> at any time before notice of the decision is mailed</w:t>
      </w:r>
      <w:r w:rsidRPr="005D1A21">
        <w:t>.</w:t>
      </w:r>
    </w:p>
    <w:p w:rsidR="005D1A21" w:rsidRPr="005D1A21" w:rsidRDefault="005D1A21" w:rsidP="005D1A21">
      <w:pPr>
        <w:ind w:left="1080"/>
      </w:pPr>
    </w:p>
    <w:p w:rsidR="005D1A21" w:rsidRDefault="005D1A21" w:rsidP="005D1A21">
      <w:pPr>
        <w:ind w:left="1080"/>
      </w:pPr>
      <w:r w:rsidRPr="005D1A21">
        <w:rPr>
          <w:b/>
          <w:bCs/>
          <w:u w:val="single"/>
        </w:rPr>
        <w:t>418.3670</w:t>
      </w:r>
      <w:r w:rsidRPr="005D1A21">
        <w:t xml:space="preserve"> – </w:t>
      </w:r>
      <w:r w:rsidR="005F61A7">
        <w:t xml:space="preserve">Within 60 days of receiving </w:t>
      </w:r>
      <w:r w:rsidR="003B604C">
        <w:t xml:space="preserve">the </w:t>
      </w:r>
      <w:r w:rsidR="005F61A7">
        <w:t>dismissal notice, o</w:t>
      </w:r>
      <w:r w:rsidR="00805EB9">
        <w:t xml:space="preserve">ne </w:t>
      </w:r>
      <w:r w:rsidRPr="005D1A21">
        <w:t xml:space="preserve">may ask SSA to vacate </w:t>
      </w:r>
      <w:r w:rsidR="003B604C">
        <w:t xml:space="preserve">the </w:t>
      </w:r>
      <w:r w:rsidRPr="005D1A21">
        <w:t>dismiss</w:t>
      </w:r>
      <w:r w:rsidR="005F61A7">
        <w:t>al of a request for</w:t>
      </w:r>
      <w:r w:rsidRPr="005D1A21">
        <w:t xml:space="preserve"> administrative review</w:t>
      </w:r>
      <w:r w:rsidR="003B604C">
        <w:t xml:space="preserve"> and show good cause why the request should not be dismissed</w:t>
      </w:r>
      <w:r w:rsidRPr="005D1A21">
        <w:t>.</w:t>
      </w:r>
    </w:p>
    <w:p w:rsidR="00A05FFD" w:rsidRDefault="00A05FFD" w:rsidP="005D1A21">
      <w:pPr>
        <w:ind w:left="1080"/>
      </w:pPr>
    </w:p>
    <w:p w:rsidR="00A05FFD" w:rsidRPr="005D1A21" w:rsidRDefault="00B060BD" w:rsidP="005D1A21">
      <w:pPr>
        <w:ind w:left="1080"/>
      </w:pPr>
      <w:r>
        <w:t xml:space="preserve">SSA </w:t>
      </w:r>
      <w:r w:rsidR="00585469">
        <w:t xml:space="preserve">employees </w:t>
      </w:r>
      <w:r w:rsidR="004561D7">
        <w:t>collect</w:t>
      </w:r>
      <w:r w:rsidR="005C7C5B">
        <w:t xml:space="preserve"> this information </w:t>
      </w:r>
      <w:r w:rsidR="00FF070A">
        <w:t xml:space="preserve">only </w:t>
      </w:r>
      <w:r w:rsidR="005C7C5B">
        <w:t xml:space="preserve">when </w:t>
      </w:r>
      <w:r w:rsidR="004561D7">
        <w:t xml:space="preserve">an applicant </w:t>
      </w:r>
      <w:r w:rsidR="00146904">
        <w:t xml:space="preserve">contacts SSA </w:t>
      </w:r>
      <w:r w:rsidR="004561D7">
        <w:t>to make one of these four requests regarding his or her administrative review hearing.</w:t>
      </w:r>
      <w:r w:rsidR="0050622C">
        <w:t xml:space="preserve"> </w:t>
      </w:r>
      <w:r w:rsidR="004561D7">
        <w:t xml:space="preserve"> </w:t>
      </w:r>
      <w:r>
        <w:t>An applicant can make these requests in person or by phone, fax, or mail.</w:t>
      </w:r>
      <w:r w:rsidR="003C6FC7">
        <w:t xml:space="preserve">  </w:t>
      </w:r>
      <w:r w:rsidR="0052104E">
        <w:rPr>
          <w:color w:val="000000"/>
        </w:rPr>
        <w:t>The respondents are applicants for the low-income subsidy program who are awaiting an administrative review hearing and have one or more of the requests</w:t>
      </w:r>
      <w:r w:rsidR="00FF070A">
        <w:rPr>
          <w:color w:val="000000"/>
        </w:rPr>
        <w:t xml:space="preserve"> shown</w:t>
      </w:r>
      <w:r w:rsidR="0052104E">
        <w:rPr>
          <w:color w:val="000000"/>
        </w:rPr>
        <w:t xml:space="preserve"> above.</w:t>
      </w:r>
    </w:p>
    <w:p w:rsidR="007151A6" w:rsidRDefault="007151A6" w:rsidP="007151A6">
      <w:pPr>
        <w:ind w:left="1080"/>
      </w:pPr>
    </w:p>
    <w:p w:rsidR="0052104E" w:rsidRDefault="0052104E" w:rsidP="00C50DCF">
      <w:pPr>
        <w:numPr>
          <w:ilvl w:val="1"/>
          <w:numId w:val="1"/>
        </w:numPr>
      </w:pPr>
      <w:r>
        <w:rPr>
          <w:b/>
        </w:rPr>
        <w:t>Use of Information Technology to Collect the Information</w:t>
      </w:r>
      <w:r>
        <w:t xml:space="preserve"> </w:t>
      </w:r>
    </w:p>
    <w:p w:rsidR="00C50DCF" w:rsidRDefault="007E0B7E" w:rsidP="0052104E">
      <w:pPr>
        <w:ind w:left="1080"/>
      </w:pPr>
      <w:r>
        <w:t>A</w:t>
      </w:r>
      <w:r w:rsidR="00AB041F">
        <w:t>s stated above, a</w:t>
      </w:r>
      <w:r>
        <w:t xml:space="preserve">n applicant </w:t>
      </w:r>
      <w:r w:rsidR="00BA1680">
        <w:t xml:space="preserve">can </w:t>
      </w:r>
      <w:r w:rsidR="00296872">
        <w:t xml:space="preserve">make these </w:t>
      </w:r>
      <w:r w:rsidR="00BA1680">
        <w:t>request</w:t>
      </w:r>
      <w:r w:rsidR="00296872">
        <w:t>s regarding</w:t>
      </w:r>
      <w:r w:rsidR="00BA1680">
        <w:t xml:space="preserve"> </w:t>
      </w:r>
      <w:r w:rsidR="00296872">
        <w:t xml:space="preserve">his or her </w:t>
      </w:r>
      <w:r w:rsidR="00BA1680">
        <w:t xml:space="preserve">administrative review </w:t>
      </w:r>
      <w:r w:rsidR="00296872">
        <w:t xml:space="preserve">hearing </w:t>
      </w:r>
      <w:r w:rsidR="00BA1680">
        <w:t>in person</w:t>
      </w:r>
      <w:r w:rsidR="00296872">
        <w:t xml:space="preserve"> or </w:t>
      </w:r>
      <w:r w:rsidR="00BA1680">
        <w:t xml:space="preserve">by phone, fax, or mail.  </w:t>
      </w:r>
      <w:r w:rsidR="00AC5B84">
        <w:t xml:space="preserve">SSA employees electronically record the information in </w:t>
      </w:r>
      <w:r w:rsidR="0052104E">
        <w:t>the</w:t>
      </w:r>
      <w:r w:rsidR="00093245">
        <w:t xml:space="preserve"> </w:t>
      </w:r>
      <w:r w:rsidR="007557B7">
        <w:t xml:space="preserve">Case Processing and Management System </w:t>
      </w:r>
      <w:r w:rsidR="005A5851">
        <w:t>in all instanc</w:t>
      </w:r>
      <w:r w:rsidR="00093245">
        <w:t>es</w:t>
      </w:r>
      <w:r w:rsidR="0052104E">
        <w:t xml:space="preserve">.  </w:t>
      </w:r>
      <w:r w:rsidR="00DE4610">
        <w:t xml:space="preserve">SSA did not create an electronic form under the agency’s Government Paperwork Elimination Act plan because this information collection request pertains to regulation sections and </w:t>
      </w:r>
      <w:r w:rsidR="0052104E">
        <w:t>does not have a specific information collection instrument</w:t>
      </w:r>
      <w:r w:rsidR="00DE4610">
        <w:t>.</w:t>
      </w:r>
    </w:p>
    <w:p w:rsidR="00C50DCF" w:rsidRDefault="00C50DCF" w:rsidP="00BA1680">
      <w:pPr>
        <w:ind w:left="720"/>
      </w:pPr>
    </w:p>
    <w:p w:rsidR="0052104E" w:rsidRDefault="0052104E" w:rsidP="0070715D">
      <w:pPr>
        <w:numPr>
          <w:ilvl w:val="1"/>
          <w:numId w:val="1"/>
        </w:numPr>
      </w:pPr>
      <w:r>
        <w:rPr>
          <w:b/>
        </w:rPr>
        <w:t>Why We Cannot Use Duplicate Information</w:t>
      </w:r>
      <w:r>
        <w:t xml:space="preserve"> </w:t>
      </w:r>
    </w:p>
    <w:p w:rsidR="008767A0" w:rsidRDefault="002315E6" w:rsidP="0052104E">
      <w:pPr>
        <w:ind w:left="1080"/>
      </w:pPr>
      <w:r>
        <w:t xml:space="preserve">The nature of the information </w:t>
      </w:r>
      <w:r w:rsidR="0045656E">
        <w:t xml:space="preserve">we are collecting </w:t>
      </w:r>
      <w:r>
        <w:t xml:space="preserve">and the manner in which </w:t>
      </w:r>
      <w:r w:rsidR="0045656E">
        <w:t xml:space="preserve">we are collecting it </w:t>
      </w:r>
      <w:r>
        <w:t>preclude duplication.</w:t>
      </w:r>
      <w:r w:rsidR="0045656E">
        <w:t xml:space="preserve">  SSA does not use another collection i</w:t>
      </w:r>
      <w:r w:rsidR="0052104E">
        <w:t>nstrument to obtain similar data</w:t>
      </w:r>
      <w:r w:rsidR="0045656E">
        <w:t>.</w:t>
      </w:r>
    </w:p>
    <w:p w:rsidR="008767A0" w:rsidRDefault="008767A0" w:rsidP="008767A0"/>
    <w:p w:rsidR="0052104E" w:rsidRDefault="0052104E" w:rsidP="002315E6">
      <w:pPr>
        <w:numPr>
          <w:ilvl w:val="1"/>
          <w:numId w:val="1"/>
        </w:numPr>
      </w:pPr>
      <w:r>
        <w:rPr>
          <w:b/>
        </w:rPr>
        <w:t>Minimizing Burden on Small Respondents</w:t>
      </w:r>
      <w:r>
        <w:t xml:space="preserve"> </w:t>
      </w:r>
    </w:p>
    <w:p w:rsidR="008767A0" w:rsidRDefault="002315E6" w:rsidP="0052104E">
      <w:pPr>
        <w:ind w:left="1080"/>
      </w:pPr>
      <w:r>
        <w:t xml:space="preserve">This collection does not </w:t>
      </w:r>
      <w:r w:rsidR="0045656E">
        <w:t>affect</w:t>
      </w:r>
      <w:r>
        <w:t xml:space="preserve"> small businesses or other small entities.</w:t>
      </w:r>
    </w:p>
    <w:p w:rsidR="006D1152" w:rsidRDefault="006D1152" w:rsidP="006D1152"/>
    <w:p w:rsidR="0052104E" w:rsidRDefault="0052104E" w:rsidP="00536991">
      <w:pPr>
        <w:numPr>
          <w:ilvl w:val="1"/>
          <w:numId w:val="1"/>
        </w:numPr>
      </w:pPr>
      <w:r>
        <w:rPr>
          <w:b/>
        </w:rPr>
        <w:t>Consequence of Not Collecting Information or Collecting it Less Frequently</w:t>
      </w:r>
      <w:r>
        <w:t xml:space="preserve"> </w:t>
      </w:r>
    </w:p>
    <w:p w:rsidR="003E7719" w:rsidRDefault="003E7719" w:rsidP="0052104E">
      <w:pPr>
        <w:ind w:left="1080"/>
      </w:pPr>
      <w:r>
        <w:t xml:space="preserve">If </w:t>
      </w:r>
      <w:r w:rsidR="0045656E">
        <w:t xml:space="preserve">SSA did not conduct </w:t>
      </w:r>
      <w:r>
        <w:t xml:space="preserve">the information collection these regulation sections </w:t>
      </w:r>
      <w:r w:rsidR="0045656E">
        <w:t>require</w:t>
      </w:r>
      <w:r>
        <w:t xml:space="preserve">, SSA would have no means of carrying out the Medicare Part D subsidy provisions of the MMA.  </w:t>
      </w:r>
      <w:r w:rsidR="00407FD8">
        <w:t>Since</w:t>
      </w:r>
      <w:r w:rsidR="0045656E">
        <w:t xml:space="preserve"> we only collect this information</w:t>
      </w:r>
      <w:r>
        <w:t xml:space="preserve"> when a specific situation arises (ex: applying for the subsidy, appealing a decision, requesting an administrative hearing), </w:t>
      </w:r>
      <w:r w:rsidR="0045656E">
        <w:t xml:space="preserve">we </w:t>
      </w:r>
      <w:r>
        <w:t xml:space="preserve">cannot </w:t>
      </w:r>
      <w:r w:rsidR="0045656E">
        <w:t xml:space="preserve">collect it </w:t>
      </w:r>
      <w:r>
        <w:t>less frequently.</w:t>
      </w:r>
      <w:r w:rsidR="00536991">
        <w:t xml:space="preserve">  </w:t>
      </w:r>
      <w:r>
        <w:t xml:space="preserve">There are no technical or legal obstacles </w:t>
      </w:r>
      <w:r w:rsidR="0045656E">
        <w:t xml:space="preserve">to </w:t>
      </w:r>
      <w:r>
        <w:t>burden reduction.</w:t>
      </w:r>
    </w:p>
    <w:p w:rsidR="006D1152" w:rsidRDefault="006D1152" w:rsidP="006D1152"/>
    <w:p w:rsidR="001346B4" w:rsidRDefault="001346B4" w:rsidP="00732D0A">
      <w:pPr>
        <w:numPr>
          <w:ilvl w:val="1"/>
          <w:numId w:val="1"/>
        </w:numPr>
      </w:pPr>
      <w:r>
        <w:rPr>
          <w:b/>
        </w:rPr>
        <w:t>Special Circumstances</w:t>
      </w:r>
      <w:r>
        <w:t xml:space="preserve"> </w:t>
      </w:r>
    </w:p>
    <w:p w:rsidR="00F248AD" w:rsidRDefault="003E7719" w:rsidP="001346B4">
      <w:pPr>
        <w:ind w:left="1080"/>
      </w:pPr>
      <w:r>
        <w:t xml:space="preserve">There are no special circumstances that would cause </w:t>
      </w:r>
      <w:r w:rsidR="00485CEB">
        <w:t xml:space="preserve">SSA to conduct </w:t>
      </w:r>
      <w:r>
        <w:t xml:space="preserve">this information collection in a manner inconsistent with </w:t>
      </w:r>
      <w:r w:rsidRPr="001346B4">
        <w:rPr>
          <w:i/>
        </w:rPr>
        <w:t>5 CFR 1320.5.</w:t>
      </w:r>
    </w:p>
    <w:p w:rsidR="00F248AD" w:rsidRPr="00CD5740" w:rsidRDefault="00F248AD" w:rsidP="00F248AD"/>
    <w:p w:rsidR="001346B4" w:rsidRPr="001346B4" w:rsidRDefault="001346B4" w:rsidP="00272065">
      <w:pPr>
        <w:numPr>
          <w:ilvl w:val="1"/>
          <w:numId w:val="1"/>
        </w:numPr>
      </w:pPr>
      <w:r>
        <w:rPr>
          <w:b/>
        </w:rPr>
        <w:t>Solicitation of Public Comment and Other Consultations with the Public</w:t>
      </w:r>
      <w:r w:rsidRPr="00EA5D0D">
        <w:rPr>
          <w:spacing w:val="-2"/>
        </w:rPr>
        <w:t xml:space="preserve"> </w:t>
      </w:r>
    </w:p>
    <w:p w:rsidR="003E7719" w:rsidRPr="00CD5740" w:rsidRDefault="001346B4" w:rsidP="001346B4">
      <w:pPr>
        <w:ind w:left="1080"/>
      </w:pPr>
      <w:r w:rsidRPr="00EA5D0D">
        <w:rPr>
          <w:spacing w:val="-2"/>
        </w:rPr>
        <w:t>The 60-day advance Federal Register Notice published on</w:t>
      </w:r>
      <w:r w:rsidR="0065503F">
        <w:rPr>
          <w:spacing w:val="-2"/>
        </w:rPr>
        <w:t xml:space="preserve"> June 30, 2011</w:t>
      </w:r>
      <w:r>
        <w:rPr>
          <w:spacing w:val="-2"/>
        </w:rPr>
        <w:t xml:space="preserve"> at 76 FR</w:t>
      </w:r>
      <w:r w:rsidR="0065503F">
        <w:rPr>
          <w:spacing w:val="-2"/>
        </w:rPr>
        <w:t xml:space="preserve"> 38448</w:t>
      </w:r>
      <w:r w:rsidRPr="00EA5D0D">
        <w:rPr>
          <w:spacing w:val="-2"/>
        </w:rPr>
        <w:t>, and SSA received no public comments.  The second Notice pu</w:t>
      </w:r>
      <w:r>
        <w:rPr>
          <w:spacing w:val="-2"/>
        </w:rPr>
        <w:t>blished on</w:t>
      </w:r>
      <w:r w:rsidR="001832A9">
        <w:rPr>
          <w:spacing w:val="-2"/>
        </w:rPr>
        <w:t xml:space="preserve"> August 29, 2011</w:t>
      </w:r>
      <w:r>
        <w:rPr>
          <w:spacing w:val="-2"/>
        </w:rPr>
        <w:t xml:space="preserve"> at 76</w:t>
      </w:r>
      <w:r w:rsidRPr="00EA5D0D">
        <w:rPr>
          <w:spacing w:val="-2"/>
        </w:rPr>
        <w:t xml:space="preserve"> FR </w:t>
      </w:r>
      <w:r w:rsidR="001832A9">
        <w:rPr>
          <w:spacing w:val="-2"/>
        </w:rPr>
        <w:t>53702</w:t>
      </w:r>
      <w:r w:rsidRPr="00EA5D0D">
        <w:rPr>
          <w:spacing w:val="-2"/>
        </w:rPr>
        <w:t xml:space="preserve">.  </w:t>
      </w:r>
      <w:r w:rsidRPr="00EA5D0D">
        <w:t xml:space="preserve">If we receive any comments in response to the 30-day Notice, we will forward them to OMB.  </w:t>
      </w:r>
      <w:r w:rsidRPr="00EA5D0D">
        <w:rPr>
          <w:spacing w:val="-2"/>
        </w:rPr>
        <w:t>SSA did not consult members of the public in the development or maintenance of this form</w:t>
      </w:r>
      <w:r w:rsidR="002B5EFB">
        <w:t xml:space="preserve">.  </w:t>
      </w:r>
    </w:p>
    <w:p w:rsidR="003E7719" w:rsidRDefault="003E7719" w:rsidP="003E7719"/>
    <w:p w:rsidR="00F248AD" w:rsidRDefault="00033199" w:rsidP="003E7719">
      <w:pPr>
        <w:ind w:left="1080"/>
      </w:pPr>
      <w:r>
        <w:t xml:space="preserve">When SSA first composed these regulations, </w:t>
      </w:r>
      <w:r w:rsidR="0042354E">
        <w:t>we</w:t>
      </w:r>
      <w:r>
        <w:t xml:space="preserve"> consulted with the Centers for</w:t>
      </w:r>
      <w:r w:rsidR="003E7719">
        <w:t xml:space="preserve"> Medicare and Medicaid Se</w:t>
      </w:r>
      <w:r>
        <w:t>rvices (CMS</w:t>
      </w:r>
      <w:r w:rsidR="001346B4">
        <w:t>)</w:t>
      </w:r>
      <w:r>
        <w:t>, s</w:t>
      </w:r>
      <w:r w:rsidR="003E7719">
        <w:t xml:space="preserve">ince CMS is responsible for administering the Medicare </w:t>
      </w:r>
      <w:r w:rsidR="00073019">
        <w:t xml:space="preserve">Part D </w:t>
      </w:r>
      <w:r w:rsidR="003E7719">
        <w:t xml:space="preserve">program.  However, </w:t>
      </w:r>
      <w:r>
        <w:t xml:space="preserve">since that time </w:t>
      </w:r>
      <w:r w:rsidR="00791E65">
        <w:t xml:space="preserve">we have not consulted </w:t>
      </w:r>
      <w:r>
        <w:t xml:space="preserve">with other </w:t>
      </w:r>
      <w:r w:rsidR="00073019">
        <w:t>a</w:t>
      </w:r>
      <w:r>
        <w:t>gencies or with the public.</w:t>
      </w:r>
    </w:p>
    <w:p w:rsidR="00F248AD" w:rsidRDefault="00F248AD" w:rsidP="00F248AD"/>
    <w:p w:rsidR="001346B4" w:rsidRDefault="001346B4">
      <w:pPr>
        <w:rPr>
          <w:b/>
        </w:rPr>
      </w:pPr>
      <w:r>
        <w:rPr>
          <w:b/>
        </w:rPr>
        <w:br w:type="page"/>
      </w:r>
    </w:p>
    <w:p w:rsidR="001346B4" w:rsidRDefault="001346B4" w:rsidP="003E7719">
      <w:pPr>
        <w:numPr>
          <w:ilvl w:val="1"/>
          <w:numId w:val="1"/>
        </w:numPr>
      </w:pPr>
      <w:r>
        <w:rPr>
          <w:b/>
        </w:rPr>
        <w:lastRenderedPageBreak/>
        <w:t>Payment or Gifts to Respondents</w:t>
      </w:r>
      <w:r>
        <w:t xml:space="preserve"> </w:t>
      </w:r>
    </w:p>
    <w:p w:rsidR="003E7719" w:rsidRDefault="003E7719" w:rsidP="001346B4">
      <w:pPr>
        <w:ind w:left="1080"/>
      </w:pPr>
      <w:r>
        <w:t xml:space="preserve">SSA </w:t>
      </w:r>
      <w:r w:rsidR="00485CEB">
        <w:t xml:space="preserve">does not </w:t>
      </w:r>
      <w:r>
        <w:t>provide</w:t>
      </w:r>
      <w:r w:rsidR="00485CEB">
        <w:t xml:space="preserve"> </w:t>
      </w:r>
      <w:r>
        <w:t>payment</w:t>
      </w:r>
      <w:r w:rsidR="00485CEB">
        <w:t>s</w:t>
      </w:r>
      <w:r>
        <w:t xml:space="preserve"> or gifts to </w:t>
      </w:r>
      <w:r w:rsidR="00485CEB">
        <w:t xml:space="preserve">the </w:t>
      </w:r>
      <w:r>
        <w:t>respondents.</w:t>
      </w:r>
    </w:p>
    <w:p w:rsidR="00092BB3" w:rsidRDefault="00092BB3" w:rsidP="00092BB3"/>
    <w:p w:rsidR="001346B4" w:rsidRDefault="001346B4" w:rsidP="00732D0A">
      <w:pPr>
        <w:numPr>
          <w:ilvl w:val="1"/>
          <w:numId w:val="1"/>
        </w:numPr>
      </w:pPr>
      <w:r>
        <w:rPr>
          <w:b/>
        </w:rPr>
        <w:t>Assurances of Confidentiality</w:t>
      </w:r>
      <w:r>
        <w:t xml:space="preserve"> </w:t>
      </w:r>
    </w:p>
    <w:p w:rsidR="00092BB3" w:rsidRDefault="001346B4" w:rsidP="001346B4">
      <w:pPr>
        <w:ind w:left="1080"/>
      </w:pPr>
      <w:r w:rsidRPr="00411EAE">
        <w:t>SSA protects and holds confidential the information it collects in accordance with</w:t>
      </w:r>
      <w:r>
        <w:rPr>
          <w:i/>
        </w:rPr>
        <w:t xml:space="preserve"> 42 U.S.C. 1306, 20 CFR 401 </w:t>
      </w:r>
      <w:r w:rsidRPr="00411EAE">
        <w:t xml:space="preserve">and </w:t>
      </w:r>
      <w:r>
        <w:rPr>
          <w:i/>
        </w:rPr>
        <w:t xml:space="preserve">402, 5 U.S.C. 552 </w:t>
      </w:r>
      <w:r w:rsidRPr="00411EAE">
        <w:t>(Freedom of Information Act)</w:t>
      </w:r>
      <w:r>
        <w:rPr>
          <w:i/>
        </w:rPr>
        <w:t xml:space="preserve">, 5 U.S.C. 552a </w:t>
      </w:r>
      <w:r w:rsidRPr="00411EAE">
        <w:t>(Privacy Act of 1974), and OMB Circular No. A-130</w:t>
      </w:r>
      <w:r w:rsidR="003E7719">
        <w:t>.</w:t>
      </w:r>
    </w:p>
    <w:p w:rsidR="00092BB3" w:rsidRDefault="00092BB3" w:rsidP="00092BB3"/>
    <w:p w:rsidR="001346B4" w:rsidRDefault="001346B4" w:rsidP="003E7719">
      <w:pPr>
        <w:numPr>
          <w:ilvl w:val="1"/>
          <w:numId w:val="1"/>
        </w:numPr>
      </w:pPr>
      <w:r>
        <w:rPr>
          <w:b/>
        </w:rPr>
        <w:t>Justification for Sensitive Questions</w:t>
      </w:r>
      <w:r w:rsidRPr="003C1702">
        <w:t xml:space="preserve"> </w:t>
      </w:r>
    </w:p>
    <w:p w:rsidR="006D1152" w:rsidRDefault="003E7719" w:rsidP="001346B4">
      <w:pPr>
        <w:ind w:left="1080"/>
      </w:pPr>
      <w:r w:rsidRPr="003C1702">
        <w:t>Some of the information</w:t>
      </w:r>
      <w:r>
        <w:t xml:space="preserve"> </w:t>
      </w:r>
      <w:r w:rsidR="00186057">
        <w:t xml:space="preserve">we are collecting may be </w:t>
      </w:r>
      <w:r w:rsidR="008B2218">
        <w:t xml:space="preserve">of a sensitive nature.  However, this information is necessary </w:t>
      </w:r>
      <w:r w:rsidR="00C320CE">
        <w:t>to fulfill applicants’</w:t>
      </w:r>
      <w:r w:rsidR="008B2218">
        <w:t xml:space="preserve"> requests and to proceed with the administrative review hearing process.  </w:t>
      </w:r>
      <w:r w:rsidR="00A70CEF">
        <w:t>We will on</w:t>
      </w:r>
      <w:r w:rsidR="0074316C">
        <w:t>ly collect this information after</w:t>
      </w:r>
      <w:r w:rsidR="00A70CEF">
        <w:t xml:space="preserve"> an applicant initiates contact with </w:t>
      </w:r>
      <w:r w:rsidR="00A50647">
        <w:t>SSA to make one of the requests.</w:t>
      </w:r>
    </w:p>
    <w:p w:rsidR="00090390" w:rsidRDefault="00090390" w:rsidP="00090390"/>
    <w:p w:rsidR="001346B4" w:rsidRPr="001346B4" w:rsidRDefault="001346B4" w:rsidP="00B37A54">
      <w:pPr>
        <w:numPr>
          <w:ilvl w:val="1"/>
          <w:numId w:val="1"/>
        </w:numPr>
      </w:pPr>
      <w:r>
        <w:rPr>
          <w:b/>
        </w:rPr>
        <w:t>Estimates of Public Reporting Burden</w:t>
      </w:r>
      <w:r>
        <w:rPr>
          <w:bCs/>
          <w:iCs/>
        </w:rPr>
        <w:t xml:space="preserve"> </w:t>
      </w:r>
    </w:p>
    <w:p w:rsidR="00B37A54" w:rsidRDefault="003A5BF6" w:rsidP="001346B4">
      <w:pPr>
        <w:ind w:left="1080"/>
      </w:pPr>
      <w:r>
        <w:t>Following</w:t>
      </w:r>
      <w:r w:rsidR="00484065">
        <w:t xml:space="preserve"> is a list of the </w:t>
      </w:r>
      <w:r w:rsidR="00F148A9">
        <w:t xml:space="preserve">four </w:t>
      </w:r>
      <w:r w:rsidR="00484065">
        <w:t>regulation sections</w:t>
      </w:r>
      <w:r w:rsidR="00F148A9">
        <w:t xml:space="preserve"> this</w:t>
      </w:r>
      <w:r w:rsidR="00E82996">
        <w:t xml:space="preserve"> ICR </w:t>
      </w:r>
      <w:r w:rsidR="00F148A9">
        <w:t>addresses</w:t>
      </w:r>
      <w:r w:rsidR="00876EEB">
        <w:t xml:space="preserve"> </w:t>
      </w:r>
      <w:r w:rsidR="00484065">
        <w:t xml:space="preserve">and the projected </w:t>
      </w:r>
      <w:r w:rsidR="001346B4">
        <w:t xml:space="preserve">annual </w:t>
      </w:r>
      <w:r w:rsidR="00484065">
        <w:t xml:space="preserve">public </w:t>
      </w:r>
      <w:r w:rsidR="00C35C21">
        <w:t xml:space="preserve">reporting </w:t>
      </w:r>
      <w:r w:rsidR="00484065">
        <w:t>burden for each section.</w:t>
      </w:r>
    </w:p>
    <w:p w:rsidR="00B37A54" w:rsidRDefault="00B37A54" w:rsidP="00B37A54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1683"/>
        <w:gridCol w:w="1620"/>
        <w:gridCol w:w="1620"/>
        <w:gridCol w:w="1530"/>
      </w:tblGrid>
      <w:tr w:rsidR="00B37A54" w:rsidRPr="003C6517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Section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Number of Respondents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Frequency of Response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Average Burden Per Response (Minutes)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Estimated Annual Burden (hours)</w:t>
            </w:r>
          </w:p>
        </w:tc>
      </w:tr>
      <w:tr w:rsidR="00B37A54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418.3625(c)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2,500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208</w:t>
            </w:r>
          </w:p>
        </w:tc>
      </w:tr>
      <w:tr w:rsidR="00B37A54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3</w:t>
            </w:r>
          </w:p>
        </w:tc>
      </w:tr>
      <w:tr w:rsidR="00B37A54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418.3665(a)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83</w:t>
            </w:r>
          </w:p>
        </w:tc>
      </w:tr>
      <w:tr w:rsidR="00B37A54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418.3670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</w:p>
        </w:tc>
      </w:tr>
      <w:tr w:rsidR="00B37A54" w:rsidRPr="003C6517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  <w:color w:val="000000"/>
              </w:rPr>
            </w:pPr>
            <w:r w:rsidRPr="003C6517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jc w:val="right"/>
              <w:rPr>
                <w:b/>
                <w:bCs/>
              </w:rPr>
            </w:pPr>
            <w:r w:rsidRPr="003C6517">
              <w:rPr>
                <w:b/>
                <w:bCs/>
              </w:rPr>
              <w:t>3,515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jc w:val="right"/>
              <w:rPr>
                <w:b/>
                <w:bCs/>
              </w:rPr>
            </w:pPr>
            <w:r w:rsidRPr="003C6517">
              <w:rPr>
                <w:b/>
                <w:bCs/>
              </w:rPr>
              <w:t xml:space="preserve">295 </w:t>
            </w:r>
          </w:p>
        </w:tc>
      </w:tr>
    </w:tbl>
    <w:p w:rsidR="00B37A54" w:rsidRDefault="00B37A54" w:rsidP="00B37A54"/>
    <w:p w:rsidR="00B37A54" w:rsidRDefault="00B37A54" w:rsidP="00B37A54">
      <w:pPr>
        <w:ind w:left="1080"/>
      </w:pPr>
      <w:r>
        <w:t xml:space="preserve">The total burden for this ICR is </w:t>
      </w:r>
      <w:r>
        <w:rPr>
          <w:b/>
        </w:rPr>
        <w:t>295</w:t>
      </w:r>
      <w:r w:rsidRPr="00F004CC">
        <w:rPr>
          <w:b/>
        </w:rPr>
        <w:t xml:space="preserve"> hours</w:t>
      </w:r>
      <w:r>
        <w:rPr>
          <w:b/>
        </w:rPr>
        <w:t>.</w:t>
      </w:r>
      <w:r>
        <w:t xml:space="preserve">  This figure represents burden hours, and we did not calculate a separate cost burden.</w:t>
      </w:r>
    </w:p>
    <w:p w:rsidR="00B37A54" w:rsidRDefault="00B37A54" w:rsidP="00B37A54"/>
    <w:p w:rsidR="00BC6FCE" w:rsidRPr="00BC6FCE" w:rsidRDefault="00BC6FCE" w:rsidP="00B37A54">
      <w:pPr>
        <w:numPr>
          <w:ilvl w:val="1"/>
          <w:numId w:val="1"/>
        </w:numPr>
      </w:pPr>
      <w:r>
        <w:rPr>
          <w:b/>
        </w:rPr>
        <w:t>Annual</w:t>
      </w:r>
      <w:r>
        <w:t xml:space="preserve"> </w:t>
      </w:r>
      <w:r>
        <w:rPr>
          <w:b/>
        </w:rPr>
        <w:t>Cost to the Respondents (Other)</w:t>
      </w:r>
    </w:p>
    <w:p w:rsidR="00B37A54" w:rsidRDefault="00B37A54" w:rsidP="00BC6FCE">
      <w:pPr>
        <w:ind w:left="1080"/>
      </w:pPr>
      <w:r>
        <w:t>This collection does not impose a known cost burden on the respondents.</w:t>
      </w:r>
    </w:p>
    <w:p w:rsidR="00B37A54" w:rsidRDefault="00B37A54" w:rsidP="00B37A54"/>
    <w:p w:rsidR="00BC6FCE" w:rsidRDefault="00BC6FCE" w:rsidP="00B37A54">
      <w:pPr>
        <w:numPr>
          <w:ilvl w:val="1"/>
          <w:numId w:val="1"/>
        </w:numPr>
      </w:pPr>
      <w:r>
        <w:rPr>
          <w:b/>
        </w:rPr>
        <w:t>Annual Cost To Federal Government</w:t>
      </w:r>
      <w:r>
        <w:t xml:space="preserve"> </w:t>
      </w:r>
    </w:p>
    <w:p w:rsidR="00B37A54" w:rsidRDefault="00B37A54" w:rsidP="00BC6FCE">
      <w:pPr>
        <w:ind w:left="1080"/>
      </w:pPr>
      <w:r>
        <w:t xml:space="preserve">The regulations themselves pose no annual cost to the Federal Government.  </w:t>
      </w:r>
    </w:p>
    <w:p w:rsidR="00B37A54" w:rsidRDefault="00B37A54" w:rsidP="00B37A54">
      <w:pPr>
        <w:ind w:left="720"/>
      </w:pPr>
    </w:p>
    <w:p w:rsidR="00BC6FCE" w:rsidRDefault="00BC6FCE" w:rsidP="00B37A54">
      <w:pPr>
        <w:numPr>
          <w:ilvl w:val="1"/>
          <w:numId w:val="1"/>
        </w:numPr>
      </w:pPr>
      <w:r>
        <w:rPr>
          <w:b/>
        </w:rPr>
        <w:t>Program Changes or Adjustments to the Information Collection Request</w:t>
      </w:r>
      <w:r>
        <w:t xml:space="preserve"> </w:t>
      </w:r>
    </w:p>
    <w:p w:rsidR="00B37A54" w:rsidRDefault="00B37A54" w:rsidP="00BC6FCE">
      <w:pPr>
        <w:ind w:left="1080"/>
      </w:pPr>
      <w:r>
        <w:t>There are no changes to the public reporting burden.</w:t>
      </w:r>
    </w:p>
    <w:p w:rsidR="00B37A54" w:rsidRDefault="00B37A54" w:rsidP="00B37A54">
      <w:pPr>
        <w:ind w:left="720"/>
      </w:pPr>
    </w:p>
    <w:p w:rsidR="00BC6FCE" w:rsidRDefault="00BC6FCE" w:rsidP="00B37A54">
      <w:pPr>
        <w:numPr>
          <w:ilvl w:val="1"/>
          <w:numId w:val="1"/>
        </w:numPr>
      </w:pPr>
      <w:r>
        <w:rPr>
          <w:b/>
        </w:rPr>
        <w:t>Plans for Publication Information Collection Results</w:t>
      </w:r>
      <w:r>
        <w:t xml:space="preserve"> </w:t>
      </w:r>
    </w:p>
    <w:p w:rsidR="00B37A54" w:rsidRDefault="00B37A54" w:rsidP="00BC6FCE">
      <w:pPr>
        <w:ind w:left="1080"/>
      </w:pPr>
      <w:r>
        <w:t>SSA will not publish the results of the information collection.</w:t>
      </w:r>
    </w:p>
    <w:p w:rsidR="00B37A54" w:rsidRDefault="00B37A54" w:rsidP="00B37A54"/>
    <w:p w:rsidR="00BC6FCE" w:rsidRDefault="00BC6FCE">
      <w:pPr>
        <w:rPr>
          <w:b/>
        </w:rPr>
      </w:pPr>
      <w:r>
        <w:rPr>
          <w:b/>
        </w:rPr>
        <w:br w:type="page"/>
      </w:r>
    </w:p>
    <w:p w:rsidR="00BC6FCE" w:rsidRDefault="00BC6FCE" w:rsidP="00B37A54">
      <w:pPr>
        <w:numPr>
          <w:ilvl w:val="1"/>
          <w:numId w:val="1"/>
        </w:numPr>
      </w:pPr>
      <w:r>
        <w:rPr>
          <w:b/>
        </w:rPr>
        <w:t>Displaying the OMB Approval Expiration Date</w:t>
      </w:r>
      <w:r>
        <w:t xml:space="preserve"> </w:t>
      </w:r>
    </w:p>
    <w:p w:rsidR="00B37A54" w:rsidRDefault="00B37A54" w:rsidP="00BC6FCE">
      <w:pPr>
        <w:ind w:left="1080"/>
      </w:pPr>
      <w:r>
        <w:t xml:space="preserve">Where applicable, </w:t>
      </w:r>
      <w:r w:rsidRPr="0080205A">
        <w:t>SSA</w:t>
      </w:r>
      <w:r w:rsidRPr="0080205A">
        <w:rPr>
          <w:b/>
          <w:bCs/>
        </w:rPr>
        <w:t xml:space="preserve"> </w:t>
      </w:r>
      <w:r w:rsidRPr="0080205A">
        <w:t xml:space="preserve">is not requesting an exception to </w:t>
      </w:r>
      <w:r>
        <w:t>the requirement to display an expiration date.</w:t>
      </w:r>
    </w:p>
    <w:p w:rsidR="00B37A54" w:rsidRDefault="00B37A54" w:rsidP="00B37A54"/>
    <w:p w:rsidR="00BC6FCE" w:rsidRDefault="00BC6FCE" w:rsidP="00B37A54">
      <w:pPr>
        <w:numPr>
          <w:ilvl w:val="1"/>
          <w:numId w:val="1"/>
        </w:numPr>
      </w:pPr>
      <w:r>
        <w:rPr>
          <w:b/>
        </w:rPr>
        <w:t>Exceptions to Certification Statement</w:t>
      </w:r>
      <w:r>
        <w:t xml:space="preserve"> </w:t>
      </w:r>
    </w:p>
    <w:p w:rsidR="00B37A54" w:rsidRDefault="00B37A54" w:rsidP="00BC6FCE">
      <w:pPr>
        <w:ind w:left="1080"/>
      </w:pPr>
      <w:r>
        <w:t xml:space="preserve">SSA is not requesting an exception to the certification requirements at </w:t>
      </w:r>
      <w:r w:rsidRPr="00E13119">
        <w:rPr>
          <w:i/>
        </w:rPr>
        <w:t>5 CFR 1320.9</w:t>
      </w:r>
      <w:r>
        <w:t xml:space="preserve"> and related provisions at </w:t>
      </w:r>
      <w:r w:rsidRPr="00E13119">
        <w:rPr>
          <w:i/>
        </w:rPr>
        <w:t>5 CFR 1320.8(b)(3)</w:t>
      </w:r>
      <w:r>
        <w:t>.</w:t>
      </w:r>
    </w:p>
    <w:p w:rsidR="00B37A54" w:rsidRDefault="00B37A54" w:rsidP="00B37A54">
      <w:pPr>
        <w:ind w:left="1080"/>
      </w:pPr>
    </w:p>
    <w:p w:rsidR="00B37A54" w:rsidRPr="00484065" w:rsidRDefault="00B37A54" w:rsidP="00B37A54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      </w:t>
      </w:r>
      <w:r w:rsidRPr="00484065">
        <w:rPr>
          <w:b/>
          <w:bCs/>
          <w:u w:val="single"/>
        </w:rPr>
        <w:t>Collections of Information Employing Statistical Methods</w:t>
      </w:r>
    </w:p>
    <w:p w:rsidR="00B37A54" w:rsidRDefault="00B37A54" w:rsidP="00B37A54">
      <w:pPr>
        <w:ind w:left="360"/>
        <w:rPr>
          <w:b/>
          <w:bCs/>
        </w:rPr>
      </w:pPr>
    </w:p>
    <w:p w:rsidR="00E52DA2" w:rsidRDefault="00B37A54" w:rsidP="00ED68FD">
      <w:pPr>
        <w:ind w:left="720"/>
      </w:pPr>
      <w:r>
        <w:t xml:space="preserve">     SSA does not use statistical methods for this informat</w:t>
      </w:r>
      <w:bookmarkStart w:id="0" w:name="_GoBack"/>
      <w:bookmarkEnd w:id="0"/>
      <w:r>
        <w:t>ion collection.</w:t>
      </w:r>
    </w:p>
    <w:sectPr w:rsidR="00E52DA2" w:rsidSect="00226B28">
      <w:footerReference w:type="default" r:id="rId8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F81" w:rsidRDefault="00F65F81">
      <w:r>
        <w:separator/>
      </w:r>
    </w:p>
  </w:endnote>
  <w:endnote w:type="continuationSeparator" w:id="0">
    <w:p w:rsidR="00F65F81" w:rsidRDefault="00F65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81" w:rsidRDefault="00F65F81" w:rsidP="00226B28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0960-0702 </w:t>
    </w:r>
    <w:r w:rsidR="0062632F"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 w:rsidR="0062632F">
      <w:rPr>
        <w:sz w:val="20"/>
        <w:szCs w:val="20"/>
      </w:rPr>
      <w:fldChar w:fldCharType="separate"/>
    </w:r>
    <w:r w:rsidR="001832A9">
      <w:rPr>
        <w:noProof/>
        <w:sz w:val="20"/>
        <w:szCs w:val="20"/>
      </w:rPr>
      <w:t>8/29/2011</w:t>
    </w:r>
    <w:r w:rsidR="0062632F">
      <w:rPr>
        <w:sz w:val="20"/>
        <w:szCs w:val="20"/>
      </w:rPr>
      <w:fldChar w:fldCharType="end"/>
    </w:r>
  </w:p>
  <w:p w:rsidR="00F65F81" w:rsidRDefault="00F65F81" w:rsidP="00226B28">
    <w:pPr>
      <w:pStyle w:val="Footer"/>
      <w:jc w:val="right"/>
      <w:rPr>
        <w:sz w:val="20"/>
        <w:szCs w:val="20"/>
      </w:rPr>
    </w:pPr>
  </w:p>
  <w:p w:rsidR="00F65F81" w:rsidRPr="00226B28" w:rsidRDefault="0062632F" w:rsidP="00226B28">
    <w:pPr>
      <w:pStyle w:val="Footer"/>
      <w:jc w:val="center"/>
      <w:rPr>
        <w:sz w:val="20"/>
        <w:szCs w:val="20"/>
      </w:rPr>
    </w:pPr>
    <w:r w:rsidRPr="00226B28">
      <w:rPr>
        <w:rStyle w:val="PageNumber"/>
        <w:sz w:val="20"/>
        <w:szCs w:val="20"/>
      </w:rPr>
      <w:fldChar w:fldCharType="begin"/>
    </w:r>
    <w:r w:rsidR="00F65F81" w:rsidRPr="00226B28">
      <w:rPr>
        <w:rStyle w:val="PageNumber"/>
        <w:sz w:val="20"/>
        <w:szCs w:val="20"/>
      </w:rPr>
      <w:instrText xml:space="preserve"> PAGE </w:instrText>
    </w:r>
    <w:r w:rsidRPr="00226B28">
      <w:rPr>
        <w:rStyle w:val="PageNumber"/>
        <w:sz w:val="20"/>
        <w:szCs w:val="20"/>
      </w:rPr>
      <w:fldChar w:fldCharType="separate"/>
    </w:r>
    <w:r w:rsidR="001832A9">
      <w:rPr>
        <w:rStyle w:val="PageNumber"/>
        <w:noProof/>
        <w:sz w:val="20"/>
        <w:szCs w:val="20"/>
      </w:rPr>
      <w:t>2</w:t>
    </w:r>
    <w:r w:rsidRPr="00226B2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F81" w:rsidRDefault="00F65F81">
      <w:r>
        <w:separator/>
      </w:r>
    </w:p>
  </w:footnote>
  <w:footnote w:type="continuationSeparator" w:id="0">
    <w:p w:rsidR="00F65F81" w:rsidRDefault="00F65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045B"/>
    <w:multiLevelType w:val="hybridMultilevel"/>
    <w:tmpl w:val="91584B68"/>
    <w:lvl w:ilvl="0" w:tplc="352E8AC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0255F3A"/>
    <w:multiLevelType w:val="hybridMultilevel"/>
    <w:tmpl w:val="470857E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70639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503CC8"/>
    <w:multiLevelType w:val="hybridMultilevel"/>
    <w:tmpl w:val="19F41F2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33F1538C"/>
    <w:multiLevelType w:val="multilevel"/>
    <w:tmpl w:val="91584B68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D0E6087"/>
    <w:multiLevelType w:val="hybridMultilevel"/>
    <w:tmpl w:val="BE2E7C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90F2C3A"/>
    <w:multiLevelType w:val="hybridMultilevel"/>
    <w:tmpl w:val="C36ED1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6B990C46"/>
    <w:multiLevelType w:val="hybridMultilevel"/>
    <w:tmpl w:val="05387FE6"/>
    <w:lvl w:ilvl="0" w:tplc="C14E8498">
      <w:start w:val="800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71761665"/>
    <w:multiLevelType w:val="hybridMultilevel"/>
    <w:tmpl w:val="BD0C0B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72D6591D"/>
    <w:multiLevelType w:val="hybridMultilevel"/>
    <w:tmpl w:val="331C406A"/>
    <w:lvl w:ilvl="0" w:tplc="C14E8498">
      <w:start w:val="80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52E31"/>
    <w:rsid w:val="00002D1F"/>
    <w:rsid w:val="00017C7C"/>
    <w:rsid w:val="00031DA6"/>
    <w:rsid w:val="00033199"/>
    <w:rsid w:val="000535C7"/>
    <w:rsid w:val="00057F93"/>
    <w:rsid w:val="00073019"/>
    <w:rsid w:val="00090390"/>
    <w:rsid w:val="000905D3"/>
    <w:rsid w:val="00092BB3"/>
    <w:rsid w:val="00093245"/>
    <w:rsid w:val="00095683"/>
    <w:rsid w:val="000A247F"/>
    <w:rsid w:val="000B1AA8"/>
    <w:rsid w:val="000B41A0"/>
    <w:rsid w:val="000B500C"/>
    <w:rsid w:val="000B79CD"/>
    <w:rsid w:val="000E4D3F"/>
    <w:rsid w:val="000F4298"/>
    <w:rsid w:val="000F4B8E"/>
    <w:rsid w:val="00107C94"/>
    <w:rsid w:val="00111D84"/>
    <w:rsid w:val="0011435A"/>
    <w:rsid w:val="00125E97"/>
    <w:rsid w:val="0013284E"/>
    <w:rsid w:val="001346B4"/>
    <w:rsid w:val="001355A6"/>
    <w:rsid w:val="00140D86"/>
    <w:rsid w:val="00145AD6"/>
    <w:rsid w:val="00146904"/>
    <w:rsid w:val="00164B9D"/>
    <w:rsid w:val="0017008F"/>
    <w:rsid w:val="0017785F"/>
    <w:rsid w:val="001832A9"/>
    <w:rsid w:val="001834DB"/>
    <w:rsid w:val="001836E0"/>
    <w:rsid w:val="00186057"/>
    <w:rsid w:val="00195E02"/>
    <w:rsid w:val="0019605A"/>
    <w:rsid w:val="001C6865"/>
    <w:rsid w:val="001D3216"/>
    <w:rsid w:val="0020720A"/>
    <w:rsid w:val="00220BA4"/>
    <w:rsid w:val="00226B28"/>
    <w:rsid w:val="002315E6"/>
    <w:rsid w:val="0023201A"/>
    <w:rsid w:val="002334ED"/>
    <w:rsid w:val="00236DC4"/>
    <w:rsid w:val="002417CD"/>
    <w:rsid w:val="0025152F"/>
    <w:rsid w:val="002515AD"/>
    <w:rsid w:val="00254F20"/>
    <w:rsid w:val="00263A6F"/>
    <w:rsid w:val="00271D80"/>
    <w:rsid w:val="00272065"/>
    <w:rsid w:val="00280105"/>
    <w:rsid w:val="002824CB"/>
    <w:rsid w:val="00283AB8"/>
    <w:rsid w:val="00284AA9"/>
    <w:rsid w:val="002964C4"/>
    <w:rsid w:val="00296872"/>
    <w:rsid w:val="002A3E43"/>
    <w:rsid w:val="002B5EFB"/>
    <w:rsid w:val="002C5AB3"/>
    <w:rsid w:val="002C7B7C"/>
    <w:rsid w:val="002D4A13"/>
    <w:rsid w:val="002E0CE3"/>
    <w:rsid w:val="002E5F61"/>
    <w:rsid w:val="002F0C37"/>
    <w:rsid w:val="002F27CD"/>
    <w:rsid w:val="002F7A3B"/>
    <w:rsid w:val="00316C88"/>
    <w:rsid w:val="00316F61"/>
    <w:rsid w:val="00337AEA"/>
    <w:rsid w:val="00340AA9"/>
    <w:rsid w:val="0034226F"/>
    <w:rsid w:val="003434F7"/>
    <w:rsid w:val="0035372F"/>
    <w:rsid w:val="00374DAD"/>
    <w:rsid w:val="003948AA"/>
    <w:rsid w:val="003A13FB"/>
    <w:rsid w:val="003A36C9"/>
    <w:rsid w:val="003A5BF6"/>
    <w:rsid w:val="003B3105"/>
    <w:rsid w:val="003B604C"/>
    <w:rsid w:val="003B6D2D"/>
    <w:rsid w:val="003C0CE4"/>
    <w:rsid w:val="003C1044"/>
    <w:rsid w:val="003C1702"/>
    <w:rsid w:val="003C3690"/>
    <w:rsid w:val="003C6517"/>
    <w:rsid w:val="003C6FC7"/>
    <w:rsid w:val="003E1786"/>
    <w:rsid w:val="003E6D85"/>
    <w:rsid w:val="003E7719"/>
    <w:rsid w:val="00401208"/>
    <w:rsid w:val="00407FD8"/>
    <w:rsid w:val="00421BC2"/>
    <w:rsid w:val="0042354E"/>
    <w:rsid w:val="0042762A"/>
    <w:rsid w:val="004306C7"/>
    <w:rsid w:val="00432947"/>
    <w:rsid w:val="004355E8"/>
    <w:rsid w:val="00454142"/>
    <w:rsid w:val="00454B1E"/>
    <w:rsid w:val="004561D7"/>
    <w:rsid w:val="0045656E"/>
    <w:rsid w:val="00465EA7"/>
    <w:rsid w:val="004800DF"/>
    <w:rsid w:val="00484065"/>
    <w:rsid w:val="00485CEB"/>
    <w:rsid w:val="004955DC"/>
    <w:rsid w:val="004C12F2"/>
    <w:rsid w:val="004C16A1"/>
    <w:rsid w:val="004D7977"/>
    <w:rsid w:val="004E44ED"/>
    <w:rsid w:val="004E66AB"/>
    <w:rsid w:val="004E75DD"/>
    <w:rsid w:val="0050622C"/>
    <w:rsid w:val="00511B55"/>
    <w:rsid w:val="0052104E"/>
    <w:rsid w:val="00523800"/>
    <w:rsid w:val="00532FF7"/>
    <w:rsid w:val="0053544E"/>
    <w:rsid w:val="00536991"/>
    <w:rsid w:val="00540194"/>
    <w:rsid w:val="00542A76"/>
    <w:rsid w:val="00555722"/>
    <w:rsid w:val="00561D67"/>
    <w:rsid w:val="00567294"/>
    <w:rsid w:val="005845CC"/>
    <w:rsid w:val="00585469"/>
    <w:rsid w:val="00585B25"/>
    <w:rsid w:val="00586D54"/>
    <w:rsid w:val="00587023"/>
    <w:rsid w:val="00592315"/>
    <w:rsid w:val="005A5851"/>
    <w:rsid w:val="005B024A"/>
    <w:rsid w:val="005B1764"/>
    <w:rsid w:val="005C7C5B"/>
    <w:rsid w:val="005D1A21"/>
    <w:rsid w:val="005D7147"/>
    <w:rsid w:val="005F2EBA"/>
    <w:rsid w:val="005F5A51"/>
    <w:rsid w:val="005F61A7"/>
    <w:rsid w:val="00606D00"/>
    <w:rsid w:val="00622C72"/>
    <w:rsid w:val="0062632F"/>
    <w:rsid w:val="00632611"/>
    <w:rsid w:val="00636A99"/>
    <w:rsid w:val="00652AF4"/>
    <w:rsid w:val="0065503F"/>
    <w:rsid w:val="00676D8E"/>
    <w:rsid w:val="00684912"/>
    <w:rsid w:val="006868B6"/>
    <w:rsid w:val="0068779D"/>
    <w:rsid w:val="00697521"/>
    <w:rsid w:val="006B64E6"/>
    <w:rsid w:val="006B6C10"/>
    <w:rsid w:val="006C4609"/>
    <w:rsid w:val="006C6DF4"/>
    <w:rsid w:val="006D1152"/>
    <w:rsid w:val="006E5CE8"/>
    <w:rsid w:val="006F126D"/>
    <w:rsid w:val="0070011F"/>
    <w:rsid w:val="007011B1"/>
    <w:rsid w:val="0070715D"/>
    <w:rsid w:val="00707F23"/>
    <w:rsid w:val="007151A6"/>
    <w:rsid w:val="0073041D"/>
    <w:rsid w:val="00732D0A"/>
    <w:rsid w:val="007351FA"/>
    <w:rsid w:val="00741B4E"/>
    <w:rsid w:val="0074316C"/>
    <w:rsid w:val="00747781"/>
    <w:rsid w:val="007513B7"/>
    <w:rsid w:val="00754908"/>
    <w:rsid w:val="007557B7"/>
    <w:rsid w:val="00756775"/>
    <w:rsid w:val="007611B9"/>
    <w:rsid w:val="00767684"/>
    <w:rsid w:val="00774FFB"/>
    <w:rsid w:val="00791E65"/>
    <w:rsid w:val="00792307"/>
    <w:rsid w:val="007B1B58"/>
    <w:rsid w:val="007C0A44"/>
    <w:rsid w:val="007C6632"/>
    <w:rsid w:val="007C6E84"/>
    <w:rsid w:val="007D5231"/>
    <w:rsid w:val="007E0B7E"/>
    <w:rsid w:val="007E6645"/>
    <w:rsid w:val="007F5006"/>
    <w:rsid w:val="007F7FAA"/>
    <w:rsid w:val="00805EB9"/>
    <w:rsid w:val="0081159B"/>
    <w:rsid w:val="008135F6"/>
    <w:rsid w:val="00814498"/>
    <w:rsid w:val="008206AA"/>
    <w:rsid w:val="0083392A"/>
    <w:rsid w:val="0085243C"/>
    <w:rsid w:val="008629ED"/>
    <w:rsid w:val="00875119"/>
    <w:rsid w:val="008767A0"/>
    <w:rsid w:val="00876EEB"/>
    <w:rsid w:val="00892F3D"/>
    <w:rsid w:val="008A79FC"/>
    <w:rsid w:val="008B2218"/>
    <w:rsid w:val="008D1E48"/>
    <w:rsid w:val="008E493B"/>
    <w:rsid w:val="008E5ABE"/>
    <w:rsid w:val="008F4144"/>
    <w:rsid w:val="008F6A1E"/>
    <w:rsid w:val="009075A1"/>
    <w:rsid w:val="009132C2"/>
    <w:rsid w:val="009142E8"/>
    <w:rsid w:val="00925D84"/>
    <w:rsid w:val="00925E2D"/>
    <w:rsid w:val="00930365"/>
    <w:rsid w:val="00932AFD"/>
    <w:rsid w:val="0094216E"/>
    <w:rsid w:val="00942D8A"/>
    <w:rsid w:val="009667ED"/>
    <w:rsid w:val="00972141"/>
    <w:rsid w:val="00974469"/>
    <w:rsid w:val="00976684"/>
    <w:rsid w:val="0097713F"/>
    <w:rsid w:val="0098330D"/>
    <w:rsid w:val="009839B2"/>
    <w:rsid w:val="00983DEB"/>
    <w:rsid w:val="00990E08"/>
    <w:rsid w:val="009928A3"/>
    <w:rsid w:val="009A3F21"/>
    <w:rsid w:val="009B7CA6"/>
    <w:rsid w:val="009C1507"/>
    <w:rsid w:val="009C6D02"/>
    <w:rsid w:val="009C7108"/>
    <w:rsid w:val="009D537D"/>
    <w:rsid w:val="009E6414"/>
    <w:rsid w:val="009F3483"/>
    <w:rsid w:val="009F4522"/>
    <w:rsid w:val="00A05FFD"/>
    <w:rsid w:val="00A110BE"/>
    <w:rsid w:val="00A3119A"/>
    <w:rsid w:val="00A31DED"/>
    <w:rsid w:val="00A50647"/>
    <w:rsid w:val="00A50A49"/>
    <w:rsid w:val="00A62F5C"/>
    <w:rsid w:val="00A64519"/>
    <w:rsid w:val="00A70CEF"/>
    <w:rsid w:val="00A833D4"/>
    <w:rsid w:val="00A8538D"/>
    <w:rsid w:val="00A93C1E"/>
    <w:rsid w:val="00AA2668"/>
    <w:rsid w:val="00AA4994"/>
    <w:rsid w:val="00AB041F"/>
    <w:rsid w:val="00AB4E72"/>
    <w:rsid w:val="00AC5B84"/>
    <w:rsid w:val="00AC6272"/>
    <w:rsid w:val="00AF3E21"/>
    <w:rsid w:val="00B028CD"/>
    <w:rsid w:val="00B060BD"/>
    <w:rsid w:val="00B10C23"/>
    <w:rsid w:val="00B177A3"/>
    <w:rsid w:val="00B2467E"/>
    <w:rsid w:val="00B37A54"/>
    <w:rsid w:val="00B51E59"/>
    <w:rsid w:val="00B6289F"/>
    <w:rsid w:val="00B67EFA"/>
    <w:rsid w:val="00B72D24"/>
    <w:rsid w:val="00BA1680"/>
    <w:rsid w:val="00BC2A5F"/>
    <w:rsid w:val="00BC5FD6"/>
    <w:rsid w:val="00BC6FCE"/>
    <w:rsid w:val="00BE0F44"/>
    <w:rsid w:val="00BE5F20"/>
    <w:rsid w:val="00BE7796"/>
    <w:rsid w:val="00BF2919"/>
    <w:rsid w:val="00BF7C2A"/>
    <w:rsid w:val="00C0420C"/>
    <w:rsid w:val="00C320CE"/>
    <w:rsid w:val="00C35C21"/>
    <w:rsid w:val="00C45C17"/>
    <w:rsid w:val="00C465F4"/>
    <w:rsid w:val="00C50DCF"/>
    <w:rsid w:val="00C5576A"/>
    <w:rsid w:val="00C65491"/>
    <w:rsid w:val="00C802CB"/>
    <w:rsid w:val="00C86290"/>
    <w:rsid w:val="00CA1BEB"/>
    <w:rsid w:val="00CB55E3"/>
    <w:rsid w:val="00CC215B"/>
    <w:rsid w:val="00CC24F5"/>
    <w:rsid w:val="00CC4804"/>
    <w:rsid w:val="00CD5740"/>
    <w:rsid w:val="00CD7E93"/>
    <w:rsid w:val="00CE6325"/>
    <w:rsid w:val="00CF4A48"/>
    <w:rsid w:val="00CF6C59"/>
    <w:rsid w:val="00D6392D"/>
    <w:rsid w:val="00D67D4F"/>
    <w:rsid w:val="00D806FE"/>
    <w:rsid w:val="00D95EE4"/>
    <w:rsid w:val="00DA482A"/>
    <w:rsid w:val="00DA50C7"/>
    <w:rsid w:val="00DA65CF"/>
    <w:rsid w:val="00DC1E3A"/>
    <w:rsid w:val="00DD2AAE"/>
    <w:rsid w:val="00DD2DD5"/>
    <w:rsid w:val="00DD6C94"/>
    <w:rsid w:val="00DE4610"/>
    <w:rsid w:val="00DE4F5D"/>
    <w:rsid w:val="00DF149B"/>
    <w:rsid w:val="00DF5BE4"/>
    <w:rsid w:val="00E045AD"/>
    <w:rsid w:val="00E067D8"/>
    <w:rsid w:val="00E13119"/>
    <w:rsid w:val="00E26ACC"/>
    <w:rsid w:val="00E3388A"/>
    <w:rsid w:val="00E46020"/>
    <w:rsid w:val="00E52DA2"/>
    <w:rsid w:val="00E64E34"/>
    <w:rsid w:val="00E7189E"/>
    <w:rsid w:val="00E7355B"/>
    <w:rsid w:val="00E82996"/>
    <w:rsid w:val="00E82A50"/>
    <w:rsid w:val="00EA1753"/>
    <w:rsid w:val="00EA571F"/>
    <w:rsid w:val="00EB3C09"/>
    <w:rsid w:val="00ED24C0"/>
    <w:rsid w:val="00ED68FD"/>
    <w:rsid w:val="00EE073E"/>
    <w:rsid w:val="00F004CC"/>
    <w:rsid w:val="00F01FCB"/>
    <w:rsid w:val="00F03AAC"/>
    <w:rsid w:val="00F07300"/>
    <w:rsid w:val="00F148A9"/>
    <w:rsid w:val="00F14BBD"/>
    <w:rsid w:val="00F20425"/>
    <w:rsid w:val="00F2261C"/>
    <w:rsid w:val="00F248AD"/>
    <w:rsid w:val="00F426F7"/>
    <w:rsid w:val="00F45B5E"/>
    <w:rsid w:val="00F46670"/>
    <w:rsid w:val="00F51B6E"/>
    <w:rsid w:val="00F52E31"/>
    <w:rsid w:val="00F64501"/>
    <w:rsid w:val="00F65F81"/>
    <w:rsid w:val="00F70BA1"/>
    <w:rsid w:val="00F72C20"/>
    <w:rsid w:val="00F8049A"/>
    <w:rsid w:val="00F94A3D"/>
    <w:rsid w:val="00FA3259"/>
    <w:rsid w:val="00FA6160"/>
    <w:rsid w:val="00FB1716"/>
    <w:rsid w:val="00FC073A"/>
    <w:rsid w:val="00FC26AE"/>
    <w:rsid w:val="00FD197E"/>
    <w:rsid w:val="00FE53BE"/>
    <w:rsid w:val="00FF070A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2C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46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B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B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6B28"/>
  </w:style>
  <w:style w:type="table" w:styleId="TableGrid">
    <w:name w:val="Table Grid"/>
    <w:basedOn w:val="TableNormal"/>
    <w:rsid w:val="00484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CE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2C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46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B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B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6B28"/>
  </w:style>
  <w:style w:type="table" w:styleId="TableGrid">
    <w:name w:val="Table Grid"/>
    <w:basedOn w:val="TableNormal"/>
    <w:rsid w:val="00484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C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4EDE-C2D5-46C1-88BE-D7F593A2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D Subsidy App SUPPORTING STATEMENT INSTRUCTIONS FOR FORM __________</vt:lpstr>
    </vt:vector>
  </TitlesOfParts>
  <Company>Social Security Administration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D Subsidy App SUPPORTING STATEMENT INSTRUCTIONS FOR FORM __________</dc:title>
  <dc:creator>762320</dc:creator>
  <cp:lastModifiedBy>889123</cp:lastModifiedBy>
  <cp:revision>2</cp:revision>
  <cp:lastPrinted>2011-01-31T19:56:00Z</cp:lastPrinted>
  <dcterms:created xsi:type="dcterms:W3CDTF">2011-08-29T11:21:00Z</dcterms:created>
  <dcterms:modified xsi:type="dcterms:W3CDTF">2011-08-29T11:21:00Z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