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33D" w:rsidRDefault="009B633D" w:rsidP="009B633D">
      <w:pPr>
        <w:jc w:val="center"/>
        <w:rPr>
          <w:sz w:val="28"/>
          <w:szCs w:val="28"/>
        </w:rPr>
      </w:pPr>
    </w:p>
    <w:p w:rsidR="008F6F64" w:rsidRPr="008F6F64" w:rsidRDefault="008F6F64" w:rsidP="008F6F64">
      <w:pPr>
        <w:autoSpaceDE w:val="0"/>
        <w:autoSpaceDN w:val="0"/>
        <w:adjustRightInd w:val="0"/>
        <w:jc w:val="center"/>
        <w:rPr>
          <w:b/>
          <w:bCs/>
          <w:sz w:val="28"/>
          <w:szCs w:val="28"/>
        </w:rPr>
      </w:pPr>
      <w:r w:rsidRPr="008F6F64">
        <w:rPr>
          <w:b/>
          <w:bCs/>
          <w:sz w:val="28"/>
          <w:szCs w:val="28"/>
        </w:rPr>
        <w:t>SUPPORTING STATEMENT</w:t>
      </w:r>
    </w:p>
    <w:p w:rsidR="008F6F64" w:rsidRPr="008F6F64" w:rsidRDefault="008F6F64" w:rsidP="008F6F64">
      <w:pPr>
        <w:autoSpaceDE w:val="0"/>
        <w:autoSpaceDN w:val="0"/>
        <w:adjustRightInd w:val="0"/>
        <w:jc w:val="center"/>
        <w:rPr>
          <w:b/>
          <w:bCs/>
          <w:sz w:val="28"/>
          <w:szCs w:val="28"/>
        </w:rPr>
      </w:pPr>
    </w:p>
    <w:p w:rsidR="008F6F64" w:rsidRDefault="008F6F64" w:rsidP="008F6F64">
      <w:pPr>
        <w:autoSpaceDE w:val="0"/>
        <w:autoSpaceDN w:val="0"/>
        <w:adjustRightInd w:val="0"/>
        <w:jc w:val="center"/>
        <w:rPr>
          <w:b/>
          <w:bCs/>
          <w:sz w:val="28"/>
          <w:szCs w:val="28"/>
        </w:rPr>
      </w:pPr>
    </w:p>
    <w:p w:rsidR="008F6F64" w:rsidRPr="008F6F64" w:rsidRDefault="008F6F64" w:rsidP="008F6F64">
      <w:pPr>
        <w:autoSpaceDE w:val="0"/>
        <w:autoSpaceDN w:val="0"/>
        <w:adjustRightInd w:val="0"/>
        <w:jc w:val="center"/>
        <w:rPr>
          <w:b/>
          <w:bCs/>
          <w:sz w:val="28"/>
          <w:szCs w:val="28"/>
        </w:rPr>
      </w:pPr>
    </w:p>
    <w:p w:rsidR="008F6F64" w:rsidRDefault="008F6F64" w:rsidP="008F6F64">
      <w:pPr>
        <w:autoSpaceDE w:val="0"/>
        <w:autoSpaceDN w:val="0"/>
        <w:adjustRightInd w:val="0"/>
        <w:jc w:val="center"/>
        <w:rPr>
          <w:b/>
          <w:bCs/>
          <w:sz w:val="28"/>
          <w:szCs w:val="28"/>
        </w:rPr>
      </w:pPr>
      <w:r>
        <w:rPr>
          <w:b/>
          <w:bCs/>
          <w:sz w:val="28"/>
          <w:szCs w:val="28"/>
        </w:rPr>
        <w:t>The Agency for Healthcare Research and Quality (</w:t>
      </w:r>
      <w:r w:rsidRPr="008F6F64">
        <w:rPr>
          <w:b/>
          <w:bCs/>
          <w:sz w:val="28"/>
          <w:szCs w:val="28"/>
        </w:rPr>
        <w:t>AHRQ</w:t>
      </w:r>
      <w:r>
        <w:rPr>
          <w:b/>
          <w:bCs/>
          <w:sz w:val="28"/>
          <w:szCs w:val="28"/>
        </w:rPr>
        <w:t>)</w:t>
      </w:r>
      <w:r w:rsidRPr="008F6F64">
        <w:rPr>
          <w:b/>
          <w:bCs/>
          <w:sz w:val="28"/>
          <w:szCs w:val="28"/>
        </w:rPr>
        <w:t xml:space="preserve"> </w:t>
      </w:r>
    </w:p>
    <w:p w:rsidR="008F6F64" w:rsidRPr="008F6F64" w:rsidRDefault="008F6F64" w:rsidP="008F6F64">
      <w:pPr>
        <w:autoSpaceDE w:val="0"/>
        <w:autoSpaceDN w:val="0"/>
        <w:adjustRightInd w:val="0"/>
        <w:jc w:val="center"/>
        <w:rPr>
          <w:b/>
          <w:bCs/>
          <w:sz w:val="28"/>
          <w:szCs w:val="28"/>
        </w:rPr>
      </w:pPr>
      <w:r>
        <w:rPr>
          <w:b/>
          <w:bCs/>
          <w:sz w:val="28"/>
          <w:szCs w:val="28"/>
        </w:rPr>
        <w:t>Health Care Innovations Exchange</w:t>
      </w:r>
    </w:p>
    <w:p w:rsidR="008F6F64" w:rsidRPr="008F6F64" w:rsidRDefault="008F6F64" w:rsidP="008F6F64">
      <w:pPr>
        <w:autoSpaceDE w:val="0"/>
        <w:autoSpaceDN w:val="0"/>
        <w:adjustRightInd w:val="0"/>
        <w:jc w:val="center"/>
        <w:rPr>
          <w:b/>
          <w:bCs/>
          <w:sz w:val="28"/>
          <w:szCs w:val="28"/>
        </w:rPr>
      </w:pPr>
      <w:r w:rsidRPr="008F6F64">
        <w:rPr>
          <w:b/>
          <w:bCs/>
          <w:sz w:val="28"/>
          <w:szCs w:val="28"/>
        </w:rPr>
        <w:t>Innovator Interview and Innovator Email Submission Guidelines</w:t>
      </w:r>
    </w:p>
    <w:p w:rsidR="008F6F64" w:rsidRDefault="008F6F64" w:rsidP="008F6F64">
      <w:pPr>
        <w:autoSpaceDE w:val="0"/>
        <w:autoSpaceDN w:val="0"/>
        <w:adjustRightInd w:val="0"/>
        <w:jc w:val="center"/>
        <w:rPr>
          <w:b/>
          <w:bCs/>
          <w:sz w:val="28"/>
          <w:szCs w:val="28"/>
        </w:rPr>
      </w:pPr>
    </w:p>
    <w:p w:rsidR="008F6F64" w:rsidRPr="008F6F64" w:rsidRDefault="008F6F64" w:rsidP="008F6F64">
      <w:pPr>
        <w:autoSpaceDE w:val="0"/>
        <w:autoSpaceDN w:val="0"/>
        <w:adjustRightInd w:val="0"/>
        <w:jc w:val="center"/>
        <w:rPr>
          <w:b/>
          <w:bCs/>
          <w:sz w:val="28"/>
          <w:szCs w:val="28"/>
        </w:rPr>
      </w:pPr>
    </w:p>
    <w:p w:rsidR="008F6F64" w:rsidRPr="008F6F64" w:rsidRDefault="008F6F64" w:rsidP="008F6F64">
      <w:pPr>
        <w:autoSpaceDE w:val="0"/>
        <w:autoSpaceDN w:val="0"/>
        <w:adjustRightInd w:val="0"/>
        <w:jc w:val="center"/>
        <w:rPr>
          <w:b/>
          <w:bCs/>
          <w:sz w:val="28"/>
          <w:szCs w:val="28"/>
        </w:rPr>
      </w:pPr>
      <w:r w:rsidRPr="008F6F64">
        <w:rPr>
          <w:b/>
          <w:bCs/>
          <w:sz w:val="28"/>
          <w:szCs w:val="28"/>
        </w:rPr>
        <w:t>OMB CONTROL NO. 0935-0147</w:t>
      </w: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AE34DA" w:rsidRDefault="00AE34DA"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8F6F64" w:rsidRPr="00C4006D" w:rsidRDefault="008F6F64" w:rsidP="009B633D">
      <w:pPr>
        <w:jc w:val="center"/>
        <w:rPr>
          <w:i/>
          <w:sz w:val="28"/>
          <w:szCs w:val="28"/>
        </w:rPr>
      </w:pPr>
      <w:r>
        <w:rPr>
          <w:sz w:val="28"/>
          <w:szCs w:val="28"/>
        </w:rPr>
        <w:t xml:space="preserve">Version:  </w:t>
      </w:r>
      <w:r w:rsidR="002D5688">
        <w:rPr>
          <w:sz w:val="28"/>
          <w:szCs w:val="28"/>
        </w:rPr>
        <w:t>April 29, 2011</w:t>
      </w:r>
    </w:p>
    <w:p w:rsidR="009B633D" w:rsidRPr="00077E65" w:rsidRDefault="009B633D" w:rsidP="009B633D">
      <w:pPr>
        <w:jc w:val="center"/>
        <w:rPr>
          <w:i/>
          <w:sz w:val="48"/>
          <w:szCs w:val="48"/>
        </w:rPr>
      </w:pPr>
    </w:p>
    <w:p w:rsidR="00181751" w:rsidRPr="00077E65" w:rsidRDefault="00181751" w:rsidP="009B633D">
      <w:pPr>
        <w:jc w:val="center"/>
        <w:rPr>
          <w:i/>
          <w:sz w:val="48"/>
          <w:szCs w:val="4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r w:rsidRPr="00677A0B">
        <w:rPr>
          <w:sz w:val="28"/>
          <w:szCs w:val="28"/>
        </w:rPr>
        <w:t xml:space="preserve">Agency </w:t>
      </w:r>
      <w:r w:rsidR="008F6F64">
        <w:rPr>
          <w:sz w:val="28"/>
          <w:szCs w:val="28"/>
        </w:rPr>
        <w:t>for</w:t>
      </w:r>
      <w:r w:rsidRPr="00677A0B">
        <w:rPr>
          <w:sz w:val="28"/>
          <w:szCs w:val="28"/>
        </w:rPr>
        <w:t xml:space="preserve"> Healthcare Research and Quality (AHRQ)</w:t>
      </w:r>
    </w:p>
    <w:p w:rsidR="009B633D" w:rsidRDefault="009B633D">
      <w:pPr>
        <w:rPr>
          <w:sz w:val="28"/>
          <w:szCs w:val="28"/>
        </w:rPr>
      </w:pPr>
    </w:p>
    <w:p w:rsidR="009B633D" w:rsidRDefault="009B633D">
      <w:pPr>
        <w:rPr>
          <w:sz w:val="28"/>
          <w:szCs w:val="28"/>
        </w:rPr>
      </w:pPr>
    </w:p>
    <w:p w:rsidR="009B633D" w:rsidRDefault="009B633D" w:rsidP="008C580E">
      <w:pPr>
        <w:rPr>
          <w:b/>
        </w:rPr>
      </w:pPr>
      <w:r>
        <w:br w:type="page"/>
      </w:r>
      <w:r w:rsidRPr="001D0454">
        <w:rPr>
          <w:b/>
        </w:rPr>
        <w:lastRenderedPageBreak/>
        <w:t>Table of contents</w:t>
      </w:r>
    </w:p>
    <w:p w:rsidR="00EB58F3" w:rsidRDefault="00EB58F3" w:rsidP="007A3A0A">
      <w:pPr>
        <w:rPr>
          <w:b/>
        </w:rPr>
      </w:pPr>
    </w:p>
    <w:p w:rsidR="007A3A0A" w:rsidRPr="007A3A0A" w:rsidRDefault="007A3A0A" w:rsidP="007A3A0A">
      <w:pPr>
        <w:spacing w:after="120"/>
      </w:pPr>
      <w:r w:rsidRPr="007A3A0A">
        <w:t>Introduction</w:t>
      </w:r>
      <w:r>
        <w:t>……………………………………………………………………………...3</w:t>
      </w:r>
    </w:p>
    <w:p w:rsidR="00EB58F3" w:rsidRDefault="008C580E" w:rsidP="007A3A0A">
      <w:pPr>
        <w:tabs>
          <w:tab w:val="left" w:leader="dot" w:pos="8280"/>
        </w:tabs>
        <w:spacing w:after="120"/>
      </w:pPr>
      <w:r w:rsidRPr="007A3A0A">
        <w:t>A. Justification</w:t>
      </w:r>
      <w:r w:rsidR="00887A08">
        <w:tab/>
      </w:r>
      <w:r w:rsidR="00847E09">
        <w:t>3</w:t>
      </w:r>
    </w:p>
    <w:p w:rsidR="007B3A8E" w:rsidRDefault="007B3A8E" w:rsidP="003500EE">
      <w:pPr>
        <w:tabs>
          <w:tab w:val="left" w:pos="360"/>
          <w:tab w:val="left" w:leader="dot" w:pos="8280"/>
        </w:tabs>
        <w:spacing w:after="120"/>
      </w:pPr>
      <w:r>
        <w:tab/>
        <w:t xml:space="preserve">1. </w:t>
      </w:r>
      <w:r w:rsidR="006014DB">
        <w:t xml:space="preserve">Circumstances that </w:t>
      </w:r>
      <w:r w:rsidR="00201605">
        <w:t>M</w:t>
      </w:r>
      <w:r w:rsidR="006014DB">
        <w:t xml:space="preserve">ake the </w:t>
      </w:r>
      <w:r w:rsidR="00201605">
        <w:t>C</w:t>
      </w:r>
      <w:r w:rsidR="006014DB">
        <w:t xml:space="preserve">ollection of </w:t>
      </w:r>
      <w:r w:rsidR="00201605">
        <w:t>I</w:t>
      </w:r>
      <w:r w:rsidR="006014DB">
        <w:t xml:space="preserve">nformation </w:t>
      </w:r>
      <w:r w:rsidR="00201605">
        <w:t>N</w:t>
      </w:r>
      <w:r w:rsidR="006014DB">
        <w:t>ecessary</w:t>
      </w:r>
      <w:r>
        <w:tab/>
      </w:r>
      <w:r w:rsidR="00A9715C">
        <w:t>3</w:t>
      </w:r>
    </w:p>
    <w:p w:rsidR="007B3A8E" w:rsidRDefault="007B3A8E" w:rsidP="003500EE">
      <w:pPr>
        <w:tabs>
          <w:tab w:val="left" w:pos="360"/>
          <w:tab w:val="left" w:leader="dot" w:pos="8280"/>
        </w:tabs>
        <w:spacing w:after="120"/>
      </w:pPr>
      <w:r>
        <w:tab/>
        <w:t xml:space="preserve">2. </w:t>
      </w:r>
      <w:r w:rsidR="006014DB">
        <w:t xml:space="preserve">Purpose and </w:t>
      </w:r>
      <w:r w:rsidR="00A9715C">
        <w:t>U</w:t>
      </w:r>
      <w:r w:rsidR="006014DB">
        <w:t xml:space="preserve">se of </w:t>
      </w:r>
      <w:r w:rsidR="00A9715C">
        <w:t>I</w:t>
      </w:r>
      <w:r w:rsidRPr="007B3A8E">
        <w:t>nformation</w:t>
      </w:r>
      <w:r>
        <w:tab/>
      </w:r>
      <w:r w:rsidR="00746E36">
        <w:t>7</w:t>
      </w:r>
    </w:p>
    <w:p w:rsidR="007B3A8E" w:rsidRDefault="007B3A8E" w:rsidP="003500EE">
      <w:pPr>
        <w:tabs>
          <w:tab w:val="left" w:pos="360"/>
          <w:tab w:val="left" w:leader="dot" w:pos="8280"/>
        </w:tabs>
        <w:spacing w:after="120"/>
      </w:pPr>
      <w:r>
        <w:tab/>
        <w:t xml:space="preserve">3. </w:t>
      </w:r>
      <w:r w:rsidRPr="007B3A8E">
        <w:t>Use of Improved Information Technology</w:t>
      </w:r>
      <w:r>
        <w:tab/>
      </w:r>
      <w:r w:rsidR="00746E36">
        <w:t>8</w:t>
      </w:r>
    </w:p>
    <w:p w:rsidR="007B3A8E" w:rsidRDefault="007B3A8E" w:rsidP="003500EE">
      <w:pPr>
        <w:tabs>
          <w:tab w:val="left" w:pos="360"/>
          <w:tab w:val="left" w:leader="dot" w:pos="8280"/>
        </w:tabs>
        <w:spacing w:after="120"/>
      </w:pPr>
      <w:r>
        <w:tab/>
        <w:t xml:space="preserve">4. </w:t>
      </w:r>
      <w:r w:rsidRPr="007B3A8E">
        <w:t>Efforts to Identify Duplication</w:t>
      </w:r>
      <w:r>
        <w:tab/>
      </w:r>
      <w:r w:rsidR="00746E36">
        <w:t>8</w:t>
      </w:r>
    </w:p>
    <w:p w:rsidR="007B3A8E" w:rsidRDefault="007B3A8E" w:rsidP="003500EE">
      <w:pPr>
        <w:tabs>
          <w:tab w:val="left" w:pos="360"/>
          <w:tab w:val="left" w:leader="dot" w:pos="8280"/>
        </w:tabs>
        <w:spacing w:after="120"/>
      </w:pPr>
      <w:r>
        <w:tab/>
        <w:t xml:space="preserve">5. </w:t>
      </w:r>
      <w:r w:rsidR="00556066" w:rsidRPr="00556066">
        <w:t>Involvement of Small Entities</w:t>
      </w:r>
      <w:r w:rsidR="00556066">
        <w:tab/>
      </w:r>
      <w:r w:rsidR="00746E36">
        <w:t>8</w:t>
      </w:r>
    </w:p>
    <w:p w:rsidR="00556066" w:rsidRDefault="00556066" w:rsidP="003500EE">
      <w:pPr>
        <w:tabs>
          <w:tab w:val="left" w:pos="360"/>
          <w:tab w:val="left" w:leader="dot" w:pos="8280"/>
        </w:tabs>
        <w:spacing w:after="120"/>
      </w:pPr>
      <w:r>
        <w:tab/>
        <w:t xml:space="preserve">6. </w:t>
      </w:r>
      <w:r w:rsidRPr="00556066">
        <w:t>Consequences if Information Collected Less Frequently</w:t>
      </w:r>
      <w:r w:rsidR="00847E09">
        <w:tab/>
      </w:r>
      <w:r w:rsidR="00746E36">
        <w:t>9</w:t>
      </w:r>
      <w:r>
        <w:tab/>
      </w:r>
    </w:p>
    <w:p w:rsidR="00556066" w:rsidRDefault="00556066" w:rsidP="003500EE">
      <w:pPr>
        <w:tabs>
          <w:tab w:val="left" w:pos="360"/>
          <w:tab w:val="left" w:leader="dot" w:pos="8280"/>
        </w:tabs>
        <w:spacing w:after="120"/>
      </w:pPr>
      <w:r>
        <w:tab/>
        <w:t xml:space="preserve">7. </w:t>
      </w:r>
      <w:r w:rsidRPr="00556066">
        <w:t>Special Circumstances</w:t>
      </w:r>
      <w:r>
        <w:tab/>
      </w:r>
      <w:r w:rsidR="00746E36">
        <w:t>9</w:t>
      </w:r>
    </w:p>
    <w:p w:rsidR="00556066" w:rsidRDefault="00556066" w:rsidP="003500EE">
      <w:pPr>
        <w:tabs>
          <w:tab w:val="left" w:pos="360"/>
          <w:tab w:val="left" w:leader="dot" w:pos="8280"/>
        </w:tabs>
        <w:spacing w:after="120"/>
      </w:pPr>
      <w:r>
        <w:tab/>
        <w:t xml:space="preserve">8. </w:t>
      </w:r>
      <w:r w:rsidR="004B5BFF">
        <w:t>Federal Register</w:t>
      </w:r>
      <w:r w:rsidR="00077E65">
        <w:t xml:space="preserve"> Notice and Outside</w:t>
      </w:r>
      <w:r w:rsidR="004B5BFF">
        <w:t xml:space="preserve"> </w:t>
      </w:r>
      <w:r w:rsidRPr="00556066">
        <w:t>Consultation</w:t>
      </w:r>
      <w:r w:rsidR="00077E65">
        <w:t>s</w:t>
      </w:r>
      <w:r>
        <w:tab/>
      </w:r>
      <w:r w:rsidR="00746E36">
        <w:t>9</w:t>
      </w:r>
    </w:p>
    <w:p w:rsidR="00556066" w:rsidRDefault="00556066" w:rsidP="003500EE">
      <w:pPr>
        <w:tabs>
          <w:tab w:val="left" w:pos="360"/>
          <w:tab w:val="left" w:leader="dot" w:pos="8280"/>
        </w:tabs>
        <w:spacing w:after="120"/>
      </w:pPr>
      <w:r>
        <w:tab/>
        <w:t xml:space="preserve">9. </w:t>
      </w:r>
      <w:r w:rsidRPr="00556066">
        <w:t>Payments/Gifts to Respondents</w:t>
      </w:r>
      <w:r>
        <w:tab/>
      </w:r>
      <w:r w:rsidR="00746E36">
        <w:t>10</w:t>
      </w:r>
    </w:p>
    <w:p w:rsidR="00556066" w:rsidRDefault="00556066" w:rsidP="003500EE">
      <w:pPr>
        <w:tabs>
          <w:tab w:val="left" w:pos="360"/>
          <w:tab w:val="left" w:leader="dot" w:pos="8280"/>
        </w:tabs>
        <w:spacing w:after="120"/>
      </w:pPr>
      <w:r>
        <w:tab/>
        <w:t xml:space="preserve">10. </w:t>
      </w:r>
      <w:r w:rsidRPr="00556066">
        <w:t>Assurance of Confidentiality</w:t>
      </w:r>
      <w:r>
        <w:tab/>
      </w:r>
      <w:r w:rsidR="00746E36">
        <w:t>10</w:t>
      </w:r>
    </w:p>
    <w:p w:rsidR="00556066" w:rsidRDefault="00556066" w:rsidP="003500EE">
      <w:pPr>
        <w:tabs>
          <w:tab w:val="left" w:pos="360"/>
          <w:tab w:val="left" w:leader="dot" w:pos="8280"/>
        </w:tabs>
        <w:spacing w:after="120"/>
      </w:pPr>
      <w:r>
        <w:tab/>
        <w:t xml:space="preserve">11. </w:t>
      </w:r>
      <w:r w:rsidRPr="00556066">
        <w:t>Questions of a Sensitive Nature</w:t>
      </w:r>
      <w:r>
        <w:tab/>
      </w:r>
      <w:r w:rsidR="00746E36">
        <w:t>10</w:t>
      </w:r>
    </w:p>
    <w:p w:rsidR="00556066" w:rsidRDefault="00556066" w:rsidP="003500EE">
      <w:pPr>
        <w:tabs>
          <w:tab w:val="left" w:pos="360"/>
          <w:tab w:val="left" w:leader="dot" w:pos="8280"/>
        </w:tabs>
        <w:spacing w:after="120"/>
      </w:pPr>
      <w:r>
        <w:tab/>
        <w:t xml:space="preserve">12. </w:t>
      </w:r>
      <w:r w:rsidRPr="00556066">
        <w:t>Estimates of Annualized Burden Hours and Costs</w:t>
      </w:r>
      <w:r>
        <w:tab/>
      </w:r>
      <w:r w:rsidR="00746E36">
        <w:t>10</w:t>
      </w:r>
    </w:p>
    <w:p w:rsidR="00556066" w:rsidRDefault="00556066" w:rsidP="003500EE">
      <w:pPr>
        <w:tabs>
          <w:tab w:val="left" w:pos="360"/>
          <w:tab w:val="left" w:leader="dot" w:pos="8280"/>
        </w:tabs>
        <w:spacing w:after="120"/>
      </w:pPr>
      <w:r>
        <w:tab/>
        <w:t xml:space="preserve">13. </w:t>
      </w:r>
      <w:r w:rsidRPr="00556066">
        <w:t>Estimates of Annualized Respondent Capital and Maintenance Costs</w:t>
      </w:r>
      <w:r>
        <w:tab/>
      </w:r>
      <w:r w:rsidR="00847E09">
        <w:t>1</w:t>
      </w:r>
      <w:r w:rsidR="007A6754">
        <w:t>1</w:t>
      </w:r>
    </w:p>
    <w:p w:rsidR="00556066" w:rsidRDefault="00556066" w:rsidP="003500EE">
      <w:pPr>
        <w:tabs>
          <w:tab w:val="left" w:pos="360"/>
          <w:tab w:val="left" w:leader="dot" w:pos="8280"/>
        </w:tabs>
        <w:spacing w:after="120"/>
      </w:pPr>
      <w:r>
        <w:tab/>
        <w:t xml:space="preserve">14. </w:t>
      </w:r>
      <w:r w:rsidRPr="00556066">
        <w:t>Estimates of Annualized Cost to the Government</w:t>
      </w:r>
      <w:r>
        <w:tab/>
      </w:r>
      <w:r w:rsidR="00847E09">
        <w:t>1</w:t>
      </w:r>
      <w:r w:rsidR="00746E36">
        <w:t>2</w:t>
      </w:r>
    </w:p>
    <w:p w:rsidR="00556066" w:rsidRDefault="00556066" w:rsidP="003500EE">
      <w:pPr>
        <w:tabs>
          <w:tab w:val="left" w:pos="360"/>
          <w:tab w:val="left" w:leader="dot" w:pos="8280"/>
        </w:tabs>
        <w:spacing w:after="120"/>
      </w:pPr>
      <w:r>
        <w:tab/>
        <w:t xml:space="preserve">15. </w:t>
      </w:r>
      <w:r w:rsidRPr="00556066">
        <w:t>Changes in Hour Burden</w:t>
      </w:r>
      <w:r>
        <w:tab/>
      </w:r>
      <w:r w:rsidR="00847E09">
        <w:t>1</w:t>
      </w:r>
      <w:r w:rsidR="00EB19DB">
        <w:t>2</w:t>
      </w:r>
    </w:p>
    <w:p w:rsidR="006014DB" w:rsidRDefault="006014DB" w:rsidP="003500EE">
      <w:pPr>
        <w:tabs>
          <w:tab w:val="left" w:pos="360"/>
          <w:tab w:val="left" w:leader="dot" w:pos="8280"/>
        </w:tabs>
        <w:spacing w:after="120"/>
      </w:pPr>
      <w:r>
        <w:tab/>
        <w:t xml:space="preserve">16. </w:t>
      </w:r>
      <w:r w:rsidRPr="006014DB">
        <w:t>Time Schedule, Publication and Analysis Plans</w:t>
      </w:r>
      <w:r>
        <w:tab/>
      </w:r>
      <w:r w:rsidR="00847E09">
        <w:t>1</w:t>
      </w:r>
      <w:r w:rsidR="00EB19DB">
        <w:t>2</w:t>
      </w:r>
    </w:p>
    <w:p w:rsidR="006014DB" w:rsidRDefault="006014DB" w:rsidP="003500EE">
      <w:pPr>
        <w:tabs>
          <w:tab w:val="left" w:pos="360"/>
          <w:tab w:val="left" w:leader="dot" w:pos="8280"/>
        </w:tabs>
        <w:spacing w:after="120"/>
      </w:pPr>
      <w:r>
        <w:tab/>
        <w:t xml:space="preserve">17. </w:t>
      </w:r>
      <w:r w:rsidRPr="006014DB">
        <w:t>Exemption for Display of Expiration Date</w:t>
      </w:r>
      <w:r>
        <w:tab/>
      </w:r>
      <w:r w:rsidR="00746E36">
        <w:t>13</w:t>
      </w:r>
    </w:p>
    <w:p w:rsidR="00CF2617" w:rsidRDefault="000E2DDC" w:rsidP="000E2DDC">
      <w:pPr>
        <w:tabs>
          <w:tab w:val="left" w:pos="360"/>
          <w:tab w:val="left" w:leader="dot" w:pos="8280"/>
        </w:tabs>
      </w:pPr>
      <w:r>
        <w:tab/>
      </w:r>
      <w:r w:rsidR="007A6754">
        <w:t>List of Attachments</w:t>
      </w:r>
      <w:r w:rsidR="007A6754">
        <w:tab/>
      </w:r>
      <w:r w:rsidR="00746E36">
        <w:t>13</w:t>
      </w:r>
    </w:p>
    <w:p w:rsidR="005C7808" w:rsidRDefault="00CF2617" w:rsidP="00C5451F">
      <w:pPr>
        <w:tabs>
          <w:tab w:val="left" w:leader="dot" w:pos="8280"/>
        </w:tabs>
      </w:pPr>
      <w:r>
        <w:br w:type="page"/>
      </w:r>
    </w:p>
    <w:p w:rsidR="00CD4994" w:rsidRPr="00CD4994" w:rsidRDefault="00CD4994" w:rsidP="00CD4994">
      <w:pPr>
        <w:tabs>
          <w:tab w:val="left" w:pos="360"/>
          <w:tab w:val="left" w:leader="dot" w:pos="8280"/>
        </w:tabs>
      </w:pPr>
    </w:p>
    <w:p w:rsidR="001522D6" w:rsidRPr="008F6F64" w:rsidRDefault="001522D6" w:rsidP="001522D6">
      <w:pPr>
        <w:autoSpaceDE w:val="0"/>
        <w:autoSpaceDN w:val="0"/>
        <w:adjustRightInd w:val="0"/>
        <w:rPr>
          <w:rFonts w:ascii="Arial" w:hAnsi="Arial" w:cs="Arial"/>
          <w:b/>
          <w:bCs/>
        </w:rPr>
      </w:pPr>
      <w:bookmarkStart w:id="0" w:name="_Toc151782175"/>
      <w:bookmarkStart w:id="1" w:name="_Toc158526215"/>
      <w:r w:rsidRPr="008F6F64">
        <w:rPr>
          <w:rFonts w:ascii="Arial" w:hAnsi="Arial" w:cs="Arial"/>
          <w:b/>
          <w:bCs/>
        </w:rPr>
        <w:t>Introduction</w:t>
      </w:r>
    </w:p>
    <w:p w:rsidR="00E85E2E" w:rsidRPr="001522D6" w:rsidRDefault="00E85E2E" w:rsidP="001522D6">
      <w:pPr>
        <w:autoSpaceDE w:val="0"/>
        <w:autoSpaceDN w:val="0"/>
        <w:adjustRightInd w:val="0"/>
        <w:rPr>
          <w:b/>
          <w:bCs/>
        </w:rPr>
      </w:pPr>
    </w:p>
    <w:p w:rsidR="001522D6" w:rsidRDefault="001522D6" w:rsidP="00E85E2E">
      <w:pPr>
        <w:autoSpaceDE w:val="0"/>
        <w:autoSpaceDN w:val="0"/>
        <w:adjustRightInd w:val="0"/>
      </w:pPr>
      <w:r w:rsidRPr="001522D6">
        <w:t>This request for Office of Management and Budget (OMB) review is for renewal of the existing</w:t>
      </w:r>
      <w:r w:rsidR="00E85E2E">
        <w:t xml:space="preserve"> </w:t>
      </w:r>
      <w:r w:rsidR="00E374E2">
        <w:t>collection that is</w:t>
      </w:r>
      <w:r w:rsidRPr="001522D6">
        <w:t xml:space="preserve"> currently approved under OMB Control No. </w:t>
      </w:r>
      <w:r w:rsidR="00E85E2E">
        <w:t>0935-0147</w:t>
      </w:r>
      <w:r w:rsidRPr="001522D6">
        <w:t xml:space="preserve">, </w:t>
      </w:r>
      <w:r w:rsidR="00E85E2E">
        <w:t>AHRQ Health Care Innovations Exchange Innovator Interview and AHRQ Health Care Innovations Exchange Innovator Email Submission Guidelines</w:t>
      </w:r>
      <w:r w:rsidRPr="001522D6">
        <w:t xml:space="preserve">, which expires on </w:t>
      </w:r>
      <w:r w:rsidR="00E85E2E">
        <w:t>March 31, 2011.</w:t>
      </w:r>
      <w:r w:rsidR="004C4B75">
        <w:t xml:space="preserve">  Attachment H addresses the Terms of Clearance that OMB specified when it last approved this information collection on March 16</w:t>
      </w:r>
      <w:r w:rsidR="004C4B75" w:rsidRPr="004C4B75">
        <w:rPr>
          <w:vertAlign w:val="superscript"/>
        </w:rPr>
        <w:t>th</w:t>
      </w:r>
      <w:r w:rsidR="004C4B75">
        <w:t>, 2009.</w:t>
      </w:r>
    </w:p>
    <w:p w:rsidR="008F6F64" w:rsidRPr="001522D6" w:rsidRDefault="008F6F64" w:rsidP="00E85E2E">
      <w:pPr>
        <w:autoSpaceDE w:val="0"/>
        <w:autoSpaceDN w:val="0"/>
        <w:adjustRightInd w:val="0"/>
      </w:pPr>
    </w:p>
    <w:p w:rsidR="009B633D" w:rsidRPr="006014DB" w:rsidRDefault="009B633D" w:rsidP="009B633D">
      <w:pPr>
        <w:pStyle w:val="Heading1"/>
        <w:rPr>
          <w:sz w:val="24"/>
          <w:szCs w:val="24"/>
        </w:rPr>
      </w:pPr>
      <w:r w:rsidRPr="006014DB">
        <w:rPr>
          <w:sz w:val="24"/>
          <w:szCs w:val="24"/>
        </w:rPr>
        <w:t>A. Justification</w:t>
      </w:r>
      <w:bookmarkEnd w:id="0"/>
      <w:bookmarkEnd w:id="1"/>
    </w:p>
    <w:p w:rsidR="009B633D" w:rsidRPr="006014DB" w:rsidRDefault="009B633D" w:rsidP="004B5BFF">
      <w:pPr>
        <w:ind w:right="-180"/>
      </w:pPr>
    </w:p>
    <w:p w:rsidR="009B633D" w:rsidRDefault="009B633D" w:rsidP="006014DB">
      <w:pPr>
        <w:pStyle w:val="Heading2"/>
        <w:spacing w:before="0" w:after="0"/>
        <w:rPr>
          <w:sz w:val="24"/>
          <w:szCs w:val="24"/>
        </w:rPr>
      </w:pPr>
      <w:bookmarkStart w:id="2" w:name="_Toc151782176"/>
      <w:bookmarkStart w:id="3" w:name="_Toc158526216"/>
      <w:r w:rsidRPr="006014DB">
        <w:rPr>
          <w:sz w:val="24"/>
          <w:szCs w:val="24"/>
        </w:rPr>
        <w:t xml:space="preserve">1. </w:t>
      </w:r>
      <w:bookmarkEnd w:id="2"/>
      <w:bookmarkEnd w:id="3"/>
      <w:r w:rsidR="006014DB" w:rsidRPr="006014DB">
        <w:rPr>
          <w:sz w:val="24"/>
          <w:szCs w:val="24"/>
        </w:rPr>
        <w:t xml:space="preserve">Circumstances that </w:t>
      </w:r>
      <w:r w:rsidR="00693802">
        <w:rPr>
          <w:sz w:val="24"/>
          <w:szCs w:val="24"/>
        </w:rPr>
        <w:t>M</w:t>
      </w:r>
      <w:r w:rsidR="006014DB" w:rsidRPr="006014DB">
        <w:rPr>
          <w:sz w:val="24"/>
          <w:szCs w:val="24"/>
        </w:rPr>
        <w:t xml:space="preserve">ake the </w:t>
      </w:r>
      <w:r w:rsidR="00693802">
        <w:rPr>
          <w:sz w:val="24"/>
          <w:szCs w:val="24"/>
        </w:rPr>
        <w:t>C</w:t>
      </w:r>
      <w:r w:rsidR="006014DB" w:rsidRPr="006014DB">
        <w:rPr>
          <w:sz w:val="24"/>
          <w:szCs w:val="24"/>
        </w:rPr>
        <w:t xml:space="preserve">ollection of </w:t>
      </w:r>
      <w:r w:rsidR="00693802">
        <w:rPr>
          <w:sz w:val="24"/>
          <w:szCs w:val="24"/>
        </w:rPr>
        <w:t>I</w:t>
      </w:r>
      <w:r w:rsidR="006014DB" w:rsidRPr="006014DB">
        <w:rPr>
          <w:sz w:val="24"/>
          <w:szCs w:val="24"/>
        </w:rPr>
        <w:t xml:space="preserve">nformation </w:t>
      </w:r>
      <w:r w:rsidR="00693802">
        <w:rPr>
          <w:sz w:val="24"/>
          <w:szCs w:val="24"/>
        </w:rPr>
        <w:t>N</w:t>
      </w:r>
      <w:r w:rsidR="006014DB" w:rsidRPr="006014DB">
        <w:rPr>
          <w:sz w:val="24"/>
          <w:szCs w:val="24"/>
        </w:rPr>
        <w:t>ecessary</w:t>
      </w:r>
    </w:p>
    <w:p w:rsidR="006014DB" w:rsidRDefault="006014DB" w:rsidP="006014DB"/>
    <w:p w:rsidR="000A140E" w:rsidRDefault="000A140E" w:rsidP="000206C9">
      <w:r>
        <w:t>The mission of the Agency for Healthcare Research and Quality (AHRQ) set out in its authorizing legislation, The Healthcare Research and Quality Act of 1999 (see Attachment A),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8E279C" w:rsidRDefault="008E279C" w:rsidP="000206C9"/>
    <w:p w:rsidR="008E279C" w:rsidRDefault="008E279C" w:rsidP="008E279C">
      <w:pPr>
        <w:tabs>
          <w:tab w:val="left" w:pos="360"/>
        </w:tabs>
        <w:ind w:left="360"/>
      </w:pPr>
      <w:r>
        <w:t>1.</w:t>
      </w:r>
      <w:r>
        <w:tab/>
        <w:t xml:space="preserve">research that develops and presents scientific evidence regarding all aspects of </w:t>
      </w:r>
      <w:r>
        <w:tab/>
      </w:r>
      <w:r>
        <w:tab/>
        <w:t>health care; and</w:t>
      </w:r>
    </w:p>
    <w:p w:rsidR="008E279C" w:rsidRDefault="008E279C" w:rsidP="008E279C">
      <w:pPr>
        <w:tabs>
          <w:tab w:val="left" w:pos="360"/>
        </w:tabs>
        <w:ind w:left="360"/>
      </w:pPr>
    </w:p>
    <w:p w:rsidR="008E279C" w:rsidRDefault="008E279C" w:rsidP="008E279C">
      <w:pPr>
        <w:tabs>
          <w:tab w:val="left" w:pos="360"/>
        </w:tabs>
        <w:ind w:left="360"/>
      </w:pPr>
      <w:r>
        <w:t>2.</w:t>
      </w:r>
      <w:r>
        <w:tab/>
        <w:t xml:space="preserve">the synthesis and dissemination of available scientific evidence for use by </w:t>
      </w:r>
      <w:r>
        <w:tab/>
        <w:t xml:space="preserve">patients, consumers, practitioners, providers, purchasers, policy makers, and </w:t>
      </w:r>
      <w:r>
        <w:tab/>
        <w:t>educators; and</w:t>
      </w:r>
    </w:p>
    <w:p w:rsidR="008E279C" w:rsidRDefault="008E279C" w:rsidP="008E279C">
      <w:pPr>
        <w:tabs>
          <w:tab w:val="left" w:pos="360"/>
        </w:tabs>
        <w:ind w:left="360"/>
      </w:pPr>
    </w:p>
    <w:p w:rsidR="008E279C" w:rsidRDefault="008E279C" w:rsidP="008E279C">
      <w:pPr>
        <w:tabs>
          <w:tab w:val="left" w:pos="360"/>
        </w:tabs>
        <w:ind w:left="360"/>
      </w:pPr>
      <w:r>
        <w:t>3.</w:t>
      </w:r>
      <w:r>
        <w:tab/>
        <w:t>initiatives to advance private and public efforts to improve health care quality.</w:t>
      </w:r>
    </w:p>
    <w:p w:rsidR="006423EE" w:rsidRPr="006423EE" w:rsidRDefault="001C73BA" w:rsidP="006423EE">
      <w:pPr>
        <w:pStyle w:val="NormalWeb"/>
      </w:pPr>
      <w:r>
        <w:t>The</w:t>
      </w:r>
      <w:r w:rsidR="006423EE">
        <w:t xml:space="preserve"> 2009 AHRQ</w:t>
      </w:r>
      <w:r w:rsidR="00912DCE">
        <w:t xml:space="preserve"> National Healthcare Quality Report</w:t>
      </w:r>
      <w:r>
        <w:rPr>
          <w:rStyle w:val="FootnoteReference"/>
        </w:rPr>
        <w:footnoteReference w:id="1"/>
      </w:r>
      <w:r w:rsidR="00912DCE">
        <w:t xml:space="preserve"> </w:t>
      </w:r>
      <w:r w:rsidR="006423EE" w:rsidRPr="006423EE">
        <w:t>emphasize</w:t>
      </w:r>
      <w:r>
        <w:t>d</w:t>
      </w:r>
      <w:r w:rsidR="006423EE" w:rsidRPr="006423EE">
        <w:t xml:space="preserve"> the need to accelerate progress if the Nation is to achieve higher quality</w:t>
      </w:r>
      <w:r>
        <w:t xml:space="preserve"> health care. The report indicated that:</w:t>
      </w:r>
    </w:p>
    <w:p w:rsidR="006423EE" w:rsidRPr="006423EE" w:rsidRDefault="006423EE" w:rsidP="006423EE">
      <w:pPr>
        <w:numPr>
          <w:ilvl w:val="0"/>
          <w:numId w:val="33"/>
        </w:numPr>
        <w:spacing w:before="100" w:beforeAutospacing="1" w:after="100" w:afterAutospacing="1"/>
        <w:ind w:hanging="157"/>
      </w:pPr>
      <w:r w:rsidRPr="006423EE">
        <w:t>Health care quality needs to be improved, particularly for uninsured individuals</w:t>
      </w:r>
      <w:r>
        <w:t xml:space="preserve">, </w:t>
      </w:r>
      <w:r w:rsidRPr="006423EE">
        <w:t xml:space="preserve">who are less likely to get recommended care. </w:t>
      </w:r>
    </w:p>
    <w:p w:rsidR="006423EE" w:rsidRPr="006423EE" w:rsidRDefault="006423EE" w:rsidP="006423EE">
      <w:pPr>
        <w:numPr>
          <w:ilvl w:val="0"/>
          <w:numId w:val="33"/>
        </w:numPr>
        <w:spacing w:before="100" w:beforeAutospacing="1" w:after="100" w:afterAutospacing="1"/>
        <w:ind w:hanging="157"/>
      </w:pPr>
      <w:r w:rsidRPr="006423EE">
        <w:t>Some areas merit urgent attention, including patient safety and he</w:t>
      </w:r>
      <w:r w:rsidR="001C73BA">
        <w:t xml:space="preserve">alth care-associated infections </w:t>
      </w:r>
      <w:r w:rsidRPr="006423EE">
        <w:t xml:space="preserve">(HAIs). </w:t>
      </w:r>
    </w:p>
    <w:p w:rsidR="006423EE" w:rsidRPr="006423EE" w:rsidRDefault="006423EE" w:rsidP="006423EE">
      <w:pPr>
        <w:numPr>
          <w:ilvl w:val="0"/>
          <w:numId w:val="33"/>
        </w:numPr>
        <w:spacing w:before="100" w:beforeAutospacing="1" w:after="100" w:afterAutospacing="1"/>
        <w:ind w:hanging="157"/>
      </w:pPr>
      <w:r w:rsidRPr="006423EE">
        <w:t>Quality is improving, but the pace is slow, especially for preventive care and chronic disease management</w:t>
      </w:r>
      <w:r w:rsidR="001C73BA">
        <w:t>.</w:t>
      </w:r>
    </w:p>
    <w:p w:rsidR="00A57852" w:rsidRDefault="001C73BA" w:rsidP="00BB7231">
      <w:pPr>
        <w:tabs>
          <w:tab w:val="left" w:pos="360"/>
        </w:tabs>
      </w:pPr>
      <w:r>
        <w:t>T</w:t>
      </w:r>
      <w:r w:rsidR="00912DCE">
        <w:t>he health care environment is ripe for novel changes to shape how health care is delivered</w:t>
      </w:r>
      <w:r w:rsidR="00906F2B">
        <w:t xml:space="preserve"> and funded</w:t>
      </w:r>
      <w:r w:rsidR="00912DCE">
        <w:t>.</w:t>
      </w:r>
      <w:r>
        <w:rPr>
          <w:rStyle w:val="FootnoteReference"/>
        </w:rPr>
        <w:footnoteReference w:id="2"/>
      </w:r>
      <w:r w:rsidR="00912DCE">
        <w:t xml:space="preserve"> Innovation is at the heart of these novel changes and AHRQ seeks </w:t>
      </w:r>
      <w:r w:rsidR="00912DCE">
        <w:lastRenderedPageBreak/>
        <w:t xml:space="preserve">to find health service delivery innovations and support </w:t>
      </w:r>
      <w:r>
        <w:t xml:space="preserve">their </w:t>
      </w:r>
      <w:r w:rsidR="00912DCE">
        <w:t>accelerated diffusion and adoption, with the goal of having a more profound impact on improvements in the quality of the nation’s health care and significant reductions in its disparities.</w:t>
      </w:r>
      <w:r w:rsidR="00A57852">
        <w:t xml:space="preserve">  </w:t>
      </w:r>
    </w:p>
    <w:p w:rsidR="00A57852" w:rsidRDefault="00A57852" w:rsidP="00BB7231">
      <w:pPr>
        <w:tabs>
          <w:tab w:val="left" w:pos="360"/>
        </w:tabs>
      </w:pPr>
    </w:p>
    <w:p w:rsidR="00912DCE" w:rsidRDefault="00A57852" w:rsidP="00A57852">
      <w:r>
        <w:t>The Health Care Innovations Exchange</w:t>
      </w:r>
      <w:r w:rsidRPr="00D57D86">
        <w:t xml:space="preserve"> provide</w:t>
      </w:r>
      <w:r>
        <w:t>s</w:t>
      </w:r>
      <w:r w:rsidRPr="00D57D86">
        <w:t xml:space="preserve"> a national-level information hub to foster the implementation and adaptation of innovative strategies that improve health care quality and </w:t>
      </w:r>
      <w:r>
        <w:t>reduce</w:t>
      </w:r>
      <w:r w:rsidRPr="00D57D86">
        <w:t xml:space="preserve"> disparities in the care rec</w:t>
      </w:r>
      <w:r>
        <w:t>e</w:t>
      </w:r>
      <w:r w:rsidR="004613C2">
        <w:t xml:space="preserve">ived by different populations. </w:t>
      </w:r>
      <w:r>
        <w:t>The Innovations Exchange’s</w:t>
      </w:r>
      <w:r w:rsidRPr="00D57D86">
        <w:t xml:space="preserve"> target audiences,</w:t>
      </w:r>
      <w:r>
        <w:t xml:space="preserve"> broadly defined, are</w:t>
      </w:r>
      <w:r w:rsidRPr="00D57D86">
        <w:t xml:space="preserve"> current and pot</w:t>
      </w:r>
      <w:r>
        <w:t xml:space="preserve">ential change agents in the </w:t>
      </w:r>
      <w:smartTag w:uri="urn:schemas-microsoft-com:office:smarttags" w:element="country-region">
        <w:smartTag w:uri="urn:schemas-microsoft-com:office:smarttags" w:element="place">
          <w:r>
            <w:t>U.S.</w:t>
          </w:r>
        </w:smartTag>
      </w:smartTag>
      <w:r w:rsidRPr="00D57D86">
        <w:t xml:space="preserve"> health care system, including clinicians (e.g., physicians, nurses, and other providers), health system administrators, health plan managers, health service purchasers, regulators, and policymakers from relevant Federal and state agencies.</w:t>
      </w:r>
    </w:p>
    <w:p w:rsidR="00985D5A" w:rsidRDefault="00985D5A" w:rsidP="00A57852"/>
    <w:p w:rsidR="00985D5A" w:rsidRDefault="00985D5A" w:rsidP="00A57852">
      <w:r w:rsidRPr="006C25C3">
        <w:t xml:space="preserve">To develop the target of </w:t>
      </w:r>
      <w:r w:rsidRPr="00D27107">
        <w:t>150 profiles per year</w:t>
      </w:r>
      <w:r w:rsidRPr="006C25C3">
        <w:t>, a purposively selected group of</w:t>
      </w:r>
      <w:r>
        <w:t xml:space="preserve"> approximately</w:t>
      </w:r>
      <w:r w:rsidRPr="006C25C3">
        <w:t xml:space="preserve"> </w:t>
      </w:r>
      <w:r>
        <w:t>167</w:t>
      </w:r>
      <w:r w:rsidRPr="006C25C3">
        <w:t xml:space="preserve"> health care innovations will be selected</w:t>
      </w:r>
      <w:r>
        <w:t xml:space="preserve"> annually</w:t>
      </w:r>
      <w:r w:rsidRPr="006C25C3">
        <w:t xml:space="preserve"> for potential consideration.</w:t>
      </w:r>
      <w:r>
        <w:t xml:space="preserve"> These 167 innovations will be selected to ensure that innovations included in the Innovations Exchange cover a broad range of health care settings, care processes, priority populations, and clinical conditions.</w:t>
      </w:r>
    </w:p>
    <w:p w:rsidR="00793182" w:rsidRDefault="00793182" w:rsidP="00BB7231">
      <w:pPr>
        <w:tabs>
          <w:tab w:val="left" w:pos="360"/>
        </w:tabs>
      </w:pPr>
    </w:p>
    <w:p w:rsidR="004E1C19" w:rsidRDefault="004E1C19" w:rsidP="00B46F41">
      <w:r>
        <w:t xml:space="preserve">The goals of the </w:t>
      </w:r>
      <w:r w:rsidR="00BE1B30">
        <w:t xml:space="preserve">Health Care </w:t>
      </w:r>
      <w:r>
        <w:t>Innovations Exchange are to:</w:t>
      </w:r>
    </w:p>
    <w:p w:rsidR="004E1C19" w:rsidRDefault="004E1C19" w:rsidP="00B46F41"/>
    <w:p w:rsidR="004E1C19" w:rsidRDefault="004E1C19" w:rsidP="00101A0A">
      <w:pPr>
        <w:tabs>
          <w:tab w:val="left" w:pos="360"/>
        </w:tabs>
        <w:ind w:left="360" w:hanging="360"/>
      </w:pPr>
      <w:r>
        <w:t>1)</w:t>
      </w:r>
      <w:r>
        <w:tab/>
      </w:r>
      <w:r w:rsidR="00101A0A">
        <w:t>I</w:t>
      </w:r>
      <w:r w:rsidR="00285BFC">
        <w:t xml:space="preserve">dentify </w:t>
      </w:r>
      <w:r w:rsidR="00285BFC" w:rsidRPr="00D57D86">
        <w:t xml:space="preserve">health care </w:t>
      </w:r>
      <w:r w:rsidR="00664208">
        <w:t xml:space="preserve">service </w:t>
      </w:r>
      <w:r w:rsidR="00285BFC" w:rsidRPr="00D57D86">
        <w:t>delivery innovations</w:t>
      </w:r>
      <w:r w:rsidR="00285BFC">
        <w:t xml:space="preserve"> and p</w:t>
      </w:r>
      <w:r>
        <w:t>rovide</w:t>
      </w:r>
      <w:r w:rsidR="00285BFC">
        <w:t xml:space="preserve"> </w:t>
      </w:r>
      <w:r w:rsidR="00664208" w:rsidRPr="00664208">
        <w:rPr>
          <w:color w:val="000000"/>
        </w:rPr>
        <w:t>a national level repository of searchable innovations and QualityTools that enables health care decisionmakers to quickly identify ideas a</w:t>
      </w:r>
      <w:r w:rsidR="00664208">
        <w:rPr>
          <w:color w:val="000000"/>
        </w:rPr>
        <w:t>nd tools that meet their needs.</w:t>
      </w:r>
      <w:r w:rsidR="007B1F2C">
        <w:rPr>
          <w:color w:val="000000"/>
        </w:rPr>
        <w:t xml:space="preserve"> </w:t>
      </w:r>
      <w:r w:rsidR="007B1F2C">
        <w:t xml:space="preserve">These </w:t>
      </w:r>
      <w:r w:rsidR="00101A0A">
        <w:t xml:space="preserve">innovations come from many care settings </w:t>
      </w:r>
      <w:r w:rsidR="007B1F2C">
        <w:t>includ</w:t>
      </w:r>
      <w:r w:rsidR="00101A0A">
        <w:t>ing inpatient facilities, outpatient facilities, long term care organizations, health plans and community care settings</w:t>
      </w:r>
      <w:r w:rsidR="00101A0A">
        <w:rPr>
          <w:color w:val="000000"/>
        </w:rPr>
        <w:t xml:space="preserve">. </w:t>
      </w:r>
      <w:r w:rsidR="00101A0A">
        <w:t>They also represent many patient populations, disease conditions, and processes of care such as preventive, acute, and chronic care</w:t>
      </w:r>
      <w:r>
        <w:t>;</w:t>
      </w:r>
    </w:p>
    <w:p w:rsidR="004E1C19" w:rsidRDefault="004E1C19" w:rsidP="004E1C19">
      <w:pPr>
        <w:tabs>
          <w:tab w:val="left" w:pos="360"/>
        </w:tabs>
      </w:pPr>
    </w:p>
    <w:p w:rsidR="004E1C19" w:rsidRDefault="004E1C19" w:rsidP="00101A0A">
      <w:pPr>
        <w:tabs>
          <w:tab w:val="left" w:pos="360"/>
        </w:tabs>
        <w:ind w:left="360" w:hanging="360"/>
      </w:pPr>
      <w:r>
        <w:t>2)</w:t>
      </w:r>
      <w:r>
        <w:tab/>
        <w:t>F</w:t>
      </w:r>
      <w:r w:rsidRPr="00D57D86">
        <w:t>oster the i</w:t>
      </w:r>
      <w:r w:rsidR="00101A0A">
        <w:t xml:space="preserve">mplementation and </w:t>
      </w:r>
      <w:r w:rsidR="00664208">
        <w:t xml:space="preserve">adoption </w:t>
      </w:r>
      <w:r w:rsidR="00101A0A">
        <w:t xml:space="preserve">of </w:t>
      </w:r>
      <w:r w:rsidR="00101A0A" w:rsidRPr="00D57D86">
        <w:t xml:space="preserve">health care </w:t>
      </w:r>
      <w:r w:rsidR="00664208">
        <w:t xml:space="preserve">service </w:t>
      </w:r>
      <w:r w:rsidR="00101A0A" w:rsidRPr="00D57D86">
        <w:t>delivery innovations</w:t>
      </w:r>
      <w:r w:rsidRPr="00D57D86">
        <w:t xml:space="preserve"> that improve health care quality and </w:t>
      </w:r>
      <w:r>
        <w:t>reduce</w:t>
      </w:r>
      <w:r w:rsidRPr="00D57D86">
        <w:t xml:space="preserve"> disparities in the care rec</w:t>
      </w:r>
      <w:r>
        <w:t>eived by different populations</w:t>
      </w:r>
      <w:r w:rsidR="006A2767">
        <w:t>.</w:t>
      </w:r>
    </w:p>
    <w:p w:rsidR="00685D54" w:rsidRDefault="00685D54" w:rsidP="00B46F41"/>
    <w:p w:rsidR="00B76345" w:rsidRDefault="00B76345" w:rsidP="00B76345">
      <w:bookmarkStart w:id="4" w:name="OLE_LINK1"/>
      <w:bookmarkStart w:id="5" w:name="OLE_LINK2"/>
      <w:r>
        <w:t xml:space="preserve">To achieve the first goal of the Innovations Exchange </w:t>
      </w:r>
      <w:bookmarkEnd w:id="4"/>
      <w:bookmarkEnd w:id="5"/>
      <w:r>
        <w:t>the following data collections will be implemented:</w:t>
      </w:r>
    </w:p>
    <w:p w:rsidR="00B76345" w:rsidRDefault="00B76345" w:rsidP="00B76345"/>
    <w:p w:rsidR="00B76345" w:rsidRDefault="00D27107" w:rsidP="00D27107">
      <w:pPr>
        <w:tabs>
          <w:tab w:val="left" w:pos="360"/>
        </w:tabs>
        <w:ind w:left="360" w:hanging="360"/>
      </w:pPr>
      <w:r>
        <w:t>1)</w:t>
      </w:r>
      <w:r>
        <w:tab/>
        <w:t>Email submission</w:t>
      </w:r>
      <w:r w:rsidR="00B76345">
        <w:t xml:space="preserve"> – </w:t>
      </w:r>
      <w:r>
        <w:t xml:space="preserve">Based on experience during the current approval period, approximately </w:t>
      </w:r>
      <w:r w:rsidR="001E4611">
        <w:t>1</w:t>
      </w:r>
      <w:r w:rsidRPr="0059304D">
        <w:t>0% of</w:t>
      </w:r>
      <w:r w:rsidR="00023FC0">
        <w:t xml:space="preserve"> the </w:t>
      </w:r>
      <w:r w:rsidR="001E4611">
        <w:t xml:space="preserve">167 </w:t>
      </w:r>
      <w:r w:rsidR="00023FC0">
        <w:t>health care innovations</w:t>
      </w:r>
      <w:r w:rsidR="001E4611">
        <w:t xml:space="preserve"> considered for inclusion annually</w:t>
      </w:r>
      <w:r w:rsidR="00023FC0">
        <w:t>, and their associated innovators</w:t>
      </w:r>
      <w:r w:rsidR="001E4611">
        <w:t>,</w:t>
      </w:r>
      <w:r w:rsidRPr="0059304D">
        <w:t xml:space="preserve"> </w:t>
      </w:r>
      <w:r w:rsidR="00311D7C">
        <w:t xml:space="preserve">will </w:t>
      </w:r>
      <w:r w:rsidRPr="0059304D">
        <w:t>submit their innovations via email to the Innovations Exchange without prior contact</w:t>
      </w:r>
      <w:r w:rsidR="00B30DF3">
        <w:t xml:space="preserve"> (about 17 annually)</w:t>
      </w:r>
      <w:r>
        <w:t>.</w:t>
      </w:r>
      <w:r w:rsidR="004613C2">
        <w:t xml:space="preserve"> </w:t>
      </w:r>
      <w:r w:rsidR="00793182" w:rsidRPr="00793182">
        <w:t>Innovators who submit their innovations for possible publication through the email submission guidelines process (</w:t>
      </w:r>
      <w:r w:rsidR="00793182">
        <w:t xml:space="preserve">see </w:t>
      </w:r>
      <w:r w:rsidR="00793182" w:rsidRPr="00793182">
        <w:t>Attachment B) will be considered as will innovations identified by project staff through an array of sources that include: published literature, conference proceedings, news items, list servs, Federal agencies and other government programs and resources, health care foundations, and health care associations.</w:t>
      </w:r>
    </w:p>
    <w:p w:rsidR="00B76345" w:rsidRDefault="00B76345" w:rsidP="00B76345">
      <w:pPr>
        <w:tabs>
          <w:tab w:val="left" w:pos="360"/>
        </w:tabs>
      </w:pPr>
    </w:p>
    <w:p w:rsidR="00D27107" w:rsidRDefault="00B76345" w:rsidP="008B7662">
      <w:pPr>
        <w:tabs>
          <w:tab w:val="left" w:pos="360"/>
        </w:tabs>
        <w:ind w:left="360" w:hanging="360"/>
      </w:pPr>
      <w:r>
        <w:lastRenderedPageBreak/>
        <w:t>2)</w:t>
      </w:r>
      <w:r>
        <w:tab/>
      </w:r>
      <w:r w:rsidR="00D27107">
        <w:t>Health care innovator interview –</w:t>
      </w:r>
      <w:r>
        <w:t xml:space="preserve"> </w:t>
      </w:r>
      <w:r w:rsidR="008B7662" w:rsidRPr="00EF0D66">
        <w:t>To collect and verify the information required for the</w:t>
      </w:r>
      <w:r w:rsidR="00311D7C">
        <w:t xml:space="preserve"> innovation</w:t>
      </w:r>
      <w:r w:rsidR="008B7662" w:rsidRPr="00EF0D66">
        <w:t xml:space="preserve"> profiles, health care </w:t>
      </w:r>
      <w:r w:rsidR="00D770CA">
        <w:t xml:space="preserve">innovators </w:t>
      </w:r>
      <w:r w:rsidR="008B7662" w:rsidRPr="00EF0D66">
        <w:t xml:space="preserve">will be </w:t>
      </w:r>
      <w:r w:rsidR="008B7662">
        <w:t xml:space="preserve">interviewed by telephone </w:t>
      </w:r>
      <w:r w:rsidR="008B7662" w:rsidRPr="008B7662">
        <w:t>(</w:t>
      </w:r>
      <w:r w:rsidR="008B7662">
        <w:t xml:space="preserve">see </w:t>
      </w:r>
      <w:r w:rsidR="008B7662" w:rsidRPr="008B7662">
        <w:t>Attachment C)</w:t>
      </w:r>
      <w:r w:rsidR="008B7662">
        <w:t xml:space="preserve"> about the following aspects of their innovation: health care problem addressed, impetus for the innovation, goals of the innovation, description of the innovation, sources of funding, evaluation results for the innovation, setting for the innovation, history of planning and implementation for the innovation, and lessons learned concerning the implementation of the innovation.</w:t>
      </w:r>
      <w:r w:rsidR="00D770CA">
        <w:t xml:space="preserve"> </w:t>
      </w:r>
      <w:r w:rsidR="000D0E2E">
        <w:t>Interviews will be conducted with i</w:t>
      </w:r>
      <w:r w:rsidR="00D770CA">
        <w:t xml:space="preserve">nnovators identified by </w:t>
      </w:r>
      <w:r w:rsidR="005664CE">
        <w:t xml:space="preserve">project staff </w:t>
      </w:r>
      <w:r w:rsidR="00D770CA">
        <w:t xml:space="preserve">and those </w:t>
      </w:r>
      <w:r w:rsidR="000D0E2E">
        <w:t>identified through email submission.</w:t>
      </w:r>
    </w:p>
    <w:p w:rsidR="00B76345" w:rsidRDefault="00B76345" w:rsidP="00B76345">
      <w:pPr>
        <w:tabs>
          <w:tab w:val="left" w:pos="360"/>
        </w:tabs>
      </w:pPr>
    </w:p>
    <w:p w:rsidR="00766B4A" w:rsidRDefault="00D27107" w:rsidP="00D06440">
      <w:pPr>
        <w:tabs>
          <w:tab w:val="left" w:pos="378"/>
        </w:tabs>
        <w:ind w:left="360" w:hanging="360"/>
      </w:pPr>
      <w:r>
        <w:t>3</w:t>
      </w:r>
      <w:r w:rsidR="00D06440">
        <w:t>)</w:t>
      </w:r>
      <w:r w:rsidR="00D06440">
        <w:tab/>
      </w:r>
      <w:r w:rsidR="00B76345">
        <w:t xml:space="preserve">Annual follow-up </w:t>
      </w:r>
      <w:r w:rsidR="001F2257">
        <w:t>reviews</w:t>
      </w:r>
      <w:r w:rsidR="00B76345">
        <w:t xml:space="preserve"> –</w:t>
      </w:r>
      <w:r w:rsidR="00E03A1C">
        <w:t xml:space="preserve"> </w:t>
      </w:r>
      <w:r w:rsidR="00E03A1C" w:rsidRPr="00BE514D">
        <w:t xml:space="preserve">After the </w:t>
      </w:r>
      <w:r w:rsidR="00023FC0">
        <w:t xml:space="preserve">innovation </w:t>
      </w:r>
      <w:r w:rsidR="00E03A1C" w:rsidRPr="00BE514D">
        <w:t>profile is published, on a yearly basis, innovators will be contacted by email to review and update their profiles</w:t>
      </w:r>
      <w:r w:rsidR="002E6320">
        <w:t xml:space="preserve"> (see Attachment </w:t>
      </w:r>
      <w:r w:rsidR="00023FC0">
        <w:t>D)</w:t>
      </w:r>
      <w:r w:rsidR="00E03A1C" w:rsidRPr="00BE514D">
        <w:t>.</w:t>
      </w:r>
    </w:p>
    <w:p w:rsidR="00D06440" w:rsidRDefault="00D06440" w:rsidP="00B46F41"/>
    <w:p w:rsidR="00D06440" w:rsidRDefault="00D06440" w:rsidP="00B46F41">
      <w:r>
        <w:t xml:space="preserve">The second goal of the Innovations Exchange is achieved by serving as </w:t>
      </w:r>
      <w:r w:rsidRPr="00D57D86">
        <w:t xml:space="preserve">a “one-stop shop” that </w:t>
      </w:r>
      <w:r>
        <w:t>provides:</w:t>
      </w:r>
    </w:p>
    <w:p w:rsidR="00D06440" w:rsidRDefault="00D06440" w:rsidP="00B46F41"/>
    <w:p w:rsidR="009975AD" w:rsidRDefault="00D06440" w:rsidP="00D06440">
      <w:pPr>
        <w:tabs>
          <w:tab w:val="left" w:pos="360"/>
        </w:tabs>
      </w:pPr>
      <w:r>
        <w:t>1)</w:t>
      </w:r>
      <w:r>
        <w:tab/>
      </w:r>
      <w:r w:rsidR="009975AD" w:rsidRPr="00D57D86">
        <w:t xml:space="preserve">Digested </w:t>
      </w:r>
      <w:r w:rsidR="009975AD">
        <w:t xml:space="preserve">and reliable information about </w:t>
      </w:r>
      <w:r w:rsidR="009975AD" w:rsidRPr="00D57D86">
        <w:t>innovations</w:t>
      </w:r>
      <w:r w:rsidR="009975AD">
        <w:t xml:space="preserve"> in an adoption-friendly format;</w:t>
      </w:r>
    </w:p>
    <w:p w:rsidR="009975AD" w:rsidRDefault="009975AD" w:rsidP="00D06440">
      <w:pPr>
        <w:tabs>
          <w:tab w:val="left" w:pos="360"/>
        </w:tabs>
      </w:pPr>
    </w:p>
    <w:p w:rsidR="009975AD" w:rsidRDefault="009975AD" w:rsidP="0091120E">
      <w:pPr>
        <w:tabs>
          <w:tab w:val="left" w:pos="360"/>
        </w:tabs>
        <w:ind w:left="360" w:hanging="360"/>
      </w:pPr>
      <w:r>
        <w:t>2)</w:t>
      </w:r>
      <w:r>
        <w:tab/>
      </w:r>
      <w:r w:rsidR="0091120E">
        <w:t>Learning</w:t>
      </w:r>
      <w:r>
        <w:t xml:space="preserve"> resources including expert commentaries, articles, adoption guides</w:t>
      </w:r>
      <w:r w:rsidR="0091120E">
        <w:t xml:space="preserve"> and educational Web events</w:t>
      </w:r>
      <w:r>
        <w:t xml:space="preserve">, and </w:t>
      </w:r>
    </w:p>
    <w:p w:rsidR="009975AD" w:rsidRDefault="009975AD" w:rsidP="00D06440">
      <w:pPr>
        <w:tabs>
          <w:tab w:val="left" w:pos="360"/>
        </w:tabs>
      </w:pPr>
    </w:p>
    <w:p w:rsidR="00D06440" w:rsidRDefault="009975AD" w:rsidP="009975AD">
      <w:pPr>
        <w:tabs>
          <w:tab w:val="left" w:pos="360"/>
        </w:tabs>
        <w:ind w:left="360" w:hanging="360"/>
      </w:pPr>
      <w:r>
        <w:t>3)</w:t>
      </w:r>
      <w:r>
        <w:tab/>
      </w:r>
      <w:r w:rsidR="0091120E" w:rsidRPr="00D57D86">
        <w:t>Networking</w:t>
      </w:r>
      <w:r w:rsidRPr="00D57D86">
        <w:t xml:space="preserve"> opportunities </w:t>
      </w:r>
      <w:r>
        <w:t xml:space="preserve">that allow innovators and potential adopters </w:t>
      </w:r>
      <w:r w:rsidRPr="00D57D86">
        <w:t>to share</w:t>
      </w:r>
      <w:r>
        <w:t xml:space="preserve"> information about</w:t>
      </w:r>
      <w:r w:rsidRPr="00D57D86">
        <w:t xml:space="preserve"> implementa</w:t>
      </w:r>
      <w:r>
        <w:t>tion strategies and lessons learned</w:t>
      </w:r>
      <w:r w:rsidR="0091120E">
        <w:t xml:space="preserve">, </w:t>
      </w:r>
      <w:r w:rsidR="0091120E">
        <w:rPr>
          <w:color w:val="000000"/>
        </w:rPr>
        <w:t>including</w:t>
      </w:r>
      <w:r w:rsidR="0091120E" w:rsidRPr="001551EA">
        <w:rPr>
          <w:color w:val="000000"/>
        </w:rPr>
        <w:t xml:space="preserve"> in-person meetings, interactive online events, and the ability for users to post comments and engage in discussions on specific innovations</w:t>
      </w:r>
      <w:r>
        <w:t>.</w:t>
      </w:r>
    </w:p>
    <w:p w:rsidR="00101A0A" w:rsidRDefault="00101A0A" w:rsidP="00B46F41"/>
    <w:p w:rsidR="007A3A0A" w:rsidRDefault="00101A0A" w:rsidP="00B46F41">
      <w:r>
        <w:t xml:space="preserve">To be included in the Innovations Exchange all identified </w:t>
      </w:r>
      <w:r w:rsidRPr="00D57D86">
        <w:t>health care delivery innovations</w:t>
      </w:r>
      <w:r>
        <w:t xml:space="preserve"> </w:t>
      </w:r>
      <w:r w:rsidR="001249F1">
        <w:t>must</w:t>
      </w:r>
      <w:r w:rsidR="00B46F41">
        <w:t xml:space="preserve"> meet six </w:t>
      </w:r>
      <w:r w:rsidR="006F3A45">
        <w:t xml:space="preserve">inclusion </w:t>
      </w:r>
      <w:r w:rsidR="00B46F41">
        <w:t>criteria with respect to the nature of the activity, the level of documentation, and the participation of the innovator</w:t>
      </w:r>
      <w:r w:rsidR="00407CC1">
        <w:t xml:space="preserve">, which are </w:t>
      </w:r>
      <w:r w:rsidR="00B46F41">
        <w:t>minimum requirements</w:t>
      </w:r>
      <w:r w:rsidR="00407CC1">
        <w:t xml:space="preserve"> to participate</w:t>
      </w:r>
      <w:r w:rsidR="00B46F41">
        <w:t>.</w:t>
      </w:r>
    </w:p>
    <w:p w:rsidR="007A3A0A" w:rsidRDefault="007A3A0A" w:rsidP="00B46F41"/>
    <w:p w:rsidR="00DF620E" w:rsidRDefault="00244FC7" w:rsidP="00B46F41">
      <w:r>
        <w:t xml:space="preserve">The six </w:t>
      </w:r>
      <w:r w:rsidR="006F3A45">
        <w:t xml:space="preserve">inclusion </w:t>
      </w:r>
      <w:r>
        <w:t>criteria are:</w:t>
      </w:r>
    </w:p>
    <w:p w:rsidR="00244FC7" w:rsidRPr="00244FC7" w:rsidRDefault="00244FC7" w:rsidP="00244FC7">
      <w:pPr>
        <w:numPr>
          <w:ilvl w:val="0"/>
          <w:numId w:val="12"/>
        </w:numPr>
        <w:textAlignment w:val="top"/>
      </w:pPr>
      <w:r w:rsidRPr="00244FC7">
        <w:t xml:space="preserve">The innovation </w:t>
      </w:r>
      <w:r w:rsidR="004E4AA1">
        <w:t xml:space="preserve">relates to patient care delivery processes. </w:t>
      </w:r>
    </w:p>
    <w:p w:rsidR="00244FC7" w:rsidRPr="00244FC7" w:rsidRDefault="00244FC7" w:rsidP="00244FC7">
      <w:pPr>
        <w:numPr>
          <w:ilvl w:val="0"/>
          <w:numId w:val="12"/>
        </w:numPr>
        <w:textAlignment w:val="top"/>
      </w:pPr>
      <w:r w:rsidRPr="00244FC7">
        <w:t xml:space="preserve">The innovation </w:t>
      </w:r>
      <w:r w:rsidR="004E4AA1">
        <w:t>aims</w:t>
      </w:r>
      <w:r w:rsidRPr="00244FC7">
        <w:t xml:space="preserve"> to improve one or more domains of health care quality. </w:t>
      </w:r>
    </w:p>
    <w:p w:rsidR="00244FC7" w:rsidRPr="00244FC7" w:rsidRDefault="00244FC7" w:rsidP="00244FC7">
      <w:pPr>
        <w:numPr>
          <w:ilvl w:val="0"/>
          <w:numId w:val="12"/>
        </w:numPr>
        <w:textAlignment w:val="top"/>
      </w:pPr>
      <w:r w:rsidRPr="00244FC7">
        <w:t xml:space="preserve">The activity is truly innovative in the context of its setting or target population. </w:t>
      </w:r>
    </w:p>
    <w:p w:rsidR="00244FC7" w:rsidRPr="00244FC7" w:rsidRDefault="00244FC7" w:rsidP="00244FC7">
      <w:pPr>
        <w:numPr>
          <w:ilvl w:val="0"/>
          <w:numId w:val="12"/>
        </w:numPr>
        <w:textAlignment w:val="top"/>
      </w:pPr>
      <w:r w:rsidRPr="00244FC7">
        <w:t xml:space="preserve">Information about the innovation is publicly available. </w:t>
      </w:r>
    </w:p>
    <w:p w:rsidR="00244FC7" w:rsidRPr="00244FC7" w:rsidRDefault="00244FC7" w:rsidP="00244FC7">
      <w:pPr>
        <w:numPr>
          <w:ilvl w:val="0"/>
          <w:numId w:val="12"/>
        </w:numPr>
        <w:textAlignment w:val="top"/>
      </w:pPr>
      <w:r w:rsidRPr="00244FC7">
        <w:t xml:space="preserve">The innovator (or a representative) </w:t>
      </w:r>
      <w:r w:rsidR="007A3A0A">
        <w:t xml:space="preserve">will </w:t>
      </w:r>
      <w:r w:rsidRPr="00244FC7">
        <w:t xml:space="preserve">contribute information to the Health Care Innovations Exchange. </w:t>
      </w:r>
    </w:p>
    <w:p w:rsidR="00244FC7" w:rsidRDefault="00244FC7" w:rsidP="00244FC7">
      <w:pPr>
        <w:numPr>
          <w:ilvl w:val="0"/>
          <w:numId w:val="12"/>
        </w:numPr>
        <w:textAlignment w:val="top"/>
      </w:pPr>
      <w:r w:rsidRPr="00244FC7">
        <w:t>The</w:t>
      </w:r>
      <w:r w:rsidR="00101BB8">
        <w:t>re is reason to believe that the</w:t>
      </w:r>
      <w:r w:rsidRPr="00244FC7">
        <w:t xml:space="preserve"> innovation will be effective. </w:t>
      </w:r>
    </w:p>
    <w:p w:rsidR="004E4AA1" w:rsidRPr="00244FC7" w:rsidRDefault="004E4AA1" w:rsidP="004E4AA1">
      <w:pPr>
        <w:textAlignment w:val="top"/>
      </w:pPr>
    </w:p>
    <w:p w:rsidR="00905B6D" w:rsidRDefault="006F3A45" w:rsidP="00B46F41">
      <w:r>
        <w:t>Ove</w:t>
      </w:r>
      <w:r w:rsidR="00C23103">
        <w:t>r the course of the initial</w:t>
      </w:r>
      <w:r>
        <w:t xml:space="preserve"> approval period, these six inclusion criteria have </w:t>
      </w:r>
      <w:r w:rsidR="004E4AA1">
        <w:t>not been modified</w:t>
      </w:r>
      <w:r>
        <w:t>. However, project staff have refined their understanding of these criteria and their ability to apply them</w:t>
      </w:r>
      <w:r w:rsidR="004E4AA1">
        <w:t>. In addition, based on experience during the initial project period,</w:t>
      </w:r>
      <w:r>
        <w:t xml:space="preserve"> project staff developed specific exclusion criteria that</w:t>
      </w:r>
      <w:r w:rsidR="00C23103">
        <w:t xml:space="preserve"> were made available on</w:t>
      </w:r>
      <w:r>
        <w:t xml:space="preserve"> the Innovations Exchange Web site in July 200</w:t>
      </w:r>
      <w:r w:rsidR="004E4AA1">
        <w:t xml:space="preserve">9. </w:t>
      </w:r>
    </w:p>
    <w:p w:rsidR="00905B6D" w:rsidRPr="002B5670" w:rsidRDefault="00905B6D" w:rsidP="00905B6D">
      <w:r>
        <w:lastRenderedPageBreak/>
        <w:t xml:space="preserve">In addition to criteria for </w:t>
      </w:r>
      <w:r w:rsidRPr="002B5670">
        <w:t>Innovation</w:t>
      </w:r>
      <w:r>
        <w:t xml:space="preserve"> Profiles, the Innovations Exchange also solicits </w:t>
      </w:r>
      <w:r w:rsidRPr="002B5670">
        <w:t>Innovation Attempts (i.e., innovations that did not work</w:t>
      </w:r>
      <w:r>
        <w:t>/was not effective</w:t>
      </w:r>
      <w:r w:rsidRPr="002B5670">
        <w:t>)</w:t>
      </w:r>
      <w:r>
        <w:t>.  They</w:t>
      </w:r>
      <w:r w:rsidRPr="002B5670">
        <w:t xml:space="preserve"> are separated in the database and each type of innovation is clearly labeled</w:t>
      </w:r>
      <w:r>
        <w:t xml:space="preserve">. </w:t>
      </w:r>
      <w:r w:rsidRPr="002B5670">
        <w:t>The distinction between Innovation Profiles and Attempts is clearly explained in the following FAQ displayed on the We</w:t>
      </w:r>
      <w:r>
        <w:t xml:space="preserve">b site at </w:t>
      </w:r>
      <w:r w:rsidRPr="000C2CE8">
        <w:t>http://www.innovations.ahrq.gov/submit/submit.aspx?#1</w:t>
      </w:r>
      <w:r>
        <w:t>.</w:t>
      </w:r>
    </w:p>
    <w:p w:rsidR="00244FC7" w:rsidRDefault="004E4AA1" w:rsidP="00B46F41">
      <w:r>
        <w:t>Innovations that fall into any one of the following categories are exclude</w:t>
      </w:r>
      <w:r w:rsidR="00C23103">
        <w:t>d from the Innovations Exchange:</w:t>
      </w:r>
    </w:p>
    <w:p w:rsidR="004E4AA1" w:rsidRDefault="004E4AA1" w:rsidP="004E4AA1">
      <w:pPr>
        <w:numPr>
          <w:ilvl w:val="0"/>
          <w:numId w:val="31"/>
        </w:numPr>
        <w:ind w:firstLine="0"/>
      </w:pPr>
      <w:r>
        <w:t>Product or technical innovations;</w:t>
      </w:r>
    </w:p>
    <w:p w:rsidR="004E4AA1" w:rsidRDefault="004E4AA1" w:rsidP="004E4AA1">
      <w:pPr>
        <w:numPr>
          <w:ilvl w:val="0"/>
          <w:numId w:val="31"/>
        </w:numPr>
        <w:ind w:firstLine="0"/>
      </w:pPr>
      <w:r>
        <w:t>Policy innovations;</w:t>
      </w:r>
    </w:p>
    <w:p w:rsidR="004E4AA1" w:rsidRDefault="004E4AA1" w:rsidP="004E4AA1">
      <w:pPr>
        <w:numPr>
          <w:ilvl w:val="0"/>
          <w:numId w:val="31"/>
        </w:numPr>
        <w:ind w:firstLine="0"/>
      </w:pPr>
      <w:r>
        <w:t>Educational innovations;</w:t>
      </w:r>
    </w:p>
    <w:p w:rsidR="004E4AA1" w:rsidRDefault="004E4AA1" w:rsidP="004E4AA1">
      <w:pPr>
        <w:numPr>
          <w:ilvl w:val="0"/>
          <w:numId w:val="31"/>
        </w:numPr>
        <w:ind w:firstLine="0"/>
      </w:pPr>
      <w:r>
        <w:t>Clinical innovations; and</w:t>
      </w:r>
    </w:p>
    <w:p w:rsidR="004E4AA1" w:rsidRDefault="004E4AA1" w:rsidP="004E4AA1">
      <w:pPr>
        <w:numPr>
          <w:ilvl w:val="0"/>
          <w:numId w:val="31"/>
        </w:numPr>
        <w:ind w:firstLine="0"/>
      </w:pPr>
      <w:r>
        <w:t>Health service delivery innovations without any evidence of effect.</w:t>
      </w:r>
    </w:p>
    <w:p w:rsidR="00DF620E" w:rsidRDefault="00DF620E" w:rsidP="00B46F41"/>
    <w:p w:rsidR="00A7101C" w:rsidRDefault="00A7101C" w:rsidP="00B46F41">
      <w:r>
        <w:t xml:space="preserve">The rationale for excluding applications are documented based on the criteria above, are inventoried monthly and provided to AHRQ for review. </w:t>
      </w:r>
    </w:p>
    <w:p w:rsidR="00A7101C" w:rsidRDefault="00A7101C" w:rsidP="00B46F41"/>
    <w:p w:rsidR="00B46F41" w:rsidRDefault="00B46F41" w:rsidP="00B46F41">
      <w:r>
        <w:t xml:space="preserve">The ultimate decision to publish a detailed profile of </w:t>
      </w:r>
      <w:r w:rsidR="006E14D1">
        <w:t xml:space="preserve">an </w:t>
      </w:r>
      <w:r>
        <w:t>innovation depend</w:t>
      </w:r>
      <w:r w:rsidR="006E14D1">
        <w:t>s</w:t>
      </w:r>
      <w:r>
        <w:t xml:space="preserve"> on several factors, including an evaluation by AHRQ, AHRQ’s priorities, and the number of similar idea</w:t>
      </w:r>
      <w:r w:rsidR="007A3A0A">
        <w:t xml:space="preserve">s in the Innovations Exchange. </w:t>
      </w:r>
      <w:r>
        <w:t>AHRQ’s priorities include</w:t>
      </w:r>
      <w:r w:rsidR="00132FDE">
        <w:t xml:space="preserve"> </w:t>
      </w:r>
      <w:r>
        <w:t>identifying and highlighting innovations</w:t>
      </w:r>
      <w:r w:rsidR="00132FDE">
        <w:t xml:space="preserve"> (1)</w:t>
      </w:r>
      <w:r>
        <w:t xml:space="preserve"> that will help reduce disparities in health care and health status</w:t>
      </w:r>
      <w:r w:rsidR="00132FDE">
        <w:t>; (2)</w:t>
      </w:r>
      <w:r>
        <w:t xml:space="preserve"> that will have significant impact on the overall value of health care</w:t>
      </w:r>
      <w:r w:rsidR="00132FDE">
        <w:t>; (3)</w:t>
      </w:r>
      <w:r>
        <w:t xml:space="preserve"> where the innovators have a strong interest in participating</w:t>
      </w:r>
      <w:r w:rsidR="00132FDE">
        <w:t>;</w:t>
      </w:r>
      <w:r>
        <w:t xml:space="preserve"> and</w:t>
      </w:r>
      <w:r w:rsidR="00132FDE">
        <w:t xml:space="preserve"> (4)</w:t>
      </w:r>
      <w:r w:rsidR="00101BB8">
        <w:t xml:space="preserve"> that have been supported by</w:t>
      </w:r>
      <w:r>
        <w:t xml:space="preserve"> </w:t>
      </w:r>
      <w:r w:rsidRPr="00A80B29">
        <w:t>AHRQ.</w:t>
      </w:r>
      <w:r w:rsidR="00404EA4">
        <w:t xml:space="preserve"> </w:t>
      </w:r>
      <w:r w:rsidR="00975E82">
        <w:t xml:space="preserve">The AHRQ </w:t>
      </w:r>
      <w:r w:rsidR="00404EA4">
        <w:t xml:space="preserve">priorities are provided as a part of the instructions to applicants found in the “Submit Your Innovation” section of the Web site, accessible </w:t>
      </w:r>
      <w:r w:rsidR="00975E82">
        <w:t xml:space="preserve">at: </w:t>
      </w:r>
      <w:hyperlink r:id="rId7" w:history="1">
        <w:r w:rsidR="00404EA4" w:rsidRPr="002B4250">
          <w:rPr>
            <w:rStyle w:val="Hyperlink"/>
          </w:rPr>
          <w:t>http://www.innovations.ahrq.gov/submit/submit.aspx?#1</w:t>
        </w:r>
      </w:hyperlink>
      <w:r w:rsidR="00404EA4">
        <w:t>.   Of note, h</w:t>
      </w:r>
      <w:r w:rsidR="00A7101C">
        <w:t>owever, while t</w:t>
      </w:r>
      <w:r w:rsidR="00A7101C" w:rsidRPr="00A7101C">
        <w:t xml:space="preserve">he AHRQ Health Care Innovations Exchange is a database </w:t>
      </w:r>
      <w:r w:rsidR="00A7101C">
        <w:t xml:space="preserve">of innovative interventions, </w:t>
      </w:r>
      <w:r w:rsidR="00A7101C" w:rsidRPr="00A7101C">
        <w:t>is not intended to be a</w:t>
      </w:r>
      <w:r w:rsidR="00404EA4">
        <w:t>n exclusive</w:t>
      </w:r>
      <w:r w:rsidR="00A7101C" w:rsidRPr="00A7101C">
        <w:t xml:space="preserve"> showcase for AHRQ’s funded projects. </w:t>
      </w:r>
    </w:p>
    <w:p w:rsidR="009470CE" w:rsidRDefault="009470CE" w:rsidP="00B46F41"/>
    <w:p w:rsidR="009470CE" w:rsidRPr="00A80B29" w:rsidRDefault="009470CE" w:rsidP="00B46F41">
      <w:r>
        <w:t>AHRQ’s definition of “</w:t>
      </w:r>
      <w:r w:rsidR="00905B6D">
        <w:t xml:space="preserve">truly </w:t>
      </w:r>
      <w:r>
        <w:t>innovative” is provided as a part of the instructions to applicants again, shown in the Submit Your Innovation section of the Web site</w:t>
      </w:r>
      <w:r w:rsidRPr="009470CE">
        <w:t xml:space="preserve"> </w:t>
      </w:r>
      <w:r>
        <w:t xml:space="preserve">at: </w:t>
      </w:r>
      <w:r w:rsidRPr="009470CE">
        <w:t>http://www.innovations.ahrq.gov/submit/submit.aspx?#1</w:t>
      </w:r>
    </w:p>
    <w:p w:rsidR="00404EA4" w:rsidRDefault="00404EA4" w:rsidP="004B68AA">
      <w:r>
        <w:t xml:space="preserve">As noted above, AHRQ aims to provide reliable information about </w:t>
      </w:r>
      <w:r w:rsidRPr="00D57D86">
        <w:t>innovations</w:t>
      </w:r>
      <w:r>
        <w:t xml:space="preserve">.  Each innovation is systematically assigned a level of evidence, which is prominently shown on each profile in the Summary section.  The Innovations Exchange has three categories: strong, moderate and suggestive, described on the </w:t>
      </w:r>
      <w:r w:rsidR="00685DBD">
        <w:t xml:space="preserve">Web site at: </w:t>
      </w:r>
      <w:r w:rsidR="00685DBD" w:rsidRPr="00685DBD">
        <w:t>http://www.innovations.ahrq.gov/evidencerating.aspx</w:t>
      </w:r>
    </w:p>
    <w:p w:rsidR="00404EA4" w:rsidRDefault="00404EA4" w:rsidP="004B68AA"/>
    <w:p w:rsidR="00DE5E77" w:rsidRDefault="00E16C8B" w:rsidP="004B68AA">
      <w:pPr>
        <w:rPr>
          <w:rFonts w:ascii="Arial" w:hAnsi="Arial" w:cs="Arial"/>
          <w:color w:val="C00000"/>
          <w:sz w:val="20"/>
          <w:szCs w:val="20"/>
        </w:rPr>
      </w:pPr>
      <w:r w:rsidRPr="00A80B29">
        <w:t>Over the course of the current project pe</w:t>
      </w:r>
      <w:r w:rsidR="004B68AA" w:rsidRPr="00A80B29">
        <w:t xml:space="preserve">riod, </w:t>
      </w:r>
      <w:r w:rsidR="00464898">
        <w:t>AHRQ has</w:t>
      </w:r>
      <w:r w:rsidR="004B68AA" w:rsidRPr="00A80B29">
        <w:t xml:space="preserve"> gained </w:t>
      </w:r>
      <w:r w:rsidRPr="00A80B29">
        <w:t>experience that has allowed</w:t>
      </w:r>
      <w:r w:rsidR="002D2CC0" w:rsidRPr="00A80B29">
        <w:t xml:space="preserve"> project staff to refine</w:t>
      </w:r>
      <w:r w:rsidR="004B68AA" w:rsidRPr="00A80B29">
        <w:t xml:space="preserve"> processes</w:t>
      </w:r>
      <w:r w:rsidR="002D2CC0" w:rsidRPr="00A80B29">
        <w:t xml:space="preserve"> and</w:t>
      </w:r>
      <w:r w:rsidRPr="00A80B29">
        <w:t xml:space="preserve"> </w:t>
      </w:r>
      <w:r w:rsidR="002D2CC0" w:rsidRPr="00A80B29">
        <w:t>increase</w:t>
      </w:r>
      <w:r w:rsidRPr="00A80B29">
        <w:t xml:space="preserve"> project efficiency. For example, </w:t>
      </w:r>
      <w:r w:rsidR="004B68AA" w:rsidRPr="00A80B29">
        <w:t xml:space="preserve">experience with </w:t>
      </w:r>
      <w:r w:rsidR="002D2CC0" w:rsidRPr="00A80B29">
        <w:t xml:space="preserve">the profile development process </w:t>
      </w:r>
      <w:r w:rsidR="004B68AA" w:rsidRPr="00A80B29">
        <w:t>has provided valuable insight for identifying new leads</w:t>
      </w:r>
      <w:r w:rsidR="00DC1518" w:rsidRPr="00A80B29">
        <w:t xml:space="preserve"> and conducting interviews</w:t>
      </w:r>
      <w:r w:rsidR="004B68AA" w:rsidRPr="00A80B29">
        <w:t xml:space="preserve">; exclusion criteria have been developed; and </w:t>
      </w:r>
      <w:r w:rsidRPr="00464898">
        <w:t>th</w:t>
      </w:r>
      <w:r w:rsidR="00963B7C" w:rsidRPr="00464898">
        <w:t>e annual review process has been</w:t>
      </w:r>
      <w:r w:rsidRPr="00464898">
        <w:t xml:space="preserve"> streamlined to reduce the number of hou</w:t>
      </w:r>
      <w:r w:rsidR="002D2CC0" w:rsidRPr="00464898">
        <w:t xml:space="preserve">rs required </w:t>
      </w:r>
      <w:r w:rsidR="00372844">
        <w:t xml:space="preserve">for project staff </w:t>
      </w:r>
      <w:r w:rsidR="002D2CC0" w:rsidRPr="00464898">
        <w:t>to update profile</w:t>
      </w:r>
      <w:r w:rsidR="004B68AA" w:rsidRPr="00464898">
        <w:t>s</w:t>
      </w:r>
      <w:r w:rsidR="00372844">
        <w:t>; respondent burden remains the same</w:t>
      </w:r>
      <w:r w:rsidR="004B68AA" w:rsidRPr="00464898">
        <w:t>.</w:t>
      </w:r>
      <w:r w:rsidR="004B68AA" w:rsidRPr="00A80B29">
        <w:t xml:space="preserve"> The information contained within this request for renewal is based on </w:t>
      </w:r>
      <w:r w:rsidR="00DC1518" w:rsidRPr="00A80B29">
        <w:t xml:space="preserve">actual </w:t>
      </w:r>
      <w:r w:rsidR="004B68AA" w:rsidRPr="00A80B29">
        <w:t>project experience</w:t>
      </w:r>
      <w:r w:rsidR="00DC1518" w:rsidRPr="00A80B29">
        <w:t>.</w:t>
      </w:r>
    </w:p>
    <w:p w:rsidR="000F3D2C" w:rsidRPr="00BE514D" w:rsidRDefault="000F3D2C" w:rsidP="006014DB"/>
    <w:p w:rsidR="00BE514D" w:rsidRDefault="000F3D2C" w:rsidP="006014DB">
      <w:r w:rsidRPr="00BE514D">
        <w:lastRenderedPageBreak/>
        <w:t>These research activities are not required by regulation, and will not be used by AHRQ to regulate or sanction its customers</w:t>
      </w:r>
      <w:r w:rsidR="009A75E3" w:rsidRPr="00BE514D">
        <w:t>.</w:t>
      </w:r>
    </w:p>
    <w:p w:rsidR="002955A3" w:rsidRDefault="002955A3" w:rsidP="006014DB"/>
    <w:p w:rsidR="002955A3" w:rsidRDefault="002955A3" w:rsidP="006014DB">
      <w:r>
        <w:t xml:space="preserve">The Innovations Exchange was recently certified by the Health on the Net Foundation, which </w:t>
      </w:r>
      <w:r w:rsidRPr="00685D54">
        <w:t>promotes and guides the deployment of useful and reliable online health information</w:t>
      </w:r>
      <w:r w:rsidR="00370D9E">
        <w:rPr>
          <w:rStyle w:val="FootnoteReference"/>
        </w:rPr>
        <w:footnoteReference w:id="3"/>
      </w:r>
      <w:r>
        <w:t xml:space="preserve">. </w:t>
      </w:r>
    </w:p>
    <w:p w:rsidR="009244D0" w:rsidRDefault="009244D0" w:rsidP="006014DB"/>
    <w:p w:rsidR="009244D0" w:rsidRDefault="00E46410" w:rsidP="006014DB">
      <w:r w:rsidRPr="00EF5A73">
        <w:t xml:space="preserve">This </w:t>
      </w:r>
      <w:r w:rsidR="00B7606E">
        <w:t>data collection</w:t>
      </w:r>
      <w:r w:rsidRPr="00EF5A73">
        <w:t xml:space="preserve"> is being conducted by AHRQ through its contractor, Westat, pursuant to AHRQ’s statutory authority to conduct and support research on healthcare and on systems for the delivery of such care, including activities </w:t>
      </w:r>
      <w:r>
        <w:t xml:space="preserve">(1) </w:t>
      </w:r>
      <w:r w:rsidRPr="00EF5A73">
        <w:t>with respect to the quality, effectiveness, efficiency, appropriateness and value of healthcare services</w:t>
      </w:r>
      <w:r>
        <w:t>, 42 U.S.C. 299a(a), and (2) to promote innovation in evidence-based health care practices and technologies.  42 U.S.C. 299b-5.</w:t>
      </w:r>
    </w:p>
    <w:p w:rsidR="005D1F7C" w:rsidRDefault="005D1F7C" w:rsidP="006014DB"/>
    <w:p w:rsidR="005D1F7C" w:rsidRPr="000F3D2C" w:rsidRDefault="005D1F7C" w:rsidP="006014DB">
      <w:r w:rsidRPr="002B5670">
        <w:t xml:space="preserve">Users of the site may contact program staff through the </w:t>
      </w:r>
      <w:hyperlink r:id="rId8" w:history="1">
        <w:r w:rsidRPr="002B5670">
          <w:rPr>
            <w:rStyle w:val="Hyperlink"/>
          </w:rPr>
          <w:t>Info@innovations.ahrq.gov</w:t>
        </w:r>
      </w:hyperlink>
      <w:r w:rsidRPr="002B5670">
        <w:t xml:space="preserve"> e-mail address.  The address is staffed during business hours.  In most cases correspondents receive a personalized reply within one business day.</w:t>
      </w:r>
      <w:r w:rsidR="005C4F74">
        <w:t xml:space="preserve">  In addition, for the assistance of u</w:t>
      </w:r>
      <w:r w:rsidR="001641A5">
        <w:t>s</w:t>
      </w:r>
      <w:r w:rsidR="005C4F74">
        <w:t>ers, the Web site offers frequently asked questions (FAQ)</w:t>
      </w:r>
      <w:r w:rsidR="00687C24">
        <w:t xml:space="preserve"> related to</w:t>
      </w:r>
      <w:r w:rsidR="001641A5">
        <w:t xml:space="preserve"> an array of questions in part that have been submitted by users and include: </w:t>
      </w:r>
      <w:r w:rsidR="00687C24">
        <w:t xml:space="preserve">Subscribing to Email Updates, QualityTools information and Other Topics.  The complete </w:t>
      </w:r>
      <w:r w:rsidR="00F56123">
        <w:t xml:space="preserve">list of </w:t>
      </w:r>
      <w:r w:rsidR="00687C24">
        <w:t xml:space="preserve">FAQs </w:t>
      </w:r>
      <w:r w:rsidR="001641A5">
        <w:t>are available</w:t>
      </w:r>
      <w:r w:rsidR="005C4F74">
        <w:t xml:space="preserve"> at </w:t>
      </w:r>
      <w:r w:rsidR="00273B0E" w:rsidRPr="00273B0E">
        <w:t>http://www.innovations.ahrq.gov/faq.aspx</w:t>
      </w:r>
      <w:r w:rsidR="00273B0E">
        <w:t>.</w:t>
      </w:r>
    </w:p>
    <w:p w:rsidR="00746E36" w:rsidRDefault="00746E36" w:rsidP="009B633D">
      <w:pPr>
        <w:pStyle w:val="Heading2"/>
        <w:rPr>
          <w:sz w:val="24"/>
        </w:rPr>
      </w:pPr>
      <w:bookmarkStart w:id="6" w:name="_Toc151782177"/>
      <w:bookmarkStart w:id="7" w:name="_Toc158526217"/>
    </w:p>
    <w:p w:rsidR="009B633D" w:rsidRDefault="00DF620E" w:rsidP="009B633D">
      <w:pPr>
        <w:pStyle w:val="Heading2"/>
        <w:rPr>
          <w:sz w:val="24"/>
        </w:rPr>
      </w:pPr>
      <w:r>
        <w:rPr>
          <w:sz w:val="24"/>
        </w:rPr>
        <w:t>2</w:t>
      </w:r>
      <w:r w:rsidR="009B633D" w:rsidRPr="00983636">
        <w:rPr>
          <w:sz w:val="24"/>
        </w:rPr>
        <w:t>. Purpose and Use of Information</w:t>
      </w:r>
      <w:bookmarkEnd w:id="6"/>
      <w:bookmarkEnd w:id="7"/>
    </w:p>
    <w:p w:rsidR="00BE514D" w:rsidRDefault="00F67100" w:rsidP="0085499E">
      <w:pPr>
        <w:pStyle w:val="Heading2"/>
        <w:rPr>
          <w:rFonts w:ascii="Times New Roman" w:hAnsi="Times New Roman" w:cs="Times New Roman"/>
          <w:b w:val="0"/>
          <w:bCs w:val="0"/>
          <w:i w:val="0"/>
          <w:iCs w:val="0"/>
          <w:sz w:val="24"/>
          <w:szCs w:val="24"/>
        </w:rPr>
      </w:pPr>
      <w:bookmarkStart w:id="8" w:name="_Toc151782178"/>
      <w:bookmarkStart w:id="9" w:name="_Toc158526218"/>
      <w:r w:rsidRPr="00F67100">
        <w:rPr>
          <w:rFonts w:ascii="Times New Roman" w:hAnsi="Times New Roman" w:cs="Times New Roman"/>
          <w:b w:val="0"/>
          <w:bCs w:val="0"/>
          <w:i w:val="0"/>
          <w:iCs w:val="0"/>
          <w:sz w:val="24"/>
          <w:szCs w:val="24"/>
        </w:rPr>
        <w:t xml:space="preserve">The AHRQ Health Care Innovations Exchange’s use of the interview guide </w:t>
      </w:r>
      <w:r w:rsidR="009A0B1A">
        <w:rPr>
          <w:rFonts w:ascii="Times New Roman" w:hAnsi="Times New Roman" w:cs="Times New Roman"/>
          <w:b w:val="0"/>
          <w:bCs w:val="0"/>
          <w:i w:val="0"/>
          <w:iCs w:val="0"/>
          <w:sz w:val="24"/>
          <w:szCs w:val="24"/>
        </w:rPr>
        <w:t xml:space="preserve">and email submission guidelines </w:t>
      </w:r>
      <w:r w:rsidRPr="00F67100">
        <w:rPr>
          <w:rFonts w:ascii="Times New Roman" w:hAnsi="Times New Roman" w:cs="Times New Roman"/>
          <w:b w:val="0"/>
          <w:bCs w:val="0"/>
          <w:i w:val="0"/>
          <w:iCs w:val="0"/>
          <w:sz w:val="24"/>
          <w:szCs w:val="24"/>
        </w:rPr>
        <w:t>assist</w:t>
      </w:r>
      <w:r w:rsidR="006F7390">
        <w:rPr>
          <w:rFonts w:ascii="Times New Roman" w:hAnsi="Times New Roman" w:cs="Times New Roman"/>
          <w:b w:val="0"/>
          <w:bCs w:val="0"/>
          <w:i w:val="0"/>
          <w:iCs w:val="0"/>
          <w:sz w:val="24"/>
          <w:szCs w:val="24"/>
        </w:rPr>
        <w:t>s</w:t>
      </w:r>
      <w:r w:rsidRPr="00F67100">
        <w:rPr>
          <w:rFonts w:ascii="Times New Roman" w:hAnsi="Times New Roman" w:cs="Times New Roman"/>
          <w:b w:val="0"/>
          <w:bCs w:val="0"/>
          <w:i w:val="0"/>
          <w:iCs w:val="0"/>
          <w:sz w:val="24"/>
          <w:szCs w:val="24"/>
        </w:rPr>
        <w:t xml:space="preserve"> in determining if the suggested innovation: 1) meets established eligibility criteria of the Innovation Exchange,</w:t>
      </w:r>
      <w:r w:rsidR="004353CD">
        <w:rPr>
          <w:rFonts w:ascii="Times New Roman" w:hAnsi="Times New Roman" w:cs="Times New Roman"/>
          <w:b w:val="0"/>
          <w:bCs w:val="0"/>
          <w:i w:val="0"/>
          <w:iCs w:val="0"/>
          <w:sz w:val="24"/>
          <w:szCs w:val="24"/>
        </w:rPr>
        <w:t xml:space="preserve"> and</w:t>
      </w:r>
      <w:r w:rsidRPr="00F67100">
        <w:rPr>
          <w:rFonts w:ascii="Times New Roman" w:hAnsi="Times New Roman" w:cs="Times New Roman"/>
          <w:b w:val="0"/>
          <w:bCs w:val="0"/>
          <w:i w:val="0"/>
          <w:iCs w:val="0"/>
          <w:sz w:val="24"/>
          <w:szCs w:val="24"/>
        </w:rPr>
        <w:t xml:space="preserve"> 2) addresses AHRQ’s priorities.</w:t>
      </w:r>
    </w:p>
    <w:p w:rsidR="00675C4D" w:rsidRDefault="00675C4D" w:rsidP="00675C4D"/>
    <w:p w:rsidR="00675C4D" w:rsidRDefault="00675C4D" w:rsidP="00675C4D">
      <w:r>
        <w:t>Access to the AHRQ Health Care Innovations Exchange is freely available</w:t>
      </w:r>
      <w:r w:rsidR="00347E19">
        <w:t xml:space="preserve"> to the public</w:t>
      </w:r>
      <w:r>
        <w:t xml:space="preserve"> at </w:t>
      </w:r>
      <w:hyperlink r:id="rId9" w:history="1">
        <w:r w:rsidRPr="00AD6F23">
          <w:rPr>
            <w:rStyle w:val="Hyperlink"/>
          </w:rPr>
          <w:t>http://www.innovations.ahrq.gov/</w:t>
        </w:r>
      </w:hyperlink>
      <w:r>
        <w:t xml:space="preserve">.   </w:t>
      </w:r>
      <w:r w:rsidRPr="00383050">
        <w:t xml:space="preserve"> </w:t>
      </w:r>
      <w:r>
        <w:t>Diverse groups use</w:t>
      </w:r>
      <w:r w:rsidRPr="00383050">
        <w:t xml:space="preserve"> the Innovations Exchange, ranging from n</w:t>
      </w:r>
      <w:r>
        <w:t>urses and health administrators, quality improvement professionals, researchers and educators</w:t>
      </w:r>
      <w:r w:rsidRPr="00383050">
        <w:t>.</w:t>
      </w:r>
      <w:r>
        <w:t xml:space="preserve">  See </w:t>
      </w:r>
      <w:hyperlink r:id="rId10" w:history="1">
        <w:r w:rsidRPr="00AD6F23">
          <w:rPr>
            <w:rStyle w:val="Hyperlink"/>
          </w:rPr>
          <w:t>http://www.innovations.ahrq.gov/about.aspx</w:t>
        </w:r>
      </w:hyperlink>
      <w:r>
        <w:t xml:space="preserve"> displaying users by role for 2010-2011.</w:t>
      </w:r>
    </w:p>
    <w:p w:rsidR="003C36FC" w:rsidRDefault="003C36FC" w:rsidP="00675C4D"/>
    <w:p w:rsidR="003C36FC" w:rsidRPr="002B5670" w:rsidRDefault="003C36FC" w:rsidP="003C36FC">
      <w:r w:rsidRPr="002B5670">
        <w:t xml:space="preserve">The AHRQ Health Care Innovations Exchange </w:t>
      </w:r>
      <w:r>
        <w:t>uses</w:t>
      </w:r>
      <w:r w:rsidRPr="002B5670">
        <w:t xml:space="preserve"> the services of an independent company, ForeSee Results, to conduct randomized customer satisfaction surveys as a means to evaluate user satisfaction. Satisfaction scores </w:t>
      </w:r>
      <w:r>
        <w:t xml:space="preserve">for the Innovations Exchange </w:t>
      </w:r>
      <w:r w:rsidRPr="002B5670">
        <w:t>have consistently averaged close to or above 80 over the course of the project period. As a point of comparison, the average score for government sites for Q4 2009 was 75, which is cited as an all-time high in customer satisfaction with federal government websites. Sites that score over 80 are cited as high performers.</w:t>
      </w:r>
    </w:p>
    <w:p w:rsidR="003C36FC" w:rsidRDefault="003C36FC" w:rsidP="00675C4D"/>
    <w:p w:rsidR="003C36FC" w:rsidRDefault="003C36FC" w:rsidP="003C36FC">
      <w:r>
        <w:lastRenderedPageBreak/>
        <w:t>ForeSee customer satisfaction surveys also provide a mechanism for users to submit free text comments about their experience using the Web site.</w:t>
      </w:r>
    </w:p>
    <w:p w:rsidR="003C36FC" w:rsidRDefault="003C36FC" w:rsidP="003C36FC">
      <w:r>
        <w:t xml:space="preserve"> </w:t>
      </w:r>
    </w:p>
    <w:p w:rsidR="003C36FC" w:rsidRPr="00F26FCE" w:rsidRDefault="003C36FC" w:rsidP="003C36FC">
      <w:r w:rsidRPr="00F26FCE">
        <w:t xml:space="preserve">Additional sources of evaluation can be derived from the innovators themselves, since a part of the data collection process includes gathering their names and contact information to post on the Innovations Exchange Web site in an effort to encourage collaboration.  </w:t>
      </w:r>
    </w:p>
    <w:p w:rsidR="003C36FC" w:rsidRPr="00F26FCE" w:rsidRDefault="003C36FC" w:rsidP="003C36FC">
      <w:pPr>
        <w:ind w:left="360"/>
      </w:pPr>
    </w:p>
    <w:p w:rsidR="003C36FC" w:rsidRPr="00F26FCE" w:rsidRDefault="003C36FC" w:rsidP="003C36FC">
      <w:r>
        <w:t>In addition</w:t>
      </w:r>
      <w:r w:rsidRPr="00F26FCE">
        <w:t>, AHRQ intends to gather user feedback through:</w:t>
      </w:r>
    </w:p>
    <w:p w:rsidR="003C36FC" w:rsidRPr="00F26FCE" w:rsidRDefault="003C36FC" w:rsidP="003C36FC">
      <w:pPr>
        <w:numPr>
          <w:ilvl w:val="0"/>
          <w:numId w:val="42"/>
        </w:numPr>
      </w:pPr>
      <w:r>
        <w:t>S</w:t>
      </w:r>
      <w:r w:rsidRPr="00F26FCE">
        <w:t>ocial media strategies</w:t>
      </w:r>
      <w:r>
        <w:t xml:space="preserve"> (e.g., Twitter)</w:t>
      </w:r>
      <w:r w:rsidRPr="00F26FCE">
        <w:t xml:space="preserve"> </w:t>
      </w:r>
    </w:p>
    <w:p w:rsidR="003C36FC" w:rsidRPr="00F26FCE" w:rsidRDefault="003C36FC" w:rsidP="003C36FC">
      <w:pPr>
        <w:numPr>
          <w:ilvl w:val="0"/>
          <w:numId w:val="42"/>
        </w:numPr>
      </w:pPr>
      <w:r>
        <w:t>An in-</w:t>
      </w:r>
      <w:r w:rsidRPr="00F26FCE">
        <w:t xml:space="preserve">person meeting of innovators scheduled in conjunction with AHRQ’s annual September </w:t>
      </w:r>
      <w:r>
        <w:t>conference</w:t>
      </w:r>
      <w:r w:rsidRPr="00F26FCE">
        <w:t xml:space="preserve">  </w:t>
      </w:r>
    </w:p>
    <w:p w:rsidR="003C36FC" w:rsidRPr="00F26FCE" w:rsidRDefault="003C36FC" w:rsidP="003C36FC">
      <w:pPr>
        <w:numPr>
          <w:ilvl w:val="0"/>
          <w:numId w:val="42"/>
        </w:numPr>
      </w:pPr>
      <w:r>
        <w:t>W</w:t>
      </w:r>
      <w:r w:rsidRPr="00F26FCE">
        <w:t>ebinar evaluations</w:t>
      </w:r>
    </w:p>
    <w:p w:rsidR="003C36FC" w:rsidRPr="00F26FCE" w:rsidRDefault="003C36FC" w:rsidP="003C36FC">
      <w:pPr>
        <w:numPr>
          <w:ilvl w:val="0"/>
          <w:numId w:val="42"/>
        </w:numPr>
      </w:pPr>
      <w:r>
        <w:t>T</w:t>
      </w:r>
      <w:r w:rsidRPr="00F26FCE">
        <w:t>he Community Care Coordination Learning Network,  a community of practice aimed at implementing an innovation in care coordination to at risk populations</w:t>
      </w:r>
    </w:p>
    <w:p w:rsidR="003C36FC" w:rsidRPr="00F26FCE" w:rsidRDefault="003C36FC" w:rsidP="003C36FC">
      <w:pPr>
        <w:numPr>
          <w:ilvl w:val="0"/>
          <w:numId w:val="42"/>
        </w:numPr>
      </w:pPr>
      <w:r>
        <w:t>User c</w:t>
      </w:r>
      <w:r w:rsidRPr="00F26FCE">
        <w:t>omments</w:t>
      </w:r>
      <w:r>
        <w:t xml:space="preserve"> submitted within Innovation Profiles and Innovation Attempts</w:t>
      </w:r>
    </w:p>
    <w:p w:rsidR="003C36FC" w:rsidRPr="00F26FCE" w:rsidRDefault="003C36FC" w:rsidP="003C36FC">
      <w:pPr>
        <w:numPr>
          <w:ilvl w:val="0"/>
          <w:numId w:val="42"/>
        </w:numPr>
      </w:pPr>
      <w:r>
        <w:t>Emails submitted through the email line (</w:t>
      </w:r>
      <w:hyperlink r:id="rId11" w:history="1">
        <w:r w:rsidRPr="002B5670">
          <w:rPr>
            <w:rStyle w:val="Hyperlink"/>
          </w:rPr>
          <w:t>Info@innovations.ahrq.gov</w:t>
        </w:r>
      </w:hyperlink>
      <w:r>
        <w:t>).</w:t>
      </w:r>
    </w:p>
    <w:p w:rsidR="009B633D" w:rsidRDefault="009B633D" w:rsidP="009B633D">
      <w:pPr>
        <w:pStyle w:val="Heading2"/>
        <w:rPr>
          <w:sz w:val="24"/>
        </w:rPr>
      </w:pPr>
      <w:r w:rsidRPr="00983636">
        <w:rPr>
          <w:sz w:val="24"/>
        </w:rPr>
        <w:t>3. Use of Improved Information Technology</w:t>
      </w:r>
      <w:bookmarkEnd w:id="8"/>
      <w:bookmarkEnd w:id="9"/>
    </w:p>
    <w:p w:rsidR="004353CD" w:rsidDel="004353CD" w:rsidRDefault="00FF13E5" w:rsidP="004353CD">
      <w:pPr>
        <w:spacing w:before="240"/>
      </w:pPr>
      <w:r>
        <w:t xml:space="preserve">The </w:t>
      </w:r>
      <w:r w:rsidR="00A10F0D">
        <w:t xml:space="preserve">Innovations Exchange </w:t>
      </w:r>
      <w:r w:rsidR="006F7390">
        <w:t xml:space="preserve">currently </w:t>
      </w:r>
      <w:r w:rsidR="00F02136">
        <w:t>offer</w:t>
      </w:r>
      <w:r w:rsidR="006F7390">
        <w:t>s</w:t>
      </w:r>
      <w:r w:rsidR="00F02136">
        <w:t xml:space="preserve"> guidelines to innovators on how to submit their innovations by </w:t>
      </w:r>
      <w:r>
        <w:t xml:space="preserve">email </w:t>
      </w:r>
      <w:r w:rsidR="00F02136">
        <w:t>for the purposes of providing</w:t>
      </w:r>
      <w:r>
        <w:t xml:space="preserve"> project staff with </w:t>
      </w:r>
      <w:r w:rsidR="00F02136">
        <w:t xml:space="preserve">preliminary </w:t>
      </w:r>
      <w:r>
        <w:t xml:space="preserve">information </w:t>
      </w:r>
      <w:r w:rsidR="00101BB8">
        <w:t>about</w:t>
      </w:r>
      <w:r w:rsidR="00DE5E77">
        <w:t xml:space="preserve"> their innovations. </w:t>
      </w:r>
      <w:r>
        <w:t xml:space="preserve">Innovators </w:t>
      </w:r>
      <w:r w:rsidR="006F7390">
        <w:t>are</w:t>
      </w:r>
      <w:r>
        <w:t xml:space="preserve"> provided with an email address to which they are asked to send a description of the innovation</w:t>
      </w:r>
      <w:r w:rsidR="004353CD">
        <w:t>.</w:t>
      </w:r>
    </w:p>
    <w:p w:rsidR="00BE514D" w:rsidRPr="0085499E" w:rsidRDefault="00DE5E77" w:rsidP="004353CD">
      <w:pPr>
        <w:spacing w:before="240"/>
      </w:pPr>
      <w:bookmarkStart w:id="10" w:name="_Toc151782179"/>
      <w:bookmarkStart w:id="11" w:name="_Toc158526219"/>
      <w:r>
        <w:t xml:space="preserve">Based on experience during the current project period, innovators rarely submit their innovations by email without prior contact. </w:t>
      </w:r>
    </w:p>
    <w:p w:rsidR="009B633D" w:rsidRDefault="009B633D" w:rsidP="009B633D">
      <w:pPr>
        <w:pStyle w:val="Heading2"/>
        <w:rPr>
          <w:sz w:val="24"/>
        </w:rPr>
      </w:pPr>
      <w:r w:rsidRPr="00983636">
        <w:rPr>
          <w:sz w:val="24"/>
        </w:rPr>
        <w:t>4. Efforts to Identify Duplication</w:t>
      </w:r>
      <w:bookmarkEnd w:id="10"/>
      <w:bookmarkEnd w:id="11"/>
    </w:p>
    <w:p w:rsidR="00FF13E5" w:rsidRDefault="00FF13E5" w:rsidP="00FF13E5"/>
    <w:p w:rsidR="00D27E50" w:rsidRPr="00D27E50" w:rsidRDefault="00D27E50" w:rsidP="00D27E50">
      <w:r w:rsidRPr="00D27E50">
        <w:t xml:space="preserve">Duplication of this effort neither exists with respect to other Federal agencies nor with respect to the private sector. There are a number of </w:t>
      </w:r>
      <w:r w:rsidR="00C23103">
        <w:t>W</w:t>
      </w:r>
      <w:r w:rsidRPr="00D27E50">
        <w:t>eb</w:t>
      </w:r>
      <w:r w:rsidR="00C23103">
        <w:t xml:space="preserve"> </w:t>
      </w:r>
      <w:r w:rsidRPr="00D27E50">
        <w:t xml:space="preserve">sites that present information on </w:t>
      </w:r>
      <w:r w:rsidR="00136AE8">
        <w:t>health</w:t>
      </w:r>
      <w:r w:rsidR="00CA7379">
        <w:t xml:space="preserve"> </w:t>
      </w:r>
      <w:r w:rsidR="00136AE8">
        <w:t>care</w:t>
      </w:r>
      <w:r w:rsidRPr="00D27E50">
        <w:t xml:space="preserve"> innovations sponsored by foundations and the private sector. These </w:t>
      </w:r>
      <w:r w:rsidR="00C23103">
        <w:t>W</w:t>
      </w:r>
      <w:r w:rsidRPr="00D27E50">
        <w:t>eb</w:t>
      </w:r>
      <w:r w:rsidR="00C23103">
        <w:t xml:space="preserve"> </w:t>
      </w:r>
      <w:r w:rsidRPr="00D27E50">
        <w:t>sites tend</w:t>
      </w:r>
      <w:r w:rsidR="004613C2">
        <w:t xml:space="preserve"> to be limited in their focus. </w:t>
      </w:r>
      <w:r w:rsidRPr="00D27E50">
        <w:t>They may consider innovations that focus on one or a few diseases, funding sources, patient population</w:t>
      </w:r>
      <w:r w:rsidR="004613C2">
        <w:t xml:space="preserve">s, or theoretical foundations. A list of </w:t>
      </w:r>
      <w:r w:rsidR="00136AE8">
        <w:t>healthcare</w:t>
      </w:r>
      <w:r w:rsidRPr="00D27E50">
        <w:t xml:space="preserve"> innovation-oriented websites is located in </w:t>
      </w:r>
      <w:r w:rsidRPr="001D2BDC">
        <w:t xml:space="preserve">Attachment </w:t>
      </w:r>
      <w:r w:rsidR="00F30F4E" w:rsidRPr="001D2BDC">
        <w:t>E</w:t>
      </w:r>
      <w:r>
        <w:t>.</w:t>
      </w:r>
      <w:r w:rsidRPr="00D27E50">
        <w:t xml:space="preserve">  </w:t>
      </w:r>
    </w:p>
    <w:p w:rsidR="00D27E50" w:rsidRPr="00D27E50" w:rsidRDefault="00D27E50" w:rsidP="00D27E50"/>
    <w:p w:rsidR="00BE514D" w:rsidRPr="00D27E50" w:rsidRDefault="00D27E50" w:rsidP="00D27E50">
      <w:r w:rsidRPr="00D27E50">
        <w:t xml:space="preserve">The Innovations Exchange </w:t>
      </w:r>
      <w:r w:rsidR="006F7390">
        <w:t>is</w:t>
      </w:r>
      <w:r w:rsidRPr="00D27E50">
        <w:t xml:space="preserve"> the only readily acces</w:t>
      </w:r>
      <w:r w:rsidR="00BE514D">
        <w:t>s</w:t>
      </w:r>
      <w:r w:rsidRPr="00D27E50">
        <w:t>ible</w:t>
      </w:r>
      <w:r>
        <w:t>,</w:t>
      </w:r>
      <w:r w:rsidRPr="00D27E50">
        <w:t xml:space="preserve"> single source of information concerning innovations in patient care</w:t>
      </w:r>
      <w:r>
        <w:t xml:space="preserve"> service delivery</w:t>
      </w:r>
      <w:r w:rsidR="00CA7379">
        <w:t>,</w:t>
      </w:r>
      <w:r w:rsidRPr="00D27E50">
        <w:t xml:space="preserve"> multiple patient populations, multiple care settings, multiple diseases, multiple care processes, and multiple funding sources.  </w:t>
      </w:r>
    </w:p>
    <w:p w:rsidR="009B633D" w:rsidRDefault="009B633D" w:rsidP="009B633D">
      <w:pPr>
        <w:pStyle w:val="Heading2"/>
        <w:rPr>
          <w:sz w:val="24"/>
        </w:rPr>
      </w:pPr>
      <w:bookmarkStart w:id="12" w:name="_Toc151782180"/>
      <w:bookmarkStart w:id="13" w:name="_Toc158526220"/>
      <w:r w:rsidRPr="00983636">
        <w:rPr>
          <w:sz w:val="24"/>
        </w:rPr>
        <w:t>5. Involvement of Small Entities</w:t>
      </w:r>
      <w:bookmarkEnd w:id="12"/>
      <w:bookmarkEnd w:id="13"/>
    </w:p>
    <w:p w:rsidR="00FD14FC" w:rsidRPr="00FD14FC" w:rsidRDefault="00FD14FC" w:rsidP="00FD14FC"/>
    <w:p w:rsidR="00F67100" w:rsidRPr="00FD14FC" w:rsidRDefault="00FD14FC" w:rsidP="00FD14FC">
      <w:r w:rsidRPr="00FD14FC">
        <w:t xml:space="preserve">While we anticipate that innovators within small entities will </w:t>
      </w:r>
      <w:r w:rsidR="006F7390">
        <w:t xml:space="preserve">continue to </w:t>
      </w:r>
      <w:r w:rsidRPr="00FD14FC">
        <w:t xml:space="preserve">be included in the pool of respondents, </w:t>
      </w:r>
      <w:r w:rsidR="00385C79">
        <w:t>participation in and submissions to the Innov</w:t>
      </w:r>
      <w:r w:rsidR="004613C2">
        <w:t xml:space="preserve">ations Exchange are voluntary. </w:t>
      </w:r>
      <w:r w:rsidR="00385C79">
        <w:t>W</w:t>
      </w:r>
      <w:r w:rsidRPr="00FD14FC">
        <w:t xml:space="preserve">e do not expect that our data collection procedures will result in any </w:t>
      </w:r>
      <w:r w:rsidR="00E501C1">
        <w:lastRenderedPageBreak/>
        <w:t xml:space="preserve">significant </w:t>
      </w:r>
      <w:r w:rsidRPr="00FD14FC">
        <w:t>additional burden</w:t>
      </w:r>
      <w:r w:rsidR="00682EF2">
        <w:t xml:space="preserve"> for small entities</w:t>
      </w:r>
      <w:r w:rsidR="004613C2">
        <w:t xml:space="preserve">. </w:t>
      </w:r>
      <w:r w:rsidRPr="00FD14FC">
        <w:t xml:space="preserve">Rather the data collection efforts are designed </w:t>
      </w:r>
      <w:r w:rsidR="00751874">
        <w:t xml:space="preserve">to </w:t>
      </w:r>
      <w:r w:rsidRPr="00FD14FC">
        <w:t>minimize burden on all respondents.</w:t>
      </w:r>
    </w:p>
    <w:p w:rsidR="009B633D" w:rsidRDefault="009B633D" w:rsidP="009B633D">
      <w:pPr>
        <w:pStyle w:val="Heading2"/>
        <w:rPr>
          <w:sz w:val="24"/>
        </w:rPr>
      </w:pPr>
      <w:bookmarkStart w:id="14" w:name="_Toc151782181"/>
      <w:bookmarkStart w:id="15" w:name="_Toc158526221"/>
      <w:r w:rsidRPr="00983636">
        <w:rPr>
          <w:sz w:val="24"/>
        </w:rPr>
        <w:t>6. Consequences if Information Collected Less Frequently</w:t>
      </w:r>
      <w:bookmarkEnd w:id="14"/>
      <w:bookmarkEnd w:id="15"/>
    </w:p>
    <w:p w:rsidR="00FF13E5" w:rsidRDefault="00FF13E5" w:rsidP="00FF13E5"/>
    <w:p w:rsidR="00F650FC" w:rsidRDefault="00FF13E5" w:rsidP="00FF13E5">
      <w:pPr>
        <w:rPr>
          <w:szCs w:val="22"/>
        </w:rPr>
      </w:pPr>
      <w:r>
        <w:t>With</w:t>
      </w:r>
      <w:r w:rsidR="00682EF2">
        <w:t xml:space="preserve">out this data collection effort and annual updates, </w:t>
      </w:r>
      <w:r>
        <w:t xml:space="preserve">detailed information about current innovations in patient care </w:t>
      </w:r>
      <w:r w:rsidR="00682EF2">
        <w:t xml:space="preserve">service delivery </w:t>
      </w:r>
      <w:r w:rsidR="00D42E87">
        <w:t>would</w:t>
      </w:r>
      <w:r>
        <w:t xml:space="preserve"> not be available</w:t>
      </w:r>
      <w:r w:rsidR="007A0C98">
        <w:t xml:space="preserve"> in one location</w:t>
      </w:r>
      <w:r>
        <w:rPr>
          <w:szCs w:val="22"/>
        </w:rPr>
        <w:t xml:space="preserve">. </w:t>
      </w:r>
      <w:r w:rsidR="00E42C90">
        <w:rPr>
          <w:szCs w:val="22"/>
        </w:rPr>
        <w:t xml:space="preserve">It is essential that </w:t>
      </w:r>
      <w:r w:rsidR="00F77869">
        <w:rPr>
          <w:szCs w:val="22"/>
        </w:rPr>
        <w:t xml:space="preserve">AHRQ continues </w:t>
      </w:r>
      <w:r w:rsidR="00E42C90">
        <w:rPr>
          <w:szCs w:val="22"/>
        </w:rPr>
        <w:t>these data collection activities</w:t>
      </w:r>
      <w:r w:rsidR="00FD5511">
        <w:rPr>
          <w:szCs w:val="22"/>
        </w:rPr>
        <w:t xml:space="preserve">, </w:t>
      </w:r>
      <w:r w:rsidR="00F77869">
        <w:rPr>
          <w:szCs w:val="22"/>
        </w:rPr>
        <w:t>which are</w:t>
      </w:r>
      <w:r w:rsidR="00E42C90">
        <w:rPr>
          <w:szCs w:val="22"/>
        </w:rPr>
        <w:t xml:space="preserve"> </w:t>
      </w:r>
      <w:r w:rsidR="0062628F">
        <w:rPr>
          <w:szCs w:val="22"/>
        </w:rPr>
        <w:t>even more important in the context of health reform.</w:t>
      </w:r>
    </w:p>
    <w:p w:rsidR="009B633D" w:rsidRDefault="009B633D" w:rsidP="009B633D">
      <w:pPr>
        <w:pStyle w:val="Heading2"/>
        <w:rPr>
          <w:sz w:val="24"/>
        </w:rPr>
      </w:pPr>
      <w:bookmarkStart w:id="16" w:name="_Toc151782182"/>
      <w:bookmarkStart w:id="17" w:name="_Toc158526222"/>
      <w:r w:rsidRPr="00412C6F">
        <w:rPr>
          <w:sz w:val="24"/>
        </w:rPr>
        <w:t>7. Special Circumstances</w:t>
      </w:r>
      <w:bookmarkEnd w:id="16"/>
      <w:bookmarkEnd w:id="17"/>
    </w:p>
    <w:p w:rsidR="00FF13E5" w:rsidRDefault="00FF13E5" w:rsidP="00FF13E5"/>
    <w:p w:rsidR="00FF13E5" w:rsidRPr="0085499E" w:rsidRDefault="00FF13E5" w:rsidP="00FF13E5">
      <w:r>
        <w:t xml:space="preserve">This data collection will be consistent with the general information collection guidelines of 5 </w:t>
      </w:r>
      <w:smartTag w:uri="urn:schemas-microsoft-com:office:smarttags" w:element="stockticker">
        <w:r>
          <w:t>CFR</w:t>
        </w:r>
      </w:smartTag>
      <w:r w:rsidR="00FD5511">
        <w:t xml:space="preserve"> 1320.4(d)(2). </w:t>
      </w:r>
      <w:r>
        <w:t>No special circumstances apply.</w:t>
      </w:r>
    </w:p>
    <w:p w:rsidR="004E3A1B" w:rsidRDefault="009B633D" w:rsidP="004E3A1B">
      <w:pPr>
        <w:pStyle w:val="Heading2"/>
        <w:rPr>
          <w:sz w:val="24"/>
          <w:szCs w:val="24"/>
        </w:rPr>
      </w:pPr>
      <w:bookmarkStart w:id="18" w:name="_Toc151782183"/>
      <w:bookmarkStart w:id="19" w:name="_Toc158526223"/>
      <w:r w:rsidRPr="00412C6F">
        <w:rPr>
          <w:sz w:val="24"/>
        </w:rPr>
        <w:t>8.</w:t>
      </w:r>
      <w:r w:rsidRPr="004E3A1B">
        <w:rPr>
          <w:sz w:val="24"/>
          <w:szCs w:val="24"/>
        </w:rPr>
        <w:t xml:space="preserve"> </w:t>
      </w:r>
      <w:bookmarkEnd w:id="18"/>
      <w:bookmarkEnd w:id="19"/>
      <w:r w:rsidR="004E3A1B" w:rsidRPr="004E3A1B">
        <w:rPr>
          <w:sz w:val="24"/>
          <w:szCs w:val="24"/>
        </w:rPr>
        <w:t>Federal Register Notice and Outside Consultations</w:t>
      </w:r>
    </w:p>
    <w:p w:rsidR="003E5552" w:rsidRPr="00FD14FC" w:rsidRDefault="003E5552" w:rsidP="004E3A1B"/>
    <w:p w:rsidR="00C7421E" w:rsidRPr="0085499E" w:rsidRDefault="00005C85" w:rsidP="004E3A1B">
      <w:pPr>
        <w:rPr>
          <w:rFonts w:ascii="Arial" w:hAnsi="Arial" w:cs="Arial"/>
          <w:b/>
          <w:bCs/>
          <w:i/>
          <w:iCs/>
        </w:rPr>
      </w:pPr>
      <w:r w:rsidRPr="0085499E">
        <w:rPr>
          <w:rFonts w:ascii="Arial" w:hAnsi="Arial" w:cs="Arial"/>
          <w:b/>
          <w:i/>
        </w:rPr>
        <w:t>8. a</w:t>
      </w:r>
      <w:r w:rsidR="004E3A1B" w:rsidRPr="0085499E">
        <w:rPr>
          <w:rFonts w:ascii="Arial" w:hAnsi="Arial" w:cs="Arial"/>
          <w:b/>
          <w:i/>
        </w:rPr>
        <w:t>.</w:t>
      </w:r>
      <w:r w:rsidR="004E3A1B" w:rsidRPr="0085499E">
        <w:rPr>
          <w:b/>
          <w:i/>
        </w:rPr>
        <w:t xml:space="preserve"> </w:t>
      </w:r>
      <w:r w:rsidR="004E3A1B" w:rsidRPr="0085499E">
        <w:rPr>
          <w:rFonts w:ascii="Arial" w:hAnsi="Arial" w:cs="Arial"/>
          <w:b/>
          <w:bCs/>
          <w:i/>
          <w:iCs/>
        </w:rPr>
        <w:t>Federal Register Notice</w:t>
      </w:r>
    </w:p>
    <w:p w:rsidR="00BE514D" w:rsidRPr="00BE514D" w:rsidRDefault="00A30D9A" w:rsidP="009B633D">
      <w:pPr>
        <w:pStyle w:val="Heading2"/>
        <w:rPr>
          <w:rFonts w:ascii="Times New Roman" w:hAnsi="Times New Roman" w:cs="Times New Roman"/>
          <w:b w:val="0"/>
          <w:i w:val="0"/>
          <w:sz w:val="24"/>
          <w:szCs w:val="24"/>
        </w:rPr>
      </w:pPr>
      <w:r w:rsidRPr="00BE514D">
        <w:rPr>
          <w:rFonts w:ascii="Times New Roman" w:hAnsi="Times New Roman" w:cs="Times New Roman"/>
          <w:b w:val="0"/>
          <w:i w:val="0"/>
          <w:sz w:val="24"/>
          <w:szCs w:val="24"/>
        </w:rPr>
        <w:t xml:space="preserve">As required by </w:t>
      </w:r>
      <w:r w:rsidR="0037771B" w:rsidRPr="00BE514D">
        <w:rPr>
          <w:rFonts w:ascii="Times New Roman" w:hAnsi="Times New Roman" w:cs="Times New Roman"/>
          <w:b w:val="0"/>
          <w:i w:val="0"/>
          <w:sz w:val="24"/>
          <w:szCs w:val="24"/>
        </w:rPr>
        <w:t xml:space="preserve">5 </w:t>
      </w:r>
      <w:smartTag w:uri="urn:schemas-microsoft-com:office:smarttags" w:element="stockticker">
        <w:r w:rsidR="0037771B" w:rsidRPr="00BE514D">
          <w:rPr>
            <w:rFonts w:ascii="Times New Roman" w:hAnsi="Times New Roman" w:cs="Times New Roman"/>
            <w:b w:val="0"/>
            <w:i w:val="0"/>
            <w:sz w:val="24"/>
            <w:szCs w:val="24"/>
          </w:rPr>
          <w:t>CFR</w:t>
        </w:r>
      </w:smartTag>
      <w:r w:rsidR="0037771B" w:rsidRPr="00BE514D">
        <w:rPr>
          <w:rFonts w:ascii="Times New Roman" w:hAnsi="Times New Roman" w:cs="Times New Roman"/>
          <w:b w:val="0"/>
          <w:i w:val="0"/>
          <w:sz w:val="24"/>
          <w:szCs w:val="24"/>
        </w:rPr>
        <w:t xml:space="preserve"> 1320.8(d), n</w:t>
      </w:r>
      <w:r w:rsidR="009374DF" w:rsidRPr="00BE514D">
        <w:rPr>
          <w:rFonts w:ascii="Times New Roman" w:hAnsi="Times New Roman" w:cs="Times New Roman"/>
          <w:b w:val="0"/>
          <w:i w:val="0"/>
          <w:sz w:val="24"/>
          <w:szCs w:val="24"/>
        </w:rPr>
        <w:t xml:space="preserve">otice was published in the Federal Register on </w:t>
      </w:r>
      <w:r w:rsidR="00BE514D">
        <w:rPr>
          <w:rFonts w:ascii="Times New Roman" w:hAnsi="Times New Roman" w:cs="Times New Roman"/>
          <w:b w:val="0"/>
          <w:i w:val="0"/>
          <w:sz w:val="24"/>
          <w:szCs w:val="24"/>
        </w:rPr>
        <w:t xml:space="preserve">(XX </w:t>
      </w:r>
      <w:r w:rsidR="006F7390" w:rsidRPr="00BE514D">
        <w:rPr>
          <w:rFonts w:ascii="Times New Roman" w:hAnsi="Times New Roman" w:cs="Times New Roman"/>
          <w:b w:val="0"/>
          <w:i w:val="0"/>
          <w:sz w:val="24"/>
          <w:szCs w:val="24"/>
        </w:rPr>
        <w:t xml:space="preserve">date) </w:t>
      </w:r>
      <w:r w:rsidR="009374DF" w:rsidRPr="00BE514D">
        <w:rPr>
          <w:rFonts w:ascii="Times New Roman" w:hAnsi="Times New Roman" w:cs="Times New Roman"/>
          <w:b w:val="0"/>
          <w:i w:val="0"/>
          <w:sz w:val="24"/>
          <w:szCs w:val="24"/>
        </w:rPr>
        <w:t>for 60 days</w:t>
      </w:r>
      <w:r w:rsidR="00016560" w:rsidRPr="00BE514D">
        <w:rPr>
          <w:rFonts w:ascii="Times New Roman" w:hAnsi="Times New Roman" w:cs="Times New Roman"/>
          <w:b w:val="0"/>
          <w:i w:val="0"/>
          <w:sz w:val="24"/>
          <w:szCs w:val="24"/>
        </w:rPr>
        <w:t xml:space="preserve"> </w:t>
      </w:r>
      <w:r w:rsidR="00EE4455" w:rsidRPr="00BE514D">
        <w:rPr>
          <w:rFonts w:ascii="Times New Roman" w:hAnsi="Times New Roman" w:cs="Times New Roman"/>
          <w:b w:val="0"/>
          <w:i w:val="0"/>
          <w:sz w:val="24"/>
          <w:szCs w:val="24"/>
        </w:rPr>
        <w:t>(</w:t>
      </w:r>
      <w:r w:rsidR="00F67100" w:rsidRPr="00BE514D">
        <w:rPr>
          <w:rFonts w:ascii="Times New Roman" w:hAnsi="Times New Roman" w:cs="Times New Roman"/>
          <w:b w:val="0"/>
          <w:i w:val="0"/>
          <w:sz w:val="24"/>
          <w:szCs w:val="24"/>
        </w:rPr>
        <w:t>A</w:t>
      </w:r>
      <w:r w:rsidR="00EE4455" w:rsidRPr="00BE514D">
        <w:rPr>
          <w:rFonts w:ascii="Times New Roman" w:hAnsi="Times New Roman" w:cs="Times New Roman"/>
          <w:b w:val="0"/>
          <w:i w:val="0"/>
          <w:sz w:val="24"/>
          <w:szCs w:val="24"/>
        </w:rPr>
        <w:t xml:space="preserve">ttachment </w:t>
      </w:r>
      <w:r w:rsidR="001D2BDC">
        <w:rPr>
          <w:rFonts w:ascii="Times New Roman" w:hAnsi="Times New Roman" w:cs="Times New Roman"/>
          <w:b w:val="0"/>
          <w:i w:val="0"/>
          <w:sz w:val="24"/>
          <w:szCs w:val="24"/>
        </w:rPr>
        <w:t>F</w:t>
      </w:r>
      <w:r w:rsidR="00016560" w:rsidRPr="00BE514D">
        <w:rPr>
          <w:rFonts w:ascii="Times New Roman" w:hAnsi="Times New Roman" w:cs="Times New Roman"/>
          <w:b w:val="0"/>
          <w:i w:val="0"/>
          <w:sz w:val="24"/>
          <w:szCs w:val="24"/>
        </w:rPr>
        <w:t>)</w:t>
      </w:r>
      <w:r w:rsidR="009374DF" w:rsidRPr="00BE514D">
        <w:rPr>
          <w:rFonts w:ascii="Times New Roman" w:hAnsi="Times New Roman" w:cs="Times New Roman"/>
          <w:b w:val="0"/>
          <w:i w:val="0"/>
          <w:sz w:val="24"/>
          <w:szCs w:val="24"/>
        </w:rPr>
        <w:t xml:space="preserve">.  </w:t>
      </w:r>
    </w:p>
    <w:p w:rsidR="009B633D" w:rsidRPr="0085499E" w:rsidRDefault="00005C85" w:rsidP="009B633D">
      <w:pPr>
        <w:pStyle w:val="Heading2"/>
        <w:rPr>
          <w:sz w:val="24"/>
          <w:szCs w:val="24"/>
        </w:rPr>
      </w:pPr>
      <w:r w:rsidRPr="0085499E">
        <w:rPr>
          <w:sz w:val="24"/>
        </w:rPr>
        <w:t>8. b</w:t>
      </w:r>
      <w:r w:rsidR="00BE514D" w:rsidRPr="0085499E">
        <w:rPr>
          <w:sz w:val="24"/>
        </w:rPr>
        <w:t xml:space="preserve">. </w:t>
      </w:r>
      <w:r w:rsidR="004E3A1B" w:rsidRPr="0085499E">
        <w:rPr>
          <w:sz w:val="24"/>
          <w:szCs w:val="24"/>
        </w:rPr>
        <w:t>Outside Consultations</w:t>
      </w:r>
    </w:p>
    <w:p w:rsidR="005C7808" w:rsidRPr="005C7808" w:rsidRDefault="005C7808" w:rsidP="005C7808"/>
    <w:p w:rsidR="00F67100" w:rsidRDefault="007506E1" w:rsidP="001B6A46">
      <w:pPr>
        <w:pStyle w:val="font13"/>
        <w:spacing w:line="240" w:lineRule="auto"/>
        <w:rPr>
          <w:sz w:val="24"/>
        </w:rPr>
      </w:pPr>
      <w:bookmarkStart w:id="20" w:name="_Toc457285506"/>
      <w:bookmarkStart w:id="21" w:name="_Toc58725294"/>
      <w:bookmarkStart w:id="22" w:name="_Toc151782184"/>
      <w:bookmarkStart w:id="23" w:name="_Toc158526224"/>
      <w:r>
        <w:rPr>
          <w:sz w:val="24"/>
        </w:rPr>
        <w:t xml:space="preserve">In developing this project AHRQ </w:t>
      </w:r>
      <w:r w:rsidR="00F67100">
        <w:rPr>
          <w:sz w:val="24"/>
        </w:rPr>
        <w:t>consulted a broad range of experts, including staff in-house, in other Federal agencies such as the (National Library of Medicine, National Institutes of Healt</w:t>
      </w:r>
      <w:r w:rsidR="00BE514D">
        <w:rPr>
          <w:sz w:val="24"/>
        </w:rPr>
        <w:t xml:space="preserve">h), and in other organizations </w:t>
      </w:r>
      <w:r w:rsidR="00101BB8">
        <w:rPr>
          <w:sz w:val="24"/>
        </w:rPr>
        <w:t xml:space="preserve">who </w:t>
      </w:r>
      <w:r w:rsidR="00F67100">
        <w:rPr>
          <w:sz w:val="24"/>
        </w:rPr>
        <w:t xml:space="preserve">have extensive expertise in health service delivery systems, workflow processes, identifying and disseminating innovative processes across industries, and in </w:t>
      </w:r>
      <w:r w:rsidR="00BE514D">
        <w:rPr>
          <w:sz w:val="24"/>
        </w:rPr>
        <w:t xml:space="preserve">health classification systems. </w:t>
      </w:r>
      <w:r w:rsidR="00E07E17">
        <w:rPr>
          <w:sz w:val="24"/>
        </w:rPr>
        <w:t>Ongoing consultations in these areas are</w:t>
      </w:r>
      <w:r w:rsidR="00F67100">
        <w:rPr>
          <w:sz w:val="24"/>
        </w:rPr>
        <w:t xml:space="preserve"> necessary to guide appropriate practices </w:t>
      </w:r>
      <w:r w:rsidR="00E07E17">
        <w:rPr>
          <w:sz w:val="24"/>
        </w:rPr>
        <w:t>for identifying</w:t>
      </w:r>
      <w:r w:rsidR="00F67100">
        <w:rPr>
          <w:sz w:val="24"/>
        </w:rPr>
        <w:t xml:space="preserve">, organizing, classifying and disseminating innovations that result in </w:t>
      </w:r>
      <w:r w:rsidR="00101BB8">
        <w:rPr>
          <w:sz w:val="24"/>
        </w:rPr>
        <w:t xml:space="preserve">health care </w:t>
      </w:r>
      <w:r w:rsidR="00F67100">
        <w:rPr>
          <w:sz w:val="24"/>
        </w:rPr>
        <w:t>quality improveme</w:t>
      </w:r>
      <w:r w:rsidR="00BE514D">
        <w:rPr>
          <w:sz w:val="24"/>
        </w:rPr>
        <w:t xml:space="preserve">nts and disparities reduction. </w:t>
      </w:r>
      <w:r w:rsidR="00F67100">
        <w:rPr>
          <w:sz w:val="24"/>
        </w:rPr>
        <w:t xml:space="preserve">Several examples of expert consultations in support of the Innovations Exchange include the following.  </w:t>
      </w:r>
    </w:p>
    <w:p w:rsidR="00F67100" w:rsidRDefault="00F67100" w:rsidP="00886F55">
      <w:pPr>
        <w:pStyle w:val="font13"/>
        <w:numPr>
          <w:ilvl w:val="0"/>
          <w:numId w:val="5"/>
        </w:numPr>
        <w:tabs>
          <w:tab w:val="clear" w:pos="3960"/>
          <w:tab w:val="num" w:pos="360"/>
        </w:tabs>
        <w:spacing w:line="240" w:lineRule="auto"/>
        <w:ind w:left="360"/>
        <w:rPr>
          <w:sz w:val="24"/>
        </w:rPr>
      </w:pPr>
      <w:r>
        <w:rPr>
          <w:sz w:val="24"/>
        </w:rPr>
        <w:t xml:space="preserve">Guided by AHRQ officials, Westat, the contractor for this project, consulted targeted senior AHRQ staff to identify prospective program sources that might yield eligible innovations through AHRQ grant and contract programs. Additionally, AHRQ staff have been instrumental in helping to establish </w:t>
      </w:r>
      <w:r w:rsidR="00887A08">
        <w:rPr>
          <w:sz w:val="24"/>
        </w:rPr>
        <w:t>criteria that refine</w:t>
      </w:r>
      <w:r>
        <w:rPr>
          <w:sz w:val="24"/>
        </w:rPr>
        <w:t xml:space="preserve"> various definitions of innovation, degrees of innovativeness, and applications of innovations in addressing various care processes in diverse clinical and community-based settings. </w:t>
      </w:r>
    </w:p>
    <w:p w:rsidR="00F67100" w:rsidRDefault="00E07E17" w:rsidP="00886F55">
      <w:pPr>
        <w:pStyle w:val="font13"/>
        <w:numPr>
          <w:ilvl w:val="0"/>
          <w:numId w:val="5"/>
        </w:numPr>
        <w:tabs>
          <w:tab w:val="clear" w:pos="3960"/>
          <w:tab w:val="num" w:pos="360"/>
        </w:tabs>
        <w:spacing w:line="240" w:lineRule="auto"/>
        <w:ind w:left="360"/>
        <w:rPr>
          <w:sz w:val="24"/>
        </w:rPr>
      </w:pPr>
      <w:r>
        <w:rPr>
          <w:sz w:val="24"/>
        </w:rPr>
        <w:t xml:space="preserve">Silverchair, a subcontractor to </w:t>
      </w:r>
      <w:r w:rsidR="00F67100">
        <w:rPr>
          <w:sz w:val="24"/>
        </w:rPr>
        <w:t>Westat,</w:t>
      </w:r>
      <w:r>
        <w:rPr>
          <w:sz w:val="24"/>
        </w:rPr>
        <w:t xml:space="preserve"> is</w:t>
      </w:r>
      <w:r w:rsidR="00F67100">
        <w:rPr>
          <w:sz w:val="24"/>
        </w:rPr>
        <w:t xml:space="preserve"> a nationally recognized health information technology firm with a substantial track record in developing high-value, information-critical products for the health care community.  For the Innovations Exchange, Silverchair’s role is to help create domain specific taxonomies, facilitate the ad</w:t>
      </w:r>
      <w:r w:rsidR="007506E1">
        <w:rPr>
          <w:sz w:val="24"/>
        </w:rPr>
        <w:t xml:space="preserve">aptation of legacy systems, to operate and maintain the Web site. </w:t>
      </w:r>
      <w:r w:rsidR="00F67100">
        <w:rPr>
          <w:sz w:val="24"/>
        </w:rPr>
        <w:t>Supported by a cadre of professional medical indexers, Silverchair</w:t>
      </w:r>
      <w:r w:rsidR="00FD5511">
        <w:rPr>
          <w:sz w:val="24"/>
        </w:rPr>
        <w:t xml:space="preserve"> </w:t>
      </w:r>
      <w:r w:rsidR="00F67100">
        <w:rPr>
          <w:sz w:val="24"/>
        </w:rPr>
        <w:t>provide</w:t>
      </w:r>
      <w:r w:rsidR="0062628F">
        <w:rPr>
          <w:sz w:val="24"/>
        </w:rPr>
        <w:t>s</w:t>
      </w:r>
      <w:r w:rsidR="00F67100">
        <w:rPr>
          <w:sz w:val="24"/>
        </w:rPr>
        <w:t xml:space="preserve"> assistance with taxonomy </w:t>
      </w:r>
      <w:r w:rsidR="0062628F">
        <w:rPr>
          <w:sz w:val="24"/>
        </w:rPr>
        <w:t xml:space="preserve">refinement </w:t>
      </w:r>
      <w:r w:rsidR="00F67100">
        <w:rPr>
          <w:sz w:val="24"/>
        </w:rPr>
        <w:t xml:space="preserve">and semantic tagging.  </w:t>
      </w:r>
    </w:p>
    <w:p w:rsidR="00F67100" w:rsidRDefault="00F67100" w:rsidP="00886F55">
      <w:pPr>
        <w:pStyle w:val="font13"/>
        <w:numPr>
          <w:ilvl w:val="0"/>
          <w:numId w:val="5"/>
        </w:numPr>
        <w:tabs>
          <w:tab w:val="clear" w:pos="3960"/>
          <w:tab w:val="num" w:pos="360"/>
        </w:tabs>
        <w:spacing w:line="240" w:lineRule="auto"/>
        <w:ind w:left="360"/>
        <w:rPr>
          <w:sz w:val="24"/>
        </w:rPr>
      </w:pPr>
      <w:r>
        <w:rPr>
          <w:sz w:val="24"/>
        </w:rPr>
        <w:lastRenderedPageBreak/>
        <w:t>Dr. Brian Mittman, an internationally regarded senior social scientist with expertise in</w:t>
      </w:r>
      <w:r w:rsidR="00D42E87">
        <w:rPr>
          <w:sz w:val="24"/>
        </w:rPr>
        <w:t xml:space="preserve"> implementation science</w:t>
      </w:r>
      <w:r w:rsidR="006F7390">
        <w:rPr>
          <w:sz w:val="24"/>
        </w:rPr>
        <w:t>,</w:t>
      </w:r>
      <w:r w:rsidR="00D42E87">
        <w:rPr>
          <w:sz w:val="24"/>
        </w:rPr>
        <w:t xml:space="preserve"> provided</w:t>
      </w:r>
      <w:r>
        <w:rPr>
          <w:sz w:val="24"/>
        </w:rPr>
        <w:t xml:space="preserve"> insight into service systems for veterans via his position as Director for the </w:t>
      </w:r>
      <w:r w:rsidR="0059304D">
        <w:rPr>
          <w:sz w:val="24"/>
        </w:rPr>
        <w:t>VA Center for Implementation Practice and Research Support,</w:t>
      </w:r>
      <w:r>
        <w:rPr>
          <w:sz w:val="24"/>
        </w:rPr>
        <w:t xml:space="preserve"> Dep</w:t>
      </w:r>
      <w:r w:rsidR="007506E1">
        <w:rPr>
          <w:sz w:val="24"/>
        </w:rPr>
        <w:t>artment of Veterans Affairs.</w:t>
      </w:r>
    </w:p>
    <w:p w:rsidR="00F67100" w:rsidRDefault="00F67100" w:rsidP="00886F55">
      <w:pPr>
        <w:pStyle w:val="font13"/>
        <w:numPr>
          <w:ilvl w:val="0"/>
          <w:numId w:val="5"/>
        </w:numPr>
        <w:tabs>
          <w:tab w:val="clear" w:pos="3960"/>
          <w:tab w:val="num" w:pos="360"/>
        </w:tabs>
        <w:spacing w:line="240" w:lineRule="auto"/>
        <w:ind w:left="360"/>
        <w:rPr>
          <w:sz w:val="24"/>
        </w:rPr>
      </w:pPr>
      <w:r>
        <w:rPr>
          <w:sz w:val="24"/>
        </w:rPr>
        <w:t>Paul Plesk, a nationally recognize</w:t>
      </w:r>
      <w:r w:rsidR="00E07E17">
        <w:rPr>
          <w:sz w:val="24"/>
        </w:rPr>
        <w:t>d expert in health</w:t>
      </w:r>
      <w:r w:rsidR="00D42E87">
        <w:rPr>
          <w:sz w:val="24"/>
        </w:rPr>
        <w:t xml:space="preserve"> care</w:t>
      </w:r>
      <w:r w:rsidR="00E07E17">
        <w:rPr>
          <w:sz w:val="24"/>
        </w:rPr>
        <w:t xml:space="preserve"> innovation has</w:t>
      </w:r>
      <w:r>
        <w:rPr>
          <w:sz w:val="24"/>
        </w:rPr>
        <w:t xml:space="preserve"> consulted on an ongoing basis relative to criteria development/refinement, positioning of quality improvement innovations and message development to promote adoption of effective practices.</w:t>
      </w:r>
    </w:p>
    <w:p w:rsidR="00013105" w:rsidRDefault="00B15C3B" w:rsidP="00886F55">
      <w:pPr>
        <w:pStyle w:val="font13"/>
        <w:numPr>
          <w:ilvl w:val="0"/>
          <w:numId w:val="5"/>
        </w:numPr>
        <w:tabs>
          <w:tab w:val="clear" w:pos="3960"/>
          <w:tab w:val="num" w:pos="360"/>
        </w:tabs>
        <w:spacing w:line="240" w:lineRule="auto"/>
        <w:ind w:left="360"/>
        <w:rPr>
          <w:sz w:val="24"/>
        </w:rPr>
      </w:pPr>
      <w:r>
        <w:rPr>
          <w:sz w:val="24"/>
        </w:rPr>
        <w:t>Tamra Minnier, C</w:t>
      </w:r>
      <w:r w:rsidR="0061336F" w:rsidRPr="00B15C3B">
        <w:rPr>
          <w:color w:val="000000"/>
          <w:sz w:val="24"/>
          <w:szCs w:val="24"/>
        </w:rPr>
        <w:t xml:space="preserve">hief </w:t>
      </w:r>
      <w:r>
        <w:rPr>
          <w:color w:val="000000"/>
          <w:sz w:val="24"/>
          <w:szCs w:val="24"/>
        </w:rPr>
        <w:t>Q</w:t>
      </w:r>
      <w:r w:rsidR="0061336F" w:rsidRPr="00B15C3B">
        <w:rPr>
          <w:color w:val="000000"/>
          <w:sz w:val="24"/>
          <w:szCs w:val="24"/>
        </w:rPr>
        <w:t xml:space="preserve">uality </w:t>
      </w:r>
      <w:r>
        <w:rPr>
          <w:color w:val="000000"/>
          <w:sz w:val="24"/>
          <w:szCs w:val="24"/>
        </w:rPr>
        <w:t>O</w:t>
      </w:r>
      <w:r w:rsidR="0061336F" w:rsidRPr="00B15C3B">
        <w:rPr>
          <w:color w:val="000000"/>
          <w:sz w:val="24"/>
          <w:szCs w:val="24"/>
        </w:rPr>
        <w:t>fficer for the University of Pit</w:t>
      </w:r>
      <w:r>
        <w:rPr>
          <w:color w:val="000000"/>
          <w:sz w:val="24"/>
          <w:szCs w:val="24"/>
        </w:rPr>
        <w:t xml:space="preserve">tsburgh Medical Center, </w:t>
      </w:r>
      <w:r w:rsidR="0061336F" w:rsidRPr="00B15C3B">
        <w:rPr>
          <w:color w:val="000000"/>
          <w:sz w:val="24"/>
          <w:szCs w:val="24"/>
        </w:rPr>
        <w:t>an integrated health care delivery system with over 18</w:t>
      </w:r>
      <w:r>
        <w:rPr>
          <w:color w:val="000000"/>
          <w:sz w:val="24"/>
          <w:szCs w:val="24"/>
        </w:rPr>
        <w:t xml:space="preserve"> hospitals and</w:t>
      </w:r>
      <w:r w:rsidR="0061336F" w:rsidRPr="00B15C3B">
        <w:rPr>
          <w:color w:val="000000"/>
          <w:sz w:val="24"/>
          <w:szCs w:val="24"/>
        </w:rPr>
        <w:t xml:space="preserve"> a 1.3 million member health plan</w:t>
      </w:r>
      <w:r w:rsidR="00342D8E">
        <w:rPr>
          <w:color w:val="000000"/>
          <w:sz w:val="24"/>
          <w:szCs w:val="24"/>
        </w:rPr>
        <w:t>, provides</w:t>
      </w:r>
      <w:r>
        <w:rPr>
          <w:color w:val="000000"/>
          <w:sz w:val="24"/>
          <w:szCs w:val="24"/>
        </w:rPr>
        <w:t xml:space="preserve"> expertise in nursing and quality improv</w:t>
      </w:r>
      <w:r w:rsidR="00342D8E">
        <w:rPr>
          <w:color w:val="000000"/>
          <w:sz w:val="24"/>
          <w:szCs w:val="24"/>
        </w:rPr>
        <w:t>ement</w:t>
      </w:r>
      <w:r w:rsidR="002162BB">
        <w:rPr>
          <w:color w:val="000000"/>
          <w:sz w:val="24"/>
          <w:szCs w:val="24"/>
        </w:rPr>
        <w:t>.</w:t>
      </w:r>
    </w:p>
    <w:p w:rsidR="00F67100" w:rsidRDefault="00F67100" w:rsidP="00886F55">
      <w:pPr>
        <w:pStyle w:val="font13"/>
        <w:numPr>
          <w:ilvl w:val="0"/>
          <w:numId w:val="5"/>
        </w:numPr>
        <w:tabs>
          <w:tab w:val="clear" w:pos="3960"/>
          <w:tab w:val="num" w:pos="360"/>
        </w:tabs>
        <w:spacing w:line="240" w:lineRule="auto"/>
        <w:ind w:left="360"/>
        <w:rPr>
          <w:sz w:val="24"/>
        </w:rPr>
      </w:pPr>
      <w:r>
        <w:rPr>
          <w:sz w:val="24"/>
        </w:rPr>
        <w:t>Dr. Greg Pawlson, an executive leader of the National Committee for Quality Assurance (NCQA)—a premiere quality improvement health care organization—provides leadership to the project as the Chair of the Expert Panel.  In this capacity, Dr. Pawlson fa</w:t>
      </w:r>
      <w:r w:rsidR="00D42E87">
        <w:rPr>
          <w:sz w:val="24"/>
        </w:rPr>
        <w:t>cilitates dialogue and garners</w:t>
      </w:r>
      <w:r>
        <w:rPr>
          <w:sz w:val="24"/>
        </w:rPr>
        <w:t xml:space="preserve"> input from a broad range of health care experts in support of the Innovations Exchange.  </w:t>
      </w:r>
    </w:p>
    <w:p w:rsidR="00FD5511" w:rsidRDefault="00F67100" w:rsidP="00FD5511">
      <w:pPr>
        <w:pStyle w:val="font13"/>
        <w:spacing w:after="0" w:line="240" w:lineRule="auto"/>
        <w:rPr>
          <w:sz w:val="24"/>
        </w:rPr>
      </w:pPr>
      <w:r>
        <w:rPr>
          <w:sz w:val="24"/>
        </w:rPr>
        <w:t>The above descriptions represent a few examples of the experts consulted, the types of issues discussed a</w:t>
      </w:r>
      <w:r w:rsidR="00C9655A">
        <w:rPr>
          <w:sz w:val="24"/>
        </w:rPr>
        <w:t>nd queries that have been made.</w:t>
      </w:r>
      <w:r>
        <w:rPr>
          <w:sz w:val="24"/>
        </w:rPr>
        <w:t xml:space="preserve"> </w:t>
      </w:r>
      <w:r w:rsidR="00E07E17">
        <w:rPr>
          <w:sz w:val="24"/>
        </w:rPr>
        <w:t xml:space="preserve">Attachment </w:t>
      </w:r>
      <w:r w:rsidR="00342D8E">
        <w:rPr>
          <w:sz w:val="24"/>
        </w:rPr>
        <w:t>F</w:t>
      </w:r>
      <w:r w:rsidR="0059639E">
        <w:rPr>
          <w:sz w:val="24"/>
        </w:rPr>
        <w:t xml:space="preserve"> </w:t>
      </w:r>
      <w:r w:rsidR="00FD5511">
        <w:rPr>
          <w:sz w:val="24"/>
        </w:rPr>
        <w:t xml:space="preserve">provides </w:t>
      </w:r>
      <w:r>
        <w:rPr>
          <w:sz w:val="24"/>
        </w:rPr>
        <w:t>a more</w:t>
      </w:r>
      <w:r w:rsidR="00E07E17">
        <w:rPr>
          <w:sz w:val="24"/>
        </w:rPr>
        <w:t xml:space="preserve"> extensive list of other experts who</w:t>
      </w:r>
      <w:r>
        <w:rPr>
          <w:sz w:val="24"/>
        </w:rPr>
        <w:t xml:space="preserve"> have been engaged d</w:t>
      </w:r>
      <w:r w:rsidR="0059304D">
        <w:rPr>
          <w:sz w:val="24"/>
        </w:rPr>
        <w:t>uring</w:t>
      </w:r>
      <w:r w:rsidR="0062628F">
        <w:rPr>
          <w:sz w:val="24"/>
        </w:rPr>
        <w:t xml:space="preserve"> both</w:t>
      </w:r>
      <w:r w:rsidR="00FD5511">
        <w:rPr>
          <w:sz w:val="24"/>
        </w:rPr>
        <w:t xml:space="preserve"> the development and ongoing</w:t>
      </w:r>
      <w:r w:rsidR="0062628F">
        <w:rPr>
          <w:sz w:val="24"/>
        </w:rPr>
        <w:t xml:space="preserve"> operations</w:t>
      </w:r>
      <w:r w:rsidR="0059304D">
        <w:rPr>
          <w:sz w:val="24"/>
        </w:rPr>
        <w:t xml:space="preserve"> </w:t>
      </w:r>
      <w:r>
        <w:rPr>
          <w:sz w:val="24"/>
        </w:rPr>
        <w:t>of the Innovations Exchange project.</w:t>
      </w:r>
    </w:p>
    <w:p w:rsidR="00FD5511" w:rsidRPr="00FD5511" w:rsidRDefault="00FD5511" w:rsidP="00FD5511">
      <w:pPr>
        <w:pStyle w:val="font13"/>
        <w:spacing w:after="0" w:line="240" w:lineRule="auto"/>
        <w:rPr>
          <w:sz w:val="24"/>
        </w:rPr>
      </w:pPr>
    </w:p>
    <w:p w:rsidR="0038217D" w:rsidRPr="0059639E" w:rsidRDefault="009B633D" w:rsidP="00FD5511">
      <w:pPr>
        <w:rPr>
          <w:rFonts w:ascii="Arial" w:hAnsi="Arial" w:cs="Arial"/>
          <w:b/>
          <w:i/>
        </w:rPr>
      </w:pPr>
      <w:r w:rsidRPr="0059639E">
        <w:rPr>
          <w:rFonts w:ascii="Arial" w:hAnsi="Arial" w:cs="Arial"/>
          <w:b/>
          <w:i/>
        </w:rPr>
        <w:t>9. Payments/Gifts to Respondents</w:t>
      </w:r>
      <w:bookmarkEnd w:id="20"/>
      <w:bookmarkEnd w:id="21"/>
      <w:bookmarkEnd w:id="22"/>
      <w:bookmarkEnd w:id="23"/>
    </w:p>
    <w:p w:rsidR="00FF13E5" w:rsidRPr="00EC42A0" w:rsidRDefault="00FF13E5" w:rsidP="00EC42A0">
      <w:pPr>
        <w:rPr>
          <w:rFonts w:ascii="Arial" w:hAnsi="Arial" w:cs="Arial"/>
          <w:b/>
        </w:rPr>
      </w:pPr>
    </w:p>
    <w:p w:rsidR="0059304D" w:rsidRDefault="00FF13E5" w:rsidP="00FF13E5">
      <w:r>
        <w:t xml:space="preserve">No payments or gifts </w:t>
      </w:r>
      <w:r w:rsidR="0085499E">
        <w:t>will be offered to respondents.</w:t>
      </w:r>
    </w:p>
    <w:p w:rsidR="009B633D" w:rsidRPr="00412C6F" w:rsidRDefault="009B633D" w:rsidP="009B633D">
      <w:pPr>
        <w:pStyle w:val="Heading2"/>
        <w:rPr>
          <w:sz w:val="24"/>
        </w:rPr>
      </w:pPr>
      <w:bookmarkStart w:id="24" w:name="_Toc151782185"/>
      <w:bookmarkStart w:id="25" w:name="_Toc158526225"/>
      <w:r w:rsidRPr="00412C6F">
        <w:rPr>
          <w:sz w:val="24"/>
        </w:rPr>
        <w:t>10. Assurance of Confidentiality</w:t>
      </w:r>
      <w:bookmarkEnd w:id="24"/>
      <w:bookmarkEnd w:id="25"/>
    </w:p>
    <w:p w:rsidR="00FF13E5" w:rsidRDefault="00FF13E5" w:rsidP="00FF13E5">
      <w:pPr>
        <w:rPr>
          <w:rFonts w:ascii="Arial" w:hAnsi="Arial" w:cs="Arial"/>
          <w:b/>
          <w:bCs/>
          <w:i/>
          <w:iCs/>
          <w:szCs w:val="28"/>
        </w:rPr>
      </w:pPr>
      <w:bookmarkStart w:id="26" w:name="_Toc151782186"/>
      <w:bookmarkStart w:id="27" w:name="_Toc158526226"/>
    </w:p>
    <w:p w:rsidR="0059304D" w:rsidRDefault="00FF13E5" w:rsidP="00FF13E5">
      <w:r>
        <w:t>No assurance of confidentiali</w:t>
      </w:r>
      <w:r w:rsidR="0085499E">
        <w:t>ty will be made to respondents.</w:t>
      </w:r>
    </w:p>
    <w:p w:rsidR="009B633D" w:rsidRDefault="009B633D" w:rsidP="009B633D">
      <w:pPr>
        <w:pStyle w:val="Heading2"/>
        <w:rPr>
          <w:sz w:val="24"/>
        </w:rPr>
      </w:pPr>
      <w:r w:rsidRPr="00412C6F">
        <w:rPr>
          <w:sz w:val="24"/>
        </w:rPr>
        <w:t>11. Questions of a Sensitive Nature</w:t>
      </w:r>
      <w:bookmarkEnd w:id="26"/>
      <w:bookmarkEnd w:id="27"/>
    </w:p>
    <w:p w:rsidR="009E644D" w:rsidRPr="009E644D" w:rsidRDefault="009E644D" w:rsidP="009E644D"/>
    <w:p w:rsidR="0059304D" w:rsidRDefault="009E644D" w:rsidP="009E644D">
      <w:bookmarkStart w:id="28" w:name="_Toc151782187"/>
      <w:bookmarkStart w:id="29" w:name="_Toc158526227"/>
      <w:r>
        <w:t>No questions of a sensitive nature are in</w:t>
      </w:r>
      <w:r w:rsidR="009745C3">
        <w:t>cluded in the interview guide</w:t>
      </w:r>
      <w:r w:rsidR="000D355F">
        <w:t xml:space="preserve"> or email submission guidelines</w:t>
      </w:r>
      <w:r w:rsidR="009745C3">
        <w:t>.</w:t>
      </w:r>
    </w:p>
    <w:p w:rsidR="009B633D" w:rsidRDefault="006021D5" w:rsidP="009B633D">
      <w:pPr>
        <w:pStyle w:val="Heading2"/>
        <w:rPr>
          <w:sz w:val="24"/>
        </w:rPr>
      </w:pPr>
      <w:r>
        <w:rPr>
          <w:sz w:val="24"/>
        </w:rPr>
        <w:t xml:space="preserve">12. </w:t>
      </w:r>
      <w:r w:rsidR="002007E0">
        <w:rPr>
          <w:sz w:val="24"/>
        </w:rPr>
        <w:t>Estimates of</w:t>
      </w:r>
      <w:r w:rsidR="000473C1">
        <w:rPr>
          <w:sz w:val="24"/>
        </w:rPr>
        <w:t xml:space="preserve"> </w:t>
      </w:r>
      <w:r w:rsidR="009B633D" w:rsidRPr="00322AED">
        <w:rPr>
          <w:sz w:val="24"/>
        </w:rPr>
        <w:t>Annualized Burden Hours and Costs</w:t>
      </w:r>
      <w:bookmarkEnd w:id="28"/>
      <w:bookmarkEnd w:id="29"/>
    </w:p>
    <w:p w:rsidR="0094540F" w:rsidRPr="0094540F" w:rsidRDefault="0094540F" w:rsidP="0094540F"/>
    <w:p w:rsidR="00C618F7" w:rsidRDefault="009243E7" w:rsidP="00DC0AD9">
      <w:r>
        <w:t xml:space="preserve">Exhibit </w:t>
      </w:r>
      <w:r w:rsidR="006021D5">
        <w:t xml:space="preserve">1 shows the </w:t>
      </w:r>
      <w:r w:rsidR="000473C1">
        <w:t xml:space="preserve">estimated </w:t>
      </w:r>
      <w:r w:rsidR="005B01A4">
        <w:t>annualized bu</w:t>
      </w:r>
      <w:r w:rsidR="00143CE2">
        <w:t>rden hours for the respondents</w:t>
      </w:r>
      <w:r w:rsidR="00D770CA">
        <w:t>’ time to participate in this project</w:t>
      </w:r>
      <w:r w:rsidR="00143CE2">
        <w:t>.</w:t>
      </w:r>
      <w:r w:rsidR="005B01A4">
        <w:t xml:space="preserve"> </w:t>
      </w:r>
      <w:r w:rsidR="00A01561">
        <w:t xml:space="preserve">Approximately </w:t>
      </w:r>
      <w:r w:rsidR="007F096F">
        <w:t>167</w:t>
      </w:r>
      <w:r w:rsidR="00A01561">
        <w:t xml:space="preserve"> innovators will participate in the initial data collection each year </w:t>
      </w:r>
      <w:r w:rsidR="00957C50">
        <w:t>with 150 of those being added to the Innovations Exchange</w:t>
      </w:r>
      <w:r w:rsidR="00A01561">
        <w:t>.</w:t>
      </w:r>
      <w:r w:rsidR="002244A7">
        <w:t xml:space="preserve">  About 17 innovations will be submitted by ema</w:t>
      </w:r>
      <w:r w:rsidR="004613C2">
        <w:t xml:space="preserve">il, which requires 30 minutes. </w:t>
      </w:r>
      <w:r w:rsidR="002244A7">
        <w:t>All 167 potential innovations will participate in the health care innovator interview, includi</w:t>
      </w:r>
      <w:r w:rsidR="004613C2">
        <w:t xml:space="preserve">ng the 17 submitted via email. </w:t>
      </w:r>
      <w:r w:rsidR="002244A7">
        <w:t xml:space="preserve">The interview will last about 60 minutes and an </w:t>
      </w:r>
      <w:r w:rsidR="006F265D">
        <w:t xml:space="preserve">additional </w:t>
      </w:r>
      <w:r w:rsidR="007119BC" w:rsidRPr="002244A7">
        <w:t>15 minutes</w:t>
      </w:r>
      <w:r w:rsidR="007119BC" w:rsidRPr="006F265D">
        <w:rPr>
          <w:b/>
        </w:rPr>
        <w:t xml:space="preserve"> </w:t>
      </w:r>
      <w:r w:rsidR="007119BC">
        <w:t xml:space="preserve">is typically required for the innovator to review and comment on the written profile. </w:t>
      </w:r>
    </w:p>
    <w:p w:rsidR="007119BC" w:rsidRDefault="007119BC" w:rsidP="00DC0AD9"/>
    <w:p w:rsidR="00D04811" w:rsidRDefault="00841886" w:rsidP="00DC0AD9">
      <w:r>
        <w:lastRenderedPageBreak/>
        <w:t xml:space="preserve">Based on </w:t>
      </w:r>
      <w:r w:rsidR="00DE5E77">
        <w:t xml:space="preserve">experience, </w:t>
      </w:r>
      <w:r w:rsidR="00C618F7">
        <w:t>approximately 10% of the candidate innovations either will not meet the inclusion criteria or their innovators will decide not to continue their participation</w:t>
      </w:r>
      <w:r w:rsidR="00372548">
        <w:t>, after the interview</w:t>
      </w:r>
      <w:r w:rsidR="00C618F7">
        <w:t xml:space="preserve">. Therefore, </w:t>
      </w:r>
      <w:r w:rsidR="00D04811">
        <w:t>about 90% (</w:t>
      </w:r>
      <w:r w:rsidR="002244A7">
        <w:t>150</w:t>
      </w:r>
      <w:r w:rsidR="00D04811">
        <w:t xml:space="preserve">) of the </w:t>
      </w:r>
      <w:r w:rsidR="002244A7">
        <w:t xml:space="preserve">167 </w:t>
      </w:r>
      <w:r w:rsidR="00840CA4">
        <w:t>candidate innovations</w:t>
      </w:r>
      <w:r w:rsidR="00D04811">
        <w:t xml:space="preserve"> will move into the publication stage</w:t>
      </w:r>
      <w:r w:rsidR="002244A7">
        <w:t xml:space="preserve"> each year</w:t>
      </w:r>
      <w:r w:rsidR="00D04811">
        <w:t>.</w:t>
      </w:r>
      <w:r w:rsidR="004613C2">
        <w:t xml:space="preserve"> </w:t>
      </w:r>
      <w:r w:rsidR="001F2257">
        <w:t>Annual follow-up reviews will be conducted with all innovations that have been in the Innovations Exchan</w:t>
      </w:r>
      <w:r w:rsidR="004613C2">
        <w:t xml:space="preserve">ge for at least one full year. </w:t>
      </w:r>
      <w:r w:rsidR="001F2257">
        <w:t xml:space="preserve">With an expected total of 575 innovations in the Exchange by the end of the current approval period, and an additional 450 to be added over the course of the next 3 year approval period, an average of 725 reviews will be conducted annually and will require about </w:t>
      </w:r>
      <w:r w:rsidR="004673DD">
        <w:t>30 minutes to complete.  The total annualized burden is estimated to be 58</w:t>
      </w:r>
      <w:r w:rsidR="00A92204">
        <w:t>1</w:t>
      </w:r>
      <w:r w:rsidR="004673DD">
        <w:t xml:space="preserve"> hours.</w:t>
      </w:r>
    </w:p>
    <w:p w:rsidR="00805824" w:rsidRDefault="00805824" w:rsidP="00DC0AD9"/>
    <w:p w:rsidR="00D04811" w:rsidRPr="000A16FA" w:rsidRDefault="009243E7" w:rsidP="00D04811">
      <w:pPr>
        <w:spacing w:line="360" w:lineRule="auto"/>
        <w:rPr>
          <w:b/>
        </w:rPr>
      </w:pPr>
      <w:r>
        <w:rPr>
          <w:b/>
        </w:rPr>
        <w:t>Exhibit</w:t>
      </w:r>
      <w:r w:rsidRPr="000A16FA">
        <w:rPr>
          <w:b/>
        </w:rPr>
        <w:t xml:space="preserve"> </w:t>
      </w:r>
      <w:r w:rsidR="00D04811" w:rsidRPr="000A16FA">
        <w:rPr>
          <w:b/>
        </w:rPr>
        <w:t>1</w:t>
      </w:r>
      <w:r w:rsidR="006021D5">
        <w:rPr>
          <w:b/>
        </w:rPr>
        <w:t xml:space="preserve">: </w:t>
      </w:r>
      <w:r w:rsidR="000473C1">
        <w:rPr>
          <w:b/>
        </w:rPr>
        <w:t xml:space="preserve">Estimated </w:t>
      </w:r>
      <w:r w:rsidR="006F265D">
        <w:rPr>
          <w:b/>
        </w:rPr>
        <w:t>a</w:t>
      </w:r>
      <w:r w:rsidR="006F19A3">
        <w:rPr>
          <w:b/>
        </w:rPr>
        <w:t>nnualized burden hours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0"/>
        <w:gridCol w:w="1620"/>
        <w:gridCol w:w="1620"/>
        <w:gridCol w:w="1260"/>
        <w:gridCol w:w="990"/>
      </w:tblGrid>
      <w:tr w:rsidR="00D04811" w:rsidTr="00746E36">
        <w:tc>
          <w:tcPr>
            <w:tcW w:w="2970" w:type="dxa"/>
            <w:vAlign w:val="center"/>
          </w:tcPr>
          <w:p w:rsidR="00D04811" w:rsidRDefault="00CD6387" w:rsidP="00CD6387">
            <w:pPr>
              <w:jc w:val="center"/>
            </w:pPr>
            <w:r>
              <w:t>Form name</w:t>
            </w:r>
          </w:p>
        </w:tc>
        <w:tc>
          <w:tcPr>
            <w:tcW w:w="1620" w:type="dxa"/>
            <w:vAlign w:val="center"/>
          </w:tcPr>
          <w:p w:rsidR="00D04811" w:rsidRDefault="00D04811" w:rsidP="00456425">
            <w:pPr>
              <w:jc w:val="center"/>
            </w:pPr>
            <w:r>
              <w:t>Number of Respondents</w:t>
            </w:r>
          </w:p>
        </w:tc>
        <w:tc>
          <w:tcPr>
            <w:tcW w:w="1620" w:type="dxa"/>
            <w:vAlign w:val="center"/>
          </w:tcPr>
          <w:p w:rsidR="00D04811" w:rsidRDefault="00D04811" w:rsidP="00456425">
            <w:pPr>
              <w:jc w:val="center"/>
            </w:pPr>
            <w:r>
              <w:t>Number of Responses per Respondent</w:t>
            </w:r>
          </w:p>
        </w:tc>
        <w:tc>
          <w:tcPr>
            <w:tcW w:w="1260" w:type="dxa"/>
            <w:vAlign w:val="center"/>
          </w:tcPr>
          <w:p w:rsidR="00D04811" w:rsidRDefault="00CD6387" w:rsidP="00456425">
            <w:pPr>
              <w:jc w:val="center"/>
            </w:pPr>
            <w:r>
              <w:t>Hours per response</w:t>
            </w:r>
            <w:r w:rsidR="00D04811">
              <w:t xml:space="preserve"> </w:t>
            </w:r>
          </w:p>
        </w:tc>
        <w:tc>
          <w:tcPr>
            <w:tcW w:w="990" w:type="dxa"/>
            <w:vAlign w:val="center"/>
          </w:tcPr>
          <w:p w:rsidR="00D04811" w:rsidRDefault="00D04811" w:rsidP="00456425">
            <w:pPr>
              <w:jc w:val="center"/>
            </w:pPr>
            <w:r>
              <w:t>Total Burden Hours</w:t>
            </w:r>
          </w:p>
        </w:tc>
      </w:tr>
      <w:tr w:rsidR="0094505E" w:rsidTr="00746E36">
        <w:tc>
          <w:tcPr>
            <w:tcW w:w="2970" w:type="dxa"/>
            <w:vAlign w:val="center"/>
          </w:tcPr>
          <w:p w:rsidR="0094505E" w:rsidRDefault="0094505E" w:rsidP="00CD6387">
            <w:r>
              <w:t>Email submission</w:t>
            </w:r>
          </w:p>
        </w:tc>
        <w:tc>
          <w:tcPr>
            <w:tcW w:w="1620" w:type="dxa"/>
            <w:vAlign w:val="center"/>
          </w:tcPr>
          <w:p w:rsidR="0094505E" w:rsidRDefault="00322AED" w:rsidP="00404719">
            <w:pPr>
              <w:jc w:val="center"/>
            </w:pPr>
            <w:r>
              <w:t>17</w:t>
            </w:r>
          </w:p>
        </w:tc>
        <w:tc>
          <w:tcPr>
            <w:tcW w:w="1620" w:type="dxa"/>
            <w:vAlign w:val="center"/>
          </w:tcPr>
          <w:p w:rsidR="0094505E" w:rsidRDefault="0094505E" w:rsidP="00404719">
            <w:pPr>
              <w:jc w:val="center"/>
            </w:pPr>
            <w:r>
              <w:t>1</w:t>
            </w:r>
          </w:p>
        </w:tc>
        <w:tc>
          <w:tcPr>
            <w:tcW w:w="1260" w:type="dxa"/>
            <w:vAlign w:val="center"/>
          </w:tcPr>
          <w:p w:rsidR="0094505E" w:rsidRDefault="00CD6387" w:rsidP="00404719">
            <w:pPr>
              <w:jc w:val="center"/>
            </w:pPr>
            <w:r>
              <w:t>30/60</w:t>
            </w:r>
          </w:p>
        </w:tc>
        <w:tc>
          <w:tcPr>
            <w:tcW w:w="990" w:type="dxa"/>
            <w:vAlign w:val="center"/>
          </w:tcPr>
          <w:p w:rsidR="0094505E" w:rsidRDefault="00957C50" w:rsidP="00404719">
            <w:pPr>
              <w:jc w:val="center"/>
            </w:pPr>
            <w:r>
              <w:t>9</w:t>
            </w:r>
          </w:p>
        </w:tc>
      </w:tr>
      <w:tr w:rsidR="00D04811" w:rsidTr="00746E36">
        <w:tc>
          <w:tcPr>
            <w:tcW w:w="2970" w:type="dxa"/>
            <w:vAlign w:val="center"/>
          </w:tcPr>
          <w:p w:rsidR="00D04811" w:rsidRDefault="00D04811" w:rsidP="00957C50">
            <w:r>
              <w:t>Health care innovator</w:t>
            </w:r>
            <w:r w:rsidR="009E498A">
              <w:t xml:space="preserve"> interview</w:t>
            </w:r>
          </w:p>
        </w:tc>
        <w:tc>
          <w:tcPr>
            <w:tcW w:w="1620" w:type="dxa"/>
            <w:vAlign w:val="center"/>
          </w:tcPr>
          <w:p w:rsidR="00D04811" w:rsidRDefault="00957C50" w:rsidP="00456425">
            <w:pPr>
              <w:jc w:val="center"/>
            </w:pPr>
            <w:r>
              <w:t>167</w:t>
            </w:r>
          </w:p>
        </w:tc>
        <w:tc>
          <w:tcPr>
            <w:tcW w:w="1620" w:type="dxa"/>
            <w:vAlign w:val="center"/>
          </w:tcPr>
          <w:p w:rsidR="00D04811" w:rsidRDefault="009E498A" w:rsidP="00456425">
            <w:pPr>
              <w:jc w:val="center"/>
            </w:pPr>
            <w:r>
              <w:t>1</w:t>
            </w:r>
          </w:p>
        </w:tc>
        <w:tc>
          <w:tcPr>
            <w:tcW w:w="1260" w:type="dxa"/>
            <w:vAlign w:val="center"/>
          </w:tcPr>
          <w:p w:rsidR="00D04811" w:rsidRDefault="00243943" w:rsidP="00456425">
            <w:pPr>
              <w:jc w:val="center"/>
            </w:pPr>
            <w:r>
              <w:t>75</w:t>
            </w:r>
            <w:r w:rsidR="00CD6387">
              <w:t>/60</w:t>
            </w:r>
          </w:p>
        </w:tc>
        <w:tc>
          <w:tcPr>
            <w:tcW w:w="990" w:type="dxa"/>
            <w:vAlign w:val="center"/>
          </w:tcPr>
          <w:p w:rsidR="00D04811" w:rsidRDefault="00957C50" w:rsidP="00456425">
            <w:pPr>
              <w:jc w:val="center"/>
            </w:pPr>
            <w:r>
              <w:t>209</w:t>
            </w:r>
          </w:p>
        </w:tc>
      </w:tr>
      <w:tr w:rsidR="00A32F49" w:rsidTr="00746E36">
        <w:tc>
          <w:tcPr>
            <w:tcW w:w="2970" w:type="dxa"/>
            <w:vAlign w:val="center"/>
          </w:tcPr>
          <w:p w:rsidR="00A32F49" w:rsidRDefault="003220A8" w:rsidP="001F2257">
            <w:r>
              <w:t>Annual f</w:t>
            </w:r>
            <w:r w:rsidR="00A32F49">
              <w:t xml:space="preserve">ollow-up </w:t>
            </w:r>
            <w:r w:rsidR="001F2257">
              <w:t xml:space="preserve">reviews </w:t>
            </w:r>
          </w:p>
        </w:tc>
        <w:tc>
          <w:tcPr>
            <w:tcW w:w="1620" w:type="dxa"/>
            <w:vAlign w:val="center"/>
          </w:tcPr>
          <w:p w:rsidR="00A32F49" w:rsidRDefault="005C2DA9" w:rsidP="00456425">
            <w:pPr>
              <w:jc w:val="center"/>
            </w:pPr>
            <w:r>
              <w:t>725</w:t>
            </w:r>
          </w:p>
        </w:tc>
        <w:tc>
          <w:tcPr>
            <w:tcW w:w="1620" w:type="dxa"/>
            <w:vAlign w:val="center"/>
          </w:tcPr>
          <w:p w:rsidR="00A32F49" w:rsidRDefault="00A32F49" w:rsidP="00456425">
            <w:pPr>
              <w:jc w:val="center"/>
            </w:pPr>
            <w:r>
              <w:t>1</w:t>
            </w:r>
          </w:p>
        </w:tc>
        <w:tc>
          <w:tcPr>
            <w:tcW w:w="1260" w:type="dxa"/>
            <w:vAlign w:val="center"/>
          </w:tcPr>
          <w:p w:rsidR="00A32F49" w:rsidRDefault="00CD6387" w:rsidP="00456425">
            <w:pPr>
              <w:jc w:val="center"/>
            </w:pPr>
            <w:r>
              <w:t>30/60</w:t>
            </w:r>
          </w:p>
        </w:tc>
        <w:tc>
          <w:tcPr>
            <w:tcW w:w="990" w:type="dxa"/>
            <w:vAlign w:val="center"/>
          </w:tcPr>
          <w:p w:rsidR="00A32F49" w:rsidRDefault="004F2755" w:rsidP="00957C50">
            <w:pPr>
              <w:jc w:val="center"/>
            </w:pPr>
            <w:r>
              <w:t>3</w:t>
            </w:r>
            <w:r w:rsidR="005C2DA9">
              <w:t>6</w:t>
            </w:r>
            <w:r w:rsidR="00957C50">
              <w:t>3</w:t>
            </w:r>
          </w:p>
        </w:tc>
      </w:tr>
      <w:tr w:rsidR="00D04811" w:rsidTr="00746E36">
        <w:tc>
          <w:tcPr>
            <w:tcW w:w="2970" w:type="dxa"/>
            <w:vAlign w:val="center"/>
          </w:tcPr>
          <w:p w:rsidR="00D04811" w:rsidRPr="00CD6387" w:rsidRDefault="00D04811" w:rsidP="00CD6387">
            <w:pPr>
              <w:rPr>
                <w:b/>
              </w:rPr>
            </w:pPr>
            <w:r w:rsidRPr="00CD6387">
              <w:rPr>
                <w:b/>
              </w:rPr>
              <w:t>Total</w:t>
            </w:r>
          </w:p>
        </w:tc>
        <w:tc>
          <w:tcPr>
            <w:tcW w:w="1620" w:type="dxa"/>
            <w:vAlign w:val="center"/>
          </w:tcPr>
          <w:p w:rsidR="00D04811" w:rsidRPr="009243E7" w:rsidRDefault="005C2DA9" w:rsidP="00456425">
            <w:pPr>
              <w:jc w:val="center"/>
              <w:rPr>
                <w:b/>
              </w:rPr>
            </w:pPr>
            <w:r>
              <w:rPr>
                <w:b/>
              </w:rPr>
              <w:t>909</w:t>
            </w:r>
          </w:p>
        </w:tc>
        <w:tc>
          <w:tcPr>
            <w:tcW w:w="1620" w:type="dxa"/>
            <w:vAlign w:val="center"/>
          </w:tcPr>
          <w:p w:rsidR="00D04811" w:rsidRDefault="00D04811" w:rsidP="00456425">
            <w:pPr>
              <w:jc w:val="center"/>
            </w:pPr>
            <w:r>
              <w:t>—</w:t>
            </w:r>
          </w:p>
        </w:tc>
        <w:tc>
          <w:tcPr>
            <w:tcW w:w="1260" w:type="dxa"/>
            <w:vAlign w:val="center"/>
          </w:tcPr>
          <w:p w:rsidR="00D04811" w:rsidRDefault="00D04811" w:rsidP="00456425">
            <w:pPr>
              <w:jc w:val="center"/>
            </w:pPr>
            <w:r>
              <w:t>—</w:t>
            </w:r>
          </w:p>
        </w:tc>
        <w:tc>
          <w:tcPr>
            <w:tcW w:w="990" w:type="dxa"/>
            <w:vAlign w:val="center"/>
          </w:tcPr>
          <w:p w:rsidR="00D04811" w:rsidRPr="009243E7" w:rsidRDefault="005C2DA9" w:rsidP="002244A7">
            <w:pPr>
              <w:jc w:val="center"/>
              <w:rPr>
                <w:b/>
              </w:rPr>
            </w:pPr>
            <w:r>
              <w:rPr>
                <w:b/>
              </w:rPr>
              <w:t>5</w:t>
            </w:r>
            <w:r w:rsidR="002244A7">
              <w:rPr>
                <w:b/>
              </w:rPr>
              <w:t>8</w:t>
            </w:r>
            <w:r w:rsidR="00A92204">
              <w:rPr>
                <w:b/>
              </w:rPr>
              <w:t>1</w:t>
            </w:r>
          </w:p>
        </w:tc>
      </w:tr>
    </w:tbl>
    <w:p w:rsidR="005B01A4" w:rsidRPr="00DE5E77" w:rsidRDefault="005B01A4" w:rsidP="00322AED">
      <w:pPr>
        <w:rPr>
          <w:sz w:val="20"/>
          <w:szCs w:val="20"/>
        </w:rPr>
      </w:pPr>
    </w:p>
    <w:p w:rsidR="00322AED" w:rsidRDefault="00322AED" w:rsidP="00322AED">
      <w:pPr>
        <w:ind w:left="360"/>
      </w:pPr>
    </w:p>
    <w:p w:rsidR="008827AE" w:rsidRDefault="009243E7" w:rsidP="005B01A4">
      <w:r>
        <w:rPr>
          <w:color w:val="000000"/>
        </w:rPr>
        <w:t xml:space="preserve">Exhibit </w:t>
      </w:r>
      <w:r w:rsidR="00D04811">
        <w:rPr>
          <w:color w:val="000000"/>
        </w:rPr>
        <w:t>2</w:t>
      </w:r>
      <w:r w:rsidR="006021D5">
        <w:rPr>
          <w:color w:val="000000"/>
        </w:rPr>
        <w:t xml:space="preserve"> shows the </w:t>
      </w:r>
      <w:r w:rsidR="002007E0">
        <w:rPr>
          <w:color w:val="000000"/>
        </w:rPr>
        <w:t>estimated</w:t>
      </w:r>
      <w:r w:rsidR="006021D5">
        <w:rPr>
          <w:color w:val="000000"/>
        </w:rPr>
        <w:t xml:space="preserve"> </w:t>
      </w:r>
      <w:r w:rsidR="005B01A4">
        <w:rPr>
          <w:color w:val="000000"/>
        </w:rPr>
        <w:t>annualized co</w:t>
      </w:r>
      <w:r w:rsidR="00AB5C59">
        <w:rPr>
          <w:color w:val="000000"/>
        </w:rPr>
        <w:t xml:space="preserve">st burden </w:t>
      </w:r>
      <w:r w:rsidR="004673DD">
        <w:rPr>
          <w:color w:val="000000"/>
        </w:rPr>
        <w:t xml:space="preserve">associated with </w:t>
      </w:r>
      <w:r w:rsidR="00AB5C59">
        <w:rPr>
          <w:color w:val="000000"/>
        </w:rPr>
        <w:t>the respondents</w:t>
      </w:r>
      <w:r w:rsidR="004673DD">
        <w:rPr>
          <w:color w:val="000000"/>
        </w:rPr>
        <w:t>’ time to participate in this research</w:t>
      </w:r>
      <w:r w:rsidR="00AB5C59">
        <w:rPr>
          <w:color w:val="000000"/>
        </w:rPr>
        <w:t xml:space="preserve">. </w:t>
      </w:r>
      <w:r w:rsidR="004673DD">
        <w:rPr>
          <w:color w:val="000000"/>
        </w:rPr>
        <w:t>T</w:t>
      </w:r>
      <w:r w:rsidR="006021D5">
        <w:rPr>
          <w:color w:val="000000"/>
        </w:rPr>
        <w:t xml:space="preserve">he total </w:t>
      </w:r>
      <w:r w:rsidR="004673DD">
        <w:rPr>
          <w:color w:val="000000"/>
        </w:rPr>
        <w:t xml:space="preserve">annualized </w:t>
      </w:r>
      <w:r w:rsidR="005B01A4">
        <w:rPr>
          <w:color w:val="000000"/>
        </w:rPr>
        <w:t>cost burden is</w:t>
      </w:r>
      <w:r w:rsidR="004673DD">
        <w:rPr>
          <w:color w:val="000000"/>
        </w:rPr>
        <w:t xml:space="preserve"> estimated to be</w:t>
      </w:r>
      <w:r w:rsidR="005B01A4">
        <w:rPr>
          <w:color w:val="000000"/>
        </w:rPr>
        <w:t xml:space="preserve"> </w:t>
      </w:r>
      <w:r w:rsidR="00B227A7">
        <w:t>$</w:t>
      </w:r>
      <w:r w:rsidR="005C2DA9">
        <w:t>19,</w:t>
      </w:r>
      <w:r w:rsidR="00546CBA">
        <w:t>754</w:t>
      </w:r>
      <w:r w:rsidR="00860438">
        <w:t xml:space="preserve">.  </w:t>
      </w:r>
    </w:p>
    <w:p w:rsidR="00AB5C59" w:rsidRDefault="00AB5C59" w:rsidP="005B01A4"/>
    <w:p w:rsidR="0026638E" w:rsidRDefault="009243E7" w:rsidP="008827AE">
      <w:pPr>
        <w:rPr>
          <w:b/>
        </w:rPr>
      </w:pPr>
      <w:r>
        <w:rPr>
          <w:b/>
        </w:rPr>
        <w:t>Exhibit</w:t>
      </w:r>
      <w:r w:rsidRPr="00037998">
        <w:rPr>
          <w:b/>
        </w:rPr>
        <w:t xml:space="preserve"> </w:t>
      </w:r>
      <w:r w:rsidR="006021D5">
        <w:rPr>
          <w:b/>
        </w:rPr>
        <w:t xml:space="preserve">2.  </w:t>
      </w:r>
      <w:r w:rsidR="002007E0">
        <w:rPr>
          <w:b/>
        </w:rPr>
        <w:t xml:space="preserve">Estimated </w:t>
      </w:r>
      <w:r w:rsidR="008827AE" w:rsidRPr="00037998">
        <w:rPr>
          <w:b/>
        </w:rPr>
        <w:t>annualized cost burden</w:t>
      </w:r>
    </w:p>
    <w:tbl>
      <w:tblPr>
        <w:tblW w:w="0" w:type="auto"/>
        <w:tblInd w:w="108" w:type="dxa"/>
        <w:tblCellMar>
          <w:left w:w="0" w:type="dxa"/>
          <w:right w:w="0" w:type="dxa"/>
        </w:tblCellMar>
        <w:tblLook w:val="0000"/>
      </w:tblPr>
      <w:tblGrid>
        <w:gridCol w:w="3498"/>
        <w:gridCol w:w="1443"/>
        <w:gridCol w:w="1116"/>
        <w:gridCol w:w="1442"/>
        <w:gridCol w:w="1249"/>
      </w:tblGrid>
      <w:tr w:rsidR="008827AE" w:rsidTr="00746E36">
        <w:tc>
          <w:tcPr>
            <w:tcW w:w="349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827AE" w:rsidRPr="00E01999" w:rsidRDefault="008827AE" w:rsidP="002C4F9E">
            <w:pPr>
              <w:jc w:val="center"/>
            </w:pPr>
            <w:r w:rsidRPr="00E01999">
              <w:rPr>
                <w:color w:val="000000"/>
              </w:rPr>
              <w:t>Form Name</w:t>
            </w:r>
          </w:p>
        </w:tc>
        <w:tc>
          <w:tcPr>
            <w:tcW w:w="14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827AE" w:rsidRPr="00E01999" w:rsidRDefault="008827AE" w:rsidP="002C4F9E">
            <w:pPr>
              <w:jc w:val="center"/>
            </w:pPr>
            <w:r w:rsidRPr="00E01999">
              <w:rPr>
                <w:color w:val="000000"/>
              </w:rPr>
              <w:t>Number of Respondents</w:t>
            </w:r>
          </w:p>
        </w:tc>
        <w:tc>
          <w:tcPr>
            <w:tcW w:w="11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827AE" w:rsidRPr="00E01999" w:rsidRDefault="008827AE" w:rsidP="002C4F9E">
            <w:pPr>
              <w:jc w:val="center"/>
            </w:pPr>
            <w:r w:rsidRPr="00E01999">
              <w:rPr>
                <w:color w:val="000000"/>
              </w:rPr>
              <w:t>Total Burden hours</w:t>
            </w:r>
          </w:p>
        </w:tc>
        <w:tc>
          <w:tcPr>
            <w:tcW w:w="14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827AE" w:rsidRPr="00E01999" w:rsidRDefault="008827AE" w:rsidP="002C4F9E">
            <w:pPr>
              <w:jc w:val="center"/>
            </w:pPr>
            <w:r w:rsidRPr="00E01999">
              <w:rPr>
                <w:color w:val="000000"/>
              </w:rPr>
              <w:t>Average Hourly Wage Rate*</w:t>
            </w:r>
          </w:p>
        </w:tc>
        <w:tc>
          <w:tcPr>
            <w:tcW w:w="124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827AE" w:rsidRPr="00E01999" w:rsidRDefault="008827AE" w:rsidP="002C4F9E">
            <w:pPr>
              <w:jc w:val="center"/>
            </w:pPr>
            <w:r w:rsidRPr="00E01999">
              <w:rPr>
                <w:color w:val="000000"/>
              </w:rPr>
              <w:t>Total  Cost Burden</w:t>
            </w:r>
          </w:p>
        </w:tc>
      </w:tr>
      <w:tr w:rsidR="0094505E" w:rsidTr="00746E36">
        <w:tc>
          <w:tcPr>
            <w:tcW w:w="34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4505E" w:rsidRDefault="0094505E" w:rsidP="00404719">
            <w:r>
              <w:t>Email submission</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4505E" w:rsidRDefault="00936AA6" w:rsidP="00404719">
            <w:pPr>
              <w:jc w:val="center"/>
            </w:pPr>
            <w:r>
              <w:t>17</w:t>
            </w:r>
          </w:p>
        </w:tc>
        <w:tc>
          <w:tcPr>
            <w:tcW w:w="11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4505E" w:rsidRDefault="00A92204" w:rsidP="00404719">
            <w:pPr>
              <w:jc w:val="center"/>
            </w:pPr>
            <w:r>
              <w:t>9</w:t>
            </w:r>
          </w:p>
        </w:tc>
        <w:tc>
          <w:tcPr>
            <w:tcW w:w="14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4505E" w:rsidRDefault="0094505E" w:rsidP="00404719">
            <w:pPr>
              <w:jc w:val="center"/>
            </w:pPr>
            <w:r>
              <w:t>$3</w:t>
            </w:r>
            <w:r w:rsidR="00936AA6">
              <w:t>4</w:t>
            </w:r>
          </w:p>
        </w:tc>
        <w:tc>
          <w:tcPr>
            <w:tcW w:w="12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4505E" w:rsidRDefault="0094505E" w:rsidP="00A92204">
            <w:pPr>
              <w:jc w:val="center"/>
            </w:pPr>
            <w:r>
              <w:t>$</w:t>
            </w:r>
            <w:r w:rsidR="00A92204">
              <w:t>306</w:t>
            </w:r>
          </w:p>
        </w:tc>
      </w:tr>
      <w:tr w:rsidR="008827AE" w:rsidTr="00746E36">
        <w:tc>
          <w:tcPr>
            <w:tcW w:w="34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827AE" w:rsidRDefault="008827AE" w:rsidP="00546CBA">
            <w:r>
              <w:t xml:space="preserve">Health care innovator interview </w:t>
            </w:r>
            <w:r w:rsidR="003220A8">
              <w:t xml:space="preserve"> </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827AE" w:rsidRDefault="009C70DF" w:rsidP="002C4F9E">
            <w:pPr>
              <w:jc w:val="center"/>
            </w:pPr>
            <w:r>
              <w:t>167</w:t>
            </w:r>
          </w:p>
        </w:tc>
        <w:tc>
          <w:tcPr>
            <w:tcW w:w="11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827AE" w:rsidRPr="0024137F" w:rsidRDefault="00A92204" w:rsidP="002C4F9E">
            <w:pPr>
              <w:jc w:val="center"/>
            </w:pPr>
            <w:r>
              <w:t>209</w:t>
            </w:r>
          </w:p>
        </w:tc>
        <w:tc>
          <w:tcPr>
            <w:tcW w:w="14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827AE" w:rsidRDefault="00174C9E" w:rsidP="002C4F9E">
            <w:pPr>
              <w:jc w:val="center"/>
            </w:pPr>
            <w:r>
              <w:t>$3</w:t>
            </w:r>
            <w:r w:rsidR="00936AA6">
              <w:t>4</w:t>
            </w:r>
          </w:p>
        </w:tc>
        <w:tc>
          <w:tcPr>
            <w:tcW w:w="12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827AE" w:rsidRDefault="00174C9E" w:rsidP="00A92204">
            <w:pPr>
              <w:jc w:val="center"/>
            </w:pPr>
            <w:r>
              <w:t>$</w:t>
            </w:r>
            <w:r w:rsidR="00A92204">
              <w:t>7,106</w:t>
            </w:r>
          </w:p>
        </w:tc>
      </w:tr>
      <w:tr w:rsidR="008827AE" w:rsidTr="00746E36">
        <w:tc>
          <w:tcPr>
            <w:tcW w:w="34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827AE" w:rsidRDefault="003220A8" w:rsidP="00A92204">
            <w:r>
              <w:t>Annual f</w:t>
            </w:r>
            <w:r w:rsidR="000B216D">
              <w:t xml:space="preserve">ollow-up </w:t>
            </w:r>
            <w:r w:rsidR="00A92204">
              <w:t>reviews</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827AE" w:rsidRDefault="005C2DA9" w:rsidP="002C4F9E">
            <w:pPr>
              <w:jc w:val="center"/>
            </w:pPr>
            <w:r>
              <w:t>725</w:t>
            </w:r>
          </w:p>
        </w:tc>
        <w:tc>
          <w:tcPr>
            <w:tcW w:w="11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827AE" w:rsidRDefault="00936AA6" w:rsidP="00A92204">
            <w:pPr>
              <w:jc w:val="center"/>
            </w:pPr>
            <w:r>
              <w:t>3</w:t>
            </w:r>
            <w:r w:rsidR="005C2DA9">
              <w:t>6</w:t>
            </w:r>
            <w:r w:rsidR="00A92204">
              <w:t>3</w:t>
            </w:r>
          </w:p>
        </w:tc>
        <w:tc>
          <w:tcPr>
            <w:tcW w:w="14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827AE" w:rsidRDefault="00174C9E" w:rsidP="002C4F9E">
            <w:pPr>
              <w:jc w:val="center"/>
            </w:pPr>
            <w:r>
              <w:t>$3</w:t>
            </w:r>
            <w:r w:rsidR="00936AA6">
              <w:t>4</w:t>
            </w:r>
          </w:p>
        </w:tc>
        <w:tc>
          <w:tcPr>
            <w:tcW w:w="12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827AE" w:rsidRDefault="00174C9E" w:rsidP="00A92204">
            <w:pPr>
              <w:jc w:val="center"/>
            </w:pPr>
            <w:r>
              <w:t>$</w:t>
            </w:r>
            <w:r w:rsidR="005C2DA9">
              <w:t>12,</w:t>
            </w:r>
            <w:r w:rsidR="00A92204">
              <w:t>342</w:t>
            </w:r>
          </w:p>
        </w:tc>
      </w:tr>
      <w:tr w:rsidR="008827AE" w:rsidTr="00746E36">
        <w:tc>
          <w:tcPr>
            <w:tcW w:w="34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827AE" w:rsidRDefault="008827AE" w:rsidP="002C4F9E">
            <w:r>
              <w:rPr>
                <w:b/>
                <w:bCs/>
                <w:color w:val="000000"/>
                <w:sz w:val="20"/>
                <w:szCs w:val="20"/>
              </w:rPr>
              <w:t>Total</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827AE" w:rsidRPr="009243E7" w:rsidRDefault="005C2DA9" w:rsidP="002C4F9E">
            <w:pPr>
              <w:jc w:val="center"/>
              <w:rPr>
                <w:b/>
              </w:rPr>
            </w:pPr>
            <w:r>
              <w:rPr>
                <w:b/>
              </w:rPr>
              <w:t>909</w:t>
            </w:r>
          </w:p>
        </w:tc>
        <w:tc>
          <w:tcPr>
            <w:tcW w:w="11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827AE" w:rsidRPr="009243E7" w:rsidRDefault="00A92204" w:rsidP="002C4F9E">
            <w:pPr>
              <w:jc w:val="center"/>
              <w:rPr>
                <w:b/>
              </w:rPr>
            </w:pPr>
            <w:r>
              <w:rPr>
                <w:b/>
              </w:rPr>
              <w:t>581</w:t>
            </w:r>
          </w:p>
        </w:tc>
        <w:tc>
          <w:tcPr>
            <w:tcW w:w="14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827AE" w:rsidRPr="009243E7" w:rsidRDefault="00A92204" w:rsidP="002C4F9E">
            <w:pPr>
              <w:jc w:val="center"/>
              <w:rPr>
                <w:b/>
              </w:rPr>
            </w:pPr>
            <w:r>
              <w:rPr>
                <w:b/>
              </w:rPr>
              <w:t>--</w:t>
            </w:r>
          </w:p>
        </w:tc>
        <w:tc>
          <w:tcPr>
            <w:tcW w:w="12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827AE" w:rsidRPr="009243E7" w:rsidRDefault="00174C9E" w:rsidP="00546CBA">
            <w:pPr>
              <w:jc w:val="center"/>
              <w:rPr>
                <w:b/>
              </w:rPr>
            </w:pPr>
            <w:r w:rsidRPr="009243E7">
              <w:rPr>
                <w:b/>
              </w:rPr>
              <w:t>$</w:t>
            </w:r>
            <w:r w:rsidR="005C2DA9">
              <w:rPr>
                <w:b/>
              </w:rPr>
              <w:t>19,</w:t>
            </w:r>
            <w:r w:rsidR="00546CBA">
              <w:rPr>
                <w:b/>
              </w:rPr>
              <w:t>754</w:t>
            </w:r>
          </w:p>
        </w:tc>
      </w:tr>
    </w:tbl>
    <w:p w:rsidR="004613C2" w:rsidRPr="0026638E" w:rsidRDefault="005B01A4" w:rsidP="0026638E">
      <w:pPr>
        <w:rPr>
          <w:sz w:val="18"/>
          <w:szCs w:val="18"/>
        </w:rPr>
      </w:pPr>
      <w:r w:rsidRPr="003F45C8">
        <w:rPr>
          <w:color w:val="000000"/>
          <w:sz w:val="18"/>
          <w:szCs w:val="18"/>
        </w:rPr>
        <w:t xml:space="preserve">*Based upon the </w:t>
      </w:r>
      <w:r w:rsidR="00AB5C59">
        <w:rPr>
          <w:color w:val="000000"/>
          <w:sz w:val="18"/>
          <w:szCs w:val="18"/>
        </w:rPr>
        <w:t>mean hourly</w:t>
      </w:r>
      <w:r w:rsidRPr="003F45C8">
        <w:rPr>
          <w:color w:val="000000"/>
          <w:sz w:val="18"/>
          <w:szCs w:val="18"/>
        </w:rPr>
        <w:t xml:space="preserve"> wage</w:t>
      </w:r>
      <w:r w:rsidR="003E31EB">
        <w:rPr>
          <w:color w:val="000000"/>
          <w:sz w:val="18"/>
          <w:szCs w:val="18"/>
        </w:rPr>
        <w:t xml:space="preserve"> for healthcare practitioners and technical occupations, Bureau of Labor Statistics, </w:t>
      </w:r>
      <w:r w:rsidRPr="003F45C8">
        <w:rPr>
          <w:color w:val="000000"/>
          <w:sz w:val="18"/>
          <w:szCs w:val="18"/>
        </w:rPr>
        <w:t>U.S. Department of Labor</w:t>
      </w:r>
      <w:r w:rsidR="003E31EB">
        <w:rPr>
          <w:color w:val="000000"/>
          <w:sz w:val="18"/>
          <w:szCs w:val="18"/>
        </w:rPr>
        <w:t>, Occupational Employment and Wages, May 2009.</w:t>
      </w:r>
      <w:bookmarkStart w:id="30" w:name="_Toc151782188"/>
      <w:bookmarkStart w:id="31" w:name="_Toc158526228"/>
    </w:p>
    <w:p w:rsidR="00746E36" w:rsidRDefault="00746E36" w:rsidP="009B633D">
      <w:pPr>
        <w:pStyle w:val="Heading2"/>
        <w:rPr>
          <w:sz w:val="24"/>
        </w:rPr>
      </w:pPr>
    </w:p>
    <w:p w:rsidR="009B633D" w:rsidRPr="00412C6F" w:rsidRDefault="009B633D" w:rsidP="009B633D">
      <w:pPr>
        <w:pStyle w:val="Heading2"/>
        <w:rPr>
          <w:sz w:val="24"/>
        </w:rPr>
      </w:pPr>
      <w:r w:rsidRPr="00412C6F">
        <w:rPr>
          <w:sz w:val="24"/>
        </w:rPr>
        <w:t>13. Estimates of Annualized Respondent Capital and Maintenance Costs</w:t>
      </w:r>
      <w:bookmarkEnd w:id="30"/>
      <w:bookmarkEnd w:id="31"/>
    </w:p>
    <w:p w:rsidR="00E01999" w:rsidRDefault="00174C9E" w:rsidP="00174C9E">
      <w:pPr>
        <w:spacing w:before="120"/>
      </w:pPr>
      <w:r>
        <w:t>Capital and maintenance costs include the purchase of equipment, computers or computer software or services, or storage facilities for records, as a result of complying with this data collection.  There are no direct costs to respondents other than their ti</w:t>
      </w:r>
      <w:r w:rsidR="007A6754">
        <w:t>me to participate in the study.</w:t>
      </w:r>
    </w:p>
    <w:p w:rsidR="009B633D" w:rsidRPr="00412C6F" w:rsidRDefault="006021D5" w:rsidP="009B633D">
      <w:pPr>
        <w:pStyle w:val="Heading2"/>
        <w:rPr>
          <w:sz w:val="24"/>
        </w:rPr>
      </w:pPr>
      <w:bookmarkStart w:id="32" w:name="_Toc58725299"/>
      <w:bookmarkStart w:id="33" w:name="_Toc151782189"/>
      <w:bookmarkStart w:id="34" w:name="_Toc158526229"/>
      <w:r>
        <w:rPr>
          <w:sz w:val="24"/>
        </w:rPr>
        <w:lastRenderedPageBreak/>
        <w:t xml:space="preserve">14. </w:t>
      </w:r>
      <w:r w:rsidR="002007E0">
        <w:rPr>
          <w:sz w:val="24"/>
        </w:rPr>
        <w:t>Estimates of</w:t>
      </w:r>
      <w:r w:rsidR="000473C1">
        <w:rPr>
          <w:sz w:val="24"/>
        </w:rPr>
        <w:t xml:space="preserve"> </w:t>
      </w:r>
      <w:r w:rsidR="009B633D" w:rsidRPr="00450553">
        <w:rPr>
          <w:sz w:val="24"/>
        </w:rPr>
        <w:t>Annualized Cost to the Government</w:t>
      </w:r>
      <w:bookmarkEnd w:id="32"/>
      <w:bookmarkEnd w:id="33"/>
      <w:bookmarkEnd w:id="34"/>
    </w:p>
    <w:p w:rsidR="00B8762F" w:rsidRDefault="00B8762F" w:rsidP="00686878">
      <w:bookmarkStart w:id="35" w:name="_Toc151782190"/>
      <w:bookmarkStart w:id="36" w:name="_Toc158526230"/>
    </w:p>
    <w:p w:rsidR="005A64DF" w:rsidRPr="00E3047F" w:rsidRDefault="0026638E" w:rsidP="005A64DF">
      <w:r w:rsidRPr="00E3047F">
        <w:t xml:space="preserve">Exhibit 3 shows the estimated annualized costs to the Government. The </w:t>
      </w:r>
      <w:r w:rsidR="005A64DF" w:rsidRPr="00E3047F">
        <w:t>total cost to the Government of this d</w:t>
      </w:r>
      <w:r w:rsidR="00E01999" w:rsidRPr="00E3047F">
        <w:t xml:space="preserve">ata collection is approximately </w:t>
      </w:r>
      <w:r w:rsidR="005A64DF" w:rsidRPr="00E3047F">
        <w:t>$</w:t>
      </w:r>
      <w:r w:rsidRPr="00E3047F">
        <w:t>592,922</w:t>
      </w:r>
      <w:r w:rsidR="00E01999" w:rsidRPr="00E3047F">
        <w:t xml:space="preserve"> </w:t>
      </w:r>
      <w:r w:rsidR="005A64DF" w:rsidRPr="00E3047F">
        <w:t>over three years (on average, $</w:t>
      </w:r>
      <w:r w:rsidRPr="00E3047F">
        <w:t xml:space="preserve">197,642 </w:t>
      </w:r>
      <w:r w:rsidR="005A64DF" w:rsidRPr="00E3047F">
        <w:t xml:space="preserve">per year). </w:t>
      </w:r>
      <w:r w:rsidR="00E01999" w:rsidRPr="00E3047F">
        <w:t>These costs cover</w:t>
      </w:r>
      <w:r w:rsidR="005A64DF" w:rsidRPr="00E3047F">
        <w:t xml:space="preserve"> data collection efforts for </w:t>
      </w:r>
      <w:r w:rsidR="008A1CC6" w:rsidRPr="00E3047F">
        <w:t>contacting ca</w:t>
      </w:r>
      <w:r w:rsidR="00BB45F4" w:rsidRPr="00E3047F">
        <w:t xml:space="preserve">ndidate health care innovators, </w:t>
      </w:r>
      <w:r w:rsidR="008A1CC6" w:rsidRPr="00E3047F">
        <w:t xml:space="preserve">conducting innovator interviews, and contacting innovators annually to update profiles. </w:t>
      </w:r>
    </w:p>
    <w:p w:rsidR="0026638E" w:rsidRDefault="0026638E" w:rsidP="005A64DF"/>
    <w:p w:rsidR="003B58F6" w:rsidRPr="00E3047F" w:rsidRDefault="003B58F6" w:rsidP="005A64DF"/>
    <w:p w:rsidR="00A077C0" w:rsidRPr="00E3047F" w:rsidRDefault="00A077C0" w:rsidP="00A077C0">
      <w:r w:rsidRPr="00E3047F">
        <w:rPr>
          <w:b/>
          <w:bCs/>
          <w:color w:val="000000"/>
        </w:rPr>
        <w:t>Exhibit 3.  Estimated Total and Annualized Cost</w:t>
      </w:r>
    </w:p>
    <w:tbl>
      <w:tblPr>
        <w:tblW w:w="0" w:type="auto"/>
        <w:tblCellMar>
          <w:left w:w="0" w:type="dxa"/>
          <w:right w:w="0" w:type="dxa"/>
        </w:tblCellMar>
        <w:tblLook w:val="04A0"/>
      </w:tblPr>
      <w:tblGrid>
        <w:gridCol w:w="3708"/>
        <w:gridCol w:w="1440"/>
        <w:gridCol w:w="1980"/>
      </w:tblGrid>
      <w:tr w:rsidR="0026638E" w:rsidRPr="00E3047F" w:rsidTr="0026638E">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6638E" w:rsidRPr="00E3047F" w:rsidRDefault="0026638E">
            <w:pPr>
              <w:spacing w:line="276" w:lineRule="auto"/>
              <w:rPr>
                <w:rFonts w:eastAsia="Calibri"/>
              </w:rPr>
            </w:pPr>
            <w:r w:rsidRPr="00E3047F">
              <w:rPr>
                <w:b/>
                <w:bCs/>
                <w:color w:val="000000"/>
              </w:rPr>
              <w:t xml:space="preserve">Cost Component </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6638E" w:rsidRPr="00E3047F" w:rsidRDefault="0026638E">
            <w:pPr>
              <w:spacing w:line="276" w:lineRule="auto"/>
              <w:jc w:val="center"/>
              <w:rPr>
                <w:rFonts w:eastAsia="Calibri"/>
              </w:rPr>
            </w:pPr>
            <w:r w:rsidRPr="00E3047F">
              <w:rPr>
                <w:b/>
                <w:bCs/>
              </w:rPr>
              <w:t>Total Cost</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6638E" w:rsidRPr="00E3047F" w:rsidRDefault="0026638E">
            <w:pPr>
              <w:spacing w:line="276" w:lineRule="auto"/>
              <w:jc w:val="center"/>
              <w:rPr>
                <w:rFonts w:eastAsia="Calibri"/>
              </w:rPr>
            </w:pPr>
            <w:r w:rsidRPr="00E3047F">
              <w:rPr>
                <w:b/>
                <w:bCs/>
              </w:rPr>
              <w:t>Annualized Cost</w:t>
            </w:r>
          </w:p>
        </w:tc>
      </w:tr>
      <w:tr w:rsidR="0026638E" w:rsidRPr="00E3047F" w:rsidTr="0026638E">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6638E" w:rsidRPr="00E3047F" w:rsidRDefault="0026638E">
            <w:pPr>
              <w:spacing w:line="276" w:lineRule="auto"/>
              <w:rPr>
                <w:rFonts w:eastAsia="Calibri"/>
              </w:rPr>
            </w:pPr>
            <w:r w:rsidRPr="00E3047F">
              <w:t>Data Collection Activities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6638E" w:rsidRPr="00E3047F" w:rsidRDefault="0026638E">
            <w:pPr>
              <w:spacing w:line="276" w:lineRule="auto"/>
              <w:jc w:val="center"/>
              <w:rPr>
                <w:rFonts w:eastAsia="Calibri"/>
              </w:rPr>
            </w:pPr>
            <w:r w:rsidRPr="00E3047F">
              <w:rPr>
                <w:b/>
                <w:bCs/>
              </w:rPr>
              <w:t>$82,260</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6638E" w:rsidRPr="00E3047F" w:rsidRDefault="0026638E">
            <w:pPr>
              <w:spacing w:line="276" w:lineRule="auto"/>
              <w:jc w:val="center"/>
              <w:rPr>
                <w:rFonts w:eastAsia="Calibri"/>
              </w:rPr>
            </w:pPr>
            <w:r w:rsidRPr="00E3047F">
              <w:rPr>
                <w:b/>
                <w:bCs/>
              </w:rPr>
              <w:t>$27,420</w:t>
            </w:r>
          </w:p>
        </w:tc>
      </w:tr>
      <w:tr w:rsidR="0026638E" w:rsidRPr="00E3047F" w:rsidTr="0026638E">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6638E" w:rsidRPr="00E3047F" w:rsidRDefault="0026638E">
            <w:pPr>
              <w:spacing w:line="276" w:lineRule="auto"/>
              <w:rPr>
                <w:rFonts w:eastAsia="Calibri"/>
              </w:rPr>
            </w:pPr>
            <w:r w:rsidRPr="00E3047F">
              <w:t>Website Maintenance</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6638E" w:rsidRPr="00E3047F" w:rsidRDefault="0026638E">
            <w:pPr>
              <w:spacing w:line="276" w:lineRule="auto"/>
              <w:jc w:val="center"/>
              <w:rPr>
                <w:rFonts w:eastAsia="Calibri"/>
                <w:b/>
                <w:bCs/>
              </w:rPr>
            </w:pPr>
            <w:r w:rsidRPr="00E3047F">
              <w:rPr>
                <w:b/>
                <w:bCs/>
              </w:rPr>
              <w:t>$64,172</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6638E" w:rsidRPr="00E3047F" w:rsidRDefault="0026638E">
            <w:pPr>
              <w:spacing w:line="276" w:lineRule="auto"/>
              <w:jc w:val="center"/>
              <w:rPr>
                <w:rFonts w:eastAsia="Calibri"/>
                <w:b/>
                <w:bCs/>
              </w:rPr>
            </w:pPr>
            <w:r w:rsidRPr="00E3047F">
              <w:rPr>
                <w:b/>
                <w:bCs/>
              </w:rPr>
              <w:t>$21,391 </w:t>
            </w:r>
          </w:p>
        </w:tc>
      </w:tr>
      <w:tr w:rsidR="0026638E" w:rsidRPr="00E3047F" w:rsidTr="0026638E">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6638E" w:rsidRPr="00E3047F" w:rsidRDefault="0026638E">
            <w:pPr>
              <w:spacing w:line="276" w:lineRule="auto"/>
              <w:rPr>
                <w:rFonts w:eastAsia="Calibri"/>
              </w:rPr>
            </w:pPr>
            <w:r w:rsidRPr="00E3047F">
              <w:t>Project Management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6638E" w:rsidRPr="00E3047F" w:rsidRDefault="0026638E">
            <w:pPr>
              <w:spacing w:line="276" w:lineRule="auto"/>
              <w:jc w:val="center"/>
              <w:rPr>
                <w:rFonts w:eastAsia="Calibri"/>
                <w:b/>
                <w:bCs/>
              </w:rPr>
            </w:pPr>
            <w:r w:rsidRPr="00E3047F">
              <w:rPr>
                <w:b/>
                <w:bCs/>
              </w:rPr>
              <w:t>$27,096</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6638E" w:rsidRPr="00E3047F" w:rsidRDefault="0026638E">
            <w:pPr>
              <w:spacing w:line="276" w:lineRule="auto"/>
              <w:jc w:val="center"/>
              <w:rPr>
                <w:rFonts w:eastAsia="Calibri"/>
                <w:b/>
                <w:bCs/>
              </w:rPr>
            </w:pPr>
            <w:r w:rsidRPr="00E3047F">
              <w:rPr>
                <w:b/>
                <w:bCs/>
              </w:rPr>
              <w:t>$9,032 </w:t>
            </w:r>
          </w:p>
        </w:tc>
      </w:tr>
      <w:tr w:rsidR="0026638E" w:rsidRPr="00E3047F" w:rsidTr="0026638E">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6638E" w:rsidRPr="00E3047F" w:rsidRDefault="0026638E">
            <w:pPr>
              <w:spacing w:line="276" w:lineRule="auto"/>
              <w:rPr>
                <w:rFonts w:eastAsia="Calibri"/>
              </w:rPr>
            </w:pPr>
            <w:r w:rsidRPr="00E3047F">
              <w:t>Overhead</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6638E" w:rsidRPr="00E3047F" w:rsidRDefault="0026638E">
            <w:pPr>
              <w:spacing w:line="276" w:lineRule="auto"/>
              <w:jc w:val="center"/>
              <w:rPr>
                <w:rFonts w:eastAsia="Calibri"/>
                <w:b/>
                <w:bCs/>
              </w:rPr>
            </w:pPr>
            <w:r w:rsidRPr="00E3047F">
              <w:rPr>
                <w:b/>
                <w:bCs/>
              </w:rPr>
              <w:t>$419,395 </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6638E" w:rsidRPr="00E3047F" w:rsidRDefault="0026638E">
            <w:pPr>
              <w:spacing w:line="276" w:lineRule="auto"/>
              <w:jc w:val="center"/>
              <w:rPr>
                <w:rFonts w:eastAsia="Calibri"/>
                <w:b/>
                <w:bCs/>
              </w:rPr>
            </w:pPr>
            <w:r w:rsidRPr="00E3047F">
              <w:rPr>
                <w:b/>
                <w:bCs/>
              </w:rPr>
              <w:t>$139,799 </w:t>
            </w:r>
          </w:p>
        </w:tc>
      </w:tr>
      <w:tr w:rsidR="0026638E" w:rsidTr="0026638E">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6638E" w:rsidRPr="00E3047F" w:rsidRDefault="0026638E">
            <w:pPr>
              <w:spacing w:line="276" w:lineRule="auto"/>
              <w:rPr>
                <w:rFonts w:eastAsia="Calibri"/>
              </w:rPr>
            </w:pPr>
            <w:r w:rsidRPr="00E3047F">
              <w:rPr>
                <w:b/>
                <w:bCs/>
                <w:color w:val="000000"/>
              </w:rPr>
              <w:t>Total</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6638E" w:rsidRPr="00E3047F" w:rsidRDefault="0026638E">
            <w:pPr>
              <w:spacing w:line="276" w:lineRule="auto"/>
              <w:jc w:val="center"/>
              <w:rPr>
                <w:rFonts w:eastAsia="Calibri"/>
                <w:b/>
                <w:bCs/>
              </w:rPr>
            </w:pPr>
            <w:r w:rsidRPr="00E3047F">
              <w:rPr>
                <w:b/>
                <w:bCs/>
              </w:rPr>
              <w:t>$592,922</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6638E" w:rsidRDefault="0026638E">
            <w:pPr>
              <w:spacing w:line="276" w:lineRule="auto"/>
              <w:jc w:val="center"/>
              <w:rPr>
                <w:rFonts w:eastAsia="Calibri"/>
                <w:b/>
                <w:bCs/>
              </w:rPr>
            </w:pPr>
            <w:r w:rsidRPr="00E3047F">
              <w:rPr>
                <w:b/>
                <w:bCs/>
              </w:rPr>
              <w:t>$197,642</w:t>
            </w:r>
          </w:p>
        </w:tc>
      </w:tr>
    </w:tbl>
    <w:p w:rsidR="005A64DF" w:rsidRPr="00927C09" w:rsidRDefault="005A64DF" w:rsidP="005A64DF">
      <w:pPr>
        <w:rPr>
          <w:rFonts w:ascii="Verdana" w:hAnsi="Verdana"/>
          <w:sz w:val="20"/>
          <w:szCs w:val="20"/>
        </w:rPr>
      </w:pPr>
    </w:p>
    <w:p w:rsidR="00262CD6" w:rsidRPr="00E01999" w:rsidRDefault="009B633D" w:rsidP="00E01999">
      <w:pPr>
        <w:pStyle w:val="Heading2"/>
        <w:rPr>
          <w:b w:val="0"/>
          <w:i w:val="0"/>
          <w:sz w:val="24"/>
        </w:rPr>
      </w:pPr>
      <w:r w:rsidRPr="00412C6F">
        <w:rPr>
          <w:sz w:val="24"/>
        </w:rPr>
        <w:t>1</w:t>
      </w:r>
      <w:r w:rsidR="00DC0AD9">
        <w:rPr>
          <w:sz w:val="24"/>
        </w:rPr>
        <w:t>5</w:t>
      </w:r>
      <w:r w:rsidRPr="00412C6F">
        <w:rPr>
          <w:sz w:val="24"/>
        </w:rPr>
        <w:t>. Changes in Hour Burden</w:t>
      </w:r>
      <w:bookmarkStart w:id="37" w:name="_Toc151782191"/>
      <w:bookmarkStart w:id="38" w:name="_Toc158526231"/>
      <w:bookmarkEnd w:id="35"/>
      <w:bookmarkEnd w:id="36"/>
    </w:p>
    <w:p w:rsidR="00E01999" w:rsidRPr="007A6754" w:rsidRDefault="00E42C90" w:rsidP="007A6754">
      <w:pPr>
        <w:pStyle w:val="Heading2"/>
        <w:rPr>
          <w:rFonts w:ascii="Times New Roman" w:hAnsi="Times New Roman" w:cs="Times New Roman"/>
          <w:b w:val="0"/>
          <w:i w:val="0"/>
          <w:sz w:val="24"/>
          <w:szCs w:val="24"/>
        </w:rPr>
      </w:pPr>
      <w:r w:rsidRPr="00E01999">
        <w:rPr>
          <w:rFonts w:ascii="Times New Roman" w:hAnsi="Times New Roman" w:cs="Times New Roman"/>
          <w:b w:val="0"/>
          <w:i w:val="0"/>
          <w:sz w:val="24"/>
          <w:szCs w:val="24"/>
        </w:rPr>
        <w:t xml:space="preserve">There is a net </w:t>
      </w:r>
      <w:r w:rsidR="0044287C" w:rsidRPr="00E01999">
        <w:rPr>
          <w:rFonts w:ascii="Times New Roman" w:hAnsi="Times New Roman" w:cs="Times New Roman"/>
          <w:b w:val="0"/>
          <w:i w:val="0"/>
          <w:sz w:val="24"/>
          <w:szCs w:val="24"/>
        </w:rPr>
        <w:t>in</w:t>
      </w:r>
      <w:r w:rsidRPr="00E01999">
        <w:rPr>
          <w:rFonts w:ascii="Times New Roman" w:hAnsi="Times New Roman" w:cs="Times New Roman"/>
          <w:b w:val="0"/>
          <w:i w:val="0"/>
          <w:sz w:val="24"/>
          <w:szCs w:val="24"/>
        </w:rPr>
        <w:t xml:space="preserve">crease of </w:t>
      </w:r>
      <w:r w:rsidR="00A077C0">
        <w:rPr>
          <w:rFonts w:ascii="Times New Roman" w:hAnsi="Times New Roman" w:cs="Times New Roman"/>
          <w:b w:val="0"/>
          <w:i w:val="0"/>
          <w:sz w:val="24"/>
          <w:szCs w:val="24"/>
        </w:rPr>
        <w:t>180</w:t>
      </w:r>
      <w:r w:rsidR="00A077C0" w:rsidRPr="00E01999">
        <w:rPr>
          <w:rFonts w:ascii="Times New Roman" w:hAnsi="Times New Roman" w:cs="Times New Roman"/>
          <w:b w:val="0"/>
          <w:i w:val="0"/>
          <w:sz w:val="24"/>
          <w:szCs w:val="24"/>
        </w:rPr>
        <w:t xml:space="preserve"> </w:t>
      </w:r>
      <w:r w:rsidRPr="00E01999">
        <w:rPr>
          <w:rFonts w:ascii="Times New Roman" w:hAnsi="Times New Roman" w:cs="Times New Roman"/>
          <w:b w:val="0"/>
          <w:i w:val="0"/>
          <w:sz w:val="24"/>
          <w:szCs w:val="24"/>
        </w:rPr>
        <w:t xml:space="preserve">hours in the hour burden for this request from the previous burden of </w:t>
      </w:r>
      <w:r w:rsidR="0044287C" w:rsidRPr="00E01999">
        <w:rPr>
          <w:rFonts w:ascii="Times New Roman" w:hAnsi="Times New Roman" w:cs="Times New Roman"/>
          <w:b w:val="0"/>
          <w:i w:val="0"/>
          <w:sz w:val="24"/>
          <w:szCs w:val="24"/>
        </w:rPr>
        <w:t>401</w:t>
      </w:r>
      <w:r w:rsidRPr="00E01999">
        <w:rPr>
          <w:rFonts w:ascii="Times New Roman" w:hAnsi="Times New Roman" w:cs="Times New Roman"/>
          <w:b w:val="0"/>
          <w:i w:val="0"/>
          <w:sz w:val="24"/>
          <w:szCs w:val="24"/>
        </w:rPr>
        <w:t xml:space="preserve"> hours. This is mainly due to</w:t>
      </w:r>
      <w:r w:rsidR="0044287C" w:rsidRPr="00E01999">
        <w:rPr>
          <w:rFonts w:ascii="Times New Roman" w:hAnsi="Times New Roman" w:cs="Times New Roman"/>
          <w:b w:val="0"/>
          <w:i w:val="0"/>
          <w:sz w:val="24"/>
          <w:szCs w:val="24"/>
        </w:rPr>
        <w:t xml:space="preserve"> two factors: (1) Based on experience, the estimated hourly burden for innovators to participate in</w:t>
      </w:r>
      <w:r w:rsidR="00040E36" w:rsidRPr="00E01999">
        <w:rPr>
          <w:rFonts w:ascii="Times New Roman" w:hAnsi="Times New Roman" w:cs="Times New Roman"/>
          <w:b w:val="0"/>
          <w:i w:val="0"/>
          <w:sz w:val="24"/>
          <w:szCs w:val="24"/>
        </w:rPr>
        <w:t xml:space="preserve"> the interview</w:t>
      </w:r>
      <w:r w:rsidR="00A40730" w:rsidRPr="00E01999">
        <w:rPr>
          <w:rFonts w:ascii="Times New Roman" w:hAnsi="Times New Roman" w:cs="Times New Roman"/>
          <w:b w:val="0"/>
          <w:i w:val="0"/>
          <w:sz w:val="24"/>
          <w:szCs w:val="24"/>
        </w:rPr>
        <w:t xml:space="preserve"> and review the draft profile</w:t>
      </w:r>
      <w:r w:rsidR="0044287C" w:rsidRPr="00E01999">
        <w:rPr>
          <w:rFonts w:ascii="Times New Roman" w:hAnsi="Times New Roman" w:cs="Times New Roman"/>
          <w:b w:val="0"/>
          <w:i w:val="0"/>
          <w:sz w:val="24"/>
          <w:szCs w:val="24"/>
        </w:rPr>
        <w:t xml:space="preserve"> </w:t>
      </w:r>
      <w:r w:rsidR="00AF6E21" w:rsidRPr="00E01999">
        <w:rPr>
          <w:rFonts w:ascii="Times New Roman" w:hAnsi="Times New Roman" w:cs="Times New Roman"/>
          <w:b w:val="0"/>
          <w:i w:val="0"/>
          <w:sz w:val="24"/>
          <w:szCs w:val="24"/>
        </w:rPr>
        <w:t>is</w:t>
      </w:r>
      <w:r w:rsidR="0044287C" w:rsidRPr="00E01999">
        <w:rPr>
          <w:rFonts w:ascii="Times New Roman" w:hAnsi="Times New Roman" w:cs="Times New Roman"/>
          <w:b w:val="0"/>
          <w:i w:val="0"/>
          <w:sz w:val="24"/>
          <w:szCs w:val="24"/>
        </w:rPr>
        <w:t xml:space="preserve"> approximately 75 minutes</w:t>
      </w:r>
      <w:r w:rsidR="00AF6E21" w:rsidRPr="00E01999">
        <w:rPr>
          <w:rFonts w:ascii="Times New Roman" w:hAnsi="Times New Roman" w:cs="Times New Roman"/>
          <w:b w:val="0"/>
          <w:i w:val="0"/>
          <w:sz w:val="24"/>
          <w:szCs w:val="24"/>
        </w:rPr>
        <w:t xml:space="preserve"> rather than 30 minutes as initially estimated</w:t>
      </w:r>
      <w:r w:rsidR="0044287C" w:rsidRPr="00E01999">
        <w:rPr>
          <w:rFonts w:ascii="Times New Roman" w:hAnsi="Times New Roman" w:cs="Times New Roman"/>
          <w:b w:val="0"/>
          <w:i w:val="0"/>
          <w:sz w:val="24"/>
          <w:szCs w:val="24"/>
        </w:rPr>
        <w:t xml:space="preserve">; and (2) The </w:t>
      </w:r>
      <w:r w:rsidR="0062628F">
        <w:rPr>
          <w:rFonts w:ascii="Times New Roman" w:hAnsi="Times New Roman" w:cs="Times New Roman"/>
          <w:b w:val="0"/>
          <w:i w:val="0"/>
          <w:sz w:val="24"/>
          <w:szCs w:val="24"/>
        </w:rPr>
        <w:t>number</w:t>
      </w:r>
      <w:r w:rsidR="0062628F" w:rsidRPr="00E01999">
        <w:rPr>
          <w:rFonts w:ascii="Times New Roman" w:hAnsi="Times New Roman" w:cs="Times New Roman"/>
          <w:b w:val="0"/>
          <w:i w:val="0"/>
          <w:sz w:val="24"/>
          <w:szCs w:val="24"/>
        </w:rPr>
        <w:t xml:space="preserve"> </w:t>
      </w:r>
      <w:r w:rsidR="0044287C" w:rsidRPr="00E01999">
        <w:rPr>
          <w:rFonts w:ascii="Times New Roman" w:hAnsi="Times New Roman" w:cs="Times New Roman"/>
          <w:b w:val="0"/>
          <w:i w:val="0"/>
          <w:sz w:val="24"/>
          <w:szCs w:val="24"/>
        </w:rPr>
        <w:t>of exi</w:t>
      </w:r>
      <w:r w:rsidR="00F05DC3" w:rsidRPr="00E01999">
        <w:rPr>
          <w:rFonts w:ascii="Times New Roman" w:hAnsi="Times New Roman" w:cs="Times New Roman"/>
          <w:b w:val="0"/>
          <w:i w:val="0"/>
          <w:sz w:val="24"/>
          <w:szCs w:val="24"/>
        </w:rPr>
        <w:t>s</w:t>
      </w:r>
      <w:r w:rsidR="0044287C" w:rsidRPr="00E01999">
        <w:rPr>
          <w:rFonts w:ascii="Times New Roman" w:hAnsi="Times New Roman" w:cs="Times New Roman"/>
          <w:b w:val="0"/>
          <w:i w:val="0"/>
          <w:sz w:val="24"/>
          <w:szCs w:val="24"/>
        </w:rPr>
        <w:t>ting profile</w:t>
      </w:r>
      <w:r w:rsidR="0062628F">
        <w:rPr>
          <w:rFonts w:ascii="Times New Roman" w:hAnsi="Times New Roman" w:cs="Times New Roman"/>
          <w:b w:val="0"/>
          <w:i w:val="0"/>
          <w:sz w:val="24"/>
          <w:szCs w:val="24"/>
        </w:rPr>
        <w:t>s currently in the</w:t>
      </w:r>
      <w:r w:rsidR="0044287C" w:rsidRPr="00E01999">
        <w:rPr>
          <w:rFonts w:ascii="Times New Roman" w:hAnsi="Times New Roman" w:cs="Times New Roman"/>
          <w:b w:val="0"/>
          <w:i w:val="0"/>
          <w:sz w:val="24"/>
          <w:szCs w:val="24"/>
        </w:rPr>
        <w:t xml:space="preserve"> collection</w:t>
      </w:r>
      <w:r w:rsidR="0062628F">
        <w:rPr>
          <w:rFonts w:ascii="Times New Roman" w:hAnsi="Times New Roman" w:cs="Times New Roman"/>
          <w:b w:val="0"/>
          <w:i w:val="0"/>
          <w:sz w:val="24"/>
          <w:szCs w:val="24"/>
        </w:rPr>
        <w:t xml:space="preserve"> (575 profiles) </w:t>
      </w:r>
      <w:r w:rsidR="0044287C" w:rsidRPr="00E01999">
        <w:rPr>
          <w:rFonts w:ascii="Times New Roman" w:hAnsi="Times New Roman" w:cs="Times New Roman"/>
          <w:b w:val="0"/>
          <w:i w:val="0"/>
          <w:sz w:val="24"/>
          <w:szCs w:val="24"/>
        </w:rPr>
        <w:t xml:space="preserve">will require </w:t>
      </w:r>
      <w:r w:rsidR="0062628F">
        <w:rPr>
          <w:rFonts w:ascii="Times New Roman" w:hAnsi="Times New Roman" w:cs="Times New Roman"/>
          <w:b w:val="0"/>
          <w:i w:val="0"/>
          <w:sz w:val="24"/>
          <w:szCs w:val="24"/>
        </w:rPr>
        <w:t xml:space="preserve">an </w:t>
      </w:r>
      <w:r w:rsidR="0044287C" w:rsidRPr="00E01999">
        <w:rPr>
          <w:rFonts w:ascii="Times New Roman" w:hAnsi="Times New Roman" w:cs="Times New Roman"/>
          <w:b w:val="0"/>
          <w:i w:val="0"/>
          <w:sz w:val="24"/>
          <w:szCs w:val="24"/>
        </w:rPr>
        <w:t>annual review over the next three years.</w:t>
      </w:r>
    </w:p>
    <w:p w:rsidR="009B633D" w:rsidRPr="00412C6F" w:rsidRDefault="009B633D" w:rsidP="009B633D">
      <w:pPr>
        <w:pStyle w:val="Heading2"/>
        <w:rPr>
          <w:sz w:val="24"/>
        </w:rPr>
      </w:pPr>
      <w:r w:rsidRPr="00412C6F">
        <w:rPr>
          <w:sz w:val="24"/>
        </w:rPr>
        <w:t>16. Time Schedule, Publication and Analysis Plans</w:t>
      </w:r>
      <w:bookmarkEnd w:id="37"/>
      <w:bookmarkEnd w:id="38"/>
    </w:p>
    <w:p w:rsidR="00FD14FC" w:rsidRDefault="00FD14FC" w:rsidP="00BD66AC">
      <w:bookmarkStart w:id="39" w:name="_Toc151782196"/>
      <w:bookmarkStart w:id="40" w:name="_Toc158526232"/>
    </w:p>
    <w:p w:rsidR="00BD66AC" w:rsidRDefault="005239EC" w:rsidP="00BD66AC">
      <w:r w:rsidRPr="005239EC">
        <w:rPr>
          <w:b/>
        </w:rPr>
        <w:t>Schedule</w:t>
      </w:r>
      <w:r>
        <w:t xml:space="preserve">. </w:t>
      </w:r>
      <w:r w:rsidR="00682EF2" w:rsidRPr="00D00B9E">
        <w:t xml:space="preserve">This data collection is scheduled for </w:t>
      </w:r>
      <w:r w:rsidR="00302E20">
        <w:t>April 2011</w:t>
      </w:r>
      <w:r w:rsidR="00682EF2" w:rsidRPr="00D00B9E">
        <w:t xml:space="preserve"> through </w:t>
      </w:r>
      <w:r w:rsidR="00302E20">
        <w:t>April 2014</w:t>
      </w:r>
      <w:r w:rsidR="00682EF2" w:rsidRPr="00D00B9E">
        <w:t xml:space="preserve">. </w:t>
      </w:r>
      <w:r w:rsidR="0089660C" w:rsidRPr="00D00B9E">
        <w:t xml:space="preserve">The </w:t>
      </w:r>
      <w:r w:rsidR="00682EF2" w:rsidRPr="00D00B9E">
        <w:t xml:space="preserve">data collection follows a </w:t>
      </w:r>
      <w:r w:rsidR="00682EF2" w:rsidRPr="0044287C">
        <w:t>four</w:t>
      </w:r>
      <w:r w:rsidR="00833DBA" w:rsidRPr="0044287C">
        <w:t>-</w:t>
      </w:r>
      <w:r w:rsidR="0044287C">
        <w:t>month</w:t>
      </w:r>
      <w:r w:rsidR="00682EF2" w:rsidRPr="0044287C">
        <w:t xml:space="preserve"> cycle,</w:t>
      </w:r>
      <w:r w:rsidR="00682EF2" w:rsidRPr="00D00B9E">
        <w:t xml:space="preserve"> </w:t>
      </w:r>
      <w:r w:rsidR="0089660C" w:rsidRPr="00D00B9E">
        <w:t>shown</w:t>
      </w:r>
      <w:r w:rsidR="00682EF2" w:rsidRPr="00D00B9E">
        <w:t xml:space="preserve"> below</w:t>
      </w:r>
      <w:r w:rsidR="0089660C" w:rsidRPr="00D00B9E">
        <w:t xml:space="preserve"> in Table 3. </w:t>
      </w:r>
      <w:r w:rsidR="00236E47" w:rsidRPr="00D00B9E">
        <w:t xml:space="preserve">The Innovations Exchange will publish new profiles to the </w:t>
      </w:r>
      <w:r w:rsidR="00A40730">
        <w:t>W</w:t>
      </w:r>
      <w:r w:rsidR="00236E47" w:rsidRPr="00D00B9E">
        <w:t>eb</w:t>
      </w:r>
      <w:r w:rsidR="00A40730">
        <w:t xml:space="preserve"> </w:t>
      </w:r>
      <w:r w:rsidR="00236E47" w:rsidRPr="00D00B9E">
        <w:t xml:space="preserve">site every two weeks, averaging 25 publication issues a year. </w:t>
      </w:r>
      <w:r w:rsidR="00BD66AC" w:rsidRPr="00D00B9E">
        <w:t xml:space="preserve">AHRQ will </w:t>
      </w:r>
      <w:r w:rsidR="00236E47" w:rsidRPr="00D00B9E">
        <w:t xml:space="preserve">publish </w:t>
      </w:r>
      <w:r w:rsidR="00262CD6" w:rsidRPr="00D00B9E">
        <w:t xml:space="preserve">approximately </w:t>
      </w:r>
      <w:r w:rsidR="0044287C">
        <w:t>6 new</w:t>
      </w:r>
      <w:r w:rsidR="00262CD6" w:rsidRPr="00D00B9E">
        <w:t xml:space="preserve"> </w:t>
      </w:r>
      <w:r w:rsidR="0089660C" w:rsidRPr="00D00B9E">
        <w:t xml:space="preserve">profiles </w:t>
      </w:r>
      <w:r w:rsidR="00236E47" w:rsidRPr="00D00B9E">
        <w:t xml:space="preserve">per issue </w:t>
      </w:r>
      <w:r w:rsidR="0089660C" w:rsidRPr="00D00B9E">
        <w:t xml:space="preserve">for a total of </w:t>
      </w:r>
      <w:r w:rsidR="0044287C">
        <w:t>1</w:t>
      </w:r>
      <w:r w:rsidR="0089660C" w:rsidRPr="00D00B9E">
        <w:t xml:space="preserve">50 </w:t>
      </w:r>
      <w:r w:rsidR="00E01999">
        <w:t xml:space="preserve">innovations per calendar year. </w:t>
      </w:r>
      <w:r w:rsidR="0004637A" w:rsidRPr="00D00B9E">
        <w:t>The</w:t>
      </w:r>
      <w:r w:rsidR="0004637A">
        <w:t xml:space="preserve"> timeline includes</w:t>
      </w:r>
      <w:r w:rsidR="00833DBA">
        <w:t xml:space="preserve"> reviewing material from the email submission or</w:t>
      </w:r>
      <w:r w:rsidR="0004637A">
        <w:t xml:space="preserve"> identifying the potential innovation and conducting background research, contacting </w:t>
      </w:r>
      <w:r w:rsidR="00132FDE">
        <w:t xml:space="preserve">the innovator </w:t>
      </w:r>
      <w:r w:rsidR="0004637A">
        <w:t>and conducting the innovator interview, developing the profile, requesting innovator review, and publishing the innovation to the Innovations Exchange.</w:t>
      </w:r>
    </w:p>
    <w:p w:rsidR="00236E47" w:rsidRDefault="00236E47" w:rsidP="00BD66AC"/>
    <w:p w:rsidR="00236E47" w:rsidRDefault="00236E47" w:rsidP="00BD66AC">
      <w:pPr>
        <w:rPr>
          <w:b/>
        </w:rPr>
      </w:pPr>
      <w:r w:rsidRPr="0044287C">
        <w:rPr>
          <w:b/>
        </w:rPr>
        <w:t xml:space="preserve">Table 3: </w:t>
      </w:r>
      <w:r w:rsidR="00D37F51" w:rsidRPr="0044287C">
        <w:rPr>
          <w:b/>
        </w:rPr>
        <w:t>Anticipated schedule</w:t>
      </w:r>
      <w:r w:rsidR="00D37F51" w:rsidRPr="00262CD6">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tblGrid>
      <w:tr w:rsidR="0004637A" w:rsidTr="00E01999">
        <w:tc>
          <w:tcPr>
            <w:tcW w:w="2952" w:type="dxa"/>
          </w:tcPr>
          <w:p w:rsidR="0004637A" w:rsidRPr="00E021B7" w:rsidRDefault="0004637A" w:rsidP="00E021B7">
            <w:pPr>
              <w:jc w:val="center"/>
              <w:rPr>
                <w:b/>
              </w:rPr>
            </w:pPr>
            <w:r w:rsidRPr="00E021B7">
              <w:rPr>
                <w:b/>
              </w:rPr>
              <w:t xml:space="preserve">Activity </w:t>
            </w:r>
          </w:p>
        </w:tc>
        <w:tc>
          <w:tcPr>
            <w:tcW w:w="2952" w:type="dxa"/>
          </w:tcPr>
          <w:p w:rsidR="0004637A" w:rsidRPr="00E021B7" w:rsidRDefault="0004637A" w:rsidP="00E021B7">
            <w:pPr>
              <w:jc w:val="center"/>
              <w:rPr>
                <w:b/>
              </w:rPr>
            </w:pPr>
            <w:r w:rsidRPr="00E021B7">
              <w:rPr>
                <w:b/>
              </w:rPr>
              <w:t>Time schedule</w:t>
            </w:r>
          </w:p>
        </w:tc>
      </w:tr>
      <w:tr w:rsidR="0004637A" w:rsidTr="00E01999">
        <w:tc>
          <w:tcPr>
            <w:tcW w:w="2952" w:type="dxa"/>
          </w:tcPr>
          <w:p w:rsidR="0004637A" w:rsidRDefault="0004637A" w:rsidP="00BD66AC">
            <w:r>
              <w:t>Background research on innovation</w:t>
            </w:r>
          </w:p>
        </w:tc>
        <w:tc>
          <w:tcPr>
            <w:tcW w:w="2952" w:type="dxa"/>
          </w:tcPr>
          <w:p w:rsidR="0004637A" w:rsidRDefault="0004637A" w:rsidP="00BD66AC">
            <w:r>
              <w:t xml:space="preserve">4 </w:t>
            </w:r>
            <w:r w:rsidR="0044287C">
              <w:t>months</w:t>
            </w:r>
            <w:r w:rsidR="00B85C0E">
              <w:t xml:space="preserve"> </w:t>
            </w:r>
            <w:r>
              <w:t xml:space="preserve"> prior to publication</w:t>
            </w:r>
          </w:p>
        </w:tc>
      </w:tr>
      <w:tr w:rsidR="0004637A" w:rsidTr="00E01999">
        <w:tc>
          <w:tcPr>
            <w:tcW w:w="2952" w:type="dxa"/>
          </w:tcPr>
          <w:p w:rsidR="0004637A" w:rsidRDefault="0004637A" w:rsidP="00BD66AC">
            <w:r>
              <w:t>Innovator interview</w:t>
            </w:r>
          </w:p>
        </w:tc>
        <w:tc>
          <w:tcPr>
            <w:tcW w:w="2952" w:type="dxa"/>
          </w:tcPr>
          <w:p w:rsidR="0004637A" w:rsidRDefault="0044287C" w:rsidP="00BD66AC">
            <w:r>
              <w:t xml:space="preserve">3 months </w:t>
            </w:r>
            <w:r w:rsidR="0004637A">
              <w:t xml:space="preserve"> prior to </w:t>
            </w:r>
            <w:r w:rsidR="000A40C9">
              <w:t>publication</w:t>
            </w:r>
          </w:p>
        </w:tc>
      </w:tr>
      <w:tr w:rsidR="0004637A" w:rsidTr="00E01999">
        <w:tc>
          <w:tcPr>
            <w:tcW w:w="2952" w:type="dxa"/>
          </w:tcPr>
          <w:p w:rsidR="0004637A" w:rsidRDefault="0004637A" w:rsidP="00BD66AC">
            <w:r>
              <w:t>Develop profile</w:t>
            </w:r>
          </w:p>
        </w:tc>
        <w:tc>
          <w:tcPr>
            <w:tcW w:w="2952" w:type="dxa"/>
          </w:tcPr>
          <w:p w:rsidR="0004637A" w:rsidRDefault="0044287C" w:rsidP="00BD66AC">
            <w:r>
              <w:t xml:space="preserve">2 months </w:t>
            </w:r>
            <w:r w:rsidR="0004637A">
              <w:t xml:space="preserve"> prior to </w:t>
            </w:r>
            <w:r w:rsidR="000A40C9">
              <w:lastRenderedPageBreak/>
              <w:t>publication</w:t>
            </w:r>
          </w:p>
        </w:tc>
      </w:tr>
      <w:tr w:rsidR="0004637A" w:rsidTr="00E01999">
        <w:tc>
          <w:tcPr>
            <w:tcW w:w="2952" w:type="dxa"/>
          </w:tcPr>
          <w:p w:rsidR="0004637A" w:rsidRDefault="0004637A" w:rsidP="00BD66AC">
            <w:r>
              <w:lastRenderedPageBreak/>
              <w:t xml:space="preserve">Innovator review </w:t>
            </w:r>
          </w:p>
        </w:tc>
        <w:tc>
          <w:tcPr>
            <w:tcW w:w="2952" w:type="dxa"/>
          </w:tcPr>
          <w:p w:rsidR="0004637A" w:rsidRDefault="00B85C0E" w:rsidP="00BD66AC">
            <w:r>
              <w:t xml:space="preserve">1 month </w:t>
            </w:r>
            <w:r w:rsidR="0004637A">
              <w:t xml:space="preserve"> prior to publication</w:t>
            </w:r>
          </w:p>
        </w:tc>
      </w:tr>
      <w:tr w:rsidR="0004637A" w:rsidTr="00E01999">
        <w:tc>
          <w:tcPr>
            <w:tcW w:w="2952" w:type="dxa"/>
          </w:tcPr>
          <w:p w:rsidR="0004637A" w:rsidRDefault="0004637A" w:rsidP="00BD66AC">
            <w:r>
              <w:t>Publish profile</w:t>
            </w:r>
          </w:p>
        </w:tc>
        <w:tc>
          <w:tcPr>
            <w:tcW w:w="2952" w:type="dxa"/>
          </w:tcPr>
          <w:p w:rsidR="0004637A" w:rsidRDefault="0004637A" w:rsidP="00BD66AC">
            <w:r>
              <w:t>Every 2 weeks</w:t>
            </w:r>
          </w:p>
        </w:tc>
      </w:tr>
    </w:tbl>
    <w:p w:rsidR="00D37F51" w:rsidRDefault="00D37F51" w:rsidP="00BD66AC"/>
    <w:p w:rsidR="00D37F51" w:rsidRDefault="005239EC" w:rsidP="00BD66AC">
      <w:r w:rsidRPr="005239EC">
        <w:rPr>
          <w:b/>
        </w:rPr>
        <w:t>Analysis.</w:t>
      </w:r>
      <w:r>
        <w:t xml:space="preserve"> </w:t>
      </w:r>
      <w:r w:rsidR="00D37F51">
        <w:t>The Innovations Exchange portfolio of innovations will be systematically reviewed to ensure a broad representation of various settings of care, patient population</w:t>
      </w:r>
      <w:r w:rsidR="00833DBA">
        <w:t>s</w:t>
      </w:r>
      <w:r w:rsidR="00D37F51">
        <w:t>, disease conditions, and processes of care.</w:t>
      </w:r>
    </w:p>
    <w:p w:rsidR="009B633D" w:rsidRDefault="009B633D" w:rsidP="009B633D">
      <w:pPr>
        <w:pStyle w:val="Heading2"/>
        <w:rPr>
          <w:sz w:val="24"/>
        </w:rPr>
      </w:pPr>
      <w:r w:rsidRPr="00424E6E">
        <w:rPr>
          <w:sz w:val="24"/>
        </w:rPr>
        <w:t>17. Exemption for Display of Expiration Date</w:t>
      </w:r>
      <w:bookmarkEnd w:id="39"/>
      <w:bookmarkEnd w:id="40"/>
    </w:p>
    <w:p w:rsidR="00D10D6C" w:rsidRDefault="00D10D6C" w:rsidP="009E644D"/>
    <w:p w:rsidR="00F650FC" w:rsidRDefault="009E644D" w:rsidP="00F650FC">
      <w:r>
        <w:t>AHRQ does not seek this exemption.</w:t>
      </w:r>
    </w:p>
    <w:p w:rsidR="000E2DDC" w:rsidRDefault="000E2DDC" w:rsidP="00F650FC"/>
    <w:p w:rsidR="000E2DDC" w:rsidRDefault="000E2DDC" w:rsidP="00F650FC"/>
    <w:p w:rsidR="003B58F6" w:rsidRDefault="003B58F6" w:rsidP="00F650FC"/>
    <w:p w:rsidR="00C5451F" w:rsidRPr="003B58F6" w:rsidRDefault="00E01999" w:rsidP="00A077C0">
      <w:pPr>
        <w:rPr>
          <w:b/>
        </w:rPr>
      </w:pPr>
      <w:r w:rsidRPr="003B58F6">
        <w:rPr>
          <w:rFonts w:ascii="Arial" w:hAnsi="Arial" w:cs="Arial"/>
          <w:b/>
          <w:i/>
        </w:rPr>
        <w:t>List of Attachments</w:t>
      </w:r>
      <w:r w:rsidR="003B58F6">
        <w:rPr>
          <w:rFonts w:ascii="Arial" w:hAnsi="Arial" w:cs="Arial"/>
          <w:b/>
          <w:i/>
        </w:rPr>
        <w:t>:</w:t>
      </w:r>
    </w:p>
    <w:p w:rsidR="00E01999" w:rsidRDefault="00E01999" w:rsidP="00E01999">
      <w:pPr>
        <w:jc w:val="center"/>
        <w:rPr>
          <w:rFonts w:ascii="Arial" w:hAnsi="Arial" w:cs="Arial"/>
        </w:rPr>
      </w:pPr>
    </w:p>
    <w:p w:rsidR="00C5451F" w:rsidRDefault="00C5451F" w:rsidP="00C5451F">
      <w:pPr>
        <w:spacing w:after="120"/>
      </w:pPr>
      <w:r>
        <w:t>Attachment A: Healthcare Research and Quality Act of 1999</w:t>
      </w:r>
    </w:p>
    <w:p w:rsidR="00D52D71" w:rsidRDefault="00C5451F" w:rsidP="00C5451F">
      <w:pPr>
        <w:tabs>
          <w:tab w:val="right" w:leader="dot" w:pos="8568"/>
        </w:tabs>
        <w:spacing w:after="120"/>
      </w:pPr>
      <w:r>
        <w:t>Attachment B: Email Submission Guidelines</w:t>
      </w:r>
    </w:p>
    <w:p w:rsidR="00AC2E3A" w:rsidRDefault="00C5451F" w:rsidP="00D52D71">
      <w:pPr>
        <w:tabs>
          <w:tab w:val="right" w:leader="dot" w:pos="8568"/>
        </w:tabs>
        <w:spacing w:after="120"/>
      </w:pPr>
      <w:r>
        <w:t>Attachment C</w:t>
      </w:r>
      <w:r w:rsidR="007A6754">
        <w:t xml:space="preserve">: </w:t>
      </w:r>
      <w:r>
        <w:t>Health</w:t>
      </w:r>
      <w:r w:rsidR="00A40730">
        <w:t xml:space="preserve"> C</w:t>
      </w:r>
      <w:r w:rsidR="00D52D71">
        <w:t xml:space="preserve">are Innovator </w:t>
      </w:r>
      <w:r>
        <w:t>Interview Guide</w:t>
      </w:r>
      <w:r w:rsidR="00AC2E3A">
        <w:t xml:space="preserve"> </w:t>
      </w:r>
    </w:p>
    <w:p w:rsidR="001E4611" w:rsidRDefault="001E4611" w:rsidP="00D52D71">
      <w:pPr>
        <w:tabs>
          <w:tab w:val="right" w:leader="dot" w:pos="8568"/>
        </w:tabs>
        <w:spacing w:after="120"/>
      </w:pPr>
      <w:r>
        <w:t xml:space="preserve">Attachment D: Annual Follow-up </w:t>
      </w:r>
      <w:r w:rsidR="00363F17">
        <w:t>Emails</w:t>
      </w:r>
    </w:p>
    <w:p w:rsidR="00C5451F" w:rsidRDefault="00C5451F" w:rsidP="00C5451F">
      <w:pPr>
        <w:spacing w:after="120"/>
        <w:ind w:right="-720"/>
      </w:pPr>
      <w:r>
        <w:t xml:space="preserve">Attachment </w:t>
      </w:r>
      <w:r w:rsidR="0005020C">
        <w:t>E</w:t>
      </w:r>
      <w:r>
        <w:t>: Websites that Offer Healthcare Quality Improvement and Innovation Information</w:t>
      </w:r>
    </w:p>
    <w:p w:rsidR="00C5451F" w:rsidRDefault="00C5451F" w:rsidP="00C5451F">
      <w:pPr>
        <w:spacing w:after="120"/>
        <w:ind w:right="-720"/>
      </w:pPr>
      <w:r>
        <w:t xml:space="preserve">Attachment </w:t>
      </w:r>
      <w:r w:rsidR="0005020C">
        <w:t>F</w:t>
      </w:r>
      <w:r>
        <w:t>: Federal Register notice</w:t>
      </w:r>
    </w:p>
    <w:p w:rsidR="00C5451F" w:rsidRDefault="00C5451F" w:rsidP="00C5451F">
      <w:pPr>
        <w:spacing w:after="120"/>
        <w:ind w:right="-720"/>
      </w:pPr>
      <w:r>
        <w:t xml:space="preserve">Attachment </w:t>
      </w:r>
      <w:r w:rsidR="0005020C">
        <w:t>G</w:t>
      </w:r>
      <w:r>
        <w:t xml:space="preserve">: </w:t>
      </w:r>
      <w:r w:rsidRPr="001B6A46">
        <w:t>Expert Consultation for the AHRQ Health</w:t>
      </w:r>
      <w:r w:rsidR="00D52D71">
        <w:t xml:space="preserve"> C</w:t>
      </w:r>
      <w:r w:rsidRPr="001B6A46">
        <w:t>are Innovations Exchange</w:t>
      </w:r>
    </w:p>
    <w:sectPr w:rsidR="00C5451F" w:rsidSect="004C3789">
      <w:footerReference w:type="even" r:id="rId12"/>
      <w:footerReference w:type="default" r:id="rId13"/>
      <w:footerReference w:type="first" r:id="rId14"/>
      <w:endnotePr>
        <w:numFmt w:val="decimal"/>
      </w:endnotePr>
      <w:pgSz w:w="12240" w:h="15840"/>
      <w:pgMar w:top="1440" w:right="1800" w:bottom="126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240" w:rsidRDefault="00B07240">
      <w:r>
        <w:separator/>
      </w:r>
    </w:p>
  </w:endnote>
  <w:endnote w:type="continuationSeparator" w:id="0">
    <w:p w:rsidR="00B07240" w:rsidRDefault="00B072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Futura MdCn BT">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240" w:rsidRDefault="00B07240"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07240" w:rsidRDefault="00B072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240" w:rsidRDefault="00B07240">
    <w:pPr>
      <w:pStyle w:val="Footer"/>
      <w:jc w:val="center"/>
    </w:pPr>
    <w:fldSimple w:instr=" PAGE   \* MERGEFORMAT ">
      <w:r w:rsidR="00746E36">
        <w:rPr>
          <w:noProof/>
        </w:rPr>
        <w:t>3</w:t>
      </w:r>
    </w:fldSimple>
  </w:p>
  <w:p w:rsidR="00B07240" w:rsidRDefault="00B072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240" w:rsidRDefault="00B07240">
    <w:pPr>
      <w:pStyle w:val="Footer"/>
      <w:jc w:val="center"/>
    </w:pPr>
    <w:fldSimple w:instr=" PAGE   \* MERGEFORMAT ">
      <w:r w:rsidR="00746E36">
        <w:rPr>
          <w:noProof/>
        </w:rPr>
        <w:t>1</w:t>
      </w:r>
    </w:fldSimple>
  </w:p>
  <w:p w:rsidR="00B07240" w:rsidRDefault="00B072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240" w:rsidRDefault="00B07240">
      <w:r>
        <w:separator/>
      </w:r>
    </w:p>
  </w:footnote>
  <w:footnote w:type="continuationSeparator" w:id="0">
    <w:p w:rsidR="00B07240" w:rsidRDefault="00B07240">
      <w:r>
        <w:continuationSeparator/>
      </w:r>
    </w:p>
  </w:footnote>
  <w:footnote w:id="1">
    <w:p w:rsidR="00B07240" w:rsidRDefault="00B07240">
      <w:pPr>
        <w:pStyle w:val="FootnoteText"/>
      </w:pPr>
      <w:r>
        <w:rPr>
          <w:rStyle w:val="FootnoteReference"/>
        </w:rPr>
        <w:footnoteRef/>
      </w:r>
      <w:r w:rsidRPr="006423EE">
        <w:rPr>
          <w:sz w:val="16"/>
          <w:szCs w:val="16"/>
        </w:rPr>
        <w:t xml:space="preserve">Agency for Healthcare Research and Quality. </w:t>
      </w:r>
      <w:r w:rsidRPr="006423EE">
        <w:rPr>
          <w:i/>
          <w:sz w:val="16"/>
          <w:szCs w:val="16"/>
        </w:rPr>
        <w:t xml:space="preserve">2009 </w:t>
      </w:r>
      <w:r w:rsidRPr="006423EE">
        <w:rPr>
          <w:rStyle w:val="Emphasis"/>
          <w:sz w:val="16"/>
          <w:szCs w:val="16"/>
        </w:rPr>
        <w:t>National Healthcare Quality Report</w:t>
      </w:r>
      <w:r w:rsidRPr="006423EE">
        <w:rPr>
          <w:sz w:val="16"/>
          <w:szCs w:val="16"/>
        </w:rPr>
        <w:t xml:space="preserve">. </w:t>
      </w:r>
      <w:smartTag w:uri="urn:schemas-microsoft-com:office:smarttags" w:element="City">
        <w:r w:rsidRPr="006423EE">
          <w:rPr>
            <w:sz w:val="16"/>
            <w:szCs w:val="16"/>
          </w:rPr>
          <w:t>Rockville</w:t>
        </w:r>
      </w:smartTag>
      <w:r w:rsidRPr="006423EE">
        <w:rPr>
          <w:sz w:val="16"/>
          <w:szCs w:val="16"/>
        </w:rPr>
        <w:t xml:space="preserve">, </w:t>
      </w:r>
      <w:smartTag w:uri="urn:schemas-microsoft-com:office:smarttags" w:element="State">
        <w:r w:rsidRPr="006423EE">
          <w:rPr>
            <w:sz w:val="16"/>
            <w:szCs w:val="16"/>
          </w:rPr>
          <w:t>MD</w:t>
        </w:r>
      </w:smartTag>
      <w:r w:rsidRPr="006423EE">
        <w:rPr>
          <w:sz w:val="16"/>
          <w:szCs w:val="16"/>
        </w:rPr>
        <w:t xml:space="preserve">: </w:t>
      </w:r>
      <w:smartTag w:uri="urn:schemas-microsoft-com:office:smarttags" w:element="country-region">
        <w:smartTag w:uri="urn:schemas-microsoft-com:office:smarttags" w:element="place">
          <w:r w:rsidRPr="006423EE">
            <w:rPr>
              <w:sz w:val="16"/>
              <w:szCs w:val="16"/>
            </w:rPr>
            <w:t>U.S.</w:t>
          </w:r>
        </w:smartTag>
      </w:smartTag>
      <w:r w:rsidRPr="006423EE">
        <w:rPr>
          <w:sz w:val="16"/>
          <w:szCs w:val="16"/>
        </w:rPr>
        <w:t xml:space="preserve"> Department of Health and Human Services, Agency for Healthcare Research and Quality; March 2010. </w:t>
      </w:r>
      <w:r w:rsidRPr="006423EE">
        <w:rPr>
          <w:sz w:val="16"/>
          <w:szCs w:val="16"/>
          <w:lang w:val="es-ES"/>
        </w:rPr>
        <w:t xml:space="preserve">AHRQ Pub. No. 10-0003. </w:t>
      </w:r>
      <w:hyperlink r:id="rId1" w:history="1">
        <w:r w:rsidRPr="006423EE">
          <w:rPr>
            <w:rStyle w:val="Hyperlink"/>
            <w:sz w:val="16"/>
            <w:szCs w:val="16"/>
          </w:rPr>
          <w:t>http://www.ahrq.gov/qual/nhqr09/Key.htm</w:t>
        </w:r>
      </w:hyperlink>
      <w:r w:rsidRPr="006423EE">
        <w:rPr>
          <w:color w:val="1F497D"/>
          <w:sz w:val="16"/>
          <w:szCs w:val="16"/>
        </w:rPr>
        <w:t>.</w:t>
      </w:r>
      <w:r w:rsidRPr="006423EE">
        <w:rPr>
          <w:sz w:val="16"/>
          <w:szCs w:val="16"/>
        </w:rPr>
        <w:t xml:space="preserve"> </w:t>
      </w:r>
      <w:r w:rsidRPr="006423EE">
        <w:rPr>
          <w:sz w:val="16"/>
          <w:szCs w:val="16"/>
          <w:lang w:val="es-ES"/>
        </w:rPr>
        <w:t xml:space="preserve"> </w:t>
      </w:r>
      <w:r w:rsidRPr="006423EE">
        <w:rPr>
          <w:sz w:val="16"/>
          <w:szCs w:val="16"/>
        </w:rPr>
        <w:t xml:space="preserve">Accessed 08/12/2010. </w:t>
      </w:r>
      <w:r>
        <w:t xml:space="preserve"> </w:t>
      </w:r>
    </w:p>
  </w:footnote>
  <w:footnote w:id="2">
    <w:p w:rsidR="00B07240" w:rsidRDefault="00B07240">
      <w:pPr>
        <w:pStyle w:val="FootnoteText"/>
      </w:pPr>
      <w:r>
        <w:rPr>
          <w:rStyle w:val="FootnoteReference"/>
        </w:rPr>
        <w:footnoteRef/>
      </w:r>
      <w:r w:rsidRPr="00F650FC">
        <w:rPr>
          <w:sz w:val="16"/>
          <w:szCs w:val="16"/>
        </w:rPr>
        <w:t xml:space="preserve">Dougherty D, Conway PH. </w:t>
      </w:r>
      <w:r w:rsidRPr="00F650FC">
        <w:rPr>
          <w:bCs/>
          <w:sz w:val="16"/>
          <w:szCs w:val="16"/>
        </w:rPr>
        <w:t xml:space="preserve">The “3T’s” Road Map to Transform US Health Care: </w:t>
      </w:r>
      <w:r w:rsidRPr="00F650FC">
        <w:rPr>
          <w:sz w:val="16"/>
          <w:szCs w:val="16"/>
        </w:rPr>
        <w:t xml:space="preserve">The “How” of High-Quality Care. </w:t>
      </w:r>
      <w:r w:rsidRPr="00F650FC">
        <w:rPr>
          <w:color w:val="292526"/>
          <w:sz w:val="16"/>
          <w:szCs w:val="16"/>
        </w:rPr>
        <w:t xml:space="preserve">JAMA, </w:t>
      </w:r>
      <w:smartTag w:uri="urn:schemas-microsoft-com:office:smarttags" w:element="date">
        <w:smartTagPr>
          <w:attr w:name="Year" w:val="2008"/>
          <w:attr w:name="Day" w:val="21"/>
          <w:attr w:name="Month" w:val="5"/>
        </w:smartTagPr>
        <w:r w:rsidRPr="00F650FC">
          <w:rPr>
            <w:color w:val="292526"/>
            <w:sz w:val="16"/>
            <w:szCs w:val="16"/>
          </w:rPr>
          <w:t>May 21, 2008</w:t>
        </w:r>
      </w:smartTag>
      <w:r w:rsidRPr="00F650FC">
        <w:rPr>
          <w:color w:val="292526"/>
          <w:sz w:val="16"/>
          <w:szCs w:val="16"/>
        </w:rPr>
        <w:t>—Vol 299, No. 19</w:t>
      </w:r>
      <w:r>
        <w:t xml:space="preserve">  </w:t>
      </w:r>
    </w:p>
  </w:footnote>
  <w:footnote w:id="3">
    <w:p w:rsidR="00B07240" w:rsidRDefault="00B07240" w:rsidP="00370D9E">
      <w:pPr>
        <w:pStyle w:val="FootnoteText"/>
      </w:pPr>
      <w:r>
        <w:rPr>
          <w:rStyle w:val="FootnoteReference"/>
        </w:rPr>
        <w:footnoteRef/>
      </w:r>
      <w:r w:rsidRPr="00370D9E">
        <w:rPr>
          <w:sz w:val="16"/>
          <w:szCs w:val="16"/>
        </w:rPr>
        <w:t>https://www.healthonnet.org/HONcode/Conduct.html?HONConduct434989</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D2BDF"/>
    <w:multiLevelType w:val="multilevel"/>
    <w:tmpl w:val="6F66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BA20E1"/>
    <w:multiLevelType w:val="multilevel"/>
    <w:tmpl w:val="2666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0F3C72"/>
    <w:multiLevelType w:val="hybridMultilevel"/>
    <w:tmpl w:val="508A12DE"/>
    <w:lvl w:ilvl="0" w:tplc="203AC2F8">
      <w:start w:val="1"/>
      <w:numFmt w:val="bullet"/>
      <w:lvlText w:val=""/>
      <w:lvlJc w:val="left"/>
      <w:pPr>
        <w:tabs>
          <w:tab w:val="num" w:pos="3960"/>
        </w:tabs>
        <w:ind w:left="396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56530F4"/>
    <w:multiLevelType w:val="hybridMultilevel"/>
    <w:tmpl w:val="904E84F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3B724B"/>
    <w:multiLevelType w:val="hybridMultilevel"/>
    <w:tmpl w:val="0644D842"/>
    <w:lvl w:ilvl="0" w:tplc="2006C7F8">
      <w:start w:val="1"/>
      <w:numFmt w:val="bullet"/>
      <w:pStyle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6A6BFF"/>
    <w:multiLevelType w:val="multilevel"/>
    <w:tmpl w:val="C370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CE5B5B"/>
    <w:multiLevelType w:val="hybridMultilevel"/>
    <w:tmpl w:val="DD443312"/>
    <w:lvl w:ilvl="0" w:tplc="059ED1D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CDB5B85"/>
    <w:multiLevelType w:val="multilevel"/>
    <w:tmpl w:val="9004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A770367"/>
    <w:multiLevelType w:val="multilevel"/>
    <w:tmpl w:val="68EA4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2510CB"/>
    <w:multiLevelType w:val="hybridMultilevel"/>
    <w:tmpl w:val="F81C1646"/>
    <w:lvl w:ilvl="0" w:tplc="03728CA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344316"/>
    <w:multiLevelType w:val="hybridMultilevel"/>
    <w:tmpl w:val="D624B918"/>
    <w:lvl w:ilvl="0" w:tplc="D4CC3224">
      <w:start w:val="1"/>
      <w:numFmt w:val="bullet"/>
      <w:lvlText w:val=""/>
      <w:lvlJc w:val="left"/>
      <w:pPr>
        <w:tabs>
          <w:tab w:val="num" w:pos="1788"/>
        </w:tabs>
        <w:ind w:left="1788" w:hanging="288"/>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A20A52"/>
    <w:multiLevelType w:val="multilevel"/>
    <w:tmpl w:val="1FFED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A2469B"/>
    <w:multiLevelType w:val="hybridMultilevel"/>
    <w:tmpl w:val="F8DEF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9A5E93"/>
    <w:multiLevelType w:val="hybridMultilevel"/>
    <w:tmpl w:val="00A411CC"/>
    <w:lvl w:ilvl="0" w:tplc="059ED1D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532729"/>
    <w:multiLevelType w:val="hybridMultilevel"/>
    <w:tmpl w:val="29E0D0C8"/>
    <w:lvl w:ilvl="0" w:tplc="B9987650">
      <w:start w:val="1"/>
      <w:numFmt w:val="bullet"/>
      <w:lvlText w:val=""/>
      <w:lvlJc w:val="left"/>
      <w:pPr>
        <w:tabs>
          <w:tab w:val="num" w:pos="2160"/>
        </w:tabs>
        <w:ind w:left="2160" w:hanging="360"/>
      </w:pPr>
      <w:rPr>
        <w:rFonts w:ascii="Symbol" w:hAnsi="Symbol" w:hint="default"/>
        <w:color w:val="auto"/>
        <w:sz w:val="22"/>
        <w:szCs w:val="22"/>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339E6A6C"/>
    <w:multiLevelType w:val="hybridMultilevel"/>
    <w:tmpl w:val="7EF4F680"/>
    <w:lvl w:ilvl="0" w:tplc="03728CA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4711A8C"/>
    <w:multiLevelType w:val="hybridMultilevel"/>
    <w:tmpl w:val="5232B76A"/>
    <w:lvl w:ilvl="0" w:tplc="B9987650">
      <w:start w:val="1"/>
      <w:numFmt w:val="bullet"/>
      <w:lvlText w:val=""/>
      <w:lvlJc w:val="left"/>
      <w:pPr>
        <w:tabs>
          <w:tab w:val="num" w:pos="2160"/>
        </w:tabs>
        <w:ind w:left="2160" w:hanging="360"/>
      </w:pPr>
      <w:rPr>
        <w:rFonts w:ascii="Symbol" w:hAnsi="Symbol" w:hint="default"/>
        <w:color w:val="auto"/>
        <w:sz w:val="22"/>
        <w:szCs w:val="22"/>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nsid w:val="3A383A50"/>
    <w:multiLevelType w:val="hybridMultilevel"/>
    <w:tmpl w:val="08645CB8"/>
    <w:lvl w:ilvl="0" w:tplc="676C16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A9F3880"/>
    <w:multiLevelType w:val="hybridMultilevel"/>
    <w:tmpl w:val="8550D13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86938DB"/>
    <w:multiLevelType w:val="multilevel"/>
    <w:tmpl w:val="DC9C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A752D65"/>
    <w:multiLevelType w:val="multilevel"/>
    <w:tmpl w:val="8B4C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C8B23DB"/>
    <w:multiLevelType w:val="hybridMultilevel"/>
    <w:tmpl w:val="D6B8FB4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CC01C31"/>
    <w:multiLevelType w:val="multilevel"/>
    <w:tmpl w:val="6CFA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D12031"/>
    <w:multiLevelType w:val="hybridMultilevel"/>
    <w:tmpl w:val="3E5E08BC"/>
    <w:lvl w:ilvl="0" w:tplc="059ED1D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CB5D79"/>
    <w:multiLevelType w:val="hybridMultilevel"/>
    <w:tmpl w:val="12DA91DE"/>
    <w:lvl w:ilvl="0" w:tplc="7FEE73C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563E4311"/>
    <w:multiLevelType w:val="hybridMultilevel"/>
    <w:tmpl w:val="676C2548"/>
    <w:lvl w:ilvl="0" w:tplc="059ED1D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27">
    <w:nsid w:val="5DD870F3"/>
    <w:multiLevelType w:val="hybridMultilevel"/>
    <w:tmpl w:val="88DE3414"/>
    <w:lvl w:ilvl="0" w:tplc="5896FC32">
      <w:start w:val="1"/>
      <w:numFmt w:val="bullet"/>
      <w:pStyle w:val="N0-FlLftBullet"/>
      <w:lvlText w:val=""/>
      <w:lvlJc w:val="left"/>
      <w:pPr>
        <w:tabs>
          <w:tab w:val="num" w:pos="5760"/>
        </w:tabs>
        <w:ind w:left="576" w:hanging="576"/>
      </w:pPr>
      <w:rPr>
        <w:rFonts w:ascii="Wingdings" w:hAnsi="Wingdings" w:hint="default"/>
        <w:sz w:val="16"/>
        <w:szCs w:val="16"/>
      </w:rPr>
    </w:lvl>
    <w:lvl w:ilvl="1" w:tplc="6A0CEC22">
      <w:start w:val="1"/>
      <w:numFmt w:val="bullet"/>
      <w:lvlText w:val=""/>
      <w:lvlJc w:val="left"/>
      <w:pPr>
        <w:tabs>
          <w:tab w:val="num" w:pos="-72"/>
        </w:tabs>
        <w:ind w:left="1368" w:hanging="288"/>
      </w:pPr>
      <w:rPr>
        <w:rFonts w:ascii="Wingdings" w:hAnsi="Wingding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2BB7C67"/>
    <w:multiLevelType w:val="multilevel"/>
    <w:tmpl w:val="B68A4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4D50B56"/>
    <w:multiLevelType w:val="hybridMultilevel"/>
    <w:tmpl w:val="4A2628C6"/>
    <w:lvl w:ilvl="0" w:tplc="BB8A1E26">
      <w:start w:val="1"/>
      <w:numFmt w:val="bullet"/>
      <w:lvlText w:val=""/>
      <w:lvlJc w:val="left"/>
      <w:pPr>
        <w:tabs>
          <w:tab w:val="num" w:pos="1860"/>
        </w:tabs>
        <w:ind w:left="18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50B3347"/>
    <w:multiLevelType w:val="hybridMultilevel"/>
    <w:tmpl w:val="E1F87580"/>
    <w:lvl w:ilvl="0" w:tplc="03728CA8">
      <w:start w:val="1"/>
      <w:numFmt w:val="decimal"/>
      <w:lvlText w:val="%1."/>
      <w:lvlJc w:val="left"/>
      <w:pPr>
        <w:tabs>
          <w:tab w:val="num" w:pos="1080"/>
        </w:tabs>
        <w:ind w:left="1080" w:hanging="360"/>
      </w:pPr>
      <w:rPr>
        <w:rFonts w:hint="default"/>
        <w:color w:val="auto"/>
        <w:sz w:val="22"/>
        <w:szCs w:val="22"/>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68A14034"/>
    <w:multiLevelType w:val="multilevel"/>
    <w:tmpl w:val="ACDA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C2C1B90"/>
    <w:multiLevelType w:val="hybridMultilevel"/>
    <w:tmpl w:val="30B851B8"/>
    <w:lvl w:ilvl="0" w:tplc="B9987650">
      <w:start w:val="1"/>
      <w:numFmt w:val="bullet"/>
      <w:lvlText w:val=""/>
      <w:lvlJc w:val="left"/>
      <w:pPr>
        <w:tabs>
          <w:tab w:val="num" w:pos="1080"/>
        </w:tabs>
        <w:ind w:left="1080" w:hanging="360"/>
      </w:pPr>
      <w:rPr>
        <w:rFonts w:ascii="Symbol" w:hAnsi="Symbol" w:hint="default"/>
        <w:color w:val="auto"/>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71383BB1"/>
    <w:multiLevelType w:val="hybridMultilevel"/>
    <w:tmpl w:val="72EC6A2C"/>
    <w:lvl w:ilvl="0" w:tplc="B9987650">
      <w:start w:val="1"/>
      <w:numFmt w:val="bullet"/>
      <w:lvlText w:val=""/>
      <w:lvlJc w:val="left"/>
      <w:pPr>
        <w:tabs>
          <w:tab w:val="num" w:pos="1800"/>
        </w:tabs>
        <w:ind w:left="1800" w:hanging="360"/>
      </w:pPr>
      <w:rPr>
        <w:rFonts w:ascii="Symbol" w:hAnsi="Symbol" w:hint="default"/>
        <w:color w:val="auto"/>
        <w:sz w:val="22"/>
        <w:szCs w:val="22"/>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4">
    <w:nsid w:val="72E32D8F"/>
    <w:multiLevelType w:val="hybridMultilevel"/>
    <w:tmpl w:val="00C6EAA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48D196B"/>
    <w:multiLevelType w:val="hybridMultilevel"/>
    <w:tmpl w:val="DD2EC67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75267556"/>
    <w:multiLevelType w:val="hybridMultilevel"/>
    <w:tmpl w:val="8B4A3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6C64D67"/>
    <w:multiLevelType w:val="multilevel"/>
    <w:tmpl w:val="4F34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7118D4"/>
    <w:multiLevelType w:val="multilevel"/>
    <w:tmpl w:val="85BA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511DAE"/>
    <w:multiLevelType w:val="multilevel"/>
    <w:tmpl w:val="BB0E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E43F8F"/>
    <w:multiLevelType w:val="multilevel"/>
    <w:tmpl w:val="40F0C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num w:numId="1">
    <w:abstractNumId w:val="41"/>
  </w:num>
  <w:num w:numId="2">
    <w:abstractNumId w:val="26"/>
  </w:num>
  <w:num w:numId="3">
    <w:abstractNumId w:val="34"/>
  </w:num>
  <w:num w:numId="4">
    <w:abstractNumId w:val="27"/>
  </w:num>
  <w:num w:numId="5">
    <w:abstractNumId w:val="2"/>
  </w:num>
  <w:num w:numId="6">
    <w:abstractNumId w:val="4"/>
  </w:num>
  <w:num w:numId="7">
    <w:abstractNumId w:val="18"/>
  </w:num>
  <w:num w:numId="8">
    <w:abstractNumId w:val="29"/>
  </w:num>
  <w:num w:numId="9">
    <w:abstractNumId w:val="10"/>
  </w:num>
  <w:num w:numId="10">
    <w:abstractNumId w:val="5"/>
  </w:num>
  <w:num w:numId="11">
    <w:abstractNumId w:val="21"/>
  </w:num>
  <w:num w:numId="12">
    <w:abstractNumId w:val="1"/>
  </w:num>
  <w:num w:numId="13">
    <w:abstractNumId w:val="7"/>
  </w:num>
  <w:num w:numId="14">
    <w:abstractNumId w:val="31"/>
  </w:num>
  <w:num w:numId="15">
    <w:abstractNumId w:val="28"/>
  </w:num>
  <w:num w:numId="16">
    <w:abstractNumId w:val="6"/>
  </w:num>
  <w:num w:numId="17">
    <w:abstractNumId w:val="25"/>
  </w:num>
  <w:num w:numId="18">
    <w:abstractNumId w:val="20"/>
  </w:num>
  <w:num w:numId="19">
    <w:abstractNumId w:val="0"/>
  </w:num>
  <w:num w:numId="20">
    <w:abstractNumId w:val="19"/>
  </w:num>
  <w:num w:numId="21">
    <w:abstractNumId w:val="24"/>
  </w:num>
  <w:num w:numId="22">
    <w:abstractNumId w:val="16"/>
  </w:num>
  <w:num w:numId="23">
    <w:abstractNumId w:val="32"/>
  </w:num>
  <w:num w:numId="24">
    <w:abstractNumId w:val="14"/>
  </w:num>
  <w:num w:numId="25">
    <w:abstractNumId w:val="33"/>
  </w:num>
  <w:num w:numId="26">
    <w:abstractNumId w:val="15"/>
  </w:num>
  <w:num w:numId="27">
    <w:abstractNumId w:val="9"/>
  </w:num>
  <w:num w:numId="28">
    <w:abstractNumId w:val="30"/>
  </w:num>
  <w:num w:numId="29">
    <w:abstractNumId w:val="23"/>
  </w:num>
  <w:num w:numId="30">
    <w:abstractNumId w:val="40"/>
  </w:num>
  <w:num w:numId="31">
    <w:abstractNumId w:val="13"/>
  </w:num>
  <w:num w:numId="32">
    <w:abstractNumId w:val="3"/>
  </w:num>
  <w:num w:numId="33">
    <w:abstractNumId w:val="39"/>
  </w:num>
  <w:num w:numId="34">
    <w:abstractNumId w:val="17"/>
  </w:num>
  <w:num w:numId="35">
    <w:abstractNumId w:val="35"/>
  </w:num>
  <w:num w:numId="36">
    <w:abstractNumId w:val="8"/>
  </w:num>
  <w:num w:numId="37">
    <w:abstractNumId w:val="37"/>
  </w:num>
  <w:num w:numId="38">
    <w:abstractNumId w:val="38"/>
  </w:num>
  <w:num w:numId="39">
    <w:abstractNumId w:val="22"/>
  </w:num>
  <w:num w:numId="40">
    <w:abstractNumId w:val="11"/>
  </w:num>
  <w:num w:numId="41">
    <w:abstractNumId w:val="12"/>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stylePaneFormatFilter w:val="3F01"/>
  <w:defaultTabStop w:val="720"/>
  <w:noPunctuationKerning/>
  <w:characterSpacingControl w:val="doNotCompress"/>
  <w:footnotePr>
    <w:footnote w:id="-1"/>
    <w:footnote w:id="0"/>
  </w:footnotePr>
  <w:endnotePr>
    <w:numFmt w:val="decimal"/>
    <w:endnote w:id="-1"/>
    <w:endnote w:id="0"/>
  </w:endnotePr>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5C85"/>
    <w:rsid w:val="00011E85"/>
    <w:rsid w:val="00013105"/>
    <w:rsid w:val="000132A5"/>
    <w:rsid w:val="00014783"/>
    <w:rsid w:val="000158BC"/>
    <w:rsid w:val="00016560"/>
    <w:rsid w:val="000206C9"/>
    <w:rsid w:val="000216AA"/>
    <w:rsid w:val="00023FC0"/>
    <w:rsid w:val="00024FEE"/>
    <w:rsid w:val="00026C59"/>
    <w:rsid w:val="00026D2E"/>
    <w:rsid w:val="00037998"/>
    <w:rsid w:val="00040119"/>
    <w:rsid w:val="00040759"/>
    <w:rsid w:val="00040E36"/>
    <w:rsid w:val="00044354"/>
    <w:rsid w:val="00044E34"/>
    <w:rsid w:val="00045959"/>
    <w:rsid w:val="00045CE0"/>
    <w:rsid w:val="00046359"/>
    <w:rsid w:val="0004637A"/>
    <w:rsid w:val="0004649C"/>
    <w:rsid w:val="000473C1"/>
    <w:rsid w:val="0005020C"/>
    <w:rsid w:val="000564B7"/>
    <w:rsid w:val="0006207D"/>
    <w:rsid w:val="000779A9"/>
    <w:rsid w:val="00077E65"/>
    <w:rsid w:val="00082047"/>
    <w:rsid w:val="000820B8"/>
    <w:rsid w:val="0008361D"/>
    <w:rsid w:val="0008593B"/>
    <w:rsid w:val="000954BB"/>
    <w:rsid w:val="00097B65"/>
    <w:rsid w:val="000A140E"/>
    <w:rsid w:val="000A16FA"/>
    <w:rsid w:val="000A3475"/>
    <w:rsid w:val="000A40C9"/>
    <w:rsid w:val="000A475A"/>
    <w:rsid w:val="000B12D3"/>
    <w:rsid w:val="000B216D"/>
    <w:rsid w:val="000B78CB"/>
    <w:rsid w:val="000C18A2"/>
    <w:rsid w:val="000C2CE8"/>
    <w:rsid w:val="000C5DFA"/>
    <w:rsid w:val="000D0E2E"/>
    <w:rsid w:val="000D355F"/>
    <w:rsid w:val="000D429E"/>
    <w:rsid w:val="000D5338"/>
    <w:rsid w:val="000D6A10"/>
    <w:rsid w:val="000E01D1"/>
    <w:rsid w:val="000E2DDC"/>
    <w:rsid w:val="000F1328"/>
    <w:rsid w:val="000F2B59"/>
    <w:rsid w:val="000F2B61"/>
    <w:rsid w:val="000F3D2C"/>
    <w:rsid w:val="00100575"/>
    <w:rsid w:val="00101A0A"/>
    <w:rsid w:val="00101BB8"/>
    <w:rsid w:val="00111B6B"/>
    <w:rsid w:val="001125E3"/>
    <w:rsid w:val="00112DF2"/>
    <w:rsid w:val="001136E6"/>
    <w:rsid w:val="00113AD6"/>
    <w:rsid w:val="0011579C"/>
    <w:rsid w:val="00120BED"/>
    <w:rsid w:val="001249F1"/>
    <w:rsid w:val="00131443"/>
    <w:rsid w:val="00132B88"/>
    <w:rsid w:val="00132FDE"/>
    <w:rsid w:val="00133046"/>
    <w:rsid w:val="00135216"/>
    <w:rsid w:val="00136AE8"/>
    <w:rsid w:val="00137B08"/>
    <w:rsid w:val="00140FA9"/>
    <w:rsid w:val="00143CE2"/>
    <w:rsid w:val="00145B2C"/>
    <w:rsid w:val="001522D6"/>
    <w:rsid w:val="001551EA"/>
    <w:rsid w:val="00161614"/>
    <w:rsid w:val="0016242F"/>
    <w:rsid w:val="001641A5"/>
    <w:rsid w:val="0016509D"/>
    <w:rsid w:val="00165CB0"/>
    <w:rsid w:val="00174C9E"/>
    <w:rsid w:val="00181751"/>
    <w:rsid w:val="00187A50"/>
    <w:rsid w:val="00190E6F"/>
    <w:rsid w:val="001939E0"/>
    <w:rsid w:val="00196D5F"/>
    <w:rsid w:val="001B1C61"/>
    <w:rsid w:val="001B6A46"/>
    <w:rsid w:val="001C0B3F"/>
    <w:rsid w:val="001C11BA"/>
    <w:rsid w:val="001C488F"/>
    <w:rsid w:val="001C59E4"/>
    <w:rsid w:val="001C73BA"/>
    <w:rsid w:val="001C7A17"/>
    <w:rsid w:val="001D1D1B"/>
    <w:rsid w:val="001D2BDC"/>
    <w:rsid w:val="001D32A9"/>
    <w:rsid w:val="001E1296"/>
    <w:rsid w:val="001E1BDE"/>
    <w:rsid w:val="001E24D4"/>
    <w:rsid w:val="001E329A"/>
    <w:rsid w:val="001E3729"/>
    <w:rsid w:val="001E4611"/>
    <w:rsid w:val="001F0ECA"/>
    <w:rsid w:val="001F2257"/>
    <w:rsid w:val="002007E0"/>
    <w:rsid w:val="00201605"/>
    <w:rsid w:val="00205547"/>
    <w:rsid w:val="002062EA"/>
    <w:rsid w:val="002124C5"/>
    <w:rsid w:val="00212786"/>
    <w:rsid w:val="002162BB"/>
    <w:rsid w:val="002170FB"/>
    <w:rsid w:val="00222114"/>
    <w:rsid w:val="0022366A"/>
    <w:rsid w:val="002244A7"/>
    <w:rsid w:val="00226D02"/>
    <w:rsid w:val="00236E47"/>
    <w:rsid w:val="0024137F"/>
    <w:rsid w:val="00243943"/>
    <w:rsid w:val="00244FC7"/>
    <w:rsid w:val="00246438"/>
    <w:rsid w:val="002504D0"/>
    <w:rsid w:val="00256F45"/>
    <w:rsid w:val="00262CD6"/>
    <w:rsid w:val="0026424E"/>
    <w:rsid w:val="0026638E"/>
    <w:rsid w:val="00270AEA"/>
    <w:rsid w:val="002723AF"/>
    <w:rsid w:val="002723B9"/>
    <w:rsid w:val="00272E29"/>
    <w:rsid w:val="00273B0E"/>
    <w:rsid w:val="00273F90"/>
    <w:rsid w:val="00280B66"/>
    <w:rsid w:val="00285BFC"/>
    <w:rsid w:val="00291B73"/>
    <w:rsid w:val="002949E6"/>
    <w:rsid w:val="002955A3"/>
    <w:rsid w:val="00296041"/>
    <w:rsid w:val="0029734C"/>
    <w:rsid w:val="00297EEA"/>
    <w:rsid w:val="002A00BD"/>
    <w:rsid w:val="002A2D33"/>
    <w:rsid w:val="002B2DF0"/>
    <w:rsid w:val="002B382B"/>
    <w:rsid w:val="002B740E"/>
    <w:rsid w:val="002C4F9E"/>
    <w:rsid w:val="002C4FE4"/>
    <w:rsid w:val="002C7EC3"/>
    <w:rsid w:val="002D0E07"/>
    <w:rsid w:val="002D1FF9"/>
    <w:rsid w:val="002D2CC0"/>
    <w:rsid w:val="002D5688"/>
    <w:rsid w:val="002E54EF"/>
    <w:rsid w:val="002E6320"/>
    <w:rsid w:val="002F3241"/>
    <w:rsid w:val="002F4DE8"/>
    <w:rsid w:val="00302E20"/>
    <w:rsid w:val="00303C6F"/>
    <w:rsid w:val="00311D7C"/>
    <w:rsid w:val="00314ECA"/>
    <w:rsid w:val="00316846"/>
    <w:rsid w:val="003220A8"/>
    <w:rsid w:val="00322AED"/>
    <w:rsid w:val="00322FC1"/>
    <w:rsid w:val="00325B9C"/>
    <w:rsid w:val="00340D97"/>
    <w:rsid w:val="00342D8E"/>
    <w:rsid w:val="00347E19"/>
    <w:rsid w:val="00347F80"/>
    <w:rsid w:val="003500EE"/>
    <w:rsid w:val="00353694"/>
    <w:rsid w:val="00361F52"/>
    <w:rsid w:val="00363F17"/>
    <w:rsid w:val="003663C1"/>
    <w:rsid w:val="00370D9E"/>
    <w:rsid w:val="00371CE8"/>
    <w:rsid w:val="00372548"/>
    <w:rsid w:val="00372844"/>
    <w:rsid w:val="003743F3"/>
    <w:rsid w:val="00377301"/>
    <w:rsid w:val="0037771B"/>
    <w:rsid w:val="0038217D"/>
    <w:rsid w:val="00385232"/>
    <w:rsid w:val="00385C79"/>
    <w:rsid w:val="00385EC9"/>
    <w:rsid w:val="003B58F6"/>
    <w:rsid w:val="003B6B41"/>
    <w:rsid w:val="003C2D31"/>
    <w:rsid w:val="003C36FC"/>
    <w:rsid w:val="003C5532"/>
    <w:rsid w:val="003C5F85"/>
    <w:rsid w:val="003C60BD"/>
    <w:rsid w:val="003D21A7"/>
    <w:rsid w:val="003D675D"/>
    <w:rsid w:val="003D73D8"/>
    <w:rsid w:val="003E0E36"/>
    <w:rsid w:val="003E11B9"/>
    <w:rsid w:val="003E31EB"/>
    <w:rsid w:val="003E5552"/>
    <w:rsid w:val="003F0391"/>
    <w:rsid w:val="003F45C8"/>
    <w:rsid w:val="003F5921"/>
    <w:rsid w:val="00404719"/>
    <w:rsid w:val="00404EA4"/>
    <w:rsid w:val="00407CC1"/>
    <w:rsid w:val="0041082D"/>
    <w:rsid w:val="00411CFD"/>
    <w:rsid w:val="00414C80"/>
    <w:rsid w:val="00414F8D"/>
    <w:rsid w:val="004155E1"/>
    <w:rsid w:val="0041729F"/>
    <w:rsid w:val="00423481"/>
    <w:rsid w:val="00425974"/>
    <w:rsid w:val="004314FE"/>
    <w:rsid w:val="004319B1"/>
    <w:rsid w:val="004322AF"/>
    <w:rsid w:val="00432774"/>
    <w:rsid w:val="004353CD"/>
    <w:rsid w:val="0043596B"/>
    <w:rsid w:val="00436843"/>
    <w:rsid w:val="00437FC4"/>
    <w:rsid w:val="00441ECB"/>
    <w:rsid w:val="0044287C"/>
    <w:rsid w:val="0044301B"/>
    <w:rsid w:val="0044769A"/>
    <w:rsid w:val="00450538"/>
    <w:rsid w:val="00450553"/>
    <w:rsid w:val="00454759"/>
    <w:rsid w:val="00455FD7"/>
    <w:rsid w:val="00456179"/>
    <w:rsid w:val="00456425"/>
    <w:rsid w:val="00460B1E"/>
    <w:rsid w:val="004613C2"/>
    <w:rsid w:val="00462DBE"/>
    <w:rsid w:val="00464898"/>
    <w:rsid w:val="00467163"/>
    <w:rsid w:val="004673DD"/>
    <w:rsid w:val="00470118"/>
    <w:rsid w:val="00470E07"/>
    <w:rsid w:val="0047504D"/>
    <w:rsid w:val="00475967"/>
    <w:rsid w:val="00475D31"/>
    <w:rsid w:val="00476D69"/>
    <w:rsid w:val="004771EA"/>
    <w:rsid w:val="00480E48"/>
    <w:rsid w:val="00494CB6"/>
    <w:rsid w:val="00494D88"/>
    <w:rsid w:val="004A14EB"/>
    <w:rsid w:val="004A21CF"/>
    <w:rsid w:val="004A2EFB"/>
    <w:rsid w:val="004A3E31"/>
    <w:rsid w:val="004B013B"/>
    <w:rsid w:val="004B57BD"/>
    <w:rsid w:val="004B5BFF"/>
    <w:rsid w:val="004B68AA"/>
    <w:rsid w:val="004C0BFA"/>
    <w:rsid w:val="004C3789"/>
    <w:rsid w:val="004C3A42"/>
    <w:rsid w:val="004C45B3"/>
    <w:rsid w:val="004C4A74"/>
    <w:rsid w:val="004C4B75"/>
    <w:rsid w:val="004D0405"/>
    <w:rsid w:val="004D7DA1"/>
    <w:rsid w:val="004E1C19"/>
    <w:rsid w:val="004E3A1B"/>
    <w:rsid w:val="004E44B5"/>
    <w:rsid w:val="004E4AA1"/>
    <w:rsid w:val="004F2755"/>
    <w:rsid w:val="00502726"/>
    <w:rsid w:val="00504DF8"/>
    <w:rsid w:val="005076C0"/>
    <w:rsid w:val="00510909"/>
    <w:rsid w:val="00513104"/>
    <w:rsid w:val="00520CE0"/>
    <w:rsid w:val="005239EC"/>
    <w:rsid w:val="0052484C"/>
    <w:rsid w:val="00526DD6"/>
    <w:rsid w:val="005301F8"/>
    <w:rsid w:val="00531857"/>
    <w:rsid w:val="00531DA3"/>
    <w:rsid w:val="00535B56"/>
    <w:rsid w:val="00536889"/>
    <w:rsid w:val="005420C8"/>
    <w:rsid w:val="00542FEE"/>
    <w:rsid w:val="00546CBA"/>
    <w:rsid w:val="00547CD1"/>
    <w:rsid w:val="00551E0A"/>
    <w:rsid w:val="00552A5F"/>
    <w:rsid w:val="00556066"/>
    <w:rsid w:val="005664CE"/>
    <w:rsid w:val="005747F7"/>
    <w:rsid w:val="00581FD2"/>
    <w:rsid w:val="00585B1B"/>
    <w:rsid w:val="00587247"/>
    <w:rsid w:val="0059304D"/>
    <w:rsid w:val="0059639E"/>
    <w:rsid w:val="005A2D85"/>
    <w:rsid w:val="005A62F9"/>
    <w:rsid w:val="005A64DF"/>
    <w:rsid w:val="005B01A4"/>
    <w:rsid w:val="005B0455"/>
    <w:rsid w:val="005B2955"/>
    <w:rsid w:val="005B3C01"/>
    <w:rsid w:val="005B4A7E"/>
    <w:rsid w:val="005B62CF"/>
    <w:rsid w:val="005B6FAA"/>
    <w:rsid w:val="005C29F9"/>
    <w:rsid w:val="005C2DA9"/>
    <w:rsid w:val="005C4F74"/>
    <w:rsid w:val="005C7808"/>
    <w:rsid w:val="005D1282"/>
    <w:rsid w:val="005D1F7C"/>
    <w:rsid w:val="005D5027"/>
    <w:rsid w:val="005D52BC"/>
    <w:rsid w:val="005D6E2C"/>
    <w:rsid w:val="005E000C"/>
    <w:rsid w:val="005E0F83"/>
    <w:rsid w:val="005E52C6"/>
    <w:rsid w:val="005F45ED"/>
    <w:rsid w:val="005F4B12"/>
    <w:rsid w:val="00600388"/>
    <w:rsid w:val="00600C81"/>
    <w:rsid w:val="006014DB"/>
    <w:rsid w:val="006021D5"/>
    <w:rsid w:val="006023E5"/>
    <w:rsid w:val="006035D5"/>
    <w:rsid w:val="00604C8D"/>
    <w:rsid w:val="00606400"/>
    <w:rsid w:val="0061306D"/>
    <w:rsid w:val="0061336F"/>
    <w:rsid w:val="00613BB0"/>
    <w:rsid w:val="00613C05"/>
    <w:rsid w:val="006203CD"/>
    <w:rsid w:val="00625C1B"/>
    <w:rsid w:val="0062628F"/>
    <w:rsid w:val="0062749D"/>
    <w:rsid w:val="00631C81"/>
    <w:rsid w:val="00635119"/>
    <w:rsid w:val="0063580F"/>
    <w:rsid w:val="00636A0C"/>
    <w:rsid w:val="006423EE"/>
    <w:rsid w:val="00651DDB"/>
    <w:rsid w:val="00655A17"/>
    <w:rsid w:val="00664208"/>
    <w:rsid w:val="00673146"/>
    <w:rsid w:val="00674150"/>
    <w:rsid w:val="00675C4D"/>
    <w:rsid w:val="00682EF2"/>
    <w:rsid w:val="00685D54"/>
    <w:rsid w:val="00685DBD"/>
    <w:rsid w:val="00686878"/>
    <w:rsid w:val="00687C24"/>
    <w:rsid w:val="00693802"/>
    <w:rsid w:val="006A2767"/>
    <w:rsid w:val="006A4DD7"/>
    <w:rsid w:val="006A53CC"/>
    <w:rsid w:val="006A7F14"/>
    <w:rsid w:val="006B12ED"/>
    <w:rsid w:val="006B1836"/>
    <w:rsid w:val="006C03D2"/>
    <w:rsid w:val="006C1F11"/>
    <w:rsid w:val="006C25C3"/>
    <w:rsid w:val="006C2E76"/>
    <w:rsid w:val="006E14D1"/>
    <w:rsid w:val="006E6A85"/>
    <w:rsid w:val="006F082C"/>
    <w:rsid w:val="006F19A3"/>
    <w:rsid w:val="006F265D"/>
    <w:rsid w:val="006F2A2B"/>
    <w:rsid w:val="006F3A45"/>
    <w:rsid w:val="006F3F6D"/>
    <w:rsid w:val="006F5F17"/>
    <w:rsid w:val="006F7390"/>
    <w:rsid w:val="00700550"/>
    <w:rsid w:val="0070072D"/>
    <w:rsid w:val="00703573"/>
    <w:rsid w:val="007061F8"/>
    <w:rsid w:val="007109B1"/>
    <w:rsid w:val="007119BC"/>
    <w:rsid w:val="00723075"/>
    <w:rsid w:val="00723587"/>
    <w:rsid w:val="00727902"/>
    <w:rsid w:val="00735655"/>
    <w:rsid w:val="00744D19"/>
    <w:rsid w:val="00744F4E"/>
    <w:rsid w:val="00746E36"/>
    <w:rsid w:val="007470B8"/>
    <w:rsid w:val="007478C2"/>
    <w:rsid w:val="00747A7E"/>
    <w:rsid w:val="007506E1"/>
    <w:rsid w:val="00751874"/>
    <w:rsid w:val="00751BAF"/>
    <w:rsid w:val="00761106"/>
    <w:rsid w:val="00764054"/>
    <w:rsid w:val="00765D1A"/>
    <w:rsid w:val="00766B4A"/>
    <w:rsid w:val="007721F3"/>
    <w:rsid w:val="0077591A"/>
    <w:rsid w:val="00777A67"/>
    <w:rsid w:val="007804E3"/>
    <w:rsid w:val="00791F89"/>
    <w:rsid w:val="00793182"/>
    <w:rsid w:val="00795B9E"/>
    <w:rsid w:val="007A0C98"/>
    <w:rsid w:val="007A2528"/>
    <w:rsid w:val="007A3A0A"/>
    <w:rsid w:val="007A6754"/>
    <w:rsid w:val="007B0CF3"/>
    <w:rsid w:val="007B1375"/>
    <w:rsid w:val="007B1F2C"/>
    <w:rsid w:val="007B3A8E"/>
    <w:rsid w:val="007B62C2"/>
    <w:rsid w:val="007B6A52"/>
    <w:rsid w:val="007C00AE"/>
    <w:rsid w:val="007C1ECB"/>
    <w:rsid w:val="007C6318"/>
    <w:rsid w:val="007C7B59"/>
    <w:rsid w:val="007D4F9F"/>
    <w:rsid w:val="007E37D6"/>
    <w:rsid w:val="007E4359"/>
    <w:rsid w:val="007E7099"/>
    <w:rsid w:val="007F096F"/>
    <w:rsid w:val="007F2C77"/>
    <w:rsid w:val="007F776E"/>
    <w:rsid w:val="00800C07"/>
    <w:rsid w:val="00804012"/>
    <w:rsid w:val="00805824"/>
    <w:rsid w:val="0080612B"/>
    <w:rsid w:val="00816CFB"/>
    <w:rsid w:val="00817DA0"/>
    <w:rsid w:val="008212A3"/>
    <w:rsid w:val="00825DA9"/>
    <w:rsid w:val="00831AFE"/>
    <w:rsid w:val="00833DBA"/>
    <w:rsid w:val="008345F0"/>
    <w:rsid w:val="00837B49"/>
    <w:rsid w:val="00840CA4"/>
    <w:rsid w:val="00841886"/>
    <w:rsid w:val="00841C9D"/>
    <w:rsid w:val="008450C0"/>
    <w:rsid w:val="008452E0"/>
    <w:rsid w:val="008454C8"/>
    <w:rsid w:val="0084758A"/>
    <w:rsid w:val="00847E09"/>
    <w:rsid w:val="0085002D"/>
    <w:rsid w:val="008523FF"/>
    <w:rsid w:val="0085499E"/>
    <w:rsid w:val="00860438"/>
    <w:rsid w:val="00861A7E"/>
    <w:rsid w:val="00861E61"/>
    <w:rsid w:val="008725E4"/>
    <w:rsid w:val="00873F74"/>
    <w:rsid w:val="00874DFB"/>
    <w:rsid w:val="008802C9"/>
    <w:rsid w:val="00880DFE"/>
    <w:rsid w:val="008827AE"/>
    <w:rsid w:val="008852E3"/>
    <w:rsid w:val="00885EED"/>
    <w:rsid w:val="00886F55"/>
    <w:rsid w:val="008873F6"/>
    <w:rsid w:val="00887A08"/>
    <w:rsid w:val="00887F65"/>
    <w:rsid w:val="00892655"/>
    <w:rsid w:val="0089660C"/>
    <w:rsid w:val="00897D9E"/>
    <w:rsid w:val="008A1CC6"/>
    <w:rsid w:val="008A311C"/>
    <w:rsid w:val="008B5847"/>
    <w:rsid w:val="008B593F"/>
    <w:rsid w:val="008B7662"/>
    <w:rsid w:val="008C26CA"/>
    <w:rsid w:val="008C580E"/>
    <w:rsid w:val="008D38D6"/>
    <w:rsid w:val="008D4C54"/>
    <w:rsid w:val="008D603F"/>
    <w:rsid w:val="008E279C"/>
    <w:rsid w:val="008E567E"/>
    <w:rsid w:val="008F0B8B"/>
    <w:rsid w:val="008F36BC"/>
    <w:rsid w:val="008F490B"/>
    <w:rsid w:val="008F65B6"/>
    <w:rsid w:val="008F6954"/>
    <w:rsid w:val="008F6F64"/>
    <w:rsid w:val="009004FD"/>
    <w:rsid w:val="00900642"/>
    <w:rsid w:val="0090161D"/>
    <w:rsid w:val="00902132"/>
    <w:rsid w:val="00905B6D"/>
    <w:rsid w:val="00906F2B"/>
    <w:rsid w:val="009071D4"/>
    <w:rsid w:val="00910C78"/>
    <w:rsid w:val="0091120E"/>
    <w:rsid w:val="00912DCE"/>
    <w:rsid w:val="00915A99"/>
    <w:rsid w:val="009243E7"/>
    <w:rsid w:val="009244D0"/>
    <w:rsid w:val="009276FE"/>
    <w:rsid w:val="00927C09"/>
    <w:rsid w:val="00933832"/>
    <w:rsid w:val="00936324"/>
    <w:rsid w:val="00936AA6"/>
    <w:rsid w:val="009374DF"/>
    <w:rsid w:val="00940E1D"/>
    <w:rsid w:val="00941857"/>
    <w:rsid w:val="009437B3"/>
    <w:rsid w:val="0094505E"/>
    <w:rsid w:val="0094540F"/>
    <w:rsid w:val="009470CE"/>
    <w:rsid w:val="009572BE"/>
    <w:rsid w:val="00957C50"/>
    <w:rsid w:val="0096258E"/>
    <w:rsid w:val="00963B7C"/>
    <w:rsid w:val="0097036D"/>
    <w:rsid w:val="00970A3F"/>
    <w:rsid w:val="009745C3"/>
    <w:rsid w:val="00975E82"/>
    <w:rsid w:val="009812E4"/>
    <w:rsid w:val="009858E1"/>
    <w:rsid w:val="00985D5A"/>
    <w:rsid w:val="009861B9"/>
    <w:rsid w:val="009943E2"/>
    <w:rsid w:val="009943E4"/>
    <w:rsid w:val="00996F31"/>
    <w:rsid w:val="009975AD"/>
    <w:rsid w:val="009975EC"/>
    <w:rsid w:val="00997815"/>
    <w:rsid w:val="009A0B1A"/>
    <w:rsid w:val="009A237A"/>
    <w:rsid w:val="009A49A7"/>
    <w:rsid w:val="009A5C05"/>
    <w:rsid w:val="009A75E3"/>
    <w:rsid w:val="009B17E4"/>
    <w:rsid w:val="009B633D"/>
    <w:rsid w:val="009C19C2"/>
    <w:rsid w:val="009C2558"/>
    <w:rsid w:val="009C3545"/>
    <w:rsid w:val="009C4881"/>
    <w:rsid w:val="009C515A"/>
    <w:rsid w:val="009C70DF"/>
    <w:rsid w:val="009D1FA6"/>
    <w:rsid w:val="009D2212"/>
    <w:rsid w:val="009D2421"/>
    <w:rsid w:val="009D3279"/>
    <w:rsid w:val="009D34B4"/>
    <w:rsid w:val="009D3DBB"/>
    <w:rsid w:val="009E498A"/>
    <w:rsid w:val="009E6144"/>
    <w:rsid w:val="009E644D"/>
    <w:rsid w:val="009F597D"/>
    <w:rsid w:val="00A008DA"/>
    <w:rsid w:val="00A01561"/>
    <w:rsid w:val="00A033B1"/>
    <w:rsid w:val="00A066F8"/>
    <w:rsid w:val="00A077C0"/>
    <w:rsid w:val="00A10F0D"/>
    <w:rsid w:val="00A11F63"/>
    <w:rsid w:val="00A13989"/>
    <w:rsid w:val="00A13B4D"/>
    <w:rsid w:val="00A15D49"/>
    <w:rsid w:val="00A3005C"/>
    <w:rsid w:val="00A30D9A"/>
    <w:rsid w:val="00A32F49"/>
    <w:rsid w:val="00A40730"/>
    <w:rsid w:val="00A4694A"/>
    <w:rsid w:val="00A47F4E"/>
    <w:rsid w:val="00A5029B"/>
    <w:rsid w:val="00A525F0"/>
    <w:rsid w:val="00A53285"/>
    <w:rsid w:val="00A562CF"/>
    <w:rsid w:val="00A57852"/>
    <w:rsid w:val="00A579D1"/>
    <w:rsid w:val="00A7101C"/>
    <w:rsid w:val="00A71ADD"/>
    <w:rsid w:val="00A77084"/>
    <w:rsid w:val="00A80B29"/>
    <w:rsid w:val="00A835E4"/>
    <w:rsid w:val="00A8644E"/>
    <w:rsid w:val="00A905D8"/>
    <w:rsid w:val="00A915EB"/>
    <w:rsid w:val="00A92204"/>
    <w:rsid w:val="00A9410A"/>
    <w:rsid w:val="00A94219"/>
    <w:rsid w:val="00A95A7E"/>
    <w:rsid w:val="00A9715C"/>
    <w:rsid w:val="00AA1DDC"/>
    <w:rsid w:val="00AA3F0B"/>
    <w:rsid w:val="00AA4D59"/>
    <w:rsid w:val="00AA788A"/>
    <w:rsid w:val="00AA78A9"/>
    <w:rsid w:val="00AB4CFB"/>
    <w:rsid w:val="00AB5C59"/>
    <w:rsid w:val="00AC2E3A"/>
    <w:rsid w:val="00AC6D85"/>
    <w:rsid w:val="00AC7E9A"/>
    <w:rsid w:val="00AD3A06"/>
    <w:rsid w:val="00AD43CC"/>
    <w:rsid w:val="00AD6516"/>
    <w:rsid w:val="00AD68B2"/>
    <w:rsid w:val="00AE0459"/>
    <w:rsid w:val="00AE1426"/>
    <w:rsid w:val="00AE34DA"/>
    <w:rsid w:val="00AE4702"/>
    <w:rsid w:val="00AE6241"/>
    <w:rsid w:val="00AE666E"/>
    <w:rsid w:val="00AF65AF"/>
    <w:rsid w:val="00AF6E21"/>
    <w:rsid w:val="00B00E70"/>
    <w:rsid w:val="00B01BAA"/>
    <w:rsid w:val="00B07240"/>
    <w:rsid w:val="00B157C0"/>
    <w:rsid w:val="00B15C3B"/>
    <w:rsid w:val="00B15E19"/>
    <w:rsid w:val="00B16887"/>
    <w:rsid w:val="00B227A7"/>
    <w:rsid w:val="00B238AD"/>
    <w:rsid w:val="00B23E8C"/>
    <w:rsid w:val="00B257FE"/>
    <w:rsid w:val="00B30DF3"/>
    <w:rsid w:val="00B32224"/>
    <w:rsid w:val="00B36721"/>
    <w:rsid w:val="00B37BB9"/>
    <w:rsid w:val="00B46F41"/>
    <w:rsid w:val="00B515BD"/>
    <w:rsid w:val="00B518F2"/>
    <w:rsid w:val="00B52533"/>
    <w:rsid w:val="00B529F9"/>
    <w:rsid w:val="00B61F65"/>
    <w:rsid w:val="00B6329B"/>
    <w:rsid w:val="00B645ED"/>
    <w:rsid w:val="00B70A4C"/>
    <w:rsid w:val="00B720EC"/>
    <w:rsid w:val="00B72216"/>
    <w:rsid w:val="00B759A8"/>
    <w:rsid w:val="00B7606E"/>
    <w:rsid w:val="00B762E0"/>
    <w:rsid w:val="00B76345"/>
    <w:rsid w:val="00B80237"/>
    <w:rsid w:val="00B825D0"/>
    <w:rsid w:val="00B83929"/>
    <w:rsid w:val="00B84410"/>
    <w:rsid w:val="00B8449E"/>
    <w:rsid w:val="00B85540"/>
    <w:rsid w:val="00B85C0E"/>
    <w:rsid w:val="00B86DCE"/>
    <w:rsid w:val="00B8762F"/>
    <w:rsid w:val="00B915F1"/>
    <w:rsid w:val="00BA0D08"/>
    <w:rsid w:val="00BA2200"/>
    <w:rsid w:val="00BB0D7A"/>
    <w:rsid w:val="00BB1C2F"/>
    <w:rsid w:val="00BB2479"/>
    <w:rsid w:val="00BB45F4"/>
    <w:rsid w:val="00BB4B7F"/>
    <w:rsid w:val="00BB4C1C"/>
    <w:rsid w:val="00BB7136"/>
    <w:rsid w:val="00BB7231"/>
    <w:rsid w:val="00BD66AC"/>
    <w:rsid w:val="00BE0430"/>
    <w:rsid w:val="00BE1B30"/>
    <w:rsid w:val="00BE3503"/>
    <w:rsid w:val="00BE514D"/>
    <w:rsid w:val="00BE559D"/>
    <w:rsid w:val="00BE5BD4"/>
    <w:rsid w:val="00BE70AD"/>
    <w:rsid w:val="00BE7F12"/>
    <w:rsid w:val="00BF07CD"/>
    <w:rsid w:val="00BF1885"/>
    <w:rsid w:val="00BF40A8"/>
    <w:rsid w:val="00BF48C1"/>
    <w:rsid w:val="00BF4AE7"/>
    <w:rsid w:val="00BF5DF7"/>
    <w:rsid w:val="00BF735E"/>
    <w:rsid w:val="00C0644C"/>
    <w:rsid w:val="00C1099A"/>
    <w:rsid w:val="00C11636"/>
    <w:rsid w:val="00C11E3A"/>
    <w:rsid w:val="00C154DB"/>
    <w:rsid w:val="00C166E8"/>
    <w:rsid w:val="00C205C8"/>
    <w:rsid w:val="00C2118A"/>
    <w:rsid w:val="00C23103"/>
    <w:rsid w:val="00C25E52"/>
    <w:rsid w:val="00C309AE"/>
    <w:rsid w:val="00C34246"/>
    <w:rsid w:val="00C4006D"/>
    <w:rsid w:val="00C5451F"/>
    <w:rsid w:val="00C618F7"/>
    <w:rsid w:val="00C666A2"/>
    <w:rsid w:val="00C73F08"/>
    <w:rsid w:val="00C7421E"/>
    <w:rsid w:val="00C80256"/>
    <w:rsid w:val="00C8182A"/>
    <w:rsid w:val="00C91377"/>
    <w:rsid w:val="00C95006"/>
    <w:rsid w:val="00C9655A"/>
    <w:rsid w:val="00C97BE7"/>
    <w:rsid w:val="00C97DB8"/>
    <w:rsid w:val="00CA136B"/>
    <w:rsid w:val="00CA7379"/>
    <w:rsid w:val="00CA7470"/>
    <w:rsid w:val="00CB2685"/>
    <w:rsid w:val="00CC1C21"/>
    <w:rsid w:val="00CC6162"/>
    <w:rsid w:val="00CD4994"/>
    <w:rsid w:val="00CD6387"/>
    <w:rsid w:val="00CE1BA4"/>
    <w:rsid w:val="00CE4CB7"/>
    <w:rsid w:val="00CF170E"/>
    <w:rsid w:val="00CF2617"/>
    <w:rsid w:val="00CF3861"/>
    <w:rsid w:val="00CF4B95"/>
    <w:rsid w:val="00D00B9E"/>
    <w:rsid w:val="00D04811"/>
    <w:rsid w:val="00D04B26"/>
    <w:rsid w:val="00D06440"/>
    <w:rsid w:val="00D0660C"/>
    <w:rsid w:val="00D10D6C"/>
    <w:rsid w:val="00D150A9"/>
    <w:rsid w:val="00D17198"/>
    <w:rsid w:val="00D2521F"/>
    <w:rsid w:val="00D26235"/>
    <w:rsid w:val="00D27107"/>
    <w:rsid w:val="00D27D52"/>
    <w:rsid w:val="00D27E50"/>
    <w:rsid w:val="00D37F51"/>
    <w:rsid w:val="00D402E9"/>
    <w:rsid w:val="00D42E87"/>
    <w:rsid w:val="00D45A9A"/>
    <w:rsid w:val="00D52D71"/>
    <w:rsid w:val="00D543D5"/>
    <w:rsid w:val="00D57D86"/>
    <w:rsid w:val="00D649C4"/>
    <w:rsid w:val="00D6515A"/>
    <w:rsid w:val="00D66E74"/>
    <w:rsid w:val="00D770CA"/>
    <w:rsid w:val="00D822EE"/>
    <w:rsid w:val="00D8512E"/>
    <w:rsid w:val="00D93B9C"/>
    <w:rsid w:val="00D93DA1"/>
    <w:rsid w:val="00D94974"/>
    <w:rsid w:val="00DA097F"/>
    <w:rsid w:val="00DA4D8D"/>
    <w:rsid w:val="00DA683E"/>
    <w:rsid w:val="00DA73A3"/>
    <w:rsid w:val="00DB3948"/>
    <w:rsid w:val="00DB570B"/>
    <w:rsid w:val="00DB6B7A"/>
    <w:rsid w:val="00DC0AD9"/>
    <w:rsid w:val="00DC111E"/>
    <w:rsid w:val="00DC1518"/>
    <w:rsid w:val="00DC51D6"/>
    <w:rsid w:val="00DC7194"/>
    <w:rsid w:val="00DC7425"/>
    <w:rsid w:val="00DD0260"/>
    <w:rsid w:val="00DE5E77"/>
    <w:rsid w:val="00DE7ACC"/>
    <w:rsid w:val="00DE7E85"/>
    <w:rsid w:val="00DF3C67"/>
    <w:rsid w:val="00DF4F3C"/>
    <w:rsid w:val="00DF620E"/>
    <w:rsid w:val="00E005D8"/>
    <w:rsid w:val="00E01615"/>
    <w:rsid w:val="00E01999"/>
    <w:rsid w:val="00E021B7"/>
    <w:rsid w:val="00E0362E"/>
    <w:rsid w:val="00E03A1C"/>
    <w:rsid w:val="00E0471B"/>
    <w:rsid w:val="00E07E17"/>
    <w:rsid w:val="00E10CE4"/>
    <w:rsid w:val="00E14FC3"/>
    <w:rsid w:val="00E16C8B"/>
    <w:rsid w:val="00E222EA"/>
    <w:rsid w:val="00E235F2"/>
    <w:rsid w:val="00E236E2"/>
    <w:rsid w:val="00E2592B"/>
    <w:rsid w:val="00E3047F"/>
    <w:rsid w:val="00E3191F"/>
    <w:rsid w:val="00E374E2"/>
    <w:rsid w:val="00E42C90"/>
    <w:rsid w:val="00E46410"/>
    <w:rsid w:val="00E47851"/>
    <w:rsid w:val="00E501C1"/>
    <w:rsid w:val="00E52235"/>
    <w:rsid w:val="00E64267"/>
    <w:rsid w:val="00E706B3"/>
    <w:rsid w:val="00E71580"/>
    <w:rsid w:val="00E7422B"/>
    <w:rsid w:val="00E7748D"/>
    <w:rsid w:val="00E829E8"/>
    <w:rsid w:val="00E85E2E"/>
    <w:rsid w:val="00E920A5"/>
    <w:rsid w:val="00E92BB4"/>
    <w:rsid w:val="00E96880"/>
    <w:rsid w:val="00E97584"/>
    <w:rsid w:val="00EB19DB"/>
    <w:rsid w:val="00EB28E3"/>
    <w:rsid w:val="00EB4E21"/>
    <w:rsid w:val="00EB58F3"/>
    <w:rsid w:val="00EC3C3A"/>
    <w:rsid w:val="00EC42A0"/>
    <w:rsid w:val="00ED0EBB"/>
    <w:rsid w:val="00EE4455"/>
    <w:rsid w:val="00EF0D66"/>
    <w:rsid w:val="00EF2778"/>
    <w:rsid w:val="00EF698A"/>
    <w:rsid w:val="00EF7411"/>
    <w:rsid w:val="00EF789E"/>
    <w:rsid w:val="00F02136"/>
    <w:rsid w:val="00F04055"/>
    <w:rsid w:val="00F04CBC"/>
    <w:rsid w:val="00F05DC3"/>
    <w:rsid w:val="00F067FB"/>
    <w:rsid w:val="00F122B9"/>
    <w:rsid w:val="00F15CE0"/>
    <w:rsid w:val="00F21CD9"/>
    <w:rsid w:val="00F30F4E"/>
    <w:rsid w:val="00F3207F"/>
    <w:rsid w:val="00F340FE"/>
    <w:rsid w:val="00F427D1"/>
    <w:rsid w:val="00F43ACD"/>
    <w:rsid w:val="00F46275"/>
    <w:rsid w:val="00F56123"/>
    <w:rsid w:val="00F5665F"/>
    <w:rsid w:val="00F60488"/>
    <w:rsid w:val="00F63BC0"/>
    <w:rsid w:val="00F640FB"/>
    <w:rsid w:val="00F650FC"/>
    <w:rsid w:val="00F67100"/>
    <w:rsid w:val="00F735A1"/>
    <w:rsid w:val="00F75DF7"/>
    <w:rsid w:val="00F77869"/>
    <w:rsid w:val="00F94B00"/>
    <w:rsid w:val="00FA03AD"/>
    <w:rsid w:val="00FA2A9C"/>
    <w:rsid w:val="00FA2E89"/>
    <w:rsid w:val="00FB41F6"/>
    <w:rsid w:val="00FB6500"/>
    <w:rsid w:val="00FC430C"/>
    <w:rsid w:val="00FC7332"/>
    <w:rsid w:val="00FC7F73"/>
    <w:rsid w:val="00FD14FC"/>
    <w:rsid w:val="00FD5511"/>
    <w:rsid w:val="00FD613A"/>
    <w:rsid w:val="00FE0B1B"/>
    <w:rsid w:val="00FE15C8"/>
    <w:rsid w:val="00FE203B"/>
    <w:rsid w:val="00FF05F0"/>
    <w:rsid w:val="00FF13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basedOn w:val="DefaultParagraphFont"/>
    <w:uiPriority w:val="99"/>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rsid w:val="00873F74"/>
    <w:rPr>
      <w:sz w:val="24"/>
      <w:szCs w:val="24"/>
      <w:lang w:val="en-US" w:eastAsia="en-US" w:bidi="ar-QA"/>
    </w:rPr>
  </w:style>
  <w:style w:type="table" w:styleId="TableGrid">
    <w:name w:val="Table Grid"/>
    <w:basedOn w:val="TableNormal"/>
    <w:rsid w:val="00873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basedOn w:val="DefaultParagraphFont"/>
    <w:rsid w:val="001D0454"/>
    <w:rPr>
      <w:color w:val="0000FF"/>
      <w:u w:val="single"/>
    </w:rPr>
  </w:style>
  <w:style w:type="paragraph" w:styleId="Footer">
    <w:name w:val="footer"/>
    <w:basedOn w:val="Normal"/>
    <w:link w:val="FooterChar"/>
    <w:uiPriority w:val="99"/>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semiHidden/>
    <w:rsid w:val="00621299"/>
    <w:rPr>
      <w:sz w:val="16"/>
      <w:szCs w:val="16"/>
    </w:rPr>
  </w:style>
  <w:style w:type="paragraph" w:styleId="CommentText">
    <w:name w:val="annotation text"/>
    <w:basedOn w:val="Normal"/>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basedOn w:val="DefaultParagraphFont"/>
    <w:uiPriority w:val="20"/>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basedOn w:val="DefaultParagraphFont"/>
    <w:semiHidden/>
    <w:rsid w:val="00C034DF"/>
    <w:rPr>
      <w:vertAlign w:val="superscript"/>
    </w:rPr>
  </w:style>
  <w:style w:type="character" w:styleId="FollowedHyperlink">
    <w:name w:val="FollowedHyperlink"/>
    <w:basedOn w:val="DefaultParagraphFont"/>
    <w:rsid w:val="00BF735E"/>
    <w:rPr>
      <w:color w:val="800080"/>
      <w:u w:val="single"/>
    </w:rPr>
  </w:style>
  <w:style w:type="character" w:customStyle="1" w:styleId="QuickFormat9">
    <w:name w:val="QuickFormat9"/>
    <w:rsid w:val="003F5921"/>
    <w:rPr>
      <w:b/>
      <w:i/>
      <w:color w:val="000000"/>
      <w:sz w:val="24"/>
    </w:rPr>
  </w:style>
  <w:style w:type="character" w:styleId="Strong">
    <w:name w:val="Strong"/>
    <w:basedOn w:val="DefaultParagraphFont"/>
    <w:uiPriority w:val="22"/>
    <w:qFormat/>
    <w:rsid w:val="007D4F9F"/>
    <w:rPr>
      <w:b/>
      <w:bCs/>
    </w:rPr>
  </w:style>
  <w:style w:type="paragraph" w:styleId="NormalWeb">
    <w:name w:val="Normal (Web)"/>
    <w:basedOn w:val="Normal"/>
    <w:uiPriority w:val="99"/>
    <w:rsid w:val="00450538"/>
    <w:pPr>
      <w:spacing w:before="100" w:beforeAutospacing="1" w:after="100" w:afterAutospacing="1"/>
    </w:pPr>
  </w:style>
  <w:style w:type="paragraph" w:customStyle="1" w:styleId="N0-FlLftBullet">
    <w:name w:val="N0-Fl Lft Bullet"/>
    <w:basedOn w:val="Normal"/>
    <w:rsid w:val="00FF13E5"/>
    <w:pPr>
      <w:numPr>
        <w:numId w:val="4"/>
      </w:numPr>
      <w:tabs>
        <w:tab w:val="clear" w:pos="5760"/>
        <w:tab w:val="left" w:pos="576"/>
      </w:tabs>
      <w:spacing w:after="240" w:line="240" w:lineRule="atLeast"/>
      <w:jc w:val="both"/>
    </w:pPr>
    <w:rPr>
      <w:sz w:val="22"/>
      <w:szCs w:val="20"/>
    </w:rPr>
  </w:style>
  <w:style w:type="paragraph" w:customStyle="1" w:styleId="font13">
    <w:name w:val="font13"/>
    <w:basedOn w:val="Normal"/>
    <w:rsid w:val="00F67100"/>
    <w:pPr>
      <w:spacing w:after="120" w:line="267" w:lineRule="atLeast"/>
    </w:pPr>
    <w:rPr>
      <w:sz w:val="17"/>
      <w:szCs w:val="17"/>
    </w:rPr>
  </w:style>
  <w:style w:type="paragraph" w:customStyle="1" w:styleId="N2-2ndBullet">
    <w:name w:val="N2-2nd Bullet"/>
    <w:basedOn w:val="Normal"/>
    <w:rsid w:val="00F427D1"/>
    <w:pPr>
      <w:tabs>
        <w:tab w:val="left" w:pos="1728"/>
      </w:tabs>
      <w:spacing w:after="240"/>
      <w:ind w:left="1728" w:hanging="576"/>
    </w:pPr>
  </w:style>
  <w:style w:type="paragraph" w:customStyle="1" w:styleId="bullet">
    <w:name w:val="bullet"/>
    <w:basedOn w:val="Normal"/>
    <w:rsid w:val="00AA78A9"/>
    <w:pPr>
      <w:numPr>
        <w:numId w:val="6"/>
      </w:numPr>
    </w:pPr>
  </w:style>
  <w:style w:type="paragraph" w:customStyle="1" w:styleId="Heading0">
    <w:name w:val="Heading 0"/>
    <w:basedOn w:val="Heading1"/>
    <w:rsid w:val="00AA78A9"/>
    <w:rPr>
      <w:bCs w:val="0"/>
      <w:sz w:val="40"/>
    </w:rPr>
  </w:style>
  <w:style w:type="paragraph" w:customStyle="1" w:styleId="Heading32">
    <w:name w:val="Heading 32"/>
    <w:basedOn w:val="Normal"/>
    <w:rsid w:val="00551E0A"/>
    <w:pPr>
      <w:spacing w:before="100" w:beforeAutospacing="1"/>
      <w:outlineLvl w:val="3"/>
    </w:pPr>
    <w:rPr>
      <w:b/>
      <w:bCs/>
      <w:color w:val="660098"/>
      <w:sz w:val="30"/>
      <w:szCs w:val="30"/>
    </w:rPr>
  </w:style>
  <w:style w:type="paragraph" w:customStyle="1" w:styleId="size2">
    <w:name w:val="size2"/>
    <w:basedOn w:val="Normal"/>
    <w:rsid w:val="00906F2B"/>
    <w:pPr>
      <w:spacing w:before="100" w:beforeAutospacing="1" w:after="100" w:afterAutospacing="1"/>
    </w:pPr>
    <w:rPr>
      <w:rFonts w:ascii="Arial" w:hAnsi="Arial" w:cs="Arial"/>
      <w:sz w:val="16"/>
      <w:szCs w:val="16"/>
    </w:rPr>
  </w:style>
  <w:style w:type="paragraph" w:styleId="ListParagraph">
    <w:name w:val="List Paragraph"/>
    <w:basedOn w:val="Normal"/>
    <w:uiPriority w:val="34"/>
    <w:qFormat/>
    <w:rsid w:val="001551EA"/>
    <w:pPr>
      <w:ind w:left="720"/>
    </w:pPr>
  </w:style>
  <w:style w:type="character" w:customStyle="1" w:styleId="FooterChar">
    <w:name w:val="Footer Char"/>
    <w:basedOn w:val="DefaultParagraphFont"/>
    <w:link w:val="Footer"/>
    <w:uiPriority w:val="99"/>
    <w:rsid w:val="00370D9E"/>
    <w:rPr>
      <w:sz w:val="24"/>
      <w:szCs w:val="24"/>
    </w:rPr>
  </w:style>
</w:styles>
</file>

<file path=word/webSettings.xml><?xml version="1.0" encoding="utf-8"?>
<w:webSettings xmlns:r="http://schemas.openxmlformats.org/officeDocument/2006/relationships" xmlns:w="http://schemas.openxmlformats.org/wordprocessingml/2006/main">
  <w:divs>
    <w:div w:id="16009168">
      <w:bodyDiv w:val="1"/>
      <w:marLeft w:val="0"/>
      <w:marRight w:val="0"/>
      <w:marTop w:val="0"/>
      <w:marBottom w:val="0"/>
      <w:divBdr>
        <w:top w:val="none" w:sz="0" w:space="0" w:color="auto"/>
        <w:left w:val="none" w:sz="0" w:space="0" w:color="auto"/>
        <w:bottom w:val="none" w:sz="0" w:space="0" w:color="auto"/>
        <w:right w:val="none" w:sz="0" w:space="0" w:color="auto"/>
      </w:divBdr>
    </w:div>
    <w:div w:id="47460065">
      <w:bodyDiv w:val="1"/>
      <w:marLeft w:val="0"/>
      <w:marRight w:val="0"/>
      <w:marTop w:val="0"/>
      <w:marBottom w:val="0"/>
      <w:divBdr>
        <w:top w:val="none" w:sz="0" w:space="0" w:color="auto"/>
        <w:left w:val="none" w:sz="0" w:space="0" w:color="auto"/>
        <w:bottom w:val="none" w:sz="0" w:space="0" w:color="auto"/>
        <w:right w:val="none" w:sz="0" w:space="0" w:color="auto"/>
      </w:divBdr>
    </w:div>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17601847">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176895951">
      <w:bodyDiv w:val="1"/>
      <w:marLeft w:val="75"/>
      <w:marRight w:val="75"/>
      <w:marTop w:val="75"/>
      <w:marBottom w:val="75"/>
      <w:divBdr>
        <w:top w:val="none" w:sz="0" w:space="0" w:color="auto"/>
        <w:left w:val="none" w:sz="0" w:space="0" w:color="auto"/>
        <w:bottom w:val="none" w:sz="0" w:space="0" w:color="auto"/>
        <w:right w:val="none" w:sz="0" w:space="0" w:color="auto"/>
      </w:divBdr>
      <w:divsChild>
        <w:div w:id="1892769051">
          <w:marLeft w:val="120"/>
          <w:marRight w:val="0"/>
          <w:marTop w:val="150"/>
          <w:marBottom w:val="0"/>
          <w:divBdr>
            <w:top w:val="none" w:sz="0" w:space="0" w:color="auto"/>
            <w:left w:val="none" w:sz="0" w:space="0" w:color="auto"/>
            <w:bottom w:val="none" w:sz="0" w:space="0" w:color="auto"/>
            <w:right w:val="none" w:sz="0" w:space="0" w:color="auto"/>
          </w:divBdr>
          <w:divsChild>
            <w:div w:id="567761626">
              <w:marLeft w:val="0"/>
              <w:marRight w:val="150"/>
              <w:marTop w:val="0"/>
              <w:marBottom w:val="0"/>
              <w:divBdr>
                <w:top w:val="none" w:sz="0" w:space="0" w:color="auto"/>
                <w:left w:val="none" w:sz="0" w:space="0" w:color="auto"/>
                <w:bottom w:val="none" w:sz="0" w:space="0" w:color="auto"/>
                <w:right w:val="none" w:sz="0" w:space="0" w:color="auto"/>
              </w:divBdr>
              <w:divsChild>
                <w:div w:id="1566799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7864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9249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8147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677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49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882437">
      <w:bodyDiv w:val="1"/>
      <w:marLeft w:val="0"/>
      <w:marRight w:val="0"/>
      <w:marTop w:val="0"/>
      <w:marBottom w:val="0"/>
      <w:divBdr>
        <w:top w:val="none" w:sz="0" w:space="0" w:color="auto"/>
        <w:left w:val="none" w:sz="0" w:space="0" w:color="auto"/>
        <w:bottom w:val="none" w:sz="0" w:space="0" w:color="auto"/>
        <w:right w:val="none" w:sz="0" w:space="0" w:color="auto"/>
      </w:divBdr>
      <w:divsChild>
        <w:div w:id="184710493">
          <w:marLeft w:val="0"/>
          <w:marRight w:val="0"/>
          <w:marTop w:val="0"/>
          <w:marBottom w:val="0"/>
          <w:divBdr>
            <w:top w:val="none" w:sz="0" w:space="0" w:color="auto"/>
            <w:left w:val="none" w:sz="0" w:space="0" w:color="auto"/>
            <w:bottom w:val="none" w:sz="0" w:space="0" w:color="auto"/>
            <w:right w:val="none" w:sz="0" w:space="0" w:color="auto"/>
          </w:divBdr>
        </w:div>
        <w:div w:id="260722574">
          <w:marLeft w:val="0"/>
          <w:marRight w:val="0"/>
          <w:marTop w:val="0"/>
          <w:marBottom w:val="0"/>
          <w:divBdr>
            <w:top w:val="none" w:sz="0" w:space="0" w:color="auto"/>
            <w:left w:val="none" w:sz="0" w:space="0" w:color="auto"/>
            <w:bottom w:val="none" w:sz="0" w:space="0" w:color="auto"/>
            <w:right w:val="none" w:sz="0" w:space="0" w:color="auto"/>
          </w:divBdr>
          <w:divsChild>
            <w:div w:id="22706298">
              <w:marLeft w:val="0"/>
              <w:marRight w:val="0"/>
              <w:marTop w:val="0"/>
              <w:marBottom w:val="0"/>
              <w:divBdr>
                <w:top w:val="none" w:sz="0" w:space="0" w:color="auto"/>
                <w:left w:val="none" w:sz="0" w:space="0" w:color="auto"/>
                <w:bottom w:val="none" w:sz="0" w:space="0" w:color="auto"/>
                <w:right w:val="none" w:sz="0" w:space="0" w:color="auto"/>
              </w:divBdr>
            </w:div>
          </w:divsChild>
        </w:div>
        <w:div w:id="529882285">
          <w:marLeft w:val="0"/>
          <w:marRight w:val="0"/>
          <w:marTop w:val="0"/>
          <w:marBottom w:val="0"/>
          <w:divBdr>
            <w:top w:val="none" w:sz="0" w:space="0" w:color="auto"/>
            <w:left w:val="none" w:sz="0" w:space="0" w:color="auto"/>
            <w:bottom w:val="none" w:sz="0" w:space="0" w:color="auto"/>
            <w:right w:val="none" w:sz="0" w:space="0" w:color="auto"/>
          </w:divBdr>
        </w:div>
      </w:divsChild>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68598737">
      <w:bodyDiv w:val="1"/>
      <w:marLeft w:val="124"/>
      <w:marRight w:val="124"/>
      <w:marTop w:val="0"/>
      <w:marBottom w:val="0"/>
      <w:divBdr>
        <w:top w:val="none" w:sz="0" w:space="0" w:color="auto"/>
        <w:left w:val="none" w:sz="0" w:space="0" w:color="auto"/>
        <w:bottom w:val="none" w:sz="0" w:space="0" w:color="auto"/>
        <w:right w:val="none" w:sz="0" w:space="0" w:color="auto"/>
      </w:divBdr>
      <w:divsChild>
        <w:div w:id="636422963">
          <w:marLeft w:val="124"/>
          <w:marRight w:val="124"/>
          <w:marTop w:val="186"/>
          <w:marBottom w:val="124"/>
          <w:divBdr>
            <w:top w:val="none" w:sz="0" w:space="0" w:color="auto"/>
            <w:left w:val="none" w:sz="0" w:space="0" w:color="auto"/>
            <w:bottom w:val="none" w:sz="0" w:space="0" w:color="auto"/>
            <w:right w:val="none" w:sz="0" w:space="0" w:color="auto"/>
          </w:divBdr>
        </w:div>
      </w:divsChild>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24377993">
      <w:bodyDiv w:val="1"/>
      <w:marLeft w:val="75"/>
      <w:marRight w:val="75"/>
      <w:marTop w:val="75"/>
      <w:marBottom w:val="75"/>
      <w:divBdr>
        <w:top w:val="none" w:sz="0" w:space="0" w:color="auto"/>
        <w:left w:val="none" w:sz="0" w:space="0" w:color="auto"/>
        <w:bottom w:val="none" w:sz="0" w:space="0" w:color="auto"/>
        <w:right w:val="none" w:sz="0" w:space="0" w:color="auto"/>
      </w:divBdr>
      <w:divsChild>
        <w:div w:id="1689065158">
          <w:marLeft w:val="120"/>
          <w:marRight w:val="0"/>
          <w:marTop w:val="150"/>
          <w:marBottom w:val="0"/>
          <w:divBdr>
            <w:top w:val="none" w:sz="0" w:space="0" w:color="auto"/>
            <w:left w:val="none" w:sz="0" w:space="0" w:color="auto"/>
            <w:bottom w:val="none" w:sz="0" w:space="0" w:color="auto"/>
            <w:right w:val="none" w:sz="0" w:space="0" w:color="auto"/>
          </w:divBdr>
          <w:divsChild>
            <w:div w:id="1619411992">
              <w:marLeft w:val="0"/>
              <w:marRight w:val="150"/>
              <w:marTop w:val="0"/>
              <w:marBottom w:val="0"/>
              <w:divBdr>
                <w:top w:val="none" w:sz="0" w:space="0" w:color="auto"/>
                <w:left w:val="none" w:sz="0" w:space="0" w:color="auto"/>
                <w:bottom w:val="none" w:sz="0" w:space="0" w:color="auto"/>
                <w:right w:val="none" w:sz="0" w:space="0" w:color="auto"/>
              </w:divBdr>
              <w:divsChild>
                <w:div w:id="1213233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015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373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3565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8906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014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09710466">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825820236">
      <w:bodyDiv w:val="1"/>
      <w:marLeft w:val="0"/>
      <w:marRight w:val="0"/>
      <w:marTop w:val="0"/>
      <w:marBottom w:val="0"/>
      <w:divBdr>
        <w:top w:val="none" w:sz="0" w:space="0" w:color="auto"/>
        <w:left w:val="none" w:sz="0" w:space="0" w:color="auto"/>
        <w:bottom w:val="none" w:sz="0" w:space="0" w:color="auto"/>
        <w:right w:val="none" w:sz="0" w:space="0" w:color="auto"/>
      </w:divBdr>
      <w:divsChild>
        <w:div w:id="647901262">
          <w:marLeft w:val="0"/>
          <w:marRight w:val="0"/>
          <w:marTop w:val="0"/>
          <w:marBottom w:val="0"/>
          <w:divBdr>
            <w:top w:val="none" w:sz="0" w:space="0" w:color="auto"/>
            <w:left w:val="none" w:sz="0" w:space="0" w:color="auto"/>
            <w:bottom w:val="none" w:sz="0" w:space="0" w:color="auto"/>
            <w:right w:val="none" w:sz="0" w:space="0" w:color="auto"/>
          </w:divBdr>
        </w:div>
      </w:divsChild>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076174017">
      <w:bodyDiv w:val="1"/>
      <w:marLeft w:val="150"/>
      <w:marRight w:val="150"/>
      <w:marTop w:val="0"/>
      <w:marBottom w:val="0"/>
      <w:divBdr>
        <w:top w:val="none" w:sz="0" w:space="0" w:color="auto"/>
        <w:left w:val="none" w:sz="0" w:space="0" w:color="auto"/>
        <w:bottom w:val="none" w:sz="0" w:space="0" w:color="auto"/>
        <w:right w:val="none" w:sz="0" w:space="0" w:color="auto"/>
      </w:divBdr>
      <w:divsChild>
        <w:div w:id="1243371381">
          <w:marLeft w:val="150"/>
          <w:marRight w:val="150"/>
          <w:marTop w:val="225"/>
          <w:marBottom w:val="150"/>
          <w:divBdr>
            <w:top w:val="none" w:sz="0" w:space="0" w:color="auto"/>
            <w:left w:val="none" w:sz="0" w:space="0" w:color="auto"/>
            <w:bottom w:val="none" w:sz="0" w:space="0" w:color="auto"/>
            <w:right w:val="none" w:sz="0" w:space="0" w:color="auto"/>
          </w:divBdr>
        </w:div>
      </w:divsChild>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342315509">
      <w:bodyDiv w:val="1"/>
      <w:marLeft w:val="150"/>
      <w:marRight w:val="150"/>
      <w:marTop w:val="0"/>
      <w:marBottom w:val="0"/>
      <w:divBdr>
        <w:top w:val="none" w:sz="0" w:space="0" w:color="auto"/>
        <w:left w:val="none" w:sz="0" w:space="0" w:color="auto"/>
        <w:bottom w:val="none" w:sz="0" w:space="0" w:color="auto"/>
        <w:right w:val="none" w:sz="0" w:space="0" w:color="auto"/>
      </w:divBdr>
      <w:divsChild>
        <w:div w:id="975138582">
          <w:marLeft w:val="150"/>
          <w:marRight w:val="150"/>
          <w:marTop w:val="225"/>
          <w:marBottom w:val="150"/>
          <w:divBdr>
            <w:top w:val="none" w:sz="0" w:space="0" w:color="auto"/>
            <w:left w:val="none" w:sz="0" w:space="0" w:color="auto"/>
            <w:bottom w:val="none" w:sz="0" w:space="0" w:color="auto"/>
            <w:right w:val="none" w:sz="0" w:space="0" w:color="auto"/>
          </w:divBdr>
        </w:div>
      </w:divsChild>
    </w:div>
    <w:div w:id="1347058501">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662927063">
      <w:bodyDiv w:val="1"/>
      <w:marLeft w:val="75"/>
      <w:marRight w:val="75"/>
      <w:marTop w:val="75"/>
      <w:marBottom w:val="75"/>
      <w:divBdr>
        <w:top w:val="none" w:sz="0" w:space="0" w:color="auto"/>
        <w:left w:val="none" w:sz="0" w:space="0" w:color="auto"/>
        <w:bottom w:val="none" w:sz="0" w:space="0" w:color="auto"/>
        <w:right w:val="none" w:sz="0" w:space="0" w:color="auto"/>
      </w:divBdr>
      <w:divsChild>
        <w:div w:id="1624312001">
          <w:marLeft w:val="120"/>
          <w:marRight w:val="0"/>
          <w:marTop w:val="150"/>
          <w:marBottom w:val="0"/>
          <w:divBdr>
            <w:top w:val="none" w:sz="0" w:space="0" w:color="auto"/>
            <w:left w:val="none" w:sz="0" w:space="0" w:color="auto"/>
            <w:bottom w:val="none" w:sz="0" w:space="0" w:color="auto"/>
            <w:right w:val="none" w:sz="0" w:space="0" w:color="auto"/>
          </w:divBdr>
          <w:divsChild>
            <w:div w:id="4946149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10102010">
      <w:bodyDiv w:val="1"/>
      <w:marLeft w:val="0"/>
      <w:marRight w:val="0"/>
      <w:marTop w:val="0"/>
      <w:marBottom w:val="0"/>
      <w:divBdr>
        <w:top w:val="none" w:sz="0" w:space="0" w:color="auto"/>
        <w:left w:val="none" w:sz="0" w:space="0" w:color="auto"/>
        <w:bottom w:val="none" w:sz="0" w:space="0" w:color="auto"/>
        <w:right w:val="none" w:sz="0" w:space="0" w:color="auto"/>
      </w:divBdr>
    </w:div>
    <w:div w:id="1716732453">
      <w:bodyDiv w:val="1"/>
      <w:marLeft w:val="78"/>
      <w:marRight w:val="78"/>
      <w:marTop w:val="78"/>
      <w:marBottom w:val="78"/>
      <w:divBdr>
        <w:top w:val="none" w:sz="0" w:space="0" w:color="auto"/>
        <w:left w:val="none" w:sz="0" w:space="0" w:color="auto"/>
        <w:bottom w:val="none" w:sz="0" w:space="0" w:color="auto"/>
        <w:right w:val="none" w:sz="0" w:space="0" w:color="auto"/>
      </w:divBdr>
      <w:divsChild>
        <w:div w:id="257370144">
          <w:marLeft w:val="125"/>
          <w:marRight w:val="0"/>
          <w:marTop w:val="157"/>
          <w:marBottom w:val="0"/>
          <w:divBdr>
            <w:top w:val="none" w:sz="0" w:space="0" w:color="auto"/>
            <w:left w:val="none" w:sz="0" w:space="0" w:color="auto"/>
            <w:bottom w:val="none" w:sz="0" w:space="0" w:color="auto"/>
            <w:right w:val="none" w:sz="0" w:space="0" w:color="auto"/>
          </w:divBdr>
          <w:divsChild>
            <w:div w:id="1178543280">
              <w:marLeft w:val="0"/>
              <w:marRight w:val="157"/>
              <w:marTop w:val="0"/>
              <w:marBottom w:val="0"/>
              <w:divBdr>
                <w:top w:val="none" w:sz="0" w:space="0" w:color="auto"/>
                <w:left w:val="none" w:sz="0" w:space="0" w:color="auto"/>
                <w:bottom w:val="none" w:sz="0" w:space="0" w:color="auto"/>
                <w:right w:val="none" w:sz="0" w:space="0" w:color="auto"/>
              </w:divBdr>
            </w:div>
          </w:divsChild>
        </w:div>
      </w:divsChild>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innovations.ahrq.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innovations.ahrq.gov/submit/submit.aspx?#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innovations.ahrq.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nnovations.ahrq.gov/about.aspx" TargetMode="External"/><Relationship Id="rId4" Type="http://schemas.openxmlformats.org/officeDocument/2006/relationships/webSettings" Target="webSettings.xml"/><Relationship Id="rId9" Type="http://schemas.openxmlformats.org/officeDocument/2006/relationships/hyperlink" Target="http://www.innovations.ahrq.gov/"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ahrq.gov/qual/nhqr09/Ke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13</Pages>
  <Words>3945</Words>
  <Characters>23693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27583</CharactersWithSpaces>
  <SharedDoc>false</SharedDoc>
  <HLinks>
    <vt:vector size="96" baseType="variant">
      <vt:variant>
        <vt:i4>8257595</vt:i4>
      </vt:variant>
      <vt:variant>
        <vt:i4>45</vt:i4>
      </vt:variant>
      <vt:variant>
        <vt:i4>0</vt:i4>
      </vt:variant>
      <vt:variant>
        <vt:i4>5</vt:i4>
      </vt:variant>
      <vt:variant>
        <vt:lpwstr>http://www.innovations.ahrq.gov/submit/submit.aspx</vt:lpwstr>
      </vt:variant>
      <vt:variant>
        <vt:lpwstr/>
      </vt:variant>
      <vt:variant>
        <vt:i4>8257595</vt:i4>
      </vt:variant>
      <vt:variant>
        <vt:i4>42</vt:i4>
      </vt:variant>
      <vt:variant>
        <vt:i4>0</vt:i4>
      </vt:variant>
      <vt:variant>
        <vt:i4>5</vt:i4>
      </vt:variant>
      <vt:variant>
        <vt:lpwstr>http://www.innovations.ahrq.gov/submit/submit.aspx</vt:lpwstr>
      </vt:variant>
      <vt:variant>
        <vt:lpwstr/>
      </vt:variant>
      <vt:variant>
        <vt:i4>7077888</vt:i4>
      </vt:variant>
      <vt:variant>
        <vt:i4>39</vt:i4>
      </vt:variant>
      <vt:variant>
        <vt:i4>0</vt:i4>
      </vt:variant>
      <vt:variant>
        <vt:i4>5</vt:i4>
      </vt:variant>
      <vt:variant>
        <vt:lpwstr>mailto:info@innovations.ahrq.gov</vt:lpwstr>
      </vt:variant>
      <vt:variant>
        <vt:lpwstr/>
      </vt:variant>
      <vt:variant>
        <vt:i4>8257549</vt:i4>
      </vt:variant>
      <vt:variant>
        <vt:i4>36</vt:i4>
      </vt:variant>
      <vt:variant>
        <vt:i4>0</vt:i4>
      </vt:variant>
      <vt:variant>
        <vt:i4>5</vt:i4>
      </vt:variant>
      <vt:variant>
        <vt:lpwstr>http://www.innovations.ahrq.gov/submit/submit.aspx?</vt:lpwstr>
      </vt:variant>
      <vt:variant>
        <vt:lpwstr>6</vt:lpwstr>
      </vt:variant>
      <vt:variant>
        <vt:i4>8257595</vt:i4>
      </vt:variant>
      <vt:variant>
        <vt:i4>33</vt:i4>
      </vt:variant>
      <vt:variant>
        <vt:i4>0</vt:i4>
      </vt:variant>
      <vt:variant>
        <vt:i4>5</vt:i4>
      </vt:variant>
      <vt:variant>
        <vt:lpwstr>http://www.innovations.ahrq.gov/submit/submit.aspx</vt:lpwstr>
      </vt:variant>
      <vt:variant>
        <vt:lpwstr/>
      </vt:variant>
      <vt:variant>
        <vt:i4>7077888</vt:i4>
      </vt:variant>
      <vt:variant>
        <vt:i4>30</vt:i4>
      </vt:variant>
      <vt:variant>
        <vt:i4>0</vt:i4>
      </vt:variant>
      <vt:variant>
        <vt:i4>5</vt:i4>
      </vt:variant>
      <vt:variant>
        <vt:lpwstr>mailto:Info@innovations.ahrq.gov</vt:lpwstr>
      </vt:variant>
      <vt:variant>
        <vt:lpwstr/>
      </vt:variant>
      <vt:variant>
        <vt:i4>7077888</vt:i4>
      </vt:variant>
      <vt:variant>
        <vt:i4>24</vt:i4>
      </vt:variant>
      <vt:variant>
        <vt:i4>0</vt:i4>
      </vt:variant>
      <vt:variant>
        <vt:i4>5</vt:i4>
      </vt:variant>
      <vt:variant>
        <vt:lpwstr>mailto:Info@innovations.ahrq.gov</vt:lpwstr>
      </vt:variant>
      <vt:variant>
        <vt:lpwstr/>
      </vt:variant>
      <vt:variant>
        <vt:i4>8257544</vt:i4>
      </vt:variant>
      <vt:variant>
        <vt:i4>21</vt:i4>
      </vt:variant>
      <vt:variant>
        <vt:i4>0</vt:i4>
      </vt:variant>
      <vt:variant>
        <vt:i4>5</vt:i4>
      </vt:variant>
      <vt:variant>
        <vt:lpwstr>http://www.innovations.ahrq.gov/submit/submit.aspx</vt:lpwstr>
      </vt:variant>
      <vt:variant>
        <vt:lpwstr>3</vt:lpwstr>
      </vt:variant>
      <vt:variant>
        <vt:i4>8257551</vt:i4>
      </vt:variant>
      <vt:variant>
        <vt:i4>18</vt:i4>
      </vt:variant>
      <vt:variant>
        <vt:i4>0</vt:i4>
      </vt:variant>
      <vt:variant>
        <vt:i4>5</vt:i4>
      </vt:variant>
      <vt:variant>
        <vt:lpwstr>http://www.innovations.ahrq.gov/submit/submit.aspx</vt:lpwstr>
      </vt:variant>
      <vt:variant>
        <vt:lpwstr>4</vt:lpwstr>
      </vt:variant>
      <vt:variant>
        <vt:i4>8257549</vt:i4>
      </vt:variant>
      <vt:variant>
        <vt:i4>15</vt:i4>
      </vt:variant>
      <vt:variant>
        <vt:i4>0</vt:i4>
      </vt:variant>
      <vt:variant>
        <vt:i4>5</vt:i4>
      </vt:variant>
      <vt:variant>
        <vt:lpwstr>http://www.innovations.ahrq.gov/submit/submit.aspx?</vt:lpwstr>
      </vt:variant>
      <vt:variant>
        <vt:lpwstr>6</vt:lpwstr>
      </vt:variant>
      <vt:variant>
        <vt:i4>8257546</vt:i4>
      </vt:variant>
      <vt:variant>
        <vt:i4>12</vt:i4>
      </vt:variant>
      <vt:variant>
        <vt:i4>0</vt:i4>
      </vt:variant>
      <vt:variant>
        <vt:i4>5</vt:i4>
      </vt:variant>
      <vt:variant>
        <vt:lpwstr>http://www.innovations.ahrq.gov/submit/submit.aspx?</vt:lpwstr>
      </vt:variant>
      <vt:variant>
        <vt:lpwstr>1</vt:lpwstr>
      </vt:variant>
      <vt:variant>
        <vt:i4>720919</vt:i4>
      </vt:variant>
      <vt:variant>
        <vt:i4>9</vt:i4>
      </vt:variant>
      <vt:variant>
        <vt:i4>0</vt:i4>
      </vt:variant>
      <vt:variant>
        <vt:i4>5</vt:i4>
      </vt:variant>
      <vt:variant>
        <vt:lpwstr>http://www.innovations.ahrq.gov/faq.aspx</vt:lpwstr>
      </vt:variant>
      <vt:variant>
        <vt:lpwstr/>
      </vt:variant>
      <vt:variant>
        <vt:i4>7077888</vt:i4>
      </vt:variant>
      <vt:variant>
        <vt:i4>6</vt:i4>
      </vt:variant>
      <vt:variant>
        <vt:i4>0</vt:i4>
      </vt:variant>
      <vt:variant>
        <vt:i4>5</vt:i4>
      </vt:variant>
      <vt:variant>
        <vt:lpwstr>mailto:Info@innovations.ahrq.gov</vt:lpwstr>
      </vt:variant>
      <vt:variant>
        <vt:lpwstr/>
      </vt:variant>
      <vt:variant>
        <vt:i4>8192122</vt:i4>
      </vt:variant>
      <vt:variant>
        <vt:i4>3</vt:i4>
      </vt:variant>
      <vt:variant>
        <vt:i4>0</vt:i4>
      </vt:variant>
      <vt:variant>
        <vt:i4>5</vt:i4>
      </vt:variant>
      <vt:variant>
        <vt:lpwstr>http://www.innovations.ahrq.gov/about.aspx</vt:lpwstr>
      </vt:variant>
      <vt:variant>
        <vt:lpwstr/>
      </vt:variant>
      <vt:variant>
        <vt:i4>5177361</vt:i4>
      </vt:variant>
      <vt:variant>
        <vt:i4>0</vt:i4>
      </vt:variant>
      <vt:variant>
        <vt:i4>0</vt:i4>
      </vt:variant>
      <vt:variant>
        <vt:i4>5</vt:i4>
      </vt:variant>
      <vt:variant>
        <vt:lpwstr>http://www.innovations.ahrq.gov/</vt:lpwstr>
      </vt:variant>
      <vt:variant>
        <vt:lpwstr/>
      </vt:variant>
      <vt:variant>
        <vt:i4>7340094</vt:i4>
      </vt:variant>
      <vt:variant>
        <vt:i4>0</vt:i4>
      </vt:variant>
      <vt:variant>
        <vt:i4>0</vt:i4>
      </vt:variant>
      <vt:variant>
        <vt:i4>5</vt:i4>
      </vt:variant>
      <vt:variant>
        <vt:lpwstr>http://www.ahrq.gov/qual/nhqr09/Key.htm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subject/>
  <dc:creator>hamlin-ben</dc:creator>
  <cp:keywords/>
  <dc:description/>
  <cp:lastModifiedBy>william.carroll</cp:lastModifiedBy>
  <cp:revision>3</cp:revision>
  <cp:lastPrinted>2010-07-29T17:27:00Z</cp:lastPrinted>
  <dcterms:created xsi:type="dcterms:W3CDTF">2011-05-23T13:52:00Z</dcterms:created>
  <dcterms:modified xsi:type="dcterms:W3CDTF">2011-05-23T14:03:00Z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-580727577</vt:i4>
  </property>
</Properties>
</file>