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41" w:rsidRPr="003F6384" w:rsidRDefault="006B1841">
      <w:pPr>
        <w:rPr>
          <w:b/>
        </w:rPr>
      </w:pPr>
      <w:r w:rsidRPr="006B1841">
        <w:rPr>
          <w:b/>
        </w:rPr>
        <w:t>OMB Justification for Change</w:t>
      </w:r>
    </w:p>
    <w:p w:rsidR="006B1841" w:rsidRDefault="006B1841">
      <w:r w:rsidRPr="006B1841">
        <w:rPr>
          <w:u w:val="single"/>
        </w:rPr>
        <w:t>Project Title</w:t>
      </w:r>
      <w:r w:rsidRPr="003F6384">
        <w:t xml:space="preserve">: </w:t>
      </w:r>
      <w:r>
        <w:t xml:space="preserve"> Hemophilia and AIDS/HIV Network for the Dissemination of Information (HANDI) Evaluation Support</w:t>
      </w:r>
    </w:p>
    <w:p w:rsidR="00FF2CCF" w:rsidRDefault="006B1841" w:rsidP="00FF2CCF">
      <w:pPr>
        <w:keepNext/>
        <w:keepLines/>
        <w:spacing w:after="0" w:line="240" w:lineRule="auto"/>
        <w:rPr>
          <w:u w:val="single"/>
        </w:rPr>
      </w:pPr>
      <w:r w:rsidRPr="006B1841">
        <w:rPr>
          <w:u w:val="single"/>
        </w:rPr>
        <w:t>Project Number</w:t>
      </w:r>
      <w:r w:rsidRPr="003F6384">
        <w:t>:</w:t>
      </w:r>
      <w:r>
        <w:t xml:space="preserve">  </w:t>
      </w:r>
      <w:r w:rsidR="00FF2CCF">
        <w:t>ICR</w:t>
      </w:r>
      <w:r>
        <w:t xml:space="preserve"> 0920-0</w:t>
      </w:r>
      <w:r w:rsidR="004C3F1B">
        <w:t>858</w:t>
      </w:r>
      <w:r w:rsidR="00FF2CCF" w:rsidRPr="00FF2CCF">
        <w:rPr>
          <w:u w:val="single"/>
        </w:rPr>
        <w:t xml:space="preserve"> </w:t>
      </w:r>
    </w:p>
    <w:p w:rsidR="00FF2CCF" w:rsidRDefault="00FF2CCF" w:rsidP="00FF2CCF">
      <w:pPr>
        <w:keepNext/>
        <w:keepLines/>
        <w:spacing w:after="0" w:line="240" w:lineRule="auto"/>
        <w:rPr>
          <w:u w:val="single"/>
        </w:rPr>
      </w:pPr>
    </w:p>
    <w:p w:rsidR="00FF2CCF" w:rsidRPr="003F6384" w:rsidRDefault="00FF2CCF" w:rsidP="00FF2CCF">
      <w:pPr>
        <w:keepNext/>
        <w:keepLines/>
        <w:spacing w:after="0" w:line="240" w:lineRule="auto"/>
        <w:rPr>
          <w:rFonts w:ascii="Calibri" w:eastAsia="Calibri" w:hAnsi="Calibri" w:cs="Times New Roman"/>
        </w:rPr>
      </w:pPr>
      <w:r w:rsidRPr="00AB799B">
        <w:rPr>
          <w:u w:val="single"/>
        </w:rPr>
        <w:t>Reason for Change</w:t>
      </w:r>
      <w:r>
        <w:rPr>
          <w:u w:val="single"/>
        </w:rPr>
        <w:t xml:space="preserve"> Request</w:t>
      </w:r>
      <w:r>
        <w:t>:  Attempts to recruit sufficient numbers of people from the four originally selected cities to participate in the in-person focus groups were unsuccessful despite extending recruitment over a four-month time period.  By casting a wider net and recruiting nationwide we will be able to reach more potential participants.  Further, we believe that by changing to a telephone focus group methodology we can boost recruitment rates by eliminating the barrier of participants needing to travel to a focus group facility, which for some may require a two hour drive and precipitate the need to make and pay for childcare arrangements.</w:t>
      </w:r>
    </w:p>
    <w:p w:rsidR="00FF2CCF" w:rsidRDefault="00FF2CCF" w:rsidP="006B1841">
      <w:pPr>
        <w:keepNext/>
        <w:keepLines/>
        <w:rPr>
          <w:u w:val="single"/>
        </w:rPr>
      </w:pPr>
    </w:p>
    <w:p w:rsidR="006B1841" w:rsidRPr="003F6384" w:rsidRDefault="006B1841" w:rsidP="006B1841">
      <w:pPr>
        <w:keepNext/>
        <w:keepLines/>
        <w:rPr>
          <w:u w:val="single"/>
        </w:rPr>
      </w:pPr>
      <w:r w:rsidRPr="006B1841">
        <w:rPr>
          <w:u w:val="single"/>
        </w:rPr>
        <w:t>Estimates of Annualized Burden Hours and Costs</w:t>
      </w:r>
      <w:r w:rsidR="003F6384" w:rsidRPr="003F6384">
        <w:t xml:space="preserve">:  </w:t>
      </w:r>
      <w:r w:rsidRPr="003F6384">
        <w:t>T</w:t>
      </w:r>
      <w:r>
        <w:t xml:space="preserve">here is </w:t>
      </w:r>
      <w:r w:rsidRPr="006B1841">
        <w:rPr>
          <w:u w:val="single"/>
        </w:rPr>
        <w:t>no change</w:t>
      </w:r>
      <w:r>
        <w:t xml:space="preserve"> to the estimated annualized burden hours and cost estimates</w:t>
      </w:r>
      <w:r w:rsidR="003F6384">
        <w:t xml:space="preserve"> since the design has not changed </w:t>
      </w:r>
      <w:r>
        <w:t>with the exception of conducting the focus groups by telephone instead of in-person.</w:t>
      </w:r>
      <w:r w:rsidR="003F6384">
        <w:t xml:space="preserve"> The number of groups planned to be held and number of participants per groups has not changed.</w:t>
      </w:r>
      <w:r>
        <w:t xml:space="preserve">  </w:t>
      </w:r>
      <w:r w:rsidRPr="0012668E">
        <w:t xml:space="preserve">It is estimated that </w:t>
      </w:r>
      <w:r>
        <w:t xml:space="preserve">120 </w:t>
      </w:r>
      <w:r w:rsidRPr="0012668E">
        <w:t xml:space="preserve">respondents </w:t>
      </w:r>
      <w:r>
        <w:t xml:space="preserve">will have to be screened </w:t>
      </w:r>
      <w:r w:rsidRPr="0012668E">
        <w:t xml:space="preserve">in order to recruit </w:t>
      </w:r>
      <w:r>
        <w:t>108</w:t>
      </w:r>
      <w:r w:rsidRPr="0012668E">
        <w:t xml:space="preserve"> </w:t>
      </w:r>
      <w:r>
        <w:t xml:space="preserve">focus group participants. </w:t>
      </w:r>
      <w:r w:rsidRPr="0012668E">
        <w:t xml:space="preserve">Each screening will </w:t>
      </w:r>
      <w:r>
        <w:t xml:space="preserve">take </w:t>
      </w:r>
      <w:r w:rsidRPr="0012668E">
        <w:t xml:space="preserve">approximately </w:t>
      </w:r>
      <w:r>
        <w:t>12</w:t>
      </w:r>
      <w:r w:rsidRPr="0012668E">
        <w:t xml:space="preserve"> minutes. The estimated response burden for the screening process </w:t>
      </w:r>
      <w:r>
        <w:t xml:space="preserve">is 24 </w:t>
      </w:r>
      <w:r w:rsidRPr="0012668E">
        <w:t>hours.</w:t>
      </w:r>
      <w:r w:rsidR="003F6384">
        <w:t xml:space="preserve">  </w:t>
      </w:r>
      <w:r>
        <w:t>T</w:t>
      </w:r>
      <w:r w:rsidRPr="0012668E">
        <w:t xml:space="preserve">he </w:t>
      </w:r>
      <w:r>
        <w:t>focus groups will have an average of nine participants each. Twelve focus groups will be conducted, with a total of 108 participants. Each focus group will take 90 minutes, for a total burden of 162 hours.</w:t>
      </w:r>
      <w:r w:rsidR="003F6384">
        <w:t xml:space="preserve"> </w:t>
      </w:r>
      <w:r>
        <w:t>The informed consent will take approximately 6 minutes to complete, for a total burden of 11 hours.</w:t>
      </w:r>
    </w:p>
    <w:p w:rsidR="006B1841" w:rsidRPr="004B3F6A" w:rsidRDefault="006B1841" w:rsidP="006B1841">
      <w:pPr>
        <w:keepNext/>
        <w:keepLines/>
        <w:numPr>
          <w:ilvl w:val="0"/>
          <w:numId w:val="2"/>
        </w:numPr>
        <w:spacing w:after="0" w:line="240" w:lineRule="auto"/>
        <w:rPr>
          <w:b/>
          <w:i/>
        </w:rPr>
      </w:pPr>
      <w:r w:rsidRPr="007B638F">
        <w:rPr>
          <w:b/>
          <w:i/>
        </w:rPr>
        <w:t>Estimated Annualized Burden Hours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1260"/>
        <w:gridCol w:w="1350"/>
        <w:gridCol w:w="1260"/>
        <w:gridCol w:w="1260"/>
        <w:gridCol w:w="1980"/>
      </w:tblGrid>
      <w:tr w:rsidR="006B1841" w:rsidRPr="004B433B" w:rsidTr="00FF2CCF"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Respondents</w:t>
            </w:r>
          </w:p>
        </w:tc>
        <w:tc>
          <w:tcPr>
            <w:tcW w:w="126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Form Name</w:t>
            </w:r>
          </w:p>
        </w:tc>
        <w:tc>
          <w:tcPr>
            <w:tcW w:w="135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6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</w:t>
            </w:r>
            <w:r w:rsidRPr="004B433B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26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 Burden per Response (in hours)</w:t>
            </w:r>
          </w:p>
        </w:tc>
        <w:tc>
          <w:tcPr>
            <w:tcW w:w="1980" w:type="dxa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Total Burden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</w:tr>
      <w:tr w:rsidR="006B1841" w:rsidRPr="004B433B" w:rsidTr="00FF2CCF">
        <w:trPr>
          <w:trHeight w:val="458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Parents of adolescents (aged 5–12) and parents of teens/young adults (aged 16–19) living with hemophilia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Participant Screener and Recruitment Script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12/60</w:t>
            </w:r>
          </w:p>
        </w:tc>
        <w:tc>
          <w:tcPr>
            <w:tcW w:w="19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</w:tr>
      <w:tr w:rsidR="006B1841" w:rsidRPr="004B433B" w:rsidTr="00FF2CCF">
        <w:trPr>
          <w:trHeight w:val="457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 adults aged 16–19 living with hemophilia</w:t>
            </w: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rPr>
          <w:trHeight w:val="458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Parents of adolescents (aged 5–12) and parents of teens/young adults (aged 16–19) living with hemophilia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 xml:space="preserve">Moderator’s Guide 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(12 groups x 9</w:t>
            </w:r>
            <w:r w:rsidRPr="004B433B">
              <w:rPr>
                <w:bCs/>
                <w:sz w:val="20"/>
                <w:szCs w:val="20"/>
              </w:rPr>
              <w:t xml:space="preserve"> participants per group)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9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</w:tr>
      <w:tr w:rsidR="006B1841" w:rsidRPr="004B433B" w:rsidTr="00FF2CCF">
        <w:trPr>
          <w:trHeight w:val="457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 adults aged 16–19 living with hemophilia</w:t>
            </w: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rPr>
          <w:trHeight w:val="458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Parents of adolescents (aged 5–12) and parents of teens/young adults (aged 16–19) living with hemophilia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Informed Consent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(12</w:t>
            </w:r>
            <w:r w:rsidRPr="004B433B">
              <w:rPr>
                <w:bCs/>
                <w:sz w:val="20"/>
                <w:szCs w:val="20"/>
              </w:rPr>
              <w:t xml:space="preserve"> groups x </w:t>
            </w:r>
            <w:r>
              <w:rPr>
                <w:bCs/>
                <w:sz w:val="20"/>
                <w:szCs w:val="20"/>
              </w:rPr>
              <w:t>9</w:t>
            </w:r>
            <w:r w:rsidRPr="004B433B">
              <w:rPr>
                <w:bCs/>
                <w:sz w:val="20"/>
                <w:szCs w:val="20"/>
              </w:rPr>
              <w:t xml:space="preserve"> participants per group)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6/60</w:t>
            </w:r>
          </w:p>
        </w:tc>
        <w:tc>
          <w:tcPr>
            <w:tcW w:w="19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6B1841" w:rsidRPr="004B433B" w:rsidTr="00FF2CCF">
        <w:trPr>
          <w:trHeight w:val="457"/>
        </w:trPr>
        <w:tc>
          <w:tcPr>
            <w:tcW w:w="199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 adults aged 16–19 living with hemophilia</w:t>
            </w: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c>
          <w:tcPr>
            <w:tcW w:w="1998" w:type="dxa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26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26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98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</w:p>
        </w:tc>
      </w:tr>
    </w:tbl>
    <w:p w:rsidR="006B1841" w:rsidRDefault="006B1841" w:rsidP="006B1841">
      <w:pPr>
        <w:pStyle w:val="ListBullet"/>
        <w:numPr>
          <w:ilvl w:val="0"/>
          <w:numId w:val="0"/>
        </w:numPr>
        <w:rPr>
          <w:bCs/>
        </w:rPr>
      </w:pPr>
      <w:r>
        <w:rPr>
          <w:bCs/>
        </w:rPr>
        <w:t xml:space="preserve"> </w:t>
      </w:r>
    </w:p>
    <w:p w:rsidR="006B1841" w:rsidRDefault="006B1841" w:rsidP="006B1841">
      <w:pPr>
        <w:pStyle w:val="ListBullet"/>
        <w:numPr>
          <w:ilvl w:val="0"/>
          <w:numId w:val="0"/>
        </w:numPr>
      </w:pPr>
    </w:p>
    <w:p w:rsidR="006B1841" w:rsidRPr="007B638F" w:rsidRDefault="006B1841" w:rsidP="006B1841">
      <w:pPr>
        <w:pStyle w:val="ListBullet"/>
        <w:numPr>
          <w:ilvl w:val="0"/>
          <w:numId w:val="2"/>
        </w:numPr>
        <w:rPr>
          <w:b/>
          <w:i/>
        </w:rPr>
      </w:pPr>
      <w:r w:rsidRPr="007B638F">
        <w:rPr>
          <w:b/>
          <w:i/>
        </w:rPr>
        <w:t>Estimated Annualized Burden Costs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8"/>
        <w:gridCol w:w="1458"/>
        <w:gridCol w:w="1350"/>
        <w:gridCol w:w="1260"/>
        <w:gridCol w:w="1080"/>
        <w:gridCol w:w="900"/>
        <w:gridCol w:w="882"/>
        <w:gridCol w:w="1260"/>
      </w:tblGrid>
      <w:tr w:rsidR="006B1841" w:rsidRPr="004B433B" w:rsidTr="00FF2CCF"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Respondents</w:t>
            </w:r>
          </w:p>
        </w:tc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Form Name</w:t>
            </w:r>
          </w:p>
        </w:tc>
        <w:tc>
          <w:tcPr>
            <w:tcW w:w="135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6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</w:t>
            </w:r>
            <w:r w:rsidRPr="004B433B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080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 Burden per Response (in hours)</w:t>
            </w:r>
          </w:p>
        </w:tc>
        <w:tc>
          <w:tcPr>
            <w:tcW w:w="900" w:type="dxa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Total Burden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882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 xml:space="preserve">Hourly Wage </w:t>
            </w:r>
            <w:r>
              <w:rPr>
                <w:b/>
                <w:bCs/>
                <w:sz w:val="20"/>
                <w:szCs w:val="20"/>
              </w:rPr>
              <w:t>Rate ($)</w:t>
            </w:r>
          </w:p>
        </w:tc>
        <w:tc>
          <w:tcPr>
            <w:tcW w:w="1260" w:type="dxa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Respondent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4B433B">
              <w:rPr>
                <w:b/>
                <w:bCs/>
                <w:sz w:val="20"/>
                <w:szCs w:val="20"/>
              </w:rPr>
              <w:t>Cost</w:t>
            </w:r>
            <w:r>
              <w:rPr>
                <w:b/>
                <w:bCs/>
                <w:sz w:val="20"/>
                <w:szCs w:val="20"/>
              </w:rPr>
              <w:t>s ($)</w:t>
            </w:r>
          </w:p>
        </w:tc>
      </w:tr>
      <w:tr w:rsidR="006B1841" w:rsidRPr="004B433B" w:rsidTr="00FF2CCF">
        <w:trPr>
          <w:trHeight w:val="458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Parents of adolescents (aged 5–12) and parents of teens/young adults (aged 16–19) living with hemophilia</w:t>
            </w:r>
          </w:p>
        </w:tc>
        <w:tc>
          <w:tcPr>
            <w:tcW w:w="1458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Participant Screener and Recruitment Script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12/60</w:t>
            </w:r>
          </w:p>
        </w:tc>
        <w:tc>
          <w:tcPr>
            <w:tcW w:w="90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82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.32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</w:t>
            </w:r>
          </w:p>
        </w:tc>
      </w:tr>
      <w:tr w:rsidR="006B1841" w:rsidRPr="004B433B" w:rsidTr="00FF2CCF">
        <w:trPr>
          <w:trHeight w:val="1124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 adults aged 16–19 living with hemophilia</w:t>
            </w:r>
          </w:p>
        </w:tc>
        <w:tc>
          <w:tcPr>
            <w:tcW w:w="1458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rPr>
          <w:trHeight w:val="458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Parents of adolescents (aged 5–12) and parents of teens/young adults (aged 16–19) living with hemophilia</w:t>
            </w:r>
          </w:p>
        </w:tc>
        <w:tc>
          <w:tcPr>
            <w:tcW w:w="1458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 xml:space="preserve">Moderator’s Guide 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(12 groups x 9</w:t>
            </w:r>
            <w:r w:rsidRPr="004B433B">
              <w:rPr>
                <w:bCs/>
                <w:sz w:val="20"/>
                <w:szCs w:val="20"/>
              </w:rPr>
              <w:t xml:space="preserve"> participants per group)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90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882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.32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3,292</w:t>
            </w:r>
          </w:p>
        </w:tc>
      </w:tr>
      <w:tr w:rsidR="006B1841" w:rsidRPr="004B433B" w:rsidTr="00FF2CCF">
        <w:trPr>
          <w:trHeight w:val="457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Young adults aged 16–19 living with hemophilia</w:t>
            </w:r>
          </w:p>
        </w:tc>
        <w:tc>
          <w:tcPr>
            <w:tcW w:w="1458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rPr>
          <w:trHeight w:val="458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Parents of adolescents (aged 5–12) and parents of teens/young adults (aged 16–19) living with hemophilia</w:t>
            </w:r>
          </w:p>
        </w:tc>
        <w:tc>
          <w:tcPr>
            <w:tcW w:w="1458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Informed Consent</w:t>
            </w:r>
          </w:p>
        </w:tc>
        <w:tc>
          <w:tcPr>
            <w:tcW w:w="135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(12</w:t>
            </w:r>
            <w:r w:rsidRPr="004B433B">
              <w:rPr>
                <w:bCs/>
                <w:sz w:val="20"/>
                <w:szCs w:val="20"/>
              </w:rPr>
              <w:t xml:space="preserve"> groups x </w:t>
            </w:r>
            <w:r>
              <w:rPr>
                <w:bCs/>
                <w:sz w:val="20"/>
                <w:szCs w:val="20"/>
              </w:rPr>
              <w:t>9</w:t>
            </w:r>
            <w:r w:rsidRPr="004B433B">
              <w:rPr>
                <w:bCs/>
                <w:sz w:val="20"/>
                <w:szCs w:val="20"/>
              </w:rPr>
              <w:t xml:space="preserve"> participants per group)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6/60</w:t>
            </w:r>
          </w:p>
        </w:tc>
        <w:tc>
          <w:tcPr>
            <w:tcW w:w="90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82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 w:rsidRPr="004B433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.32</w:t>
            </w:r>
          </w:p>
        </w:tc>
        <w:tc>
          <w:tcPr>
            <w:tcW w:w="1260" w:type="dxa"/>
            <w:vMerge w:val="restart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</w:t>
            </w:r>
          </w:p>
        </w:tc>
      </w:tr>
      <w:tr w:rsidR="006B1841" w:rsidRPr="004B433B" w:rsidTr="00FF2CCF">
        <w:trPr>
          <w:trHeight w:val="457"/>
        </w:trPr>
        <w:tc>
          <w:tcPr>
            <w:tcW w:w="1458" w:type="dxa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Young adults aged 16–19 living with hemophilia</w:t>
            </w:r>
          </w:p>
        </w:tc>
        <w:tc>
          <w:tcPr>
            <w:tcW w:w="1458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B1841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Cs/>
                <w:sz w:val="20"/>
                <w:szCs w:val="20"/>
              </w:rPr>
            </w:pPr>
          </w:p>
        </w:tc>
      </w:tr>
      <w:tr w:rsidR="006B1841" w:rsidRPr="004B433B" w:rsidTr="00FF2CCF">
        <w:tc>
          <w:tcPr>
            <w:tcW w:w="1458" w:type="dxa"/>
            <w:vAlign w:val="center"/>
          </w:tcPr>
          <w:p w:rsidR="006B1841" w:rsidRPr="00DB37E1" w:rsidRDefault="006B1841" w:rsidP="00FF2CCF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DB37E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8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26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90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882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260" w:type="dxa"/>
            <w:vAlign w:val="center"/>
          </w:tcPr>
          <w:p w:rsidR="006B1841" w:rsidRPr="004B433B" w:rsidRDefault="006B1841" w:rsidP="00FF2CCF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$4,004</w:t>
            </w:r>
          </w:p>
        </w:tc>
      </w:tr>
    </w:tbl>
    <w:p w:rsidR="006B1841" w:rsidRDefault="006B1841" w:rsidP="006B1841">
      <w:pPr>
        <w:pStyle w:val="ListBullet"/>
        <w:numPr>
          <w:ilvl w:val="0"/>
          <w:numId w:val="0"/>
        </w:numPr>
        <w:ind w:left="1440" w:hanging="360"/>
      </w:pPr>
    </w:p>
    <w:p w:rsidR="006B1841" w:rsidRDefault="006B1841" w:rsidP="006B1841">
      <w:pPr>
        <w:pStyle w:val="ListBullet"/>
        <w:numPr>
          <w:ilvl w:val="0"/>
          <w:numId w:val="0"/>
        </w:numPr>
        <w:rPr>
          <w:bCs/>
        </w:rPr>
      </w:pPr>
    </w:p>
    <w:p w:rsidR="006B1841" w:rsidRDefault="006B1841" w:rsidP="006B1841">
      <w:pPr>
        <w:pStyle w:val="ListBullet"/>
        <w:numPr>
          <w:ilvl w:val="0"/>
          <w:numId w:val="0"/>
        </w:numPr>
      </w:pPr>
      <w:r w:rsidRPr="00514FCA">
        <w:rPr>
          <w:bCs/>
        </w:rPr>
        <w:t>The hourly wage cost is based on the U.S. Department of Labor</w:t>
      </w:r>
      <w:r>
        <w:rPr>
          <w:bCs/>
        </w:rPr>
        <w:t>’s “May 2008</w:t>
      </w:r>
      <w:r w:rsidRPr="00514FCA">
        <w:rPr>
          <w:bCs/>
        </w:rPr>
        <w:t xml:space="preserve"> National Occupational Employment and Wage Estimates</w:t>
      </w:r>
      <w:r>
        <w:rPr>
          <w:bCs/>
        </w:rPr>
        <w:t>,</w:t>
      </w:r>
      <w:r w:rsidRPr="00514FCA">
        <w:rPr>
          <w:bCs/>
        </w:rPr>
        <w:t>” which lists the mean hourly</w:t>
      </w:r>
      <w:r>
        <w:rPr>
          <w:bCs/>
        </w:rPr>
        <w:t xml:space="preserve"> wage for all occupations as $20.32</w:t>
      </w:r>
      <w:r w:rsidRPr="00514FCA">
        <w:rPr>
          <w:bCs/>
        </w:rPr>
        <w:t xml:space="preserve">. See </w:t>
      </w:r>
      <w:hyperlink r:id="rId5" w:anchor="b00-0000" w:history="1">
        <w:r w:rsidRPr="00514FCA">
          <w:rPr>
            <w:rStyle w:val="Hyperlink"/>
            <w:bCs/>
          </w:rPr>
          <w:t>http://www.bls.gov/oes/current/oes_nat.htm#b00-0000</w:t>
        </w:r>
      </w:hyperlink>
    </w:p>
    <w:p w:rsidR="006B1841" w:rsidRDefault="006B1841"/>
    <w:p w:rsidR="00234731" w:rsidRPr="00AB799B" w:rsidRDefault="006B1841" w:rsidP="00234731">
      <w:pPr>
        <w:rPr>
          <w:rFonts w:ascii="Calibri" w:eastAsia="Calibri" w:hAnsi="Calibri" w:cs="Times New Roman"/>
          <w:u w:val="single"/>
        </w:rPr>
      </w:pPr>
      <w:r w:rsidRPr="006B1841">
        <w:rPr>
          <w:u w:val="single"/>
        </w:rPr>
        <w:t>Methodology</w:t>
      </w:r>
      <w:r w:rsidR="00AB799B" w:rsidRPr="00AB799B">
        <w:t xml:space="preserve">: </w:t>
      </w:r>
      <w:r w:rsidR="00234731">
        <w:t>The originally approved methodology will remain the same with the exception of conducting the focus groups by telephone</w:t>
      </w:r>
      <w:r w:rsidR="003F6384">
        <w:t xml:space="preserve"> (using a toll-free number)</w:t>
      </w:r>
      <w:r w:rsidR="00234731">
        <w:t xml:space="preserve"> instead of </w:t>
      </w:r>
      <w:r w:rsidR="003F6384">
        <w:t xml:space="preserve">conducting the </w:t>
      </w:r>
      <w:proofErr w:type="gramStart"/>
      <w:r w:rsidR="003F6384">
        <w:t>groups</w:t>
      </w:r>
      <w:proofErr w:type="gramEnd"/>
      <w:r w:rsidR="003F6384">
        <w:t xml:space="preserve"> i</w:t>
      </w:r>
      <w:r w:rsidR="00234731">
        <w:t>n-person</w:t>
      </w:r>
      <w:r w:rsidR="003F6384">
        <w:t>.  Additionally, participants will be recruited from throughout the U.S</w:t>
      </w:r>
      <w:r w:rsidR="00FF2CCF">
        <w:t>.</w:t>
      </w:r>
      <w:r w:rsidR="003F6384">
        <w:t xml:space="preserve"> instead of the four cities originally targeted (Atlanta, GA; Detroit, MI; Philade</w:t>
      </w:r>
      <w:r w:rsidR="00FF2CCF">
        <w:t>l</w:t>
      </w:r>
      <w:r w:rsidR="003F6384">
        <w:t>phia, PA; San Francisco, CA)</w:t>
      </w:r>
      <w:r w:rsidR="00234731">
        <w:t xml:space="preserve">.  </w:t>
      </w:r>
      <w:r w:rsidR="00234731" w:rsidRPr="002C7E65">
        <w:rPr>
          <w:rFonts w:ascii="Calibri" w:eastAsia="Calibri" w:hAnsi="Calibri" w:cs="Times New Roman"/>
        </w:rPr>
        <w:t>Each</w:t>
      </w:r>
      <w:r w:rsidR="00234731">
        <w:t xml:space="preserve"> of the 12</w:t>
      </w:r>
      <w:r w:rsidR="00234731" w:rsidRPr="002C7E65">
        <w:rPr>
          <w:rFonts w:ascii="Calibri" w:eastAsia="Calibri" w:hAnsi="Calibri" w:cs="Times New Roman"/>
        </w:rPr>
        <w:t xml:space="preserve"> focus group</w:t>
      </w:r>
      <w:r w:rsidR="00234731">
        <w:t>s</w:t>
      </w:r>
      <w:r w:rsidR="00234731" w:rsidRPr="002C7E65">
        <w:rPr>
          <w:rFonts w:ascii="Calibri" w:eastAsia="Calibri" w:hAnsi="Calibri" w:cs="Times New Roman"/>
        </w:rPr>
        <w:t xml:space="preserve"> will </w:t>
      </w:r>
      <w:r w:rsidR="00234731">
        <w:t xml:space="preserve">still </w:t>
      </w:r>
      <w:r w:rsidR="00234731" w:rsidRPr="002C7E65">
        <w:rPr>
          <w:rFonts w:ascii="Calibri" w:eastAsia="Calibri" w:hAnsi="Calibri" w:cs="Times New Roman"/>
        </w:rPr>
        <w:t xml:space="preserve">have </w:t>
      </w:r>
      <w:r w:rsidR="00234731">
        <w:rPr>
          <w:rFonts w:ascii="Calibri" w:eastAsia="Calibri" w:hAnsi="Calibri" w:cs="Times New Roman"/>
        </w:rPr>
        <w:t>an average of 9</w:t>
      </w:r>
      <w:r w:rsidR="00234731" w:rsidRPr="002C7E65">
        <w:rPr>
          <w:rFonts w:ascii="Calibri" w:eastAsia="Calibri" w:hAnsi="Calibri" w:cs="Times New Roman"/>
        </w:rPr>
        <w:t xml:space="preserve"> participants, for an approximate total of </w:t>
      </w:r>
      <w:r w:rsidR="00234731">
        <w:rPr>
          <w:rFonts w:ascii="Calibri" w:eastAsia="Calibri" w:hAnsi="Calibri" w:cs="Times New Roman"/>
        </w:rPr>
        <w:t>108</w:t>
      </w:r>
      <w:r w:rsidR="00234731">
        <w:t xml:space="preserve"> human subjects. The </w:t>
      </w:r>
      <w:r w:rsidR="00234731" w:rsidRPr="002C7E65">
        <w:rPr>
          <w:rFonts w:ascii="Calibri" w:eastAsia="Calibri" w:hAnsi="Calibri" w:cs="Times New Roman"/>
        </w:rPr>
        <w:t>two target audiences</w:t>
      </w:r>
      <w:r w:rsidR="00234731">
        <w:t xml:space="preserve"> remain the same</w:t>
      </w:r>
      <w:r w:rsidR="00234731" w:rsidRPr="002C7E65">
        <w:rPr>
          <w:rFonts w:ascii="Calibri" w:eastAsia="Calibri" w:hAnsi="Calibri" w:cs="Times New Roman"/>
        </w:rPr>
        <w:t xml:space="preserve">: </w:t>
      </w:r>
    </w:p>
    <w:p w:rsidR="00234731" w:rsidRPr="002C7E65" w:rsidRDefault="00234731" w:rsidP="00234731">
      <w:pPr>
        <w:keepNext/>
        <w:keepLines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2C7E65">
        <w:rPr>
          <w:rFonts w:ascii="Calibri" w:eastAsia="Calibri" w:hAnsi="Calibri" w:cs="Times New Roman"/>
        </w:rPr>
        <w:t>Young adults age</w:t>
      </w:r>
      <w:r>
        <w:rPr>
          <w:rFonts w:ascii="Calibri" w:eastAsia="Calibri" w:hAnsi="Calibri" w:cs="Times New Roman"/>
        </w:rPr>
        <w:t>d</w:t>
      </w:r>
      <w:r w:rsidRPr="002C7E65">
        <w:rPr>
          <w:rFonts w:ascii="Calibri" w:eastAsia="Calibri" w:hAnsi="Calibri" w:cs="Times New Roman"/>
        </w:rPr>
        <w:t xml:space="preserve"> 16</w:t>
      </w:r>
      <w:r>
        <w:rPr>
          <w:rFonts w:ascii="Calibri" w:eastAsia="Calibri" w:hAnsi="Calibri" w:cs="Times New Roman"/>
        </w:rPr>
        <w:t>–</w:t>
      </w:r>
      <w:r w:rsidRPr="002C7E65">
        <w:rPr>
          <w:rFonts w:ascii="Calibri" w:eastAsia="Calibri" w:hAnsi="Calibri" w:cs="Times New Roman"/>
        </w:rPr>
        <w:t xml:space="preserve">19 living with hemophilia </w:t>
      </w:r>
    </w:p>
    <w:p w:rsidR="00234731" w:rsidRPr="003F6384" w:rsidRDefault="00234731" w:rsidP="003F6384">
      <w:pPr>
        <w:keepNext/>
        <w:keepLines/>
        <w:numPr>
          <w:ilvl w:val="0"/>
          <w:numId w:val="6"/>
        </w:numPr>
        <w:spacing w:after="0" w:line="240" w:lineRule="auto"/>
      </w:pPr>
      <w:r w:rsidRPr="002C7E65">
        <w:rPr>
          <w:rFonts w:ascii="Calibri" w:eastAsia="Calibri" w:hAnsi="Calibri" w:cs="Times New Roman"/>
        </w:rPr>
        <w:t xml:space="preserve"> Parents of adolescents age</w:t>
      </w:r>
      <w:r>
        <w:rPr>
          <w:rFonts w:ascii="Calibri" w:eastAsia="Calibri" w:hAnsi="Calibri" w:cs="Times New Roman"/>
        </w:rPr>
        <w:t>d</w:t>
      </w:r>
      <w:r w:rsidRPr="002C7E65">
        <w:rPr>
          <w:rFonts w:ascii="Calibri" w:eastAsia="Calibri" w:hAnsi="Calibri" w:cs="Times New Roman"/>
        </w:rPr>
        <w:t xml:space="preserve"> 5</w:t>
      </w:r>
      <w:r>
        <w:rPr>
          <w:rFonts w:ascii="Calibri" w:eastAsia="Calibri" w:hAnsi="Calibri" w:cs="Times New Roman"/>
        </w:rPr>
        <w:t>–</w:t>
      </w:r>
      <w:r w:rsidRPr="002C7E65">
        <w:rPr>
          <w:rFonts w:ascii="Calibri" w:eastAsia="Calibri" w:hAnsi="Calibri" w:cs="Times New Roman"/>
        </w:rPr>
        <w:t>12 and parents of teens/young adults</w:t>
      </w:r>
      <w:r>
        <w:rPr>
          <w:rFonts w:ascii="Calibri" w:eastAsia="Calibri" w:hAnsi="Calibri" w:cs="Times New Roman"/>
        </w:rPr>
        <w:t xml:space="preserve"> aged 16–19</w:t>
      </w:r>
      <w:r w:rsidRPr="002C7E65">
        <w:rPr>
          <w:rFonts w:ascii="Calibri" w:eastAsia="Calibri" w:hAnsi="Calibri" w:cs="Times New Roman"/>
        </w:rPr>
        <w:t xml:space="preserve"> living with hemophilia. </w:t>
      </w:r>
    </w:p>
    <w:p w:rsidR="003F6384" w:rsidRDefault="003F6384" w:rsidP="003F6384">
      <w:pPr>
        <w:keepNext/>
        <w:keepLines/>
        <w:spacing w:after="0" w:line="240" w:lineRule="auto"/>
        <w:rPr>
          <w:sz w:val="24"/>
          <w:szCs w:val="24"/>
        </w:rPr>
      </w:pPr>
    </w:p>
    <w:p w:rsidR="003F6384" w:rsidRDefault="003F6384" w:rsidP="003F6384">
      <w:pPr>
        <w:keepNext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Groups will still be led by a professionally trained focus group moderator and last approximately 90 minutes as originally proposed.</w:t>
      </w:r>
    </w:p>
    <w:p w:rsidR="003F6384" w:rsidRDefault="003F6384" w:rsidP="003F6384">
      <w:pPr>
        <w:keepNext/>
        <w:keepLines/>
        <w:spacing w:after="0" w:line="240" w:lineRule="auto"/>
        <w:rPr>
          <w:sz w:val="24"/>
          <w:szCs w:val="24"/>
        </w:rPr>
      </w:pPr>
    </w:p>
    <w:p w:rsidR="00AB799B" w:rsidRDefault="00DF1BDC" w:rsidP="003F6384">
      <w:pPr>
        <w:keepNext/>
        <w:keepLines/>
        <w:spacing w:after="0" w:line="240" w:lineRule="auto"/>
      </w:pPr>
      <w:r w:rsidRPr="00AB799B">
        <w:rPr>
          <w:u w:val="single"/>
        </w:rPr>
        <w:t>Instruments</w:t>
      </w:r>
      <w:r w:rsidRPr="00AB799B">
        <w:t xml:space="preserve">: </w:t>
      </w:r>
      <w:r>
        <w:t xml:space="preserve">The moderator guides </w:t>
      </w:r>
      <w:r w:rsidR="00AB799B">
        <w:t>for the focus groups will contain only minor changes.  For example, any references to posting ground rules or discussion points on a flip chart will be eliminated.  Also, the group exercise will be modified so that participants can conduct the exercise independently rather than as part of a group.  Lastly, the false close will be modified.</w:t>
      </w:r>
    </w:p>
    <w:p w:rsidR="00AB799B" w:rsidRDefault="00AB799B" w:rsidP="003F6384">
      <w:pPr>
        <w:keepNext/>
        <w:keepLines/>
        <w:spacing w:after="0" w:line="240" w:lineRule="auto"/>
      </w:pPr>
    </w:p>
    <w:p w:rsidR="00FF2CCF" w:rsidRPr="003F6384" w:rsidRDefault="00FF2CCF">
      <w:pPr>
        <w:keepNext/>
        <w:keepLines/>
        <w:spacing w:after="0" w:line="240" w:lineRule="auto"/>
        <w:rPr>
          <w:rFonts w:ascii="Calibri" w:eastAsia="Calibri" w:hAnsi="Calibri" w:cs="Times New Roman"/>
        </w:rPr>
      </w:pPr>
    </w:p>
    <w:sectPr w:rsidR="00FF2CCF" w:rsidRPr="003F6384" w:rsidSect="0026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5A8C"/>
    <w:multiLevelType w:val="hybridMultilevel"/>
    <w:tmpl w:val="0664AE10"/>
    <w:lvl w:ilvl="0" w:tplc="3FD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0DE9"/>
    <w:multiLevelType w:val="hybridMultilevel"/>
    <w:tmpl w:val="9BFA6690"/>
    <w:lvl w:ilvl="0" w:tplc="3FD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422694B"/>
    <w:multiLevelType w:val="hybridMultilevel"/>
    <w:tmpl w:val="6C44E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F3AAB"/>
    <w:multiLevelType w:val="hybridMultilevel"/>
    <w:tmpl w:val="E496EB44"/>
    <w:lvl w:ilvl="0" w:tplc="3FD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2D09"/>
    <w:multiLevelType w:val="hybridMultilevel"/>
    <w:tmpl w:val="338C01AE"/>
    <w:lvl w:ilvl="0" w:tplc="5AA02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45C23"/>
    <w:multiLevelType w:val="hybridMultilevel"/>
    <w:tmpl w:val="D29EA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7194"/>
    <w:multiLevelType w:val="hybridMultilevel"/>
    <w:tmpl w:val="368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23406"/>
    <w:multiLevelType w:val="hybridMultilevel"/>
    <w:tmpl w:val="ED185114"/>
    <w:lvl w:ilvl="0" w:tplc="3FD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409BC"/>
    <w:multiLevelType w:val="hybridMultilevel"/>
    <w:tmpl w:val="6ADCF1B2"/>
    <w:lvl w:ilvl="0" w:tplc="3FD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95DCD"/>
    <w:multiLevelType w:val="hybridMultilevel"/>
    <w:tmpl w:val="8710114E"/>
    <w:lvl w:ilvl="0" w:tplc="C20024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841"/>
    <w:rsid w:val="00141A3D"/>
    <w:rsid w:val="00234731"/>
    <w:rsid w:val="002545ED"/>
    <w:rsid w:val="00263D04"/>
    <w:rsid w:val="003F6384"/>
    <w:rsid w:val="004C3F1B"/>
    <w:rsid w:val="00606DA7"/>
    <w:rsid w:val="006B1841"/>
    <w:rsid w:val="00866987"/>
    <w:rsid w:val="00962E5C"/>
    <w:rsid w:val="00AB799B"/>
    <w:rsid w:val="00DF1BDC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B1841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styleId="Hyperlink">
    <w:name w:val="Hyperlink"/>
    <w:basedOn w:val="DefaultParagraphFont"/>
    <w:uiPriority w:val="99"/>
    <w:unhideWhenUsed/>
    <w:rsid w:val="006B1841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234731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rsid w:val="0023473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s.gov/oes/current/oes_na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guu3</dc:creator>
  <cp:keywords/>
  <dc:description/>
  <cp:lastModifiedBy>Centers for Disease Control &amp; Prevention</cp:lastModifiedBy>
  <cp:revision>4</cp:revision>
  <dcterms:created xsi:type="dcterms:W3CDTF">2011-01-05T18:31:00Z</dcterms:created>
  <dcterms:modified xsi:type="dcterms:W3CDTF">2011-01-20T18:33:00Z</dcterms:modified>
</cp:coreProperties>
</file>