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6A0" w:rsidRPr="00ED239D" w:rsidRDefault="00ED239D">
      <w:pPr>
        <w:rPr>
          <w:rFonts w:ascii="Univers" w:hAnsi="Univers" w:cs="Arial"/>
          <w:b/>
        </w:rPr>
      </w:pPr>
      <w:r w:rsidRPr="00ED239D">
        <w:rPr>
          <w:rFonts w:ascii="Univers" w:hAnsi="Univers" w:cs="Arial"/>
          <w:b/>
        </w:rPr>
        <w:t xml:space="preserve">B.  </w:t>
      </w:r>
      <w:r w:rsidR="000266A0" w:rsidRPr="00ED239D">
        <w:rPr>
          <w:rFonts w:ascii="Univers" w:hAnsi="Univers" w:cs="Arial"/>
          <w:b/>
        </w:rPr>
        <w:t>SUPPORTING STATEMENT</w:t>
      </w:r>
      <w:r w:rsidRPr="00ED239D">
        <w:rPr>
          <w:rFonts w:ascii="Univers" w:hAnsi="Univers" w:cs="Arial"/>
          <w:b/>
        </w:rPr>
        <w:t xml:space="preserve"> FOR BE FOOD SAFE CAMPAIGN SURVEY</w:t>
      </w:r>
    </w:p>
    <w:p w:rsidR="000266A0" w:rsidRPr="00ED239D" w:rsidRDefault="000266A0">
      <w:pPr>
        <w:rPr>
          <w:rFonts w:ascii="Univers" w:hAnsi="Univers" w:cs="Arial"/>
          <w:b/>
        </w:rPr>
      </w:pPr>
    </w:p>
    <w:p w:rsidR="000266A0" w:rsidRDefault="000266A0" w:rsidP="000266A0">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Univers" w:hAnsi="Univers" w:cs="Arial"/>
        </w:rPr>
      </w:pPr>
    </w:p>
    <w:p w:rsidR="00CE581D" w:rsidRDefault="00CE581D" w:rsidP="00CE581D">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b/>
        </w:rPr>
      </w:pPr>
      <w:r>
        <w:rPr>
          <w:b/>
        </w:rPr>
        <w:t>1.  Describe (including a numerical estimate) the potential respondent universe and any sam</w:t>
      </w:r>
      <w:r>
        <w:rPr>
          <w:b/>
        </w:rPr>
        <w:softHyphen/>
        <w:t>pling or other respondent selection method to be used.  Data on the number of entities (e.g., establishments, State and local government units, households, or persons) in the universe covered by the collection and in the corre</w:t>
      </w:r>
      <w:r>
        <w:rPr>
          <w:b/>
        </w:rPr>
        <w:softHyphen/>
        <w:t>sponding sample are to be provided in tabular form for the uni</w:t>
      </w:r>
      <w:r>
        <w:rPr>
          <w:b/>
        </w:rPr>
        <w:softHyphen/>
        <w:t>verse as a whole and for each of the strata in the proposed sample. Indicate expected response rates for the collection as a whole. If the collection had been conducted previously, include the actual response rate achieved during the last collection.</w:t>
      </w:r>
    </w:p>
    <w:p w:rsidR="00525356" w:rsidRDefault="00525356" w:rsidP="00E874CE">
      <w:pPr>
        <w:pStyle w:val="P1-StandPara"/>
        <w:ind w:firstLine="0"/>
        <w:jc w:val="left"/>
        <w:rPr>
          <w:sz w:val="22"/>
          <w:szCs w:val="22"/>
        </w:rPr>
      </w:pPr>
    </w:p>
    <w:p w:rsidR="00880325" w:rsidRDefault="00880325" w:rsidP="00E874CE">
      <w:pPr>
        <w:pStyle w:val="P1-StandPara"/>
        <w:ind w:firstLine="0"/>
        <w:jc w:val="left"/>
        <w:rPr>
          <w:sz w:val="22"/>
          <w:szCs w:val="22"/>
        </w:rPr>
      </w:pPr>
    </w:p>
    <w:p w:rsidR="00525356" w:rsidRDefault="00525356" w:rsidP="00E874CE">
      <w:pPr>
        <w:pStyle w:val="P1-StandPara"/>
        <w:ind w:firstLine="0"/>
        <w:jc w:val="left"/>
        <w:rPr>
          <w:sz w:val="22"/>
          <w:szCs w:val="22"/>
        </w:rPr>
      </w:pPr>
      <w:r>
        <w:rPr>
          <w:sz w:val="22"/>
          <w:szCs w:val="22"/>
        </w:rPr>
        <w:t xml:space="preserve">Note: The exploratory research being proposed in support of the forthcoming FSIS and Ad Council Food Safety </w:t>
      </w:r>
      <w:r w:rsidR="00422E2C">
        <w:rPr>
          <w:sz w:val="22"/>
          <w:szCs w:val="22"/>
        </w:rPr>
        <w:t xml:space="preserve">Education </w:t>
      </w:r>
      <w:r>
        <w:rPr>
          <w:sz w:val="22"/>
          <w:szCs w:val="22"/>
        </w:rPr>
        <w:t xml:space="preserve">campaign is qualitative in nature and hence many of the statistical methods </w:t>
      </w:r>
      <w:r w:rsidR="007557F1">
        <w:rPr>
          <w:sz w:val="22"/>
          <w:szCs w:val="22"/>
        </w:rPr>
        <w:t xml:space="preserve">and methodological questions </w:t>
      </w:r>
      <w:r>
        <w:rPr>
          <w:sz w:val="22"/>
          <w:szCs w:val="22"/>
        </w:rPr>
        <w:t xml:space="preserve">listed below </w:t>
      </w:r>
      <w:r w:rsidR="007557F1">
        <w:rPr>
          <w:sz w:val="22"/>
          <w:szCs w:val="22"/>
        </w:rPr>
        <w:t>are not applicable.</w:t>
      </w:r>
      <w:r>
        <w:rPr>
          <w:sz w:val="22"/>
          <w:szCs w:val="22"/>
        </w:rPr>
        <w:br/>
      </w:r>
    </w:p>
    <w:p w:rsidR="00750E7F" w:rsidRPr="00750E7F" w:rsidRDefault="00750E7F" w:rsidP="00E874CE">
      <w:pPr>
        <w:pStyle w:val="P1-StandPara"/>
        <w:ind w:firstLine="0"/>
        <w:jc w:val="left"/>
        <w:rPr>
          <w:i/>
          <w:sz w:val="22"/>
          <w:szCs w:val="22"/>
        </w:rPr>
      </w:pPr>
      <w:r w:rsidRPr="00750E7F">
        <w:rPr>
          <w:i/>
          <w:sz w:val="22"/>
          <w:szCs w:val="22"/>
        </w:rPr>
        <w:t>For the approved pilot research:</w:t>
      </w:r>
    </w:p>
    <w:p w:rsidR="00750E7F" w:rsidRDefault="00750E7F" w:rsidP="00E874CE">
      <w:pPr>
        <w:pStyle w:val="P1-StandPara"/>
        <w:ind w:firstLine="0"/>
        <w:jc w:val="left"/>
        <w:rPr>
          <w:sz w:val="22"/>
          <w:szCs w:val="22"/>
        </w:rPr>
      </w:pPr>
    </w:p>
    <w:p w:rsidR="00901356" w:rsidRPr="00E80F7F" w:rsidRDefault="00400FFF" w:rsidP="00E874CE">
      <w:pPr>
        <w:pStyle w:val="P1-StandPara"/>
        <w:ind w:firstLine="0"/>
        <w:jc w:val="left"/>
        <w:rPr>
          <w:color w:val="000000"/>
        </w:rPr>
      </w:pPr>
      <w:r w:rsidRPr="00E80F7F">
        <w:rPr>
          <w:sz w:val="22"/>
          <w:szCs w:val="22"/>
        </w:rPr>
        <w:t>The population of interest for th</w:t>
      </w:r>
      <w:r w:rsidR="00B1734A" w:rsidRPr="00E80F7F">
        <w:rPr>
          <w:sz w:val="22"/>
          <w:szCs w:val="22"/>
        </w:rPr>
        <w:t xml:space="preserve">is information collection is </w:t>
      </w:r>
      <w:r w:rsidR="005F6596">
        <w:rPr>
          <w:sz w:val="22"/>
          <w:szCs w:val="22"/>
        </w:rPr>
        <w:t xml:space="preserve">parents </w:t>
      </w:r>
      <w:r w:rsidR="00B1734A" w:rsidRPr="00E80F7F">
        <w:rPr>
          <w:sz w:val="22"/>
          <w:szCs w:val="22"/>
        </w:rPr>
        <w:t xml:space="preserve">between the ages of </w:t>
      </w:r>
      <w:r w:rsidR="005F6596">
        <w:rPr>
          <w:sz w:val="22"/>
          <w:szCs w:val="22"/>
        </w:rPr>
        <w:t>20</w:t>
      </w:r>
      <w:r w:rsidR="00B1734A" w:rsidRPr="00E80F7F">
        <w:rPr>
          <w:sz w:val="22"/>
          <w:szCs w:val="22"/>
        </w:rPr>
        <w:t xml:space="preserve"> and 4</w:t>
      </w:r>
      <w:r w:rsidR="005F6596">
        <w:rPr>
          <w:sz w:val="22"/>
          <w:szCs w:val="22"/>
        </w:rPr>
        <w:t>0</w:t>
      </w:r>
      <w:r w:rsidR="00B1734A" w:rsidRPr="00E80F7F">
        <w:rPr>
          <w:sz w:val="22"/>
          <w:szCs w:val="22"/>
        </w:rPr>
        <w:t xml:space="preserve">, who are caregivers for children </w:t>
      </w:r>
      <w:r w:rsidR="005F6596">
        <w:rPr>
          <w:sz w:val="22"/>
          <w:szCs w:val="22"/>
        </w:rPr>
        <w:t>between the ages of 4 and 12</w:t>
      </w:r>
      <w:r w:rsidR="00B1734A" w:rsidRPr="00E80F7F">
        <w:rPr>
          <w:sz w:val="22"/>
          <w:szCs w:val="22"/>
        </w:rPr>
        <w:t>.</w:t>
      </w:r>
      <w:r w:rsidR="00E874CE" w:rsidRPr="00E80F7F">
        <w:rPr>
          <w:sz w:val="22"/>
          <w:szCs w:val="22"/>
        </w:rPr>
        <w:t xml:space="preserve"> </w:t>
      </w:r>
      <w:r w:rsidR="00E874CE" w:rsidRPr="00E80F7F">
        <w:rPr>
          <w:color w:val="000000"/>
        </w:rPr>
        <w:t>FSIS</w:t>
      </w:r>
      <w:r w:rsidR="005F6596">
        <w:rPr>
          <w:color w:val="000000"/>
        </w:rPr>
        <w:t xml:space="preserve"> and Ad Council staff worked with JWT</w:t>
      </w:r>
      <w:r w:rsidR="007557F1">
        <w:rPr>
          <w:color w:val="000000"/>
        </w:rPr>
        <w:t xml:space="preserve"> </w:t>
      </w:r>
      <w:r w:rsidR="00E874CE" w:rsidRPr="00E80F7F">
        <w:rPr>
          <w:color w:val="000000"/>
        </w:rPr>
        <w:t xml:space="preserve">to select </w:t>
      </w:r>
      <w:r w:rsidR="005F6596">
        <w:rPr>
          <w:color w:val="000000"/>
        </w:rPr>
        <w:t>Philadelphia, Houston, and Chicago as the locations for in-depth interviews (IDIs). The locations for IDIs were selected because they meet the following criteria:</w:t>
      </w:r>
    </w:p>
    <w:p w:rsidR="00E874CE" w:rsidRPr="00FB7031" w:rsidRDefault="00E874CE" w:rsidP="00E874CE">
      <w:pPr>
        <w:pStyle w:val="P1-StandPara"/>
        <w:ind w:firstLine="0"/>
        <w:jc w:val="left"/>
        <w:rPr>
          <w:color w:val="000000"/>
          <w:highlight w:val="yellow"/>
        </w:rPr>
      </w:pPr>
    </w:p>
    <w:p w:rsidR="000E0EA0" w:rsidRDefault="000E0EA0" w:rsidP="00E80F7F">
      <w:pPr>
        <w:numPr>
          <w:ilvl w:val="0"/>
          <w:numId w:val="17"/>
        </w:numPr>
        <w:jc w:val="both"/>
      </w:pPr>
      <w:r>
        <w:t xml:space="preserve">Presence of </w:t>
      </w:r>
      <w:r w:rsidR="007557F1">
        <w:t xml:space="preserve">independent </w:t>
      </w:r>
      <w:r>
        <w:t>research facilities to recruit and hold IDIs;</w:t>
      </w:r>
    </w:p>
    <w:p w:rsidR="00E874CE" w:rsidRDefault="005F6596" w:rsidP="00E80F7F">
      <w:pPr>
        <w:numPr>
          <w:ilvl w:val="0"/>
          <w:numId w:val="17"/>
        </w:numPr>
        <w:jc w:val="both"/>
      </w:pPr>
      <w:r>
        <w:t>A large metropolitan area with acces</w:t>
      </w:r>
      <w:r w:rsidR="000E0EA0">
        <w:t>s to suburban residential areas;</w:t>
      </w:r>
    </w:p>
    <w:p w:rsidR="005F6596" w:rsidRDefault="005F6596" w:rsidP="00E80F7F">
      <w:pPr>
        <w:numPr>
          <w:ilvl w:val="0"/>
          <w:numId w:val="17"/>
        </w:numPr>
        <w:jc w:val="both"/>
      </w:pPr>
      <w:r>
        <w:t xml:space="preserve">Access to a diverse respondent pool, </w:t>
      </w:r>
      <w:r w:rsidR="007557F1">
        <w:t>including</w:t>
      </w:r>
      <w:r>
        <w:t xml:space="preserve"> Hispanics</w:t>
      </w:r>
      <w:r w:rsidR="000E0EA0">
        <w:t>;</w:t>
      </w:r>
    </w:p>
    <w:p w:rsidR="000E0EA0" w:rsidRDefault="007557F1" w:rsidP="00E80F7F">
      <w:pPr>
        <w:numPr>
          <w:ilvl w:val="0"/>
          <w:numId w:val="17"/>
        </w:numPr>
        <w:jc w:val="both"/>
      </w:pPr>
      <w:r>
        <w:t xml:space="preserve">Regionally </w:t>
      </w:r>
      <w:r w:rsidR="000E0EA0">
        <w:t xml:space="preserve">diverse – Midwest, </w:t>
      </w:r>
      <w:r w:rsidR="00525356">
        <w:t>Northeast, South</w:t>
      </w:r>
    </w:p>
    <w:p w:rsidR="00E874CE" w:rsidRPr="00E80F7F" w:rsidRDefault="00E874CE" w:rsidP="00FB7031">
      <w:pPr>
        <w:ind w:left="48"/>
      </w:pPr>
    </w:p>
    <w:p w:rsidR="00FB7031" w:rsidRPr="00E80F7F" w:rsidRDefault="005F6596" w:rsidP="00FB7031">
      <w:pPr>
        <w:spacing w:after="120"/>
        <w:jc w:val="both"/>
      </w:pPr>
      <w:r>
        <w:t xml:space="preserve">The exploratory research will be comprised of IDIs with </w:t>
      </w:r>
      <w:r w:rsidR="00BE285C">
        <w:t>30</w:t>
      </w:r>
      <w:r w:rsidR="00F11180" w:rsidRPr="00E80F7F">
        <w:t xml:space="preserve"> </w:t>
      </w:r>
      <w:r>
        <w:t xml:space="preserve">parents </w:t>
      </w:r>
      <w:r w:rsidR="00FB7031" w:rsidRPr="00E80F7F">
        <w:t>from the target population</w:t>
      </w:r>
      <w:r w:rsidR="00525356">
        <w:t>, which has a national incidence of approx</w:t>
      </w:r>
      <w:r w:rsidR="007557F1">
        <w:t>imately</w:t>
      </w:r>
      <w:r w:rsidR="00525356">
        <w:t xml:space="preserve"> 14%, according to </w:t>
      </w:r>
      <w:r w:rsidR="007557F1">
        <w:t xml:space="preserve">GFK </w:t>
      </w:r>
      <w:r w:rsidR="00AA7BDE">
        <w:t xml:space="preserve">Mediamark </w:t>
      </w:r>
      <w:r w:rsidR="00525356">
        <w:t>R</w:t>
      </w:r>
      <w:r w:rsidR="007557F1">
        <w:t xml:space="preserve">esearch </w:t>
      </w:r>
      <w:r w:rsidR="00AA7BDE">
        <w:t xml:space="preserve">&amp; Intelligence </w:t>
      </w:r>
      <w:r w:rsidR="007557F1">
        <w:t>(MRI)</w:t>
      </w:r>
      <w:r w:rsidR="00525356">
        <w:t xml:space="preserve"> </w:t>
      </w:r>
      <w:r w:rsidR="007557F1">
        <w:t xml:space="preserve">Syndicated </w:t>
      </w:r>
      <w:r w:rsidR="00525356">
        <w:t>market research data.</w:t>
      </w:r>
      <w:r w:rsidR="000D3337">
        <w:t xml:space="preserve"> In order to ensure a varied socio-economic sample within our target, we will recruit individuals with household incomes above $35K</w:t>
      </w:r>
      <w:r w:rsidR="00063E45">
        <w:t>, including some above $50K</w:t>
      </w:r>
      <w:r w:rsidR="00BA6E0C">
        <w:t xml:space="preserve">. </w:t>
      </w:r>
      <w:r w:rsidR="00063E45">
        <w:t>Given the low sample size, no generalizations will be made based on income in reporting</w:t>
      </w:r>
      <w:r w:rsidR="00CF55E7">
        <w:t>.</w:t>
      </w:r>
    </w:p>
    <w:p w:rsidR="00E2721A" w:rsidRPr="00E80F7F" w:rsidRDefault="00E2721A" w:rsidP="00400FFF">
      <w:pPr>
        <w:pStyle w:val="P1-StandPara"/>
        <w:ind w:firstLine="0"/>
        <w:jc w:val="left"/>
        <w:rPr>
          <w:sz w:val="22"/>
          <w:szCs w:val="22"/>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3"/>
        <w:gridCol w:w="1895"/>
        <w:gridCol w:w="1862"/>
        <w:gridCol w:w="1881"/>
        <w:gridCol w:w="1755"/>
      </w:tblGrid>
      <w:tr w:rsidR="00D24F8A" w:rsidRPr="00E80F7F" w:rsidTr="00D24F8A">
        <w:trPr>
          <w:trHeight w:val="1160"/>
          <w:jc w:val="center"/>
        </w:trPr>
        <w:tc>
          <w:tcPr>
            <w:tcW w:w="2183" w:type="dxa"/>
            <w:vAlign w:val="center"/>
          </w:tcPr>
          <w:p w:rsidR="00D24F8A" w:rsidRPr="00E80F7F" w:rsidRDefault="00D24F8A" w:rsidP="00E2721A">
            <w:pPr>
              <w:pStyle w:val="SP-SglSpPara"/>
              <w:keepNext/>
              <w:keepLines/>
              <w:ind w:firstLine="0"/>
              <w:jc w:val="left"/>
              <w:rPr>
                <w:b/>
                <w:sz w:val="22"/>
                <w:szCs w:val="22"/>
              </w:rPr>
            </w:pPr>
            <w:r w:rsidRPr="00E80F7F">
              <w:rPr>
                <w:b/>
                <w:sz w:val="22"/>
                <w:szCs w:val="22"/>
              </w:rPr>
              <w:t>Respondent Type</w:t>
            </w:r>
          </w:p>
        </w:tc>
        <w:tc>
          <w:tcPr>
            <w:tcW w:w="1895" w:type="dxa"/>
            <w:vAlign w:val="center"/>
          </w:tcPr>
          <w:p w:rsidR="00D24F8A" w:rsidRPr="00E80F7F" w:rsidRDefault="00D24F8A" w:rsidP="00E2721A">
            <w:pPr>
              <w:pStyle w:val="SP-SglSpPara"/>
              <w:keepNext/>
              <w:keepLines/>
              <w:ind w:firstLine="0"/>
              <w:jc w:val="center"/>
              <w:rPr>
                <w:b/>
                <w:sz w:val="22"/>
                <w:szCs w:val="22"/>
              </w:rPr>
            </w:pPr>
            <w:r w:rsidRPr="00E80F7F">
              <w:rPr>
                <w:b/>
                <w:sz w:val="22"/>
                <w:szCs w:val="22"/>
              </w:rPr>
              <w:t>Universe of Eligible Respondents</w:t>
            </w:r>
          </w:p>
        </w:tc>
        <w:tc>
          <w:tcPr>
            <w:tcW w:w="1862" w:type="dxa"/>
            <w:vAlign w:val="center"/>
          </w:tcPr>
          <w:p w:rsidR="00D24F8A" w:rsidRPr="00E80F7F" w:rsidRDefault="00D24F8A" w:rsidP="00E2721A">
            <w:pPr>
              <w:pStyle w:val="SP-SglSpPara"/>
              <w:ind w:firstLine="0"/>
              <w:jc w:val="left"/>
              <w:rPr>
                <w:b/>
                <w:sz w:val="22"/>
                <w:szCs w:val="22"/>
              </w:rPr>
            </w:pPr>
            <w:r w:rsidRPr="00E80F7F">
              <w:rPr>
                <w:b/>
                <w:sz w:val="22"/>
                <w:szCs w:val="22"/>
              </w:rPr>
              <w:t>Estimated Total Number of Respondents</w:t>
            </w:r>
          </w:p>
        </w:tc>
        <w:tc>
          <w:tcPr>
            <w:tcW w:w="1881" w:type="dxa"/>
            <w:vAlign w:val="center"/>
          </w:tcPr>
          <w:p w:rsidR="00D24F8A" w:rsidRPr="00E80F7F" w:rsidRDefault="00D24F8A" w:rsidP="00E2721A">
            <w:pPr>
              <w:pStyle w:val="SP-SglSpPara"/>
              <w:keepNext/>
              <w:keepLines/>
              <w:ind w:firstLine="0"/>
              <w:jc w:val="left"/>
              <w:rPr>
                <w:b/>
                <w:sz w:val="22"/>
                <w:szCs w:val="22"/>
              </w:rPr>
            </w:pPr>
            <w:r w:rsidRPr="00E80F7F">
              <w:rPr>
                <w:b/>
                <w:sz w:val="22"/>
                <w:szCs w:val="22"/>
              </w:rPr>
              <w:t>Estimated Total Number of Non-Respondents</w:t>
            </w:r>
          </w:p>
        </w:tc>
        <w:tc>
          <w:tcPr>
            <w:tcW w:w="1755" w:type="dxa"/>
          </w:tcPr>
          <w:p w:rsidR="00D24F8A" w:rsidRDefault="00D24F8A" w:rsidP="00E2721A">
            <w:pPr>
              <w:pStyle w:val="SP-SglSpPara"/>
              <w:keepNext/>
              <w:keepLines/>
              <w:ind w:firstLine="0"/>
              <w:jc w:val="left"/>
              <w:rPr>
                <w:b/>
                <w:sz w:val="22"/>
                <w:szCs w:val="22"/>
              </w:rPr>
            </w:pPr>
          </w:p>
          <w:p w:rsidR="00D24F8A" w:rsidRDefault="00D24F8A" w:rsidP="00E2721A">
            <w:pPr>
              <w:pStyle w:val="SP-SglSpPara"/>
              <w:keepNext/>
              <w:keepLines/>
              <w:ind w:firstLine="0"/>
              <w:jc w:val="left"/>
              <w:rPr>
                <w:b/>
                <w:sz w:val="22"/>
                <w:szCs w:val="22"/>
              </w:rPr>
            </w:pPr>
          </w:p>
          <w:p w:rsidR="00D24F8A" w:rsidRPr="00E80F7F" w:rsidRDefault="00D24F8A" w:rsidP="00D24F8A">
            <w:pPr>
              <w:pStyle w:val="SP-SglSpPara"/>
              <w:keepNext/>
              <w:keepLines/>
              <w:ind w:firstLine="0"/>
              <w:jc w:val="center"/>
              <w:rPr>
                <w:b/>
                <w:sz w:val="22"/>
                <w:szCs w:val="22"/>
              </w:rPr>
            </w:pPr>
            <w:r>
              <w:rPr>
                <w:b/>
                <w:sz w:val="22"/>
                <w:szCs w:val="22"/>
              </w:rPr>
              <w:t>Total</w:t>
            </w:r>
          </w:p>
        </w:tc>
      </w:tr>
      <w:tr w:rsidR="00D24F8A" w:rsidRPr="00E80F7F" w:rsidTr="00D24F8A">
        <w:trPr>
          <w:trHeight w:val="336"/>
          <w:jc w:val="center"/>
        </w:trPr>
        <w:tc>
          <w:tcPr>
            <w:tcW w:w="2183" w:type="dxa"/>
            <w:vAlign w:val="center"/>
          </w:tcPr>
          <w:p w:rsidR="00D24F8A" w:rsidRPr="00E80F7F" w:rsidRDefault="00D24F8A" w:rsidP="00E2721A">
            <w:pPr>
              <w:rPr>
                <w:sz w:val="22"/>
                <w:szCs w:val="22"/>
              </w:rPr>
            </w:pPr>
            <w:r>
              <w:rPr>
                <w:sz w:val="22"/>
                <w:szCs w:val="22"/>
              </w:rPr>
              <w:t>IDIs</w:t>
            </w:r>
          </w:p>
        </w:tc>
        <w:tc>
          <w:tcPr>
            <w:tcW w:w="1895" w:type="dxa"/>
            <w:vAlign w:val="center"/>
          </w:tcPr>
          <w:p w:rsidR="00D24F8A" w:rsidRPr="00E80F7F" w:rsidRDefault="00D24F8A" w:rsidP="00E2721A">
            <w:pPr>
              <w:ind w:right="384"/>
              <w:jc w:val="center"/>
              <w:rPr>
                <w:sz w:val="22"/>
                <w:szCs w:val="22"/>
              </w:rPr>
            </w:pPr>
            <w:r>
              <w:rPr>
                <w:sz w:val="22"/>
                <w:szCs w:val="22"/>
              </w:rPr>
              <w:t>NA</w:t>
            </w:r>
          </w:p>
        </w:tc>
        <w:tc>
          <w:tcPr>
            <w:tcW w:w="1862" w:type="dxa"/>
            <w:vAlign w:val="center"/>
          </w:tcPr>
          <w:p w:rsidR="00D24F8A" w:rsidRPr="00E80F7F" w:rsidRDefault="00D24F8A" w:rsidP="00BE285C">
            <w:pPr>
              <w:ind w:right="384"/>
              <w:jc w:val="right"/>
              <w:rPr>
                <w:sz w:val="22"/>
                <w:szCs w:val="22"/>
              </w:rPr>
            </w:pPr>
            <w:r>
              <w:rPr>
                <w:sz w:val="22"/>
                <w:szCs w:val="22"/>
              </w:rPr>
              <w:t>30</w:t>
            </w:r>
          </w:p>
        </w:tc>
        <w:tc>
          <w:tcPr>
            <w:tcW w:w="1881" w:type="dxa"/>
            <w:vAlign w:val="center"/>
          </w:tcPr>
          <w:p w:rsidR="00D24F8A" w:rsidRPr="00E80F7F" w:rsidRDefault="00D24F8A" w:rsidP="00BE285C">
            <w:pPr>
              <w:ind w:right="384"/>
              <w:jc w:val="right"/>
              <w:rPr>
                <w:sz w:val="22"/>
                <w:szCs w:val="22"/>
              </w:rPr>
            </w:pPr>
            <w:r>
              <w:rPr>
                <w:sz w:val="22"/>
                <w:szCs w:val="22"/>
              </w:rPr>
              <w:t>214</w:t>
            </w:r>
          </w:p>
        </w:tc>
        <w:tc>
          <w:tcPr>
            <w:tcW w:w="1755" w:type="dxa"/>
          </w:tcPr>
          <w:p w:rsidR="00D24F8A" w:rsidRPr="00E80F7F" w:rsidDel="00525356" w:rsidRDefault="00D24F8A" w:rsidP="00BE285C">
            <w:pPr>
              <w:ind w:right="384"/>
              <w:jc w:val="right"/>
              <w:rPr>
                <w:sz w:val="22"/>
                <w:szCs w:val="22"/>
              </w:rPr>
            </w:pPr>
          </w:p>
        </w:tc>
      </w:tr>
      <w:tr w:rsidR="00D24F8A" w:rsidRPr="00E80F7F" w:rsidTr="00D24F8A">
        <w:trPr>
          <w:trHeight w:val="331"/>
          <w:jc w:val="center"/>
        </w:trPr>
        <w:tc>
          <w:tcPr>
            <w:tcW w:w="2183" w:type="dxa"/>
            <w:tcBorders>
              <w:top w:val="single" w:sz="12" w:space="0" w:color="auto"/>
              <w:bottom w:val="single" w:sz="12" w:space="0" w:color="auto"/>
            </w:tcBorders>
            <w:vAlign w:val="center"/>
          </w:tcPr>
          <w:p w:rsidR="00D24F8A" w:rsidRPr="00E80F7F" w:rsidRDefault="00D24F8A" w:rsidP="00E2721A">
            <w:pPr>
              <w:rPr>
                <w:b/>
                <w:sz w:val="22"/>
                <w:szCs w:val="22"/>
              </w:rPr>
            </w:pPr>
            <w:r w:rsidRPr="00E80F7F">
              <w:rPr>
                <w:b/>
                <w:sz w:val="22"/>
                <w:szCs w:val="22"/>
              </w:rPr>
              <w:lastRenderedPageBreak/>
              <w:t>TOTAL</w:t>
            </w:r>
          </w:p>
        </w:tc>
        <w:tc>
          <w:tcPr>
            <w:tcW w:w="1895" w:type="dxa"/>
            <w:tcBorders>
              <w:top w:val="single" w:sz="12" w:space="0" w:color="auto"/>
              <w:bottom w:val="single" w:sz="12" w:space="0" w:color="auto"/>
            </w:tcBorders>
            <w:vAlign w:val="center"/>
          </w:tcPr>
          <w:p w:rsidR="00D24F8A" w:rsidRPr="00E80F7F" w:rsidRDefault="00D24F8A" w:rsidP="00E2721A">
            <w:pPr>
              <w:ind w:right="384"/>
              <w:jc w:val="center"/>
              <w:rPr>
                <w:b/>
                <w:sz w:val="22"/>
                <w:szCs w:val="22"/>
              </w:rPr>
            </w:pPr>
            <w:r w:rsidRPr="00E80F7F">
              <w:rPr>
                <w:b/>
                <w:sz w:val="22"/>
                <w:szCs w:val="22"/>
              </w:rPr>
              <w:t>--</w:t>
            </w:r>
          </w:p>
        </w:tc>
        <w:tc>
          <w:tcPr>
            <w:tcW w:w="1862" w:type="dxa"/>
            <w:tcBorders>
              <w:top w:val="single" w:sz="12" w:space="0" w:color="auto"/>
              <w:bottom w:val="single" w:sz="12" w:space="0" w:color="auto"/>
            </w:tcBorders>
            <w:vAlign w:val="center"/>
          </w:tcPr>
          <w:p w:rsidR="00D24F8A" w:rsidRPr="00D24F8A" w:rsidRDefault="00D24F8A" w:rsidP="00BE285C">
            <w:pPr>
              <w:ind w:right="384"/>
              <w:jc w:val="right"/>
              <w:rPr>
                <w:sz w:val="22"/>
                <w:szCs w:val="22"/>
              </w:rPr>
            </w:pPr>
            <w:r w:rsidRPr="00D24F8A">
              <w:rPr>
                <w:sz w:val="22"/>
                <w:szCs w:val="22"/>
              </w:rPr>
              <w:t>30</w:t>
            </w:r>
          </w:p>
        </w:tc>
        <w:tc>
          <w:tcPr>
            <w:tcW w:w="1881" w:type="dxa"/>
            <w:tcBorders>
              <w:top w:val="single" w:sz="12" w:space="0" w:color="auto"/>
              <w:bottom w:val="single" w:sz="12" w:space="0" w:color="auto"/>
            </w:tcBorders>
            <w:vAlign w:val="center"/>
          </w:tcPr>
          <w:p w:rsidR="00D24F8A" w:rsidRPr="00D24F8A" w:rsidRDefault="00D24F8A" w:rsidP="00BE285C">
            <w:pPr>
              <w:ind w:right="384"/>
              <w:jc w:val="right"/>
              <w:rPr>
                <w:sz w:val="22"/>
                <w:szCs w:val="22"/>
              </w:rPr>
            </w:pPr>
            <w:r w:rsidRPr="00D24F8A">
              <w:rPr>
                <w:sz w:val="22"/>
                <w:szCs w:val="22"/>
              </w:rPr>
              <w:t>214</w:t>
            </w:r>
          </w:p>
        </w:tc>
        <w:tc>
          <w:tcPr>
            <w:tcW w:w="1755" w:type="dxa"/>
            <w:tcBorders>
              <w:top w:val="single" w:sz="12" w:space="0" w:color="auto"/>
              <w:bottom w:val="single" w:sz="12" w:space="0" w:color="auto"/>
            </w:tcBorders>
          </w:tcPr>
          <w:p w:rsidR="00D24F8A" w:rsidRPr="00E80F7F" w:rsidDel="00525356" w:rsidRDefault="00D24F8A" w:rsidP="00BE285C">
            <w:pPr>
              <w:ind w:right="384"/>
              <w:jc w:val="right"/>
              <w:rPr>
                <w:b/>
                <w:sz w:val="22"/>
                <w:szCs w:val="22"/>
              </w:rPr>
            </w:pPr>
            <w:r>
              <w:rPr>
                <w:b/>
                <w:sz w:val="22"/>
                <w:szCs w:val="22"/>
              </w:rPr>
              <w:t>244</w:t>
            </w:r>
          </w:p>
        </w:tc>
      </w:tr>
    </w:tbl>
    <w:p w:rsidR="00400FFF" w:rsidRPr="00E80F7F" w:rsidRDefault="00400FFF" w:rsidP="00CE581D">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p>
    <w:p w:rsidR="00880325" w:rsidRPr="00880325" w:rsidRDefault="00880325" w:rsidP="00880325">
      <w:pPr>
        <w:pStyle w:val="ListParagraph"/>
        <w:ind w:left="0"/>
        <w:rPr>
          <w:rFonts w:ascii="Arial" w:hAnsi="Arial" w:cs="Arial"/>
        </w:rPr>
      </w:pPr>
      <w:r w:rsidRPr="00880325">
        <w:rPr>
          <w:rFonts w:ascii="Arial" w:hAnsi="Arial" w:cs="Arial"/>
        </w:rPr>
        <w:t>The lists being used for recruitment are from the database of the vendor, Maya Measurement, and have been collected through a variety of methods. Local recruiters will be used for each market. We are using specialized Spanish speaking recruiters in Chicago and an organization in Houston (Savitz) that regularly recruits Hispanic participants; they have done Spanish-speaking recruiting for the agency in the past (for Nissan and the U.S. Census). They are representative of the local markets in which research is being conducted. The 214 non-respondent figure is drawn from an estimated incidence of .14 of the target audience in the general population. Since this is qualitative research, as opposed to quantitative, we’re looking not for statistical significance, but rather directional insights to help complement our understanding of the issue and spark creative development for the purpose of advertising.</w:t>
      </w:r>
    </w:p>
    <w:p w:rsidR="00400FFF" w:rsidRDefault="00400FFF" w:rsidP="00FB7031">
      <w:pPr>
        <w:pStyle w:val="P1-StandPara"/>
        <w:ind w:firstLine="0"/>
        <w:jc w:val="left"/>
        <w:rPr>
          <w:color w:val="000000"/>
        </w:rPr>
      </w:pPr>
    </w:p>
    <w:p w:rsidR="00750E7F" w:rsidRPr="00750E7F" w:rsidRDefault="00750E7F" w:rsidP="00750E7F">
      <w:pPr>
        <w:pStyle w:val="P1-StandPara"/>
        <w:ind w:firstLine="0"/>
        <w:jc w:val="left"/>
        <w:rPr>
          <w:i/>
          <w:color w:val="000000"/>
        </w:rPr>
      </w:pPr>
      <w:r w:rsidRPr="00750E7F">
        <w:rPr>
          <w:i/>
          <w:color w:val="000000"/>
        </w:rPr>
        <w:t>For the creative concept refinement research:</w:t>
      </w:r>
    </w:p>
    <w:p w:rsidR="00750E7F" w:rsidRDefault="00750E7F" w:rsidP="00750E7F">
      <w:pPr>
        <w:pStyle w:val="P1-StandPara"/>
        <w:ind w:firstLine="0"/>
        <w:jc w:val="left"/>
        <w:rPr>
          <w:sz w:val="22"/>
          <w:szCs w:val="22"/>
        </w:rPr>
      </w:pPr>
    </w:p>
    <w:p w:rsidR="00750E7F" w:rsidRDefault="00750E7F" w:rsidP="00750E7F">
      <w:pPr>
        <w:pStyle w:val="P1-StandPara"/>
        <w:ind w:firstLine="0"/>
        <w:jc w:val="left"/>
        <w:rPr>
          <w:color w:val="000000"/>
        </w:rPr>
      </w:pPr>
      <w:r w:rsidRPr="00E80F7F">
        <w:rPr>
          <w:sz w:val="22"/>
          <w:szCs w:val="22"/>
        </w:rPr>
        <w:t xml:space="preserve">The population of interest for this information collection is </w:t>
      </w:r>
      <w:r>
        <w:rPr>
          <w:sz w:val="22"/>
          <w:szCs w:val="22"/>
        </w:rPr>
        <w:t xml:space="preserve">parents </w:t>
      </w:r>
      <w:r w:rsidRPr="00E80F7F">
        <w:rPr>
          <w:sz w:val="22"/>
          <w:szCs w:val="22"/>
        </w:rPr>
        <w:t xml:space="preserve">between the ages of </w:t>
      </w:r>
      <w:r>
        <w:rPr>
          <w:sz w:val="22"/>
          <w:szCs w:val="22"/>
        </w:rPr>
        <w:t>20</w:t>
      </w:r>
      <w:r w:rsidRPr="00E80F7F">
        <w:rPr>
          <w:sz w:val="22"/>
          <w:szCs w:val="22"/>
        </w:rPr>
        <w:t xml:space="preserve"> and 4</w:t>
      </w:r>
      <w:r>
        <w:rPr>
          <w:sz w:val="22"/>
          <w:szCs w:val="22"/>
        </w:rPr>
        <w:t>0</w:t>
      </w:r>
      <w:r w:rsidRPr="00E80F7F">
        <w:rPr>
          <w:sz w:val="22"/>
          <w:szCs w:val="22"/>
        </w:rPr>
        <w:t xml:space="preserve">, who are caregivers for children </w:t>
      </w:r>
      <w:r>
        <w:rPr>
          <w:sz w:val="22"/>
          <w:szCs w:val="22"/>
        </w:rPr>
        <w:t>between the ages of 4 and 12</w:t>
      </w:r>
      <w:r w:rsidRPr="00E80F7F">
        <w:rPr>
          <w:sz w:val="22"/>
          <w:szCs w:val="22"/>
        </w:rPr>
        <w:t xml:space="preserve">. </w:t>
      </w:r>
      <w:r w:rsidRPr="00E80F7F">
        <w:rPr>
          <w:color w:val="000000"/>
        </w:rPr>
        <w:t>FSIS</w:t>
      </w:r>
      <w:r>
        <w:rPr>
          <w:color w:val="000000"/>
        </w:rPr>
        <w:t xml:space="preserve"> and Ad Council staff worked with JWT </w:t>
      </w:r>
      <w:r w:rsidRPr="00E80F7F">
        <w:rPr>
          <w:color w:val="000000"/>
        </w:rPr>
        <w:t xml:space="preserve">to select </w:t>
      </w:r>
      <w:r>
        <w:rPr>
          <w:color w:val="000000"/>
        </w:rPr>
        <w:t xml:space="preserve">Tucson, AZ, Memphis, TN, and Providence, RI as the locations for discussion groups. Of these discussions, 9 will be in-depth interviews with a single respondent, while 9 will be triads – discussions with three respondents at once. </w:t>
      </w:r>
      <w:r w:rsidRPr="00277709">
        <w:rPr>
          <w:color w:val="000000"/>
        </w:rPr>
        <w:t>Three IDIs and three triads (9 respondents) will be conducted in Spanish with Hispanic respondents, for a total of 12 respondents participating in Spanish.</w:t>
      </w:r>
      <w:r>
        <w:rPr>
          <w:color w:val="000000"/>
        </w:rPr>
        <w:t xml:space="preserve"> Respondents will be exposed to creative concepts developed by JWT that will include draft TV and radio scripts, print, outdoor, and  online advertisements.</w:t>
      </w:r>
    </w:p>
    <w:p w:rsidR="00750E7F" w:rsidRDefault="00750E7F" w:rsidP="00750E7F">
      <w:pPr>
        <w:pStyle w:val="P1-StandPara"/>
        <w:ind w:firstLine="0"/>
        <w:jc w:val="left"/>
        <w:rPr>
          <w:color w:val="000000"/>
        </w:rPr>
      </w:pPr>
    </w:p>
    <w:p w:rsidR="00750E7F" w:rsidRPr="00E80F7F" w:rsidRDefault="00750E7F" w:rsidP="00750E7F">
      <w:pPr>
        <w:pStyle w:val="P1-StandPara"/>
        <w:ind w:firstLine="0"/>
        <w:jc w:val="left"/>
        <w:rPr>
          <w:color w:val="000000"/>
        </w:rPr>
      </w:pPr>
      <w:r>
        <w:rPr>
          <w:color w:val="000000"/>
        </w:rPr>
        <w:t xml:space="preserve"> The locations for IDIs were selected because they meet the following criteria:</w:t>
      </w:r>
    </w:p>
    <w:p w:rsidR="00750E7F" w:rsidRPr="00FB7031" w:rsidRDefault="00750E7F" w:rsidP="00750E7F">
      <w:pPr>
        <w:pStyle w:val="P1-StandPara"/>
        <w:ind w:firstLine="0"/>
        <w:jc w:val="left"/>
        <w:rPr>
          <w:color w:val="000000"/>
          <w:highlight w:val="yellow"/>
        </w:rPr>
      </w:pPr>
    </w:p>
    <w:p w:rsidR="00750E7F" w:rsidRDefault="00750E7F" w:rsidP="00750E7F">
      <w:pPr>
        <w:numPr>
          <w:ilvl w:val="0"/>
          <w:numId w:val="17"/>
        </w:numPr>
        <w:jc w:val="both"/>
      </w:pPr>
      <w:r>
        <w:t>Presence of independent research facilities to recruit and hold IDIs and triads;</w:t>
      </w:r>
    </w:p>
    <w:p w:rsidR="00750E7F" w:rsidRDefault="00750E7F" w:rsidP="00750E7F">
      <w:pPr>
        <w:numPr>
          <w:ilvl w:val="0"/>
          <w:numId w:val="17"/>
        </w:numPr>
        <w:jc w:val="both"/>
      </w:pPr>
      <w:r>
        <w:t>A large metropolitan area with access to suburban residential areas;</w:t>
      </w:r>
    </w:p>
    <w:p w:rsidR="00750E7F" w:rsidRDefault="00750E7F" w:rsidP="00750E7F">
      <w:pPr>
        <w:numPr>
          <w:ilvl w:val="0"/>
          <w:numId w:val="17"/>
        </w:numPr>
        <w:jc w:val="both"/>
      </w:pPr>
      <w:r>
        <w:t>Access to a diverse respondent pool, including Hispanics;</w:t>
      </w:r>
    </w:p>
    <w:p w:rsidR="00750E7F" w:rsidRDefault="00750E7F" w:rsidP="00750E7F">
      <w:pPr>
        <w:numPr>
          <w:ilvl w:val="0"/>
          <w:numId w:val="17"/>
        </w:numPr>
        <w:jc w:val="both"/>
      </w:pPr>
      <w:r>
        <w:t>Regionally diverse – Southwest, South, Northeast</w:t>
      </w:r>
    </w:p>
    <w:p w:rsidR="00750E7F" w:rsidRDefault="00750E7F" w:rsidP="00750E7F">
      <w:pPr>
        <w:spacing w:after="120"/>
        <w:jc w:val="both"/>
      </w:pPr>
    </w:p>
    <w:p w:rsidR="00750E7F" w:rsidRPr="00E80F7F" w:rsidRDefault="00750E7F" w:rsidP="00750E7F">
      <w:pPr>
        <w:spacing w:after="120"/>
        <w:jc w:val="both"/>
      </w:pPr>
      <w:r>
        <w:t>The research will be comprised of IDIs with 36</w:t>
      </w:r>
      <w:r w:rsidRPr="00E80F7F">
        <w:t xml:space="preserve"> </w:t>
      </w:r>
      <w:r>
        <w:t xml:space="preserve">parents </w:t>
      </w:r>
      <w:r w:rsidRPr="00E80F7F">
        <w:t>from the target population</w:t>
      </w:r>
      <w:r>
        <w:t>, which has a national incidence of approximately 11%, according to 2010 GFK Mediamark Research &amp; Intelligence (MRI) Syndicated market research data. In order to ensure a varied socio-economic sample within our target, we will recruit individuals with household incomes above $35K, including some above $50K. Given the low sample size, no generalizations will be made based on income in reporting.</w:t>
      </w:r>
    </w:p>
    <w:p w:rsidR="00750E7F" w:rsidRPr="00E80F7F" w:rsidRDefault="00750E7F" w:rsidP="00750E7F">
      <w:pPr>
        <w:pStyle w:val="P1-StandPara"/>
        <w:ind w:firstLine="0"/>
        <w:jc w:val="left"/>
        <w:rPr>
          <w:sz w:val="22"/>
          <w:szCs w:val="22"/>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3"/>
        <w:gridCol w:w="1895"/>
        <w:gridCol w:w="1862"/>
        <w:gridCol w:w="1881"/>
        <w:gridCol w:w="1755"/>
      </w:tblGrid>
      <w:tr w:rsidR="00750E7F" w:rsidRPr="00E80F7F" w:rsidTr="001B66AB">
        <w:trPr>
          <w:trHeight w:val="1160"/>
          <w:jc w:val="center"/>
        </w:trPr>
        <w:tc>
          <w:tcPr>
            <w:tcW w:w="2183" w:type="dxa"/>
            <w:vAlign w:val="center"/>
          </w:tcPr>
          <w:p w:rsidR="00750E7F" w:rsidRPr="00E80F7F" w:rsidRDefault="00750E7F" w:rsidP="001B66AB">
            <w:pPr>
              <w:pStyle w:val="SP-SglSpPara"/>
              <w:keepNext/>
              <w:keepLines/>
              <w:ind w:firstLine="0"/>
              <w:jc w:val="left"/>
              <w:rPr>
                <w:b/>
                <w:sz w:val="22"/>
                <w:szCs w:val="22"/>
              </w:rPr>
            </w:pPr>
            <w:r w:rsidRPr="00E80F7F">
              <w:rPr>
                <w:b/>
                <w:sz w:val="22"/>
                <w:szCs w:val="22"/>
              </w:rPr>
              <w:lastRenderedPageBreak/>
              <w:t>Respondent Type</w:t>
            </w:r>
          </w:p>
        </w:tc>
        <w:tc>
          <w:tcPr>
            <w:tcW w:w="1895" w:type="dxa"/>
            <w:vAlign w:val="center"/>
          </w:tcPr>
          <w:p w:rsidR="00750E7F" w:rsidRPr="00E80F7F" w:rsidRDefault="00750E7F" w:rsidP="001B66AB">
            <w:pPr>
              <w:pStyle w:val="SP-SglSpPara"/>
              <w:keepNext/>
              <w:keepLines/>
              <w:ind w:firstLine="0"/>
              <w:jc w:val="center"/>
              <w:rPr>
                <w:b/>
                <w:sz w:val="22"/>
                <w:szCs w:val="22"/>
              </w:rPr>
            </w:pPr>
            <w:r w:rsidRPr="00E80F7F">
              <w:rPr>
                <w:b/>
                <w:sz w:val="22"/>
                <w:szCs w:val="22"/>
              </w:rPr>
              <w:t>Universe of Eligible Respondents</w:t>
            </w:r>
          </w:p>
        </w:tc>
        <w:tc>
          <w:tcPr>
            <w:tcW w:w="1862" w:type="dxa"/>
            <w:vAlign w:val="center"/>
          </w:tcPr>
          <w:p w:rsidR="00750E7F" w:rsidRPr="00E80F7F" w:rsidRDefault="00750E7F" w:rsidP="001B66AB">
            <w:pPr>
              <w:pStyle w:val="SP-SglSpPara"/>
              <w:ind w:firstLine="0"/>
              <w:jc w:val="left"/>
              <w:rPr>
                <w:b/>
                <w:sz w:val="22"/>
                <w:szCs w:val="22"/>
              </w:rPr>
            </w:pPr>
            <w:r w:rsidRPr="00E80F7F">
              <w:rPr>
                <w:b/>
                <w:sz w:val="22"/>
                <w:szCs w:val="22"/>
              </w:rPr>
              <w:t>Estimated Total Number of Respondents</w:t>
            </w:r>
          </w:p>
        </w:tc>
        <w:tc>
          <w:tcPr>
            <w:tcW w:w="1881" w:type="dxa"/>
            <w:vAlign w:val="center"/>
          </w:tcPr>
          <w:p w:rsidR="00750E7F" w:rsidRPr="00E80F7F" w:rsidRDefault="00750E7F" w:rsidP="001B66AB">
            <w:pPr>
              <w:pStyle w:val="SP-SglSpPara"/>
              <w:keepNext/>
              <w:keepLines/>
              <w:ind w:firstLine="0"/>
              <w:jc w:val="left"/>
              <w:rPr>
                <w:b/>
                <w:sz w:val="22"/>
                <w:szCs w:val="22"/>
              </w:rPr>
            </w:pPr>
            <w:r w:rsidRPr="00E80F7F">
              <w:rPr>
                <w:b/>
                <w:sz w:val="22"/>
                <w:szCs w:val="22"/>
              </w:rPr>
              <w:t>Estimated Total Number of Non-Respondents</w:t>
            </w:r>
          </w:p>
        </w:tc>
        <w:tc>
          <w:tcPr>
            <w:tcW w:w="1755" w:type="dxa"/>
          </w:tcPr>
          <w:p w:rsidR="00750E7F" w:rsidRDefault="00750E7F" w:rsidP="001B66AB">
            <w:pPr>
              <w:pStyle w:val="SP-SglSpPara"/>
              <w:keepNext/>
              <w:keepLines/>
              <w:ind w:firstLine="0"/>
              <w:jc w:val="left"/>
              <w:rPr>
                <w:b/>
                <w:sz w:val="22"/>
                <w:szCs w:val="22"/>
              </w:rPr>
            </w:pPr>
          </w:p>
          <w:p w:rsidR="00750E7F" w:rsidRDefault="00750E7F" w:rsidP="001B66AB">
            <w:pPr>
              <w:pStyle w:val="SP-SglSpPara"/>
              <w:keepNext/>
              <w:keepLines/>
              <w:ind w:firstLine="0"/>
              <w:jc w:val="left"/>
              <w:rPr>
                <w:b/>
                <w:sz w:val="22"/>
                <w:szCs w:val="22"/>
              </w:rPr>
            </w:pPr>
          </w:p>
          <w:p w:rsidR="00750E7F" w:rsidRPr="00E80F7F" w:rsidRDefault="00750E7F" w:rsidP="001B66AB">
            <w:pPr>
              <w:pStyle w:val="SP-SglSpPara"/>
              <w:keepNext/>
              <w:keepLines/>
              <w:ind w:firstLine="0"/>
              <w:jc w:val="center"/>
              <w:rPr>
                <w:b/>
                <w:sz w:val="22"/>
                <w:szCs w:val="22"/>
              </w:rPr>
            </w:pPr>
            <w:r>
              <w:rPr>
                <w:b/>
                <w:sz w:val="22"/>
                <w:szCs w:val="22"/>
              </w:rPr>
              <w:t>Total</w:t>
            </w:r>
          </w:p>
        </w:tc>
      </w:tr>
      <w:tr w:rsidR="00750E7F" w:rsidRPr="00E80F7F" w:rsidTr="001B66AB">
        <w:trPr>
          <w:trHeight w:val="336"/>
          <w:jc w:val="center"/>
        </w:trPr>
        <w:tc>
          <w:tcPr>
            <w:tcW w:w="2183" w:type="dxa"/>
            <w:vAlign w:val="center"/>
          </w:tcPr>
          <w:p w:rsidR="00750E7F" w:rsidRPr="00E80F7F" w:rsidRDefault="00750E7F" w:rsidP="001B66AB">
            <w:pPr>
              <w:rPr>
                <w:sz w:val="22"/>
                <w:szCs w:val="22"/>
              </w:rPr>
            </w:pPr>
            <w:r>
              <w:rPr>
                <w:sz w:val="22"/>
                <w:szCs w:val="22"/>
              </w:rPr>
              <w:t>IDIS/Triads</w:t>
            </w:r>
          </w:p>
        </w:tc>
        <w:tc>
          <w:tcPr>
            <w:tcW w:w="1895" w:type="dxa"/>
            <w:vAlign w:val="center"/>
          </w:tcPr>
          <w:p w:rsidR="00750E7F" w:rsidRPr="00E80F7F" w:rsidRDefault="00750E7F" w:rsidP="001B66AB">
            <w:pPr>
              <w:ind w:right="384"/>
              <w:jc w:val="center"/>
              <w:rPr>
                <w:sz w:val="22"/>
                <w:szCs w:val="22"/>
              </w:rPr>
            </w:pPr>
            <w:r>
              <w:rPr>
                <w:sz w:val="22"/>
                <w:szCs w:val="22"/>
              </w:rPr>
              <w:t>NA</w:t>
            </w:r>
          </w:p>
        </w:tc>
        <w:tc>
          <w:tcPr>
            <w:tcW w:w="1862" w:type="dxa"/>
            <w:vAlign w:val="center"/>
          </w:tcPr>
          <w:p w:rsidR="00750E7F" w:rsidRPr="00E80F7F" w:rsidRDefault="00750E7F" w:rsidP="001B66AB">
            <w:pPr>
              <w:ind w:right="384"/>
              <w:jc w:val="right"/>
              <w:rPr>
                <w:sz w:val="22"/>
                <w:szCs w:val="22"/>
              </w:rPr>
            </w:pPr>
            <w:r>
              <w:rPr>
                <w:sz w:val="22"/>
                <w:szCs w:val="22"/>
              </w:rPr>
              <w:t>36</w:t>
            </w:r>
          </w:p>
        </w:tc>
        <w:tc>
          <w:tcPr>
            <w:tcW w:w="1881" w:type="dxa"/>
            <w:vAlign w:val="center"/>
          </w:tcPr>
          <w:p w:rsidR="00750E7F" w:rsidRPr="00E80F7F" w:rsidRDefault="00750E7F" w:rsidP="001B66AB">
            <w:pPr>
              <w:ind w:right="384"/>
              <w:jc w:val="right"/>
              <w:rPr>
                <w:sz w:val="22"/>
                <w:szCs w:val="22"/>
              </w:rPr>
            </w:pPr>
            <w:r>
              <w:rPr>
                <w:sz w:val="22"/>
                <w:szCs w:val="22"/>
              </w:rPr>
              <w:t>327</w:t>
            </w:r>
          </w:p>
        </w:tc>
        <w:tc>
          <w:tcPr>
            <w:tcW w:w="1755" w:type="dxa"/>
          </w:tcPr>
          <w:p w:rsidR="00750E7F" w:rsidRPr="00E80F7F" w:rsidDel="00525356" w:rsidRDefault="00750E7F" w:rsidP="001B66AB">
            <w:pPr>
              <w:ind w:right="384"/>
              <w:jc w:val="right"/>
              <w:rPr>
                <w:sz w:val="22"/>
                <w:szCs w:val="22"/>
              </w:rPr>
            </w:pPr>
            <w:r>
              <w:rPr>
                <w:sz w:val="22"/>
                <w:szCs w:val="22"/>
              </w:rPr>
              <w:t>363</w:t>
            </w:r>
          </w:p>
        </w:tc>
      </w:tr>
      <w:tr w:rsidR="00750E7F" w:rsidRPr="00E80F7F" w:rsidTr="001B66AB">
        <w:trPr>
          <w:trHeight w:val="331"/>
          <w:jc w:val="center"/>
        </w:trPr>
        <w:tc>
          <w:tcPr>
            <w:tcW w:w="2183" w:type="dxa"/>
            <w:tcBorders>
              <w:top w:val="single" w:sz="12" w:space="0" w:color="auto"/>
              <w:bottom w:val="single" w:sz="12" w:space="0" w:color="auto"/>
            </w:tcBorders>
            <w:vAlign w:val="center"/>
          </w:tcPr>
          <w:p w:rsidR="00750E7F" w:rsidRPr="00E80F7F" w:rsidRDefault="00750E7F" w:rsidP="001B66AB">
            <w:pPr>
              <w:rPr>
                <w:b/>
                <w:sz w:val="22"/>
                <w:szCs w:val="22"/>
              </w:rPr>
            </w:pPr>
            <w:r w:rsidRPr="00E80F7F">
              <w:rPr>
                <w:b/>
                <w:sz w:val="22"/>
                <w:szCs w:val="22"/>
              </w:rPr>
              <w:t>TOTAL</w:t>
            </w:r>
          </w:p>
        </w:tc>
        <w:tc>
          <w:tcPr>
            <w:tcW w:w="1895" w:type="dxa"/>
            <w:tcBorders>
              <w:top w:val="single" w:sz="12" w:space="0" w:color="auto"/>
              <w:bottom w:val="single" w:sz="12" w:space="0" w:color="auto"/>
            </w:tcBorders>
            <w:vAlign w:val="center"/>
          </w:tcPr>
          <w:p w:rsidR="00750E7F" w:rsidRPr="00E80F7F" w:rsidRDefault="00750E7F" w:rsidP="001B66AB">
            <w:pPr>
              <w:ind w:right="384"/>
              <w:jc w:val="center"/>
              <w:rPr>
                <w:b/>
                <w:sz w:val="22"/>
                <w:szCs w:val="22"/>
              </w:rPr>
            </w:pPr>
            <w:r w:rsidRPr="00E80F7F">
              <w:rPr>
                <w:b/>
                <w:sz w:val="22"/>
                <w:szCs w:val="22"/>
              </w:rPr>
              <w:t>--</w:t>
            </w:r>
          </w:p>
        </w:tc>
        <w:tc>
          <w:tcPr>
            <w:tcW w:w="1862" w:type="dxa"/>
            <w:tcBorders>
              <w:top w:val="single" w:sz="12" w:space="0" w:color="auto"/>
              <w:bottom w:val="single" w:sz="12" w:space="0" w:color="auto"/>
            </w:tcBorders>
            <w:vAlign w:val="center"/>
          </w:tcPr>
          <w:p w:rsidR="00750E7F" w:rsidRPr="00D24F8A" w:rsidRDefault="00750E7F" w:rsidP="001B66AB">
            <w:pPr>
              <w:ind w:right="384"/>
              <w:jc w:val="right"/>
              <w:rPr>
                <w:sz w:val="22"/>
                <w:szCs w:val="22"/>
              </w:rPr>
            </w:pPr>
            <w:r w:rsidRPr="00D24F8A">
              <w:rPr>
                <w:sz w:val="22"/>
                <w:szCs w:val="22"/>
              </w:rPr>
              <w:t>3</w:t>
            </w:r>
            <w:r>
              <w:rPr>
                <w:sz w:val="22"/>
                <w:szCs w:val="22"/>
              </w:rPr>
              <w:t>6</w:t>
            </w:r>
          </w:p>
        </w:tc>
        <w:tc>
          <w:tcPr>
            <w:tcW w:w="1881" w:type="dxa"/>
            <w:tcBorders>
              <w:top w:val="single" w:sz="12" w:space="0" w:color="auto"/>
              <w:bottom w:val="single" w:sz="12" w:space="0" w:color="auto"/>
            </w:tcBorders>
            <w:vAlign w:val="center"/>
          </w:tcPr>
          <w:p w:rsidR="00750E7F" w:rsidRPr="00D24F8A" w:rsidRDefault="00750E7F" w:rsidP="001B66AB">
            <w:pPr>
              <w:ind w:right="384"/>
              <w:jc w:val="right"/>
              <w:rPr>
                <w:sz w:val="22"/>
                <w:szCs w:val="22"/>
              </w:rPr>
            </w:pPr>
            <w:r>
              <w:rPr>
                <w:sz w:val="22"/>
                <w:szCs w:val="22"/>
              </w:rPr>
              <w:t>327</w:t>
            </w:r>
          </w:p>
        </w:tc>
        <w:tc>
          <w:tcPr>
            <w:tcW w:w="1755" w:type="dxa"/>
            <w:tcBorders>
              <w:top w:val="single" w:sz="12" w:space="0" w:color="auto"/>
              <w:bottom w:val="single" w:sz="12" w:space="0" w:color="auto"/>
            </w:tcBorders>
          </w:tcPr>
          <w:p w:rsidR="00750E7F" w:rsidRPr="00E80F7F" w:rsidDel="00525356" w:rsidRDefault="00750E7F" w:rsidP="001B66AB">
            <w:pPr>
              <w:ind w:right="384"/>
              <w:jc w:val="right"/>
              <w:rPr>
                <w:b/>
                <w:sz w:val="22"/>
                <w:szCs w:val="22"/>
              </w:rPr>
            </w:pPr>
            <w:r>
              <w:rPr>
                <w:sz w:val="22"/>
                <w:szCs w:val="22"/>
              </w:rPr>
              <w:t>363</w:t>
            </w:r>
          </w:p>
        </w:tc>
      </w:tr>
    </w:tbl>
    <w:p w:rsidR="00750E7F" w:rsidRPr="00E80F7F" w:rsidRDefault="00750E7F" w:rsidP="00750E7F">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p>
    <w:p w:rsidR="00750E7F" w:rsidRPr="006558FF" w:rsidRDefault="00750E7F" w:rsidP="00750E7F">
      <w:pPr>
        <w:pStyle w:val="ListParagraph"/>
        <w:ind w:left="0"/>
        <w:rPr>
          <w:rFonts w:eastAsia="Times New Roman"/>
        </w:rPr>
      </w:pPr>
      <w:r w:rsidRPr="006558FF">
        <w:rPr>
          <w:rFonts w:eastAsia="Times New Roman"/>
        </w:rPr>
        <w:t xml:space="preserve">The lists being used for recruitment are from the database of the vendor, 2CV, and have been collected through a variety of methods. Local recruiters will be used for each market. We are using specialized Spanish speaking recruiters in all markets </w:t>
      </w:r>
      <w:r>
        <w:rPr>
          <w:rFonts w:eastAsia="Times New Roman"/>
        </w:rPr>
        <w:t>who</w:t>
      </w:r>
      <w:r w:rsidRPr="006558FF">
        <w:rPr>
          <w:rFonts w:eastAsia="Times New Roman"/>
        </w:rPr>
        <w:t xml:space="preserve"> regularly recruit Hispanic participants; They are representative of the local markets in which research is being conducted. The</w:t>
      </w:r>
      <w:r>
        <w:rPr>
          <w:rFonts w:eastAsia="Times New Roman"/>
        </w:rPr>
        <w:t xml:space="preserve"> 327</w:t>
      </w:r>
      <w:r w:rsidRPr="006558FF">
        <w:rPr>
          <w:rFonts w:eastAsia="Times New Roman"/>
        </w:rPr>
        <w:t xml:space="preserve"> non-respondent figure is drawn from an estimated incidence of </w:t>
      </w:r>
      <w:r>
        <w:rPr>
          <w:rFonts w:eastAsia="Times New Roman"/>
        </w:rPr>
        <w:t>11%</w:t>
      </w:r>
      <w:r w:rsidRPr="006558FF">
        <w:rPr>
          <w:rFonts w:eastAsia="Times New Roman"/>
        </w:rPr>
        <w:t xml:space="preserve"> of the target audience in the general population. Since this is qualitative research, as opposed to quantitative, we’re </w:t>
      </w:r>
      <w:r>
        <w:rPr>
          <w:rFonts w:eastAsia="Times New Roman"/>
        </w:rPr>
        <w:t xml:space="preserve">not </w:t>
      </w:r>
      <w:r w:rsidRPr="006558FF">
        <w:rPr>
          <w:rFonts w:eastAsia="Times New Roman"/>
        </w:rPr>
        <w:t xml:space="preserve">looking for statistical significance, but rather directional insights to help complement our understanding of the target audience and help refine </w:t>
      </w:r>
      <w:r>
        <w:rPr>
          <w:rFonts w:eastAsia="Times New Roman"/>
        </w:rPr>
        <w:t>creative</w:t>
      </w:r>
      <w:r w:rsidRPr="006558FF">
        <w:rPr>
          <w:rFonts w:eastAsia="Times New Roman"/>
        </w:rPr>
        <w:t xml:space="preserve"> concepts.</w:t>
      </w:r>
    </w:p>
    <w:p w:rsidR="00400FFF" w:rsidRPr="00E80F7F" w:rsidRDefault="00400FFF" w:rsidP="00CE581D">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p>
    <w:p w:rsidR="00CE581D" w:rsidRPr="00E80F7F" w:rsidRDefault="00CE581D" w:rsidP="00CE581D">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b/>
        </w:rPr>
      </w:pPr>
      <w:r w:rsidRPr="00E80F7F">
        <w:rPr>
          <w:b/>
        </w:rPr>
        <w:t>2.</w:t>
      </w:r>
      <w:r w:rsidRPr="00E80F7F">
        <w:rPr>
          <w:b/>
        </w:rPr>
        <w:tab/>
        <w:t>Describe the procedures for the collection of information including:</w:t>
      </w:r>
    </w:p>
    <w:p w:rsidR="00CE581D" w:rsidRPr="00E80F7F" w:rsidRDefault="00CE581D" w:rsidP="00CE581D">
      <w:pPr>
        <w:pStyle w:val="Level1"/>
        <w:numPr>
          <w:ilvl w:val="0"/>
          <w:numId w:val="2"/>
        </w:numPr>
        <w:tabs>
          <w:tab w:val="clear" w:pos="1008"/>
          <w:tab w:val="left" w:pos="0"/>
          <w:tab w:val="left" w:pos="288"/>
          <w:tab w:val="num"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630"/>
        <w:outlineLvl w:val="9"/>
        <w:rPr>
          <w:b/>
        </w:rPr>
      </w:pPr>
      <w:r w:rsidRPr="00E80F7F">
        <w:rPr>
          <w:b/>
        </w:rPr>
        <w:t>Statistical methodology for stratification and sample selection,</w:t>
      </w:r>
    </w:p>
    <w:p w:rsidR="00CE581D" w:rsidRPr="00E80F7F" w:rsidRDefault="00CE581D" w:rsidP="00CE581D">
      <w:pPr>
        <w:pStyle w:val="Level1"/>
        <w:numPr>
          <w:ilvl w:val="0"/>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630"/>
        <w:outlineLvl w:val="9"/>
        <w:rPr>
          <w:b/>
        </w:rPr>
      </w:pPr>
      <w:r w:rsidRPr="00E80F7F">
        <w:rPr>
          <w:b/>
        </w:rPr>
        <w:t>Estimation procedure,</w:t>
      </w:r>
    </w:p>
    <w:p w:rsidR="00CE581D" w:rsidRPr="00E80F7F" w:rsidRDefault="00CE581D" w:rsidP="00CE581D">
      <w:pPr>
        <w:pStyle w:val="Level1"/>
        <w:numPr>
          <w:ilvl w:val="0"/>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630"/>
        <w:outlineLvl w:val="9"/>
        <w:rPr>
          <w:b/>
        </w:rPr>
      </w:pPr>
      <w:r w:rsidRPr="00E80F7F">
        <w:rPr>
          <w:b/>
        </w:rPr>
        <w:t>Degree of accuracy needed for the pur</w:t>
      </w:r>
      <w:r w:rsidRPr="00E80F7F">
        <w:rPr>
          <w:b/>
        </w:rPr>
        <w:softHyphen/>
        <w:t>pose described in the justification,</w:t>
      </w:r>
    </w:p>
    <w:p w:rsidR="00CE581D" w:rsidRPr="00E80F7F" w:rsidRDefault="00CE581D" w:rsidP="00CE581D">
      <w:pPr>
        <w:pStyle w:val="Level1"/>
        <w:numPr>
          <w:ilvl w:val="0"/>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630"/>
        <w:outlineLvl w:val="9"/>
        <w:rPr>
          <w:b/>
        </w:rPr>
      </w:pPr>
      <w:r w:rsidRPr="00E80F7F">
        <w:rPr>
          <w:b/>
        </w:rPr>
        <w:t>Unusual problems requiring specialized sampling procedures, and</w:t>
      </w:r>
    </w:p>
    <w:p w:rsidR="00CE581D" w:rsidRPr="00E80F7F" w:rsidRDefault="00CE581D" w:rsidP="00CE581D">
      <w:pPr>
        <w:pStyle w:val="Level1"/>
        <w:numPr>
          <w:ilvl w:val="0"/>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630"/>
        <w:outlineLvl w:val="9"/>
      </w:pPr>
      <w:r w:rsidRPr="00E80F7F">
        <w:rPr>
          <w:b/>
        </w:rPr>
        <w:t>Any use of periodic (less frequent than annual) data collection cycles to reduce burden.</w:t>
      </w:r>
    </w:p>
    <w:p w:rsidR="005835CC" w:rsidRPr="00E80F7F" w:rsidRDefault="005835CC" w:rsidP="005835CC">
      <w:pPr>
        <w:pStyle w:val="Level1"/>
        <w:numPr>
          <w:ilvl w:val="0"/>
          <w:numId w:val="2"/>
        </w:numPr>
        <w:tabs>
          <w:tab w:val="clear" w:pos="1008"/>
          <w:tab w:val="left" w:pos="0"/>
          <w:tab w:val="left" w:pos="288"/>
          <w:tab w:val="num"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630"/>
        <w:outlineLvl w:val="9"/>
        <w:rPr>
          <w:b/>
        </w:rPr>
      </w:pPr>
      <w:r w:rsidRPr="00E80F7F">
        <w:rPr>
          <w:b/>
        </w:rPr>
        <w:t>Statistical methodology for stratification and sample selection,</w:t>
      </w:r>
    </w:p>
    <w:p w:rsidR="00750E7F" w:rsidRDefault="00750E7F" w:rsidP="00FB7031">
      <w:pPr>
        <w:spacing w:after="120"/>
      </w:pPr>
    </w:p>
    <w:p w:rsidR="00525356" w:rsidRPr="00E80F7F" w:rsidRDefault="00525356" w:rsidP="00525356">
      <w:pPr>
        <w:pStyle w:val="P1-StandPara"/>
        <w:ind w:firstLine="0"/>
        <w:jc w:val="left"/>
        <w:rPr>
          <w:color w:val="000000"/>
        </w:rPr>
      </w:pPr>
      <w:r>
        <w:t xml:space="preserve">The third-party vendor that will assist in conducting the exploratory research will contact individuals who have previously indicated an interest in participating in market research. </w:t>
      </w:r>
      <w:r>
        <w:rPr>
          <w:color w:val="000000"/>
        </w:rPr>
        <w:t xml:space="preserve">In each market, recruiters will invite these individuals them to participate in the study and to determine whether they meet the screening criteria for participation. </w:t>
      </w:r>
    </w:p>
    <w:p w:rsidR="00E874CE" w:rsidRPr="00E80F7F" w:rsidRDefault="00E874CE" w:rsidP="00E874CE">
      <w:pPr>
        <w:pStyle w:val="Level1"/>
        <w:numPr>
          <w:ilvl w:val="0"/>
          <w:numId w:val="0"/>
        </w:numPr>
        <w:tabs>
          <w:tab w:val="left" w:pos="0"/>
          <w:tab w:val="left" w:pos="288"/>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474" w:hanging="186"/>
        <w:outlineLvl w:val="9"/>
        <w:rPr>
          <w:b/>
        </w:rPr>
      </w:pPr>
    </w:p>
    <w:p w:rsidR="007B5F76" w:rsidRPr="00E80F7F" w:rsidRDefault="007B5F76" w:rsidP="00C9030F">
      <w:pPr>
        <w:pStyle w:val="Level1"/>
        <w:numPr>
          <w:ilvl w:val="0"/>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630"/>
        <w:outlineLvl w:val="9"/>
        <w:rPr>
          <w:b/>
        </w:rPr>
      </w:pPr>
      <w:r w:rsidRPr="00E80F7F">
        <w:rPr>
          <w:b/>
        </w:rPr>
        <w:t>Estimation procedure</w:t>
      </w:r>
    </w:p>
    <w:p w:rsidR="00C9030F" w:rsidRPr="00E80F7F" w:rsidRDefault="00C9030F" w:rsidP="00C9030F">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outlineLvl w:val="9"/>
        <w:rPr>
          <w:b/>
        </w:rPr>
      </w:pPr>
    </w:p>
    <w:p w:rsidR="007B5F76" w:rsidRPr="00E80F7F" w:rsidRDefault="00C9030F" w:rsidP="007B5F76">
      <w:pPr>
        <w:spacing w:after="120"/>
      </w:pPr>
      <w:r w:rsidRPr="00E80F7F">
        <w:t>T</w:t>
      </w:r>
      <w:r w:rsidR="007B5F76" w:rsidRPr="00E80F7F">
        <w:t xml:space="preserve">he results of this study will not be generalizable to the overall population but </w:t>
      </w:r>
      <w:r w:rsidR="00525356">
        <w:t xml:space="preserve">will rather provide directional guidance and consumer insights that will help develop a communications strategy for the public service advertising campaign. </w:t>
      </w:r>
    </w:p>
    <w:p w:rsidR="003171C1" w:rsidRPr="00E80F7F" w:rsidRDefault="003171C1" w:rsidP="003171C1">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474" w:hanging="186"/>
        <w:outlineLvl w:val="9"/>
        <w:rPr>
          <w:b/>
        </w:rPr>
      </w:pPr>
    </w:p>
    <w:p w:rsidR="005835CC" w:rsidRPr="00E80F7F" w:rsidRDefault="005835CC" w:rsidP="005835CC">
      <w:pPr>
        <w:pStyle w:val="Level1"/>
        <w:numPr>
          <w:ilvl w:val="0"/>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630"/>
        <w:outlineLvl w:val="9"/>
        <w:rPr>
          <w:b/>
        </w:rPr>
      </w:pPr>
      <w:r w:rsidRPr="00E80F7F">
        <w:rPr>
          <w:b/>
        </w:rPr>
        <w:t>Degree of accuracy needed for the pur</w:t>
      </w:r>
      <w:r w:rsidRPr="00E80F7F">
        <w:rPr>
          <w:b/>
        </w:rPr>
        <w:softHyphen/>
        <w:t>pose described in the justification,</w:t>
      </w:r>
    </w:p>
    <w:p w:rsidR="00901356" w:rsidRPr="00E80F7F" w:rsidRDefault="00901356" w:rsidP="005835CC">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474" w:hanging="186"/>
        <w:outlineLvl w:val="9"/>
      </w:pPr>
    </w:p>
    <w:p w:rsidR="005835CC" w:rsidRPr="00E80F7F" w:rsidRDefault="00477DED" w:rsidP="00FB7031">
      <w:pPr>
        <w:spacing w:after="120"/>
      </w:pPr>
      <w:r>
        <w:t xml:space="preserve">As stated above, the findings and methods are qualitative in nature and will not be considered to hold statistical significance or be generalizable. </w:t>
      </w:r>
      <w:r w:rsidR="00901356" w:rsidRPr="00E80F7F">
        <w:t xml:space="preserve"> </w:t>
      </w:r>
    </w:p>
    <w:p w:rsidR="005835CC" w:rsidRPr="00E80F7F" w:rsidRDefault="005835CC" w:rsidP="005835CC">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474" w:hanging="186"/>
        <w:outlineLvl w:val="9"/>
        <w:rPr>
          <w:b/>
        </w:rPr>
      </w:pPr>
    </w:p>
    <w:p w:rsidR="005835CC" w:rsidRPr="00E80F7F" w:rsidRDefault="005835CC" w:rsidP="005835CC">
      <w:pPr>
        <w:pStyle w:val="Level1"/>
        <w:numPr>
          <w:ilvl w:val="0"/>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630"/>
        <w:outlineLvl w:val="9"/>
        <w:rPr>
          <w:b/>
        </w:rPr>
      </w:pPr>
      <w:r w:rsidRPr="00E80F7F">
        <w:rPr>
          <w:b/>
        </w:rPr>
        <w:t>Unusual problems requiring specialized sampling procedures, and</w:t>
      </w:r>
    </w:p>
    <w:p w:rsidR="00901356" w:rsidRPr="00E80F7F" w:rsidRDefault="00901356" w:rsidP="00901356">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474" w:hanging="186"/>
        <w:outlineLvl w:val="9"/>
        <w:rPr>
          <w:b/>
        </w:rPr>
      </w:pPr>
    </w:p>
    <w:p w:rsidR="00901356" w:rsidRPr="00E80F7F" w:rsidRDefault="00477DED" w:rsidP="00477DED">
      <w:pPr>
        <w:spacing w:after="120"/>
      </w:pPr>
      <w:r>
        <w:t xml:space="preserve">Upon collecting data in each market, we will compare findings to identify broad themes in discussion, noting any significant differences between markets, which will be taken </w:t>
      </w:r>
      <w:r w:rsidR="00901356" w:rsidRPr="00E80F7F">
        <w:t>into consideration during interpretation of findings.</w:t>
      </w:r>
    </w:p>
    <w:p w:rsidR="00901356" w:rsidRPr="00E80F7F" w:rsidRDefault="00901356" w:rsidP="00901356">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474" w:hanging="186"/>
        <w:outlineLvl w:val="9"/>
        <w:rPr>
          <w:b/>
        </w:rPr>
      </w:pPr>
    </w:p>
    <w:p w:rsidR="005835CC" w:rsidRPr="00E80F7F" w:rsidRDefault="005835CC" w:rsidP="005835CC">
      <w:pPr>
        <w:pStyle w:val="Level1"/>
        <w:numPr>
          <w:ilvl w:val="0"/>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630"/>
        <w:outlineLvl w:val="9"/>
      </w:pPr>
      <w:r w:rsidRPr="00E80F7F">
        <w:rPr>
          <w:b/>
        </w:rPr>
        <w:t>Any use of periodic (less frequent than annual) data collection cycles to reduce burden.</w:t>
      </w:r>
    </w:p>
    <w:p w:rsidR="005835CC" w:rsidRPr="00E80F7F" w:rsidRDefault="005835CC" w:rsidP="00CE581D">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p>
    <w:p w:rsidR="005835CC" w:rsidRDefault="00E874CE" w:rsidP="00CE581D">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r w:rsidRPr="00E80F7F">
        <w:t xml:space="preserve">Not applicable. This is a one-time </w:t>
      </w:r>
      <w:r w:rsidR="00477DED">
        <w:t>interview</w:t>
      </w:r>
      <w:r w:rsidR="00477DED" w:rsidRPr="00E80F7F">
        <w:t xml:space="preserve"> </w:t>
      </w:r>
      <w:r w:rsidRPr="00E80F7F">
        <w:t xml:space="preserve">of respondents and each respondent will </w:t>
      </w:r>
      <w:r w:rsidR="00477DED">
        <w:t xml:space="preserve">be interviewed </w:t>
      </w:r>
      <w:r w:rsidRPr="00E80F7F">
        <w:t>once.</w:t>
      </w:r>
    </w:p>
    <w:p w:rsidR="005835CC" w:rsidRDefault="005835CC" w:rsidP="00CE581D">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p>
    <w:p w:rsidR="005835CC" w:rsidRDefault="005835CC" w:rsidP="00CE581D">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p>
    <w:p w:rsidR="005835CC" w:rsidRDefault="005835CC" w:rsidP="00CE581D">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sectPr w:rsidR="005835CC" w:rsidSect="00CE581D">
          <w:footerReference w:type="default" r:id="rId7"/>
          <w:endnotePr>
            <w:numFmt w:val="decimal"/>
          </w:endnotePr>
          <w:pgSz w:w="12240" w:h="15840" w:code="1"/>
          <w:pgMar w:top="1440" w:right="1440" w:bottom="1440" w:left="1440" w:header="720" w:footer="720" w:gutter="0"/>
          <w:cols w:space="720"/>
          <w:noEndnote/>
        </w:sectPr>
      </w:pPr>
    </w:p>
    <w:p w:rsidR="00CE581D" w:rsidRDefault="00CE581D" w:rsidP="00CE581D">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r>
        <w:rPr>
          <w:b/>
        </w:rPr>
        <w:lastRenderedPageBreak/>
        <w:t>3.</w:t>
      </w:r>
      <w:r>
        <w:rPr>
          <w:b/>
        </w:rPr>
        <w:tab/>
        <w:t>Describe methods to maximize response rates and to deal with issues of non-response. The accuracy and reliability of information collected must be shown to be adequate for intended uses. For collections based on sam</w:t>
      </w:r>
      <w:r>
        <w:rPr>
          <w:b/>
        </w:rPr>
        <w:softHyphen/>
        <w:t>pling, a special justification must be provid</w:t>
      </w:r>
      <w:r>
        <w:rPr>
          <w:b/>
        </w:rPr>
        <w:softHyphen/>
        <w:t>ed for any collection that will not yield "reli</w:t>
      </w:r>
      <w:r>
        <w:rPr>
          <w:b/>
        </w:rPr>
        <w:softHyphen/>
        <w:t>able" data that can be generalized to the universe studied.</w:t>
      </w:r>
    </w:p>
    <w:p w:rsidR="00CE581D" w:rsidRDefault="00CE581D" w:rsidP="00CE581D">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p>
    <w:p w:rsidR="007F7027" w:rsidRPr="00E80F7F" w:rsidRDefault="00477DED" w:rsidP="00477DED">
      <w:pPr>
        <w:shd w:val="clear" w:color="auto" w:fill="FFFFFF"/>
        <w:tabs>
          <w:tab w:val="left" w:pos="-720"/>
          <w:tab w:val="num" w:pos="0"/>
        </w:tabs>
        <w:suppressAutoHyphens/>
      </w:pPr>
      <w:r>
        <w:rPr>
          <w:color w:val="000000"/>
        </w:rPr>
        <w:t>The list of potential respondents to be contact and screened is composed of individuals who have previously indicated interest in participating in market research studies, which will likely help maximize response rates by eliminating those individuals who have no interest in participating in consumer research. In addition, incentives will be offered to compensate respondents for their time, which will also encourage participation.</w:t>
      </w:r>
      <w:r w:rsidR="007F7027" w:rsidRPr="00E80F7F">
        <w:rPr>
          <w:color w:val="000000"/>
        </w:rPr>
        <w:t xml:space="preserve"> </w:t>
      </w:r>
    </w:p>
    <w:p w:rsidR="007F7027" w:rsidRPr="00E80F7F" w:rsidRDefault="007F7027" w:rsidP="00B44835"/>
    <w:p w:rsidR="005F5330" w:rsidRDefault="00F10FBA" w:rsidP="00B44835">
      <w:r>
        <w:t>Given past experience with recruiting similar target audiences combined with the fact that we will recruit from pre-screened lists, w</w:t>
      </w:r>
      <w:r w:rsidR="00B44835" w:rsidRPr="00E80F7F">
        <w:t>e expect response rate</w:t>
      </w:r>
      <w:r>
        <w:t>s to be high, although it is difficult to estimate a precise response rate.</w:t>
      </w:r>
    </w:p>
    <w:p w:rsidR="005F5330" w:rsidRDefault="005F5330" w:rsidP="00B44835"/>
    <w:p w:rsidR="00B44835" w:rsidRPr="00E80F7F" w:rsidRDefault="005F5330" w:rsidP="00B44835">
      <w:r>
        <w:t xml:space="preserve">A Spanish translation of the </w:t>
      </w:r>
      <w:r w:rsidR="00F10FBA">
        <w:t xml:space="preserve">questionnaire and screener </w:t>
      </w:r>
      <w:r>
        <w:t>will be used for Spanish-speaking respondents.</w:t>
      </w:r>
      <w:r w:rsidR="00B44835" w:rsidRPr="00E80F7F">
        <w:t xml:space="preserve"> </w:t>
      </w:r>
    </w:p>
    <w:p w:rsidR="007F7027" w:rsidRDefault="007F7027" w:rsidP="00CE581D">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p>
    <w:p w:rsidR="00CE581D" w:rsidRDefault="00CE581D" w:rsidP="00CE581D">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r>
        <w:rPr>
          <w:b/>
        </w:rPr>
        <w:t>4.</w:t>
      </w:r>
      <w:r>
        <w:rPr>
          <w:b/>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Pr>
          <w:b/>
        </w:rPr>
        <w:softHyphen/>
        <w:t>ly or in combination with the main collection of information</w:t>
      </w:r>
      <w:r>
        <w:t>.</w:t>
      </w:r>
    </w:p>
    <w:p w:rsidR="00CE581D" w:rsidRDefault="00CE581D" w:rsidP="00CE581D">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p>
    <w:p w:rsidR="00CE581D" w:rsidRDefault="00F10FBA" w:rsidP="00B44835">
      <w:pPr>
        <w:pStyle w:val="BodyTextIndent"/>
        <w:shd w:val="clear" w:color="auto" w:fill="FFFFFF"/>
        <w:ind w:left="0"/>
        <w:rPr>
          <w:rFonts w:ascii="Times New Roman" w:hAnsi="Times New Roman"/>
          <w:sz w:val="24"/>
        </w:rPr>
      </w:pPr>
      <w:r>
        <w:rPr>
          <w:rFonts w:ascii="Times New Roman" w:hAnsi="Times New Roman"/>
          <w:sz w:val="24"/>
        </w:rPr>
        <w:t>The Ad Council and JWT, Inc. review</w:t>
      </w:r>
      <w:r w:rsidR="005D5148">
        <w:rPr>
          <w:rFonts w:ascii="Times New Roman" w:hAnsi="Times New Roman"/>
          <w:sz w:val="24"/>
        </w:rPr>
        <w:t>ed</w:t>
      </w:r>
      <w:r>
        <w:rPr>
          <w:rFonts w:ascii="Times New Roman" w:hAnsi="Times New Roman"/>
          <w:sz w:val="24"/>
        </w:rPr>
        <w:t xml:space="preserve"> the screener as well as the discussion guide with the research vendor to ensure that the screening process is error free and that the moderator is prepared to conduct interviews with respondents.</w:t>
      </w:r>
    </w:p>
    <w:p w:rsidR="00B44835" w:rsidRDefault="00B44835" w:rsidP="00B44835">
      <w:pPr>
        <w:pStyle w:val="BodyTextIndent"/>
        <w:shd w:val="clear" w:color="auto" w:fill="FFFFFF"/>
        <w:ind w:left="0"/>
        <w:rPr>
          <w:b/>
        </w:rPr>
      </w:pPr>
    </w:p>
    <w:p w:rsidR="00CE581D" w:rsidRDefault="00CE581D" w:rsidP="00CE581D">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r>
        <w:rPr>
          <w:b/>
        </w:rPr>
        <w:t>5.</w:t>
      </w:r>
      <w:r>
        <w:rPr>
          <w:b/>
        </w:rPr>
        <w:tab/>
        <w:t>Provide the name and telephone number of individuals consulted on statistical aspects of the design and the name of the agency unit, contractor(s), grantee(s), or other person(s) who will actually collect and/or analyze the information for the agency.</w:t>
      </w:r>
    </w:p>
    <w:p w:rsidR="00CE581D" w:rsidRDefault="00CE581D" w:rsidP="00CE581D">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p>
    <w:p w:rsidR="00CE581D" w:rsidRDefault="00CE581D" w:rsidP="00CE581D">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r>
        <w:t xml:space="preserve">Include all individuals who have contributed to or commented on the survey, sample frame, statistical methods or other aspects of the collection.  </w:t>
      </w:r>
    </w:p>
    <w:p w:rsidR="00CE581D" w:rsidRDefault="00CE581D" w:rsidP="000266A0">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Univers" w:hAnsi="Univers" w:cs="Arial"/>
        </w:rPr>
      </w:pPr>
    </w:p>
    <w:p w:rsidR="00750E7F" w:rsidRPr="00750E7F" w:rsidRDefault="00750E7F" w:rsidP="000266A0">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i/>
        </w:rPr>
      </w:pPr>
      <w:r w:rsidRPr="00750E7F">
        <w:rPr>
          <w:i/>
        </w:rPr>
        <w:t>For the approved pilot research:</w:t>
      </w:r>
    </w:p>
    <w:p w:rsidR="00750E7F" w:rsidRPr="00750E7F" w:rsidRDefault="00750E7F" w:rsidP="000266A0">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p>
    <w:p w:rsidR="00FB1E32" w:rsidRPr="00E80F7F" w:rsidRDefault="00FB1E32" w:rsidP="00FB1E32">
      <w:pPr>
        <w:shd w:val="clear" w:color="auto" w:fill="FFFFFF"/>
        <w:tabs>
          <w:tab w:val="left" w:pos="-720"/>
          <w:tab w:val="num" w:pos="0"/>
        </w:tabs>
        <w:suppressAutoHyphens/>
      </w:pPr>
      <w:r w:rsidRPr="00E80F7F">
        <w:t>The infor</w:t>
      </w:r>
      <w:r w:rsidR="00FC7FFC" w:rsidRPr="00E80F7F">
        <w:t>mation collection will be conducted</w:t>
      </w:r>
      <w:r w:rsidRPr="00E80F7F">
        <w:t xml:space="preserve"> by a contractor:</w:t>
      </w:r>
    </w:p>
    <w:p w:rsidR="00FB1E32" w:rsidRPr="00E80F7F" w:rsidRDefault="00FB1E32" w:rsidP="00FB1E32">
      <w:pPr>
        <w:shd w:val="clear" w:color="auto" w:fill="FFFFFF"/>
        <w:tabs>
          <w:tab w:val="left" w:pos="-720"/>
          <w:tab w:val="num" w:pos="0"/>
        </w:tabs>
        <w:suppressAutoHyphens/>
      </w:pPr>
    </w:p>
    <w:p w:rsidR="00FB1E32" w:rsidRDefault="00422E2C" w:rsidP="00FB1E32">
      <w:pPr>
        <w:shd w:val="clear" w:color="auto" w:fill="FFFFFF"/>
        <w:tabs>
          <w:tab w:val="left" w:pos="-720"/>
          <w:tab w:val="num" w:pos="0"/>
        </w:tabs>
        <w:suppressAutoHyphens/>
      </w:pPr>
      <w:r>
        <w:t>Mark Polsfuss</w:t>
      </w:r>
    </w:p>
    <w:p w:rsidR="00422E2C" w:rsidRDefault="00422E2C" w:rsidP="00FB1E32">
      <w:pPr>
        <w:shd w:val="clear" w:color="auto" w:fill="FFFFFF"/>
        <w:tabs>
          <w:tab w:val="left" w:pos="-720"/>
          <w:tab w:val="num" w:pos="0"/>
        </w:tabs>
        <w:suppressAutoHyphens/>
      </w:pPr>
      <w:r>
        <w:lastRenderedPageBreak/>
        <w:t>Maya measurement, Inc.</w:t>
      </w:r>
    </w:p>
    <w:p w:rsidR="00422E2C" w:rsidRDefault="00422E2C" w:rsidP="00FB1E32">
      <w:pPr>
        <w:shd w:val="clear" w:color="auto" w:fill="FFFFFF"/>
        <w:tabs>
          <w:tab w:val="left" w:pos="-720"/>
          <w:tab w:val="num" w:pos="0"/>
        </w:tabs>
        <w:suppressAutoHyphens/>
      </w:pPr>
      <w:r>
        <w:t>7105 N. Ridge Blvd.</w:t>
      </w:r>
    </w:p>
    <w:p w:rsidR="00422E2C" w:rsidRDefault="00422E2C" w:rsidP="00FB1E32">
      <w:pPr>
        <w:shd w:val="clear" w:color="auto" w:fill="FFFFFF"/>
        <w:tabs>
          <w:tab w:val="left" w:pos="-720"/>
          <w:tab w:val="num" w:pos="0"/>
        </w:tabs>
        <w:suppressAutoHyphens/>
      </w:pPr>
      <w:r>
        <w:t>Chicago, IL  60645</w:t>
      </w:r>
    </w:p>
    <w:p w:rsidR="00422E2C" w:rsidRDefault="00422E2C" w:rsidP="00FB1E32">
      <w:pPr>
        <w:shd w:val="clear" w:color="auto" w:fill="FFFFFF"/>
        <w:tabs>
          <w:tab w:val="left" w:pos="-720"/>
          <w:tab w:val="num" w:pos="0"/>
        </w:tabs>
        <w:suppressAutoHyphens/>
      </w:pPr>
    </w:p>
    <w:p w:rsidR="00422E2C" w:rsidRPr="00E80F7F" w:rsidRDefault="00422E2C" w:rsidP="00FB1E32">
      <w:pPr>
        <w:shd w:val="clear" w:color="auto" w:fill="FFFFFF"/>
        <w:tabs>
          <w:tab w:val="left" w:pos="-720"/>
          <w:tab w:val="num" w:pos="0"/>
        </w:tabs>
        <w:suppressAutoHyphens/>
      </w:pPr>
      <w:r>
        <w:t>1-847.681.4455 (voice)</w:t>
      </w:r>
    </w:p>
    <w:p w:rsidR="00FB1E32" w:rsidRDefault="00FB1E32" w:rsidP="00FB1E32">
      <w:pPr>
        <w:shd w:val="clear" w:color="auto" w:fill="FFFFFF"/>
        <w:tabs>
          <w:tab w:val="left" w:pos="-720"/>
          <w:tab w:val="num" w:pos="0"/>
        </w:tabs>
        <w:suppressAutoHyphens/>
      </w:pPr>
    </w:p>
    <w:p w:rsidR="00422E2C" w:rsidRDefault="00422E2C" w:rsidP="00FB1E32">
      <w:pPr>
        <w:shd w:val="clear" w:color="auto" w:fill="FFFFFF"/>
        <w:tabs>
          <w:tab w:val="left" w:pos="-720"/>
          <w:tab w:val="num" w:pos="0"/>
        </w:tabs>
        <w:suppressAutoHyphens/>
      </w:pPr>
      <w:r>
        <w:t>1-773.465.5898 (fax)</w:t>
      </w:r>
    </w:p>
    <w:p w:rsidR="00422E2C" w:rsidRDefault="00422E2C" w:rsidP="00FB1E32">
      <w:pPr>
        <w:shd w:val="clear" w:color="auto" w:fill="FFFFFF"/>
        <w:tabs>
          <w:tab w:val="left" w:pos="-720"/>
          <w:tab w:val="num" w:pos="0"/>
        </w:tabs>
        <w:suppressAutoHyphens/>
      </w:pPr>
    </w:p>
    <w:p w:rsidR="00422E2C" w:rsidRDefault="00750E7F" w:rsidP="00FB1E32">
      <w:pPr>
        <w:shd w:val="clear" w:color="auto" w:fill="FFFFFF"/>
        <w:tabs>
          <w:tab w:val="left" w:pos="-720"/>
          <w:tab w:val="num" w:pos="0"/>
        </w:tabs>
        <w:suppressAutoHyphens/>
      </w:pPr>
      <w:hyperlink r:id="rId8" w:history="1">
        <w:r w:rsidRPr="005F3C87">
          <w:rPr>
            <w:rStyle w:val="Hyperlink"/>
          </w:rPr>
          <w:t>polsfuss@maya.measurement.com</w:t>
        </w:r>
      </w:hyperlink>
    </w:p>
    <w:p w:rsidR="00750E7F" w:rsidRDefault="00750E7F" w:rsidP="00FB1E32">
      <w:pPr>
        <w:shd w:val="clear" w:color="auto" w:fill="FFFFFF"/>
        <w:tabs>
          <w:tab w:val="left" w:pos="-720"/>
          <w:tab w:val="num" w:pos="0"/>
        </w:tabs>
        <w:suppressAutoHyphens/>
      </w:pPr>
    </w:p>
    <w:p w:rsidR="00750E7F" w:rsidRPr="00750E7F" w:rsidRDefault="00750E7F" w:rsidP="00FB1E32">
      <w:pPr>
        <w:shd w:val="clear" w:color="auto" w:fill="FFFFFF"/>
        <w:tabs>
          <w:tab w:val="left" w:pos="-720"/>
          <w:tab w:val="num" w:pos="0"/>
        </w:tabs>
        <w:suppressAutoHyphens/>
        <w:rPr>
          <w:i/>
        </w:rPr>
      </w:pPr>
      <w:r w:rsidRPr="00750E7F">
        <w:rPr>
          <w:i/>
        </w:rPr>
        <w:t>For the creative concept refinement research:</w:t>
      </w:r>
    </w:p>
    <w:p w:rsidR="00750E7F" w:rsidRDefault="00750E7F" w:rsidP="00FB1E32">
      <w:pPr>
        <w:shd w:val="clear" w:color="auto" w:fill="FFFFFF"/>
        <w:tabs>
          <w:tab w:val="left" w:pos="-720"/>
          <w:tab w:val="num" w:pos="0"/>
        </w:tabs>
        <w:suppressAutoHyphens/>
      </w:pPr>
    </w:p>
    <w:p w:rsidR="00750E7F" w:rsidRPr="00E80F7F" w:rsidRDefault="00750E7F" w:rsidP="00750E7F">
      <w:pPr>
        <w:shd w:val="clear" w:color="auto" w:fill="FFFFFF"/>
        <w:tabs>
          <w:tab w:val="left" w:pos="-720"/>
          <w:tab w:val="num" w:pos="0"/>
        </w:tabs>
        <w:suppressAutoHyphens/>
      </w:pPr>
      <w:r w:rsidRPr="00E80F7F">
        <w:t>The information collection will be conducted by a contractor:</w:t>
      </w:r>
    </w:p>
    <w:p w:rsidR="00750E7F" w:rsidRPr="00E80F7F" w:rsidRDefault="00750E7F" w:rsidP="00750E7F">
      <w:pPr>
        <w:shd w:val="clear" w:color="auto" w:fill="FFFFFF"/>
        <w:tabs>
          <w:tab w:val="left" w:pos="-720"/>
          <w:tab w:val="num" w:pos="0"/>
        </w:tabs>
        <w:suppressAutoHyphens/>
      </w:pPr>
    </w:p>
    <w:p w:rsidR="00750E7F" w:rsidRDefault="00750E7F" w:rsidP="00750E7F">
      <w:pPr>
        <w:shd w:val="clear" w:color="auto" w:fill="FFFFFF"/>
        <w:tabs>
          <w:tab w:val="left" w:pos="-720"/>
          <w:tab w:val="num" w:pos="0"/>
        </w:tabs>
        <w:suppressAutoHyphens/>
      </w:pPr>
      <w:r>
        <w:t>Amy Eastwood</w:t>
      </w:r>
    </w:p>
    <w:p w:rsidR="00750E7F" w:rsidRDefault="00750E7F" w:rsidP="00750E7F">
      <w:pPr>
        <w:shd w:val="clear" w:color="auto" w:fill="FFFFFF"/>
        <w:tabs>
          <w:tab w:val="left" w:pos="-720"/>
          <w:tab w:val="num" w:pos="0"/>
        </w:tabs>
        <w:suppressAutoHyphens/>
      </w:pPr>
      <w:r>
        <w:t>Associate Vice President</w:t>
      </w:r>
    </w:p>
    <w:p w:rsidR="00750E7F" w:rsidRDefault="00750E7F" w:rsidP="00750E7F">
      <w:pPr>
        <w:shd w:val="clear" w:color="auto" w:fill="FFFFFF"/>
        <w:tabs>
          <w:tab w:val="left" w:pos="-720"/>
          <w:tab w:val="num" w:pos="0"/>
        </w:tabs>
        <w:suppressAutoHyphens/>
      </w:pPr>
      <w:r>
        <w:t>2CV Inc.</w:t>
      </w:r>
    </w:p>
    <w:p w:rsidR="00750E7F" w:rsidRDefault="00750E7F" w:rsidP="00750E7F">
      <w:pPr>
        <w:shd w:val="clear" w:color="auto" w:fill="FFFFFF"/>
        <w:tabs>
          <w:tab w:val="left" w:pos="-720"/>
        </w:tabs>
        <w:suppressAutoHyphens/>
      </w:pPr>
      <w:r w:rsidRPr="002E1A1A">
        <w:t xml:space="preserve">303 2nd Street, </w:t>
      </w:r>
    </w:p>
    <w:p w:rsidR="00750E7F" w:rsidRDefault="00750E7F" w:rsidP="00750E7F">
      <w:pPr>
        <w:shd w:val="clear" w:color="auto" w:fill="FFFFFF"/>
        <w:tabs>
          <w:tab w:val="left" w:pos="-720"/>
        </w:tabs>
        <w:suppressAutoHyphens/>
      </w:pPr>
      <w:r w:rsidRPr="002E1A1A">
        <w:t xml:space="preserve">Suite 300 North, </w:t>
      </w:r>
    </w:p>
    <w:p w:rsidR="00750E7F" w:rsidRPr="002E1A1A" w:rsidRDefault="00750E7F" w:rsidP="00750E7F">
      <w:pPr>
        <w:shd w:val="clear" w:color="auto" w:fill="FFFFFF"/>
        <w:tabs>
          <w:tab w:val="left" w:pos="-720"/>
        </w:tabs>
        <w:suppressAutoHyphens/>
      </w:pPr>
      <w:r w:rsidRPr="002E1A1A">
        <w:t>San Francisco, California, 94107.</w:t>
      </w:r>
    </w:p>
    <w:p w:rsidR="00750E7F" w:rsidRPr="00E80F7F" w:rsidRDefault="00750E7F" w:rsidP="00750E7F">
      <w:pPr>
        <w:shd w:val="clear" w:color="auto" w:fill="FFFFFF"/>
        <w:tabs>
          <w:tab w:val="left" w:pos="-720"/>
          <w:tab w:val="num" w:pos="0"/>
        </w:tabs>
        <w:suppressAutoHyphens/>
      </w:pPr>
      <w:r>
        <w:t>(415) 956 1004</w:t>
      </w:r>
    </w:p>
    <w:p w:rsidR="00750E7F" w:rsidRDefault="00750E7F" w:rsidP="00750E7F">
      <w:pPr>
        <w:shd w:val="clear" w:color="auto" w:fill="FFFFFF"/>
        <w:tabs>
          <w:tab w:val="left" w:pos="-720"/>
          <w:tab w:val="num" w:pos="0"/>
        </w:tabs>
        <w:suppressAutoHyphens/>
      </w:pPr>
      <w:r>
        <w:t>amye@2cv-inc.com</w:t>
      </w:r>
    </w:p>
    <w:p w:rsidR="00422E2C" w:rsidRPr="00E80F7F" w:rsidRDefault="00422E2C" w:rsidP="00FB1E32">
      <w:pPr>
        <w:shd w:val="clear" w:color="auto" w:fill="FFFFFF"/>
        <w:tabs>
          <w:tab w:val="left" w:pos="-720"/>
          <w:tab w:val="num" w:pos="0"/>
        </w:tabs>
        <w:suppressAutoHyphens/>
      </w:pPr>
    </w:p>
    <w:p w:rsidR="00FB1E32" w:rsidRPr="00E80F7F" w:rsidRDefault="00FB1E32" w:rsidP="00FB1E32">
      <w:pPr>
        <w:pStyle w:val="a"/>
        <w:widowControl/>
        <w:tabs>
          <w:tab w:val="left" w:pos="-1080"/>
          <w:tab w:val="left" w:pos="-72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ind w:left="0"/>
        <w:rPr>
          <w:snapToGrid/>
        </w:rPr>
      </w:pPr>
      <w:r w:rsidRPr="00E80F7F">
        <w:rPr>
          <w:snapToGrid/>
        </w:rPr>
        <w:t xml:space="preserve">The </w:t>
      </w:r>
      <w:r w:rsidR="00F10FBA">
        <w:rPr>
          <w:snapToGrid/>
        </w:rPr>
        <w:t>following individuals contributed to the study design, screener, and moderator questionnaire</w:t>
      </w:r>
      <w:r w:rsidR="00750E7F">
        <w:rPr>
          <w:snapToGrid/>
        </w:rPr>
        <w:t xml:space="preserve"> for both research efforts</w:t>
      </w:r>
      <w:r w:rsidRPr="00E80F7F">
        <w:rPr>
          <w:snapToGrid/>
        </w:rPr>
        <w:t xml:space="preserve">: </w:t>
      </w:r>
    </w:p>
    <w:p w:rsidR="00FB1E32" w:rsidRPr="00E80F7F" w:rsidRDefault="00FB1E32" w:rsidP="00FB1E32">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ind w:firstLine="720"/>
      </w:pPr>
      <w:r w:rsidRPr="00E80F7F">
        <w:t xml:space="preserve"> </w:t>
      </w:r>
    </w:p>
    <w:p w:rsidR="00FB1E32" w:rsidRPr="00E80F7F" w:rsidRDefault="00F10FBA" w:rsidP="00FB1E32">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t>Nirmal Deshpande</w:t>
      </w:r>
    </w:p>
    <w:p w:rsidR="00FB1E32" w:rsidRPr="00E80F7F" w:rsidRDefault="00F10FBA" w:rsidP="00FB1E32">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t>Research Manager</w:t>
      </w:r>
    </w:p>
    <w:p w:rsidR="00FB1E32" w:rsidRPr="00E80F7F" w:rsidRDefault="00F10FBA" w:rsidP="00FB1E32">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t>The Advertising Council</w:t>
      </w:r>
    </w:p>
    <w:p w:rsidR="00FB1E32" w:rsidRPr="00E80F7F" w:rsidRDefault="00F10FBA" w:rsidP="00FB1E32">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t>815 Second Avenue, 9</w:t>
      </w:r>
      <w:r w:rsidRPr="00F10FBA">
        <w:rPr>
          <w:vertAlign w:val="superscript"/>
        </w:rPr>
        <w:t>th</w:t>
      </w:r>
      <w:r>
        <w:t xml:space="preserve"> Floor</w:t>
      </w:r>
    </w:p>
    <w:p w:rsidR="00FB1E32" w:rsidRPr="00E80F7F" w:rsidRDefault="00F10FBA" w:rsidP="00FB1E32">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t>New York, NY 10017</w:t>
      </w:r>
    </w:p>
    <w:p w:rsidR="00FB1E32" w:rsidRPr="00E80F7F" w:rsidRDefault="00F10FBA" w:rsidP="00FB1E32">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t>212-984-1937</w:t>
      </w:r>
    </w:p>
    <w:p w:rsidR="00FB1E32" w:rsidRPr="00E80F7F" w:rsidRDefault="00F10FBA" w:rsidP="00FB1E32">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t>ndeshpande@adcouncil.org</w:t>
      </w:r>
    </w:p>
    <w:p w:rsidR="00FC7FFC" w:rsidRPr="00E80F7F" w:rsidRDefault="00FC7FFC" w:rsidP="00FB1E32">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rPr>
          <w:rStyle w:val="Hypertext"/>
        </w:rPr>
      </w:pPr>
    </w:p>
    <w:p w:rsidR="00FC7FFC" w:rsidRPr="00E80F7F" w:rsidRDefault="00F10FBA" w:rsidP="00FC7FFC">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t>Abby Leber</w:t>
      </w:r>
    </w:p>
    <w:p w:rsidR="00FC7FFC" w:rsidRPr="00E80F7F" w:rsidRDefault="00F10FBA" w:rsidP="00FC7FFC">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t>Planner</w:t>
      </w:r>
    </w:p>
    <w:p w:rsidR="00FC7FFC" w:rsidRPr="00E80F7F" w:rsidRDefault="00F10FBA" w:rsidP="00FC7FFC">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t>JWT</w:t>
      </w:r>
    </w:p>
    <w:p w:rsidR="00F10FBA" w:rsidRPr="00F10FBA" w:rsidRDefault="00F10FBA" w:rsidP="00F10FBA">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rsidRPr="00F10FBA">
        <w:t>466 Lexington Ave</w:t>
      </w:r>
    </w:p>
    <w:p w:rsidR="00F10FBA" w:rsidRPr="00F10FBA" w:rsidRDefault="00F10FBA" w:rsidP="00FC7FFC">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rsidRPr="00F10FBA">
        <w:t>NY, NY 10017</w:t>
      </w:r>
    </w:p>
    <w:p w:rsidR="00F10FBA" w:rsidRDefault="00F10FBA" w:rsidP="00FB1E32">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rsidRPr="00F10FBA">
        <w:t>(212) 210-7408</w:t>
      </w:r>
    </w:p>
    <w:p w:rsidR="00FC7FFC" w:rsidRPr="00E80F7F" w:rsidRDefault="00F10FBA" w:rsidP="00FB1E32">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rsidRPr="00F10FBA">
        <w:t>abby.leber@jwt.com</w:t>
      </w:r>
    </w:p>
    <w:p w:rsidR="00FB1E32" w:rsidRDefault="00FB1E32" w:rsidP="000266A0">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Univers" w:hAnsi="Univers" w:cs="Arial"/>
        </w:rPr>
      </w:pPr>
    </w:p>
    <w:p w:rsidR="00FB1E32" w:rsidRDefault="00FB1E32" w:rsidP="000266A0">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Univers" w:hAnsi="Univers" w:cs="Arial"/>
        </w:rPr>
      </w:pPr>
    </w:p>
    <w:p w:rsidR="00FB1E32" w:rsidRDefault="00FB1E32" w:rsidP="000266A0">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Univers" w:hAnsi="Univers" w:cs="Arial"/>
        </w:rPr>
      </w:pPr>
    </w:p>
    <w:p w:rsidR="00FB1E32" w:rsidRDefault="00FB1E32" w:rsidP="000266A0">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Univers" w:hAnsi="Univers" w:cs="Arial"/>
        </w:rPr>
      </w:pPr>
    </w:p>
    <w:p w:rsidR="00FB1E32" w:rsidRDefault="00FB1E32" w:rsidP="000266A0">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Univers" w:hAnsi="Univers" w:cs="Arial"/>
        </w:rPr>
      </w:pPr>
    </w:p>
    <w:sectPr w:rsidR="00FB1E3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715" w:rsidRDefault="00715715" w:rsidP="00FB1E32">
      <w:r>
        <w:separator/>
      </w:r>
    </w:p>
  </w:endnote>
  <w:endnote w:type="continuationSeparator" w:id="0">
    <w:p w:rsidR="00715715" w:rsidRDefault="00715715" w:rsidP="00FB1E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panose1 w:val="020B0603020202030204"/>
    <w:charset w:val="EE"/>
    <w:family w:val="swiss"/>
    <w:pitch w:val="variable"/>
    <w:sig w:usb0="00000005" w:usb1="00000000" w:usb2="00000000" w:usb3="00000000" w:csb0="00000002"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B19" w:rsidRDefault="00982B19">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750E7F">
      <w:rPr>
        <w:rStyle w:val="PageNumber"/>
        <w:noProof/>
        <w:sz w:val="16"/>
      </w:rPr>
      <w:t>6</w:t>
    </w:r>
    <w:r>
      <w:rPr>
        <w:rStyle w:val="PageNumber"/>
        <w:sz w:val="16"/>
      </w:rPr>
      <w:fldChar w:fldCharType="end"/>
    </w:r>
  </w:p>
  <w:p w:rsidR="00982B19" w:rsidRDefault="00982B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715" w:rsidRDefault="00715715" w:rsidP="00FB1E32">
      <w:r>
        <w:separator/>
      </w:r>
    </w:p>
  </w:footnote>
  <w:footnote w:type="continuationSeparator" w:id="0">
    <w:p w:rsidR="00715715" w:rsidRDefault="00715715" w:rsidP="00FB1E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C5E2830"/>
    <w:multiLevelType w:val="hybridMultilevel"/>
    <w:tmpl w:val="EFD0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C453D"/>
    <w:multiLevelType w:val="hybridMultilevel"/>
    <w:tmpl w:val="FA7AAA90"/>
    <w:lvl w:ilvl="0" w:tplc="CE845AF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AA44A8"/>
    <w:multiLevelType w:val="hybridMultilevel"/>
    <w:tmpl w:val="EE7E0EA6"/>
    <w:lvl w:ilvl="0" w:tplc="BF965D4E">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FC118DD"/>
    <w:multiLevelType w:val="hybridMultilevel"/>
    <w:tmpl w:val="B030B0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12C72F0"/>
    <w:multiLevelType w:val="hybridMultilevel"/>
    <w:tmpl w:val="40E8845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185365"/>
    <w:multiLevelType w:val="hybridMultilevel"/>
    <w:tmpl w:val="85A82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31D32A47"/>
    <w:multiLevelType w:val="hybridMultilevel"/>
    <w:tmpl w:val="602AA26C"/>
    <w:lvl w:ilvl="0" w:tplc="04090005">
      <w:start w:val="1"/>
      <w:numFmt w:val="bullet"/>
      <w:lvlText w:val=""/>
      <w:lvlJc w:val="left"/>
      <w:pPr>
        <w:tabs>
          <w:tab w:val="num" w:pos="1008"/>
        </w:tabs>
        <w:ind w:left="1008" w:hanging="360"/>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3CDF6EC1"/>
    <w:multiLevelType w:val="hybridMultilevel"/>
    <w:tmpl w:val="3146A88E"/>
    <w:lvl w:ilvl="0" w:tplc="B99E622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4D566F7"/>
    <w:multiLevelType w:val="hybridMultilevel"/>
    <w:tmpl w:val="1E12EE72"/>
    <w:lvl w:ilvl="0" w:tplc="000E971E">
      <w:start w:val="1"/>
      <w:numFmt w:val="decimal"/>
      <w:lvlText w:val="(%1)"/>
      <w:lvlJc w:val="left"/>
      <w:pPr>
        <w:tabs>
          <w:tab w:val="num" w:pos="1512"/>
        </w:tabs>
        <w:ind w:left="1512" w:hanging="36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13">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4">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5">
    <w:nsid w:val="6C252464"/>
    <w:multiLevelType w:val="hybridMultilevel"/>
    <w:tmpl w:val="7EDA0AAE"/>
    <w:lvl w:ilvl="0" w:tplc="04090001">
      <w:start w:val="1"/>
      <w:numFmt w:val="bullet"/>
      <w:lvlText w:val=""/>
      <w:lvlJc w:val="left"/>
      <w:pPr>
        <w:tabs>
          <w:tab w:val="num" w:pos="720"/>
        </w:tabs>
        <w:ind w:left="720" w:hanging="360"/>
      </w:pPr>
      <w:rPr>
        <w:rFonts w:ascii="Symbol" w:hAnsi="Symbol" w:hint="default"/>
      </w:rPr>
    </w:lvl>
    <w:lvl w:ilvl="1" w:tplc="CE845AF0">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nsid w:val="7DC41315"/>
    <w:multiLevelType w:val="hybridMultilevel"/>
    <w:tmpl w:val="96B2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11"/>
  </w:num>
  <w:num w:numId="4">
    <w:abstractNumId w:val="12"/>
  </w:num>
  <w:num w:numId="5">
    <w:abstractNumId w:val="14"/>
  </w:num>
  <w:num w:numId="6">
    <w:abstractNumId w:val="8"/>
  </w:num>
  <w:num w:numId="7">
    <w:abstractNumId w:val="16"/>
  </w:num>
  <w:num w:numId="8">
    <w:abstractNumId w:val="7"/>
  </w:num>
  <w:num w:numId="9">
    <w:abstractNumId w:val="13"/>
  </w:num>
  <w:num w:numId="10">
    <w:abstractNumId w:val="10"/>
  </w:num>
  <w:num w:numId="11">
    <w:abstractNumId w:val="5"/>
  </w:num>
  <w:num w:numId="12">
    <w:abstractNumId w:val="15"/>
  </w:num>
  <w:num w:numId="13">
    <w:abstractNumId w:val="2"/>
  </w:num>
  <w:num w:numId="14">
    <w:abstractNumId w:val="17"/>
  </w:num>
  <w:num w:numId="15">
    <w:abstractNumId w:val="6"/>
  </w:num>
  <w:num w:numId="16">
    <w:abstractNumId w:val="1"/>
  </w:num>
  <w:num w:numId="17">
    <w:abstractNumId w:val="4"/>
  </w:num>
  <w:num w:numId="1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oNotDisplayPageBoundaries/>
  <w:stylePaneFormatFilter w:val="3F01"/>
  <w:defaultTabStop w:val="720"/>
  <w:characterSpacingControl w:val="doNotCompress"/>
  <w:hdrShapeDefaults>
    <o:shapedefaults v:ext="edit" spidmax="3074"/>
  </w:hdrShapeDefaults>
  <w:footnotePr>
    <w:footnote w:id="-1"/>
    <w:footnote w:id="0"/>
  </w:footnotePr>
  <w:endnotePr>
    <w:numFmt w:val="decimal"/>
    <w:endnote w:id="-1"/>
    <w:endnote w:id="0"/>
  </w:endnotePr>
  <w:compat/>
  <w:rsids>
    <w:rsidRoot w:val="000266A0"/>
    <w:rsid w:val="000266A0"/>
    <w:rsid w:val="00063E45"/>
    <w:rsid w:val="000971F8"/>
    <w:rsid w:val="00097ECF"/>
    <w:rsid w:val="000D3337"/>
    <w:rsid w:val="000E0EA0"/>
    <w:rsid w:val="00101BBB"/>
    <w:rsid w:val="00123710"/>
    <w:rsid w:val="0013599C"/>
    <w:rsid w:val="00143025"/>
    <w:rsid w:val="001C3173"/>
    <w:rsid w:val="002815FA"/>
    <w:rsid w:val="00291D7E"/>
    <w:rsid w:val="002A6C50"/>
    <w:rsid w:val="002C3328"/>
    <w:rsid w:val="003171C1"/>
    <w:rsid w:val="003515C0"/>
    <w:rsid w:val="00366725"/>
    <w:rsid w:val="003E7EA8"/>
    <w:rsid w:val="00400FFF"/>
    <w:rsid w:val="00422E2C"/>
    <w:rsid w:val="00474EA5"/>
    <w:rsid w:val="00477DED"/>
    <w:rsid w:val="005005B7"/>
    <w:rsid w:val="00525356"/>
    <w:rsid w:val="00531641"/>
    <w:rsid w:val="005835CC"/>
    <w:rsid w:val="005C5D52"/>
    <w:rsid w:val="005D5148"/>
    <w:rsid w:val="005F08E1"/>
    <w:rsid w:val="005F5330"/>
    <w:rsid w:val="005F6596"/>
    <w:rsid w:val="00634460"/>
    <w:rsid w:val="006404B9"/>
    <w:rsid w:val="00652CA4"/>
    <w:rsid w:val="00701458"/>
    <w:rsid w:val="00714227"/>
    <w:rsid w:val="00715715"/>
    <w:rsid w:val="00750E7F"/>
    <w:rsid w:val="007557F1"/>
    <w:rsid w:val="007B5C65"/>
    <w:rsid w:val="007B5F76"/>
    <w:rsid w:val="007C1D76"/>
    <w:rsid w:val="007F7027"/>
    <w:rsid w:val="00880325"/>
    <w:rsid w:val="00883868"/>
    <w:rsid w:val="008B4D6F"/>
    <w:rsid w:val="00901356"/>
    <w:rsid w:val="00960549"/>
    <w:rsid w:val="00966FB5"/>
    <w:rsid w:val="00975578"/>
    <w:rsid w:val="00982B19"/>
    <w:rsid w:val="009966C2"/>
    <w:rsid w:val="00996AAD"/>
    <w:rsid w:val="00A61A12"/>
    <w:rsid w:val="00A82363"/>
    <w:rsid w:val="00AA7BDE"/>
    <w:rsid w:val="00B1734A"/>
    <w:rsid w:val="00B44835"/>
    <w:rsid w:val="00B83719"/>
    <w:rsid w:val="00BA6E0C"/>
    <w:rsid w:val="00BE285C"/>
    <w:rsid w:val="00C648D1"/>
    <w:rsid w:val="00C9030F"/>
    <w:rsid w:val="00CE581D"/>
    <w:rsid w:val="00CF55E7"/>
    <w:rsid w:val="00D24F8A"/>
    <w:rsid w:val="00D45244"/>
    <w:rsid w:val="00D6351A"/>
    <w:rsid w:val="00DD3350"/>
    <w:rsid w:val="00E2721A"/>
    <w:rsid w:val="00E80F7F"/>
    <w:rsid w:val="00E82E4D"/>
    <w:rsid w:val="00E874CE"/>
    <w:rsid w:val="00EA65B7"/>
    <w:rsid w:val="00ED239D"/>
    <w:rsid w:val="00F10FBA"/>
    <w:rsid w:val="00F11180"/>
    <w:rsid w:val="00FA4556"/>
    <w:rsid w:val="00FB1E32"/>
    <w:rsid w:val="00FB7031"/>
    <w:rsid w:val="00FB7288"/>
    <w:rsid w:val="00FC7FFC"/>
    <w:rsid w:val="00FD0F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H1-Sec.Head"/>
    <w:basedOn w:val="Normal"/>
    <w:next w:val="P1-StandPara"/>
    <w:link w:val="Heading1Char"/>
    <w:qFormat/>
    <w:rsid w:val="00FB1E32"/>
    <w:pPr>
      <w:keepNext/>
      <w:tabs>
        <w:tab w:val="left" w:pos="1152"/>
      </w:tabs>
      <w:spacing w:after="360" w:line="360" w:lineRule="atLeast"/>
      <w:ind w:left="576" w:hanging="576"/>
      <w:jc w:val="both"/>
      <w:outlineLvl w:val="0"/>
    </w:pPr>
    <w:rPr>
      <w:szCs w:val="20"/>
    </w:rPr>
  </w:style>
  <w:style w:type="paragraph" w:styleId="Heading3">
    <w:name w:val="heading 3"/>
    <w:basedOn w:val="Normal"/>
    <w:next w:val="Normal"/>
    <w:link w:val="Heading3Char"/>
    <w:qFormat/>
    <w:rsid w:val="00FB1E32"/>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rsid w:val="000266A0"/>
    <w:pPr>
      <w:widowControl w:val="0"/>
      <w:numPr>
        <w:numId w:val="1"/>
      </w:numPr>
      <w:ind w:left="474" w:hanging="186"/>
      <w:outlineLvl w:val="0"/>
    </w:pPr>
    <w:rPr>
      <w:snapToGrid w:val="0"/>
      <w:szCs w:val="20"/>
    </w:rPr>
  </w:style>
  <w:style w:type="paragraph" w:styleId="Footer">
    <w:name w:val="footer"/>
    <w:basedOn w:val="Normal"/>
    <w:rsid w:val="00CE581D"/>
    <w:pPr>
      <w:widowControl w:val="0"/>
      <w:tabs>
        <w:tab w:val="center" w:pos="4320"/>
        <w:tab w:val="right" w:pos="8640"/>
      </w:tabs>
    </w:pPr>
    <w:rPr>
      <w:snapToGrid w:val="0"/>
      <w:szCs w:val="20"/>
    </w:rPr>
  </w:style>
  <w:style w:type="character" w:styleId="PageNumber">
    <w:name w:val="page number"/>
    <w:basedOn w:val="DefaultParagraphFont"/>
    <w:rsid w:val="00CE581D"/>
  </w:style>
  <w:style w:type="character" w:customStyle="1" w:styleId="Heading1Char">
    <w:name w:val="Heading 1 Char"/>
    <w:aliases w:val="H1-Sec.Head Char"/>
    <w:basedOn w:val="DefaultParagraphFont"/>
    <w:link w:val="Heading1"/>
    <w:rsid w:val="00FB1E32"/>
    <w:rPr>
      <w:sz w:val="24"/>
    </w:rPr>
  </w:style>
  <w:style w:type="paragraph" w:customStyle="1" w:styleId="P1-StandPara">
    <w:name w:val="P1-Stand Para"/>
    <w:rsid w:val="00FB1E32"/>
    <w:pPr>
      <w:spacing w:line="360" w:lineRule="atLeast"/>
      <w:ind w:firstLine="1152"/>
      <w:jc w:val="both"/>
    </w:pPr>
    <w:rPr>
      <w:sz w:val="24"/>
    </w:rPr>
  </w:style>
  <w:style w:type="paragraph" w:customStyle="1" w:styleId="C1-CtrBoldHd">
    <w:name w:val="C1-Ctr BoldHd"/>
    <w:rsid w:val="00FB1E32"/>
    <w:pPr>
      <w:keepNext/>
      <w:spacing w:after="720" w:line="240" w:lineRule="atLeast"/>
      <w:jc w:val="center"/>
    </w:pPr>
    <w:rPr>
      <w:b/>
      <w:caps/>
      <w:sz w:val="24"/>
    </w:rPr>
  </w:style>
  <w:style w:type="paragraph" w:styleId="FootnoteText">
    <w:name w:val="footnote text"/>
    <w:aliases w:val="F1"/>
    <w:link w:val="FootnoteTextChar"/>
    <w:rsid w:val="00FB1E32"/>
    <w:pPr>
      <w:tabs>
        <w:tab w:val="left" w:pos="120"/>
      </w:tabs>
      <w:spacing w:before="120" w:line="200" w:lineRule="atLeast"/>
      <w:ind w:left="115" w:hanging="115"/>
      <w:jc w:val="both"/>
    </w:pPr>
    <w:rPr>
      <w:sz w:val="18"/>
    </w:rPr>
  </w:style>
  <w:style w:type="character" w:customStyle="1" w:styleId="FootnoteTextChar">
    <w:name w:val="Footnote Text Char"/>
    <w:aliases w:val="F1 Char"/>
    <w:basedOn w:val="DefaultParagraphFont"/>
    <w:link w:val="FootnoteText"/>
    <w:rsid w:val="00FB1E32"/>
    <w:rPr>
      <w:sz w:val="18"/>
      <w:lang w:val="en-US" w:eastAsia="en-US" w:bidi="ar-SA"/>
    </w:rPr>
  </w:style>
  <w:style w:type="paragraph" w:customStyle="1" w:styleId="SP-SglSpPara">
    <w:name w:val="SP-Sgl Sp Para"/>
    <w:rsid w:val="00FB1E32"/>
    <w:pPr>
      <w:tabs>
        <w:tab w:val="left" w:pos="576"/>
      </w:tabs>
      <w:spacing w:line="240" w:lineRule="atLeast"/>
      <w:ind w:firstLine="576"/>
      <w:jc w:val="both"/>
    </w:pPr>
    <w:rPr>
      <w:sz w:val="24"/>
    </w:rPr>
  </w:style>
  <w:style w:type="paragraph" w:customStyle="1" w:styleId="TT-TableTitle">
    <w:name w:val="TT-Table Title"/>
    <w:rsid w:val="00FB1E32"/>
    <w:pPr>
      <w:tabs>
        <w:tab w:val="left" w:pos="1152"/>
      </w:tabs>
      <w:spacing w:line="240" w:lineRule="atLeast"/>
      <w:ind w:left="1152" w:hanging="1152"/>
    </w:pPr>
    <w:rPr>
      <w:sz w:val="24"/>
    </w:rPr>
  </w:style>
  <w:style w:type="character" w:styleId="FootnoteReference">
    <w:name w:val="footnote reference"/>
    <w:rsid w:val="00FB1E32"/>
  </w:style>
  <w:style w:type="character" w:customStyle="1" w:styleId="Heading3Char">
    <w:name w:val="Heading 3 Char"/>
    <w:basedOn w:val="DefaultParagraphFont"/>
    <w:link w:val="Heading3"/>
    <w:rsid w:val="00FB1E32"/>
    <w:rPr>
      <w:rFonts w:ascii="Arial" w:hAnsi="Arial" w:cs="Arial"/>
      <w:b/>
      <w:bCs/>
      <w:sz w:val="26"/>
      <w:szCs w:val="26"/>
    </w:rPr>
  </w:style>
  <w:style w:type="character" w:styleId="Hyperlink">
    <w:name w:val="Hyperlink"/>
    <w:basedOn w:val="DefaultParagraphFont"/>
    <w:rsid w:val="00FB1E32"/>
    <w:rPr>
      <w:color w:val="0000FF"/>
      <w:u w:val="single"/>
    </w:rPr>
  </w:style>
  <w:style w:type="paragraph" w:customStyle="1" w:styleId="a">
    <w:name w:val="_"/>
    <w:rsid w:val="00FB1E32"/>
    <w:pPr>
      <w:widowControl w:val="0"/>
      <w:ind w:left="720"/>
    </w:pPr>
    <w:rPr>
      <w:snapToGrid w:val="0"/>
      <w:sz w:val="24"/>
    </w:rPr>
  </w:style>
  <w:style w:type="paragraph" w:styleId="BodyTextIndent">
    <w:name w:val="Body Text Indent"/>
    <w:basedOn w:val="Normal"/>
    <w:link w:val="BodyTextIndentChar"/>
    <w:rsid w:val="00FB1E32"/>
    <w:pPr>
      <w:spacing w:after="120"/>
      <w:ind w:left="360"/>
    </w:pPr>
    <w:rPr>
      <w:rFonts w:ascii="Courier New" w:hAnsi="Courier New"/>
      <w:sz w:val="20"/>
      <w:szCs w:val="20"/>
    </w:rPr>
  </w:style>
  <w:style w:type="character" w:customStyle="1" w:styleId="BodyTextIndentChar">
    <w:name w:val="Body Text Indent Char"/>
    <w:basedOn w:val="DefaultParagraphFont"/>
    <w:link w:val="BodyTextIndent"/>
    <w:rsid w:val="00FB1E32"/>
    <w:rPr>
      <w:rFonts w:ascii="Courier New" w:hAnsi="Courier New"/>
    </w:rPr>
  </w:style>
  <w:style w:type="character" w:customStyle="1" w:styleId="Hypertext">
    <w:name w:val="Hypertext"/>
    <w:rsid w:val="00FB1E32"/>
    <w:rPr>
      <w:color w:val="0000FF"/>
      <w:u w:val="single"/>
    </w:rPr>
  </w:style>
  <w:style w:type="paragraph" w:styleId="BodyTextIndent2">
    <w:name w:val="Body Text Indent 2"/>
    <w:basedOn w:val="Normal"/>
    <w:link w:val="BodyTextIndent2Char"/>
    <w:rsid w:val="00FB1E32"/>
    <w:pPr>
      <w:spacing w:after="120" w:line="480" w:lineRule="auto"/>
      <w:ind w:left="360"/>
    </w:pPr>
    <w:rPr>
      <w:rFonts w:ascii="Courier New" w:hAnsi="Courier New"/>
      <w:sz w:val="20"/>
      <w:szCs w:val="20"/>
    </w:rPr>
  </w:style>
  <w:style w:type="character" w:customStyle="1" w:styleId="BodyTextIndent2Char">
    <w:name w:val="Body Text Indent 2 Char"/>
    <w:basedOn w:val="DefaultParagraphFont"/>
    <w:link w:val="BodyTextIndent2"/>
    <w:rsid w:val="00FB1E32"/>
    <w:rPr>
      <w:rFonts w:ascii="Courier New" w:hAnsi="Courier New"/>
    </w:rPr>
  </w:style>
  <w:style w:type="character" w:styleId="CommentReference">
    <w:name w:val="annotation reference"/>
    <w:basedOn w:val="DefaultParagraphFont"/>
    <w:rsid w:val="007F7027"/>
    <w:rPr>
      <w:sz w:val="16"/>
      <w:szCs w:val="16"/>
    </w:rPr>
  </w:style>
  <w:style w:type="paragraph" w:styleId="CommentText">
    <w:name w:val="annotation text"/>
    <w:basedOn w:val="Normal"/>
    <w:link w:val="CommentTextChar"/>
    <w:rsid w:val="007F7027"/>
    <w:rPr>
      <w:sz w:val="20"/>
      <w:szCs w:val="20"/>
    </w:rPr>
  </w:style>
  <w:style w:type="character" w:customStyle="1" w:styleId="CommentTextChar">
    <w:name w:val="Comment Text Char"/>
    <w:basedOn w:val="DefaultParagraphFont"/>
    <w:link w:val="CommentText"/>
    <w:rsid w:val="007F7027"/>
  </w:style>
  <w:style w:type="paragraph" w:styleId="CommentSubject">
    <w:name w:val="annotation subject"/>
    <w:basedOn w:val="CommentText"/>
    <w:next w:val="CommentText"/>
    <w:link w:val="CommentSubjectChar"/>
    <w:rsid w:val="007F7027"/>
    <w:rPr>
      <w:b/>
      <w:bCs/>
    </w:rPr>
  </w:style>
  <w:style w:type="character" w:customStyle="1" w:styleId="CommentSubjectChar">
    <w:name w:val="Comment Subject Char"/>
    <w:basedOn w:val="CommentTextChar"/>
    <w:link w:val="CommentSubject"/>
    <w:rsid w:val="007F7027"/>
    <w:rPr>
      <w:b/>
      <w:bCs/>
    </w:rPr>
  </w:style>
  <w:style w:type="paragraph" w:styleId="BalloonText">
    <w:name w:val="Balloon Text"/>
    <w:basedOn w:val="Normal"/>
    <w:link w:val="BalloonTextChar"/>
    <w:rsid w:val="007F7027"/>
    <w:rPr>
      <w:rFonts w:ascii="Tahoma" w:hAnsi="Tahoma" w:cs="Tahoma"/>
      <w:sz w:val="16"/>
      <w:szCs w:val="16"/>
    </w:rPr>
  </w:style>
  <w:style w:type="character" w:customStyle="1" w:styleId="BalloonTextChar">
    <w:name w:val="Balloon Text Char"/>
    <w:basedOn w:val="DefaultParagraphFont"/>
    <w:link w:val="BalloonText"/>
    <w:rsid w:val="007F7027"/>
    <w:rPr>
      <w:rFonts w:ascii="Tahoma" w:hAnsi="Tahoma" w:cs="Tahoma"/>
      <w:sz w:val="16"/>
      <w:szCs w:val="16"/>
    </w:rPr>
  </w:style>
  <w:style w:type="paragraph" w:styleId="Header">
    <w:name w:val="header"/>
    <w:basedOn w:val="Normal"/>
    <w:link w:val="HeaderChar"/>
    <w:rsid w:val="007F7027"/>
    <w:pPr>
      <w:tabs>
        <w:tab w:val="center" w:pos="4320"/>
        <w:tab w:val="right" w:pos="8640"/>
      </w:tabs>
      <w:spacing w:line="480" w:lineRule="auto"/>
    </w:pPr>
    <w:rPr>
      <w:rFonts w:ascii="CG Times (W1)" w:hAnsi="CG Times (W1)"/>
      <w:sz w:val="22"/>
      <w:szCs w:val="20"/>
    </w:rPr>
  </w:style>
  <w:style w:type="character" w:customStyle="1" w:styleId="HeaderChar">
    <w:name w:val="Header Char"/>
    <w:basedOn w:val="DefaultParagraphFont"/>
    <w:link w:val="Header"/>
    <w:rsid w:val="007F7027"/>
    <w:rPr>
      <w:rFonts w:ascii="CG Times (W1)" w:hAnsi="CG Times (W1)"/>
      <w:sz w:val="22"/>
    </w:rPr>
  </w:style>
  <w:style w:type="character" w:customStyle="1" w:styleId="2ndminor">
    <w:name w:val="2ndminor"/>
    <w:rsid w:val="007F7027"/>
    <w:rPr>
      <w:rFonts w:ascii="Times New Roman" w:hAnsi="Times New Roman"/>
      <w:color w:val="000000"/>
      <w:sz w:val="20"/>
    </w:rPr>
  </w:style>
  <w:style w:type="paragraph" w:styleId="Revision">
    <w:name w:val="Revision"/>
    <w:hidden/>
    <w:uiPriority w:val="99"/>
    <w:semiHidden/>
    <w:rsid w:val="005F6596"/>
    <w:rPr>
      <w:sz w:val="24"/>
      <w:szCs w:val="24"/>
    </w:rPr>
  </w:style>
  <w:style w:type="paragraph" w:styleId="ListParagraph">
    <w:name w:val="List Paragraph"/>
    <w:basedOn w:val="Normal"/>
    <w:uiPriority w:val="34"/>
    <w:qFormat/>
    <w:rsid w:val="00880325"/>
    <w:pPr>
      <w:ind w:left="720"/>
    </w:pPr>
    <w:rPr>
      <w:rFonts w:eastAsia="Calibri"/>
    </w:rPr>
  </w:style>
</w:styles>
</file>

<file path=word/webSettings.xml><?xml version="1.0" encoding="utf-8"?>
<w:webSettings xmlns:r="http://schemas.openxmlformats.org/officeDocument/2006/relationships" xmlns:w="http://schemas.openxmlformats.org/wordprocessingml/2006/main">
  <w:divs>
    <w:div w:id="882904593">
      <w:bodyDiv w:val="1"/>
      <w:marLeft w:val="0"/>
      <w:marRight w:val="0"/>
      <w:marTop w:val="0"/>
      <w:marBottom w:val="0"/>
      <w:divBdr>
        <w:top w:val="none" w:sz="0" w:space="0" w:color="auto"/>
        <w:left w:val="none" w:sz="0" w:space="0" w:color="auto"/>
        <w:bottom w:val="none" w:sz="0" w:space="0" w:color="auto"/>
        <w:right w:val="none" w:sz="0" w:space="0" w:color="auto"/>
      </w:divBdr>
    </w:div>
    <w:div w:id="1412895446">
      <w:bodyDiv w:val="1"/>
      <w:marLeft w:val="0"/>
      <w:marRight w:val="0"/>
      <w:marTop w:val="0"/>
      <w:marBottom w:val="0"/>
      <w:divBdr>
        <w:top w:val="none" w:sz="0" w:space="0" w:color="auto"/>
        <w:left w:val="none" w:sz="0" w:space="0" w:color="auto"/>
        <w:bottom w:val="none" w:sz="0" w:space="0" w:color="auto"/>
        <w:right w:val="none" w:sz="0" w:space="0" w:color="auto"/>
      </w:divBdr>
    </w:div>
    <w:div w:id="1467504483">
      <w:bodyDiv w:val="1"/>
      <w:marLeft w:val="0"/>
      <w:marRight w:val="0"/>
      <w:marTop w:val="0"/>
      <w:marBottom w:val="0"/>
      <w:divBdr>
        <w:top w:val="none" w:sz="0" w:space="0" w:color="auto"/>
        <w:left w:val="none" w:sz="0" w:space="0" w:color="auto"/>
        <w:bottom w:val="none" w:sz="0" w:space="0" w:color="auto"/>
        <w:right w:val="none" w:sz="0" w:space="0" w:color="auto"/>
      </w:divBdr>
    </w:div>
    <w:div w:id="1944340624">
      <w:bodyDiv w:val="1"/>
      <w:marLeft w:val="0"/>
      <w:marRight w:val="0"/>
      <w:marTop w:val="0"/>
      <w:marBottom w:val="0"/>
      <w:divBdr>
        <w:top w:val="none" w:sz="0" w:space="0" w:color="auto"/>
        <w:left w:val="none" w:sz="0" w:space="0" w:color="auto"/>
        <w:bottom w:val="none" w:sz="0" w:space="0" w:color="auto"/>
        <w:right w:val="none" w:sz="0" w:space="0" w:color="auto"/>
      </w:divBdr>
    </w:div>
    <w:div w:id="202848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lsfuss@maya.measurement.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1592</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2011-02-28T17:05:00Z</dcterms:created>
  <dcterms:modified xsi:type="dcterms:W3CDTF">2011-02-28T17:15:00Z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