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10A" w:rsidRDefault="0020010A" w:rsidP="0020010A">
      <w:pPr>
        <w:pStyle w:val="BodyText2"/>
        <w:rPr>
          <w:b/>
        </w:rPr>
      </w:pPr>
      <w:r w:rsidRPr="00820275">
        <w:rPr>
          <w:b/>
        </w:rPr>
        <w:t xml:space="preserve">Supporting Statement for the </w:t>
      </w:r>
    </w:p>
    <w:p w:rsidR="0020010A" w:rsidRDefault="0020010A" w:rsidP="0020010A">
      <w:pPr>
        <w:pStyle w:val="BodyText2"/>
        <w:rPr>
          <w:b/>
        </w:rPr>
      </w:pPr>
      <w:r w:rsidRPr="00820275">
        <w:rPr>
          <w:b/>
        </w:rPr>
        <w:t xml:space="preserve">Application for a Foreign Organization to </w:t>
      </w:r>
      <w:r>
        <w:rPr>
          <w:b/>
        </w:rPr>
        <w:t xml:space="preserve">Acquire </w:t>
      </w:r>
      <w:r w:rsidRPr="00820275">
        <w:rPr>
          <w:b/>
        </w:rPr>
        <w:t xml:space="preserve">a </w:t>
      </w:r>
      <w:r>
        <w:rPr>
          <w:b/>
        </w:rPr>
        <w:t xml:space="preserve">U.S. Bank or </w:t>
      </w:r>
      <w:r w:rsidRPr="00820275">
        <w:rPr>
          <w:b/>
        </w:rPr>
        <w:t xml:space="preserve">Bank Holding Company </w:t>
      </w:r>
    </w:p>
    <w:p w:rsidR="0020010A" w:rsidRPr="00820275" w:rsidRDefault="0020010A" w:rsidP="0020010A">
      <w:pPr>
        <w:pStyle w:val="BodyText2"/>
        <w:rPr>
          <w:b/>
        </w:rPr>
      </w:pPr>
      <w:r>
        <w:rPr>
          <w:b/>
        </w:rPr>
        <w:t>(FR Y-3F</w:t>
      </w:r>
      <w:r w:rsidRPr="00820275">
        <w:rPr>
          <w:b/>
        </w:rPr>
        <w:t xml:space="preserve">; OMB No. 7100-0119) </w:t>
      </w:r>
    </w:p>
    <w:p w:rsidR="00DA3C83" w:rsidRPr="00DF1EE4" w:rsidRDefault="00DA3C83">
      <w:pPr>
        <w:pStyle w:val="Header"/>
        <w:tabs>
          <w:tab w:val="clear" w:pos="4320"/>
          <w:tab w:val="clear" w:pos="8640"/>
          <w:tab w:val="left" w:pos="720"/>
          <w:tab w:val="left" w:pos="1440"/>
        </w:tabs>
        <w:rPr>
          <w:b/>
          <w:szCs w:val="24"/>
        </w:rPr>
      </w:pPr>
    </w:p>
    <w:p w:rsidR="009F0747" w:rsidRPr="00DF1EE4" w:rsidRDefault="009F0747">
      <w:pPr>
        <w:pStyle w:val="Header"/>
        <w:tabs>
          <w:tab w:val="clear" w:pos="4320"/>
          <w:tab w:val="clear" w:pos="8640"/>
          <w:tab w:val="left" w:pos="720"/>
          <w:tab w:val="left" w:pos="1440"/>
        </w:tabs>
        <w:rPr>
          <w:b/>
          <w:szCs w:val="24"/>
        </w:rPr>
      </w:pPr>
      <w:r w:rsidRPr="00DF1EE4">
        <w:rPr>
          <w:b/>
          <w:szCs w:val="24"/>
        </w:rPr>
        <w:t>Summary</w:t>
      </w:r>
    </w:p>
    <w:p w:rsidR="009F0747" w:rsidRPr="00DF1EE4" w:rsidRDefault="009F0747">
      <w:pPr>
        <w:pStyle w:val="Header"/>
        <w:tabs>
          <w:tab w:val="clear" w:pos="4320"/>
          <w:tab w:val="clear" w:pos="8640"/>
        </w:tabs>
        <w:rPr>
          <w:szCs w:val="24"/>
        </w:rPr>
      </w:pPr>
    </w:p>
    <w:p w:rsidR="0020010A" w:rsidRPr="000E74B1" w:rsidRDefault="0076295E" w:rsidP="0020010A">
      <w:pPr>
        <w:ind w:right="-144" w:firstLine="720"/>
        <w:rPr>
          <w:szCs w:val="24"/>
        </w:rPr>
      </w:pPr>
      <w:r>
        <w:t>The Board of Governors of the Federal Reserve System, under delegated authority from the Office of Management and Budget (OMB),</w:t>
      </w:r>
      <w:r w:rsidR="00DA3C83" w:rsidRPr="00DF1EE4">
        <w:t xml:space="preserve"> </w:t>
      </w:r>
      <w:r w:rsidR="0020010A" w:rsidRPr="000E74B1">
        <w:rPr>
          <w:szCs w:val="24"/>
        </w:rPr>
        <w:t>proposes to extend for three years, without revision, the Application for a Foreign Organization to Acquire a U.S. Bank or Bank Holding Company (FR Y-3F; OMB No. 7100</w:t>
      </w:r>
      <w:r w:rsidR="0020010A" w:rsidRPr="000E74B1">
        <w:rPr>
          <w:szCs w:val="24"/>
        </w:rPr>
        <w:noBreakHyphen/>
        <w:t xml:space="preserve">0119).  Under the Bank Holding Company Act (BHCA), submission of this application is required for any company organized under the laws of a foreign country seeking to acquire a U.S. subsidiary bank or bank holding company.  Applicants must provide financial and managerial information, discuss the competitive effects of the proposed transaction, and discuss how the proposed transaction would enhance the convenience and needs of the community to be served.  The Federal Reserve uses the information, in part, to fulfill its supervisory responsibilities with respect to foreign banking organizations in the United States.  The current annual burden is estimated to be 580 hours.  </w:t>
      </w:r>
    </w:p>
    <w:p w:rsidR="0020010A" w:rsidRPr="000E74B1" w:rsidRDefault="0020010A" w:rsidP="0020010A">
      <w:pPr>
        <w:ind w:right="-144" w:firstLine="720"/>
        <w:rPr>
          <w:szCs w:val="24"/>
        </w:rPr>
      </w:pPr>
    </w:p>
    <w:p w:rsidR="0020010A" w:rsidRPr="000E74B1" w:rsidRDefault="0020010A" w:rsidP="0020010A">
      <w:pPr>
        <w:ind w:right="-144"/>
        <w:rPr>
          <w:b/>
          <w:szCs w:val="24"/>
        </w:rPr>
      </w:pPr>
      <w:r w:rsidRPr="000E74B1">
        <w:rPr>
          <w:b/>
          <w:szCs w:val="24"/>
        </w:rPr>
        <w:t>Background and Justification</w:t>
      </w:r>
    </w:p>
    <w:p w:rsidR="0020010A" w:rsidRPr="000E74B1" w:rsidRDefault="0020010A" w:rsidP="0020010A">
      <w:pPr>
        <w:rPr>
          <w:szCs w:val="24"/>
        </w:rPr>
      </w:pPr>
    </w:p>
    <w:p w:rsidR="0020010A" w:rsidRPr="000E74B1" w:rsidRDefault="0020010A" w:rsidP="0020010A">
      <w:pPr>
        <w:ind w:right="-187" w:firstLine="720"/>
        <w:rPr>
          <w:szCs w:val="24"/>
        </w:rPr>
      </w:pPr>
      <w:r w:rsidRPr="000E74B1">
        <w:rPr>
          <w:szCs w:val="24"/>
        </w:rPr>
        <w:t>The FR Y-1F was first used in 1982.  Prior to the creation of the FR Y-1F, foreign applicants filed the FR Y-1, together with a special supplement.</w:t>
      </w:r>
      <w:r w:rsidRPr="000E74B1">
        <w:rPr>
          <w:rStyle w:val="FootnoteReference"/>
          <w:szCs w:val="24"/>
        </w:rPr>
        <w:footnoteReference w:id="1"/>
      </w:r>
      <w:r w:rsidRPr="000E74B1">
        <w:rPr>
          <w:szCs w:val="24"/>
        </w:rPr>
        <w:t xml:space="preserve">  In 2005, the FR Y-1F was </w:t>
      </w:r>
      <w:proofErr w:type="spellStart"/>
      <w:r w:rsidRPr="000E74B1">
        <w:rPr>
          <w:szCs w:val="24"/>
        </w:rPr>
        <w:t>retitled</w:t>
      </w:r>
      <w:proofErr w:type="spellEnd"/>
      <w:r w:rsidRPr="000E74B1">
        <w:rPr>
          <w:szCs w:val="24"/>
        </w:rPr>
        <w:t>, renumbered to the FR Y-3F, and modified to achieve consistency with the FR Y-3, the Application for Prior Approval to Become a Bank Holding Company or for a Bank Holding Company to Acquire an Additional Bank or Bank Holding Company (</w:t>
      </w:r>
      <w:r>
        <w:rPr>
          <w:szCs w:val="24"/>
        </w:rPr>
        <w:t xml:space="preserve">OMB No. </w:t>
      </w:r>
      <w:r w:rsidRPr="000E74B1">
        <w:rPr>
          <w:szCs w:val="24"/>
        </w:rPr>
        <w:t>7100-0121), the application form used by domestic holding companies.</w:t>
      </w:r>
    </w:p>
    <w:p w:rsidR="0020010A" w:rsidRPr="000E74B1" w:rsidRDefault="0020010A" w:rsidP="0020010A">
      <w:pPr>
        <w:ind w:right="-180"/>
        <w:rPr>
          <w:szCs w:val="24"/>
        </w:rPr>
      </w:pPr>
    </w:p>
    <w:p w:rsidR="0020010A" w:rsidRPr="000E74B1" w:rsidRDefault="0020010A" w:rsidP="0020010A">
      <w:pPr>
        <w:ind w:right="-180" w:firstLine="720"/>
        <w:rPr>
          <w:szCs w:val="24"/>
        </w:rPr>
      </w:pPr>
      <w:r w:rsidRPr="000E74B1">
        <w:rPr>
          <w:szCs w:val="24"/>
        </w:rPr>
        <w:t xml:space="preserve">The information collected in the application form is necessary for the </w:t>
      </w:r>
      <w:r>
        <w:rPr>
          <w:szCs w:val="24"/>
        </w:rPr>
        <w:t>Federal Reserve</w:t>
      </w:r>
      <w:r w:rsidRPr="000E74B1">
        <w:rPr>
          <w:szCs w:val="24"/>
        </w:rPr>
        <w:t xml:space="preserve"> to fulfill its responsibilities under the BHCA and the Foreign Bank Supervision Enhancement Act.  The application is the only source of comprehensive and systematic data on the proposed transaction, the present and pro forma financial condition of the applicant and its proposed </w:t>
      </w:r>
      <w:proofErr w:type="gramStart"/>
      <w:r w:rsidRPr="000E74B1">
        <w:rPr>
          <w:szCs w:val="24"/>
        </w:rPr>
        <w:t>subsidiary(</w:t>
      </w:r>
      <w:proofErr w:type="spellStart"/>
      <w:proofErr w:type="gramEnd"/>
      <w:r w:rsidRPr="000E74B1">
        <w:rPr>
          <w:szCs w:val="24"/>
        </w:rPr>
        <w:t>ies</w:t>
      </w:r>
      <w:proofErr w:type="spellEnd"/>
      <w:r w:rsidRPr="000E74B1">
        <w:rPr>
          <w:szCs w:val="24"/>
        </w:rPr>
        <w:t>), the likely competitive effects of the proposal, and its likely effects on the convenience and needs of the public.  Thus, the Federal Reserve uses the data to determine if proposals are financially sound, competitively acceptable, and consistent with the public interest.  In addition, among other things, the form collects information on foreign bank applicants to determine if the comprehensive consolidated supervision standard is met.  Such information is also used after consummation in the supervision program for foreign banking organizations.</w:t>
      </w:r>
    </w:p>
    <w:p w:rsidR="0020010A" w:rsidRPr="000E74B1" w:rsidRDefault="0020010A" w:rsidP="0020010A">
      <w:pPr>
        <w:ind w:right="-180"/>
        <w:rPr>
          <w:szCs w:val="24"/>
        </w:rPr>
      </w:pPr>
    </w:p>
    <w:p w:rsidR="0020010A" w:rsidRPr="000E74B1" w:rsidRDefault="0020010A" w:rsidP="0020010A">
      <w:pPr>
        <w:ind w:right="-180"/>
        <w:rPr>
          <w:szCs w:val="24"/>
        </w:rPr>
      </w:pPr>
      <w:r w:rsidRPr="000E74B1">
        <w:rPr>
          <w:b/>
          <w:szCs w:val="24"/>
        </w:rPr>
        <w:t>Description of Information Collection</w:t>
      </w:r>
    </w:p>
    <w:p w:rsidR="0020010A" w:rsidRPr="000E74B1" w:rsidRDefault="0020010A" w:rsidP="0020010A">
      <w:pPr>
        <w:ind w:right="-180"/>
        <w:rPr>
          <w:szCs w:val="24"/>
        </w:rPr>
      </w:pPr>
    </w:p>
    <w:p w:rsidR="0020010A" w:rsidRPr="000E74B1" w:rsidRDefault="0020010A" w:rsidP="0020010A">
      <w:pPr>
        <w:ind w:right="-180" w:firstLine="720"/>
        <w:rPr>
          <w:szCs w:val="24"/>
        </w:rPr>
      </w:pPr>
      <w:r w:rsidRPr="000E74B1">
        <w:rPr>
          <w:szCs w:val="24"/>
        </w:rPr>
        <w:t xml:space="preserve">The FR Y-3F is filed by any company, organized under the laws of a foreign country, seeking initial entry through the acquisition of a bank or bank holding company in the United States.  Applicants provide financial and managerial information and discuss the competitive effects of the proposed transaction and how the proposed transaction would enhance the convenience and needs of the community to be served.  The application must contain the most </w:t>
      </w:r>
      <w:r w:rsidRPr="000E74B1">
        <w:rPr>
          <w:szCs w:val="24"/>
        </w:rPr>
        <w:lastRenderedPageBreak/>
        <w:t xml:space="preserve">recent information available so that </w:t>
      </w:r>
      <w:r>
        <w:rPr>
          <w:szCs w:val="24"/>
        </w:rPr>
        <w:t xml:space="preserve">the </w:t>
      </w:r>
      <w:r w:rsidRPr="000E74B1">
        <w:rPr>
          <w:szCs w:val="24"/>
        </w:rPr>
        <w:t>Federal Reserve can analyze compliance with relevant statutory factors.</w:t>
      </w:r>
      <w:r w:rsidRPr="000E74B1">
        <w:rPr>
          <w:rStyle w:val="FootnoteReference"/>
          <w:szCs w:val="24"/>
        </w:rPr>
        <w:footnoteReference w:id="2"/>
      </w:r>
      <w:r w:rsidRPr="000E74B1">
        <w:rPr>
          <w:szCs w:val="24"/>
        </w:rPr>
        <w:t xml:space="preserve">  While the application collects the minimum amount of information needed, the instructions explicitly state that the formal questions in the application are not intended to limit the applicant’s presentation.</w:t>
      </w:r>
    </w:p>
    <w:p w:rsidR="0020010A" w:rsidRPr="000E74B1" w:rsidRDefault="0020010A" w:rsidP="0020010A">
      <w:pPr>
        <w:ind w:right="-180" w:firstLine="720"/>
        <w:rPr>
          <w:szCs w:val="24"/>
        </w:rPr>
      </w:pPr>
    </w:p>
    <w:p w:rsidR="0020010A" w:rsidRPr="000E74B1" w:rsidRDefault="0020010A" w:rsidP="0020010A">
      <w:pPr>
        <w:rPr>
          <w:szCs w:val="24"/>
        </w:rPr>
      </w:pPr>
      <w:r w:rsidRPr="000E74B1">
        <w:rPr>
          <w:b/>
          <w:szCs w:val="24"/>
        </w:rPr>
        <w:t>Time Schedule for Information Collection</w:t>
      </w:r>
    </w:p>
    <w:p w:rsidR="0020010A" w:rsidRPr="000E74B1" w:rsidRDefault="0020010A" w:rsidP="0020010A">
      <w:pPr>
        <w:rPr>
          <w:szCs w:val="24"/>
        </w:rPr>
      </w:pPr>
    </w:p>
    <w:p w:rsidR="0020010A" w:rsidRPr="000E74B1" w:rsidRDefault="0020010A" w:rsidP="0020010A">
      <w:pPr>
        <w:ind w:firstLine="720"/>
        <w:rPr>
          <w:szCs w:val="24"/>
        </w:rPr>
      </w:pPr>
      <w:r w:rsidRPr="000E74B1">
        <w:rPr>
          <w:szCs w:val="24"/>
        </w:rPr>
        <w:t xml:space="preserve">The applicant is required to publish a notice in a newspaper of general circulation in the community where the head office of the bank to be acquired is located.  The notice must state the name and address of the applicant and its proposed subsidiary, and it must invite the public to submit written comments to the appropriate Federal Reserve Bank.  The newspaper notice must be published no more than </w:t>
      </w:r>
      <w:r>
        <w:rPr>
          <w:szCs w:val="24"/>
        </w:rPr>
        <w:t>15</w:t>
      </w:r>
      <w:r w:rsidRPr="000E74B1">
        <w:rPr>
          <w:szCs w:val="24"/>
        </w:rPr>
        <w:t xml:space="preserve"> calendar days before and no later than </w:t>
      </w:r>
      <w:r>
        <w:rPr>
          <w:szCs w:val="24"/>
        </w:rPr>
        <w:t>7</w:t>
      </w:r>
      <w:r w:rsidRPr="000E74B1">
        <w:rPr>
          <w:szCs w:val="24"/>
        </w:rPr>
        <w:t xml:space="preserve"> calendar days after the date that the application is filed with the appropriate Reserve Bank.  The application will be acted on within </w:t>
      </w:r>
      <w:r>
        <w:rPr>
          <w:szCs w:val="24"/>
        </w:rPr>
        <w:t>60</w:t>
      </w:r>
      <w:r w:rsidRPr="000E74B1">
        <w:rPr>
          <w:szCs w:val="24"/>
        </w:rPr>
        <w:t xml:space="preserve"> days, unless the </w:t>
      </w:r>
      <w:r>
        <w:rPr>
          <w:szCs w:val="24"/>
        </w:rPr>
        <w:t>Federal Reserve</w:t>
      </w:r>
      <w:r w:rsidRPr="000E74B1">
        <w:rPr>
          <w:szCs w:val="24"/>
        </w:rPr>
        <w:t xml:space="preserve"> notifies the applicant that the processing period is being extended and indicates the reasons for the extension.</w:t>
      </w:r>
    </w:p>
    <w:p w:rsidR="0020010A" w:rsidRPr="000E74B1" w:rsidRDefault="0020010A" w:rsidP="0020010A">
      <w:pPr>
        <w:rPr>
          <w:szCs w:val="24"/>
        </w:rPr>
      </w:pPr>
    </w:p>
    <w:p w:rsidR="0020010A" w:rsidRPr="000E74B1" w:rsidRDefault="0020010A" w:rsidP="0020010A">
      <w:pPr>
        <w:rPr>
          <w:szCs w:val="24"/>
        </w:rPr>
      </w:pPr>
      <w:r w:rsidRPr="000E74B1">
        <w:rPr>
          <w:b/>
          <w:szCs w:val="24"/>
        </w:rPr>
        <w:t>Legal Status</w:t>
      </w:r>
    </w:p>
    <w:p w:rsidR="0020010A" w:rsidRPr="000E74B1" w:rsidRDefault="0020010A" w:rsidP="0020010A">
      <w:pPr>
        <w:rPr>
          <w:szCs w:val="24"/>
        </w:rPr>
      </w:pPr>
    </w:p>
    <w:p w:rsidR="0020010A" w:rsidRPr="000E74B1" w:rsidRDefault="0020010A" w:rsidP="0020010A">
      <w:pPr>
        <w:tabs>
          <w:tab w:val="left" w:pos="360"/>
          <w:tab w:val="left" w:pos="1440"/>
        </w:tabs>
        <w:ind w:firstLine="720"/>
        <w:rPr>
          <w:szCs w:val="24"/>
        </w:rPr>
      </w:pPr>
      <w:r w:rsidRPr="000E74B1">
        <w:rPr>
          <w:szCs w:val="24"/>
        </w:rPr>
        <w:t xml:space="preserve">The Board’s Legal Division has determined that this application is authorized by sections 3(a), 3(c), and 5(a) through 5(c) of the Bank Holding Company Act (12 U.S.C. §§1842(a), (c) and 1844(a) - (c)).  Completion of the application is required to obtain or retain a benefit for any foreign organization seeking to establish or acquire a U.S. bank or bank holding company.  The information provided in the application is not confidential unless the applicant specifically requests confidentiality and the </w:t>
      </w:r>
      <w:r>
        <w:rPr>
          <w:szCs w:val="24"/>
        </w:rPr>
        <w:t>Federal Reserve</w:t>
      </w:r>
      <w:r w:rsidRPr="000E74B1">
        <w:rPr>
          <w:szCs w:val="24"/>
        </w:rPr>
        <w:t xml:space="preserve"> </w:t>
      </w:r>
      <w:proofErr w:type="gramStart"/>
      <w:r w:rsidRPr="000E74B1">
        <w:rPr>
          <w:szCs w:val="24"/>
        </w:rPr>
        <w:t>approves</w:t>
      </w:r>
      <w:proofErr w:type="gramEnd"/>
      <w:r w:rsidRPr="000E74B1">
        <w:rPr>
          <w:szCs w:val="24"/>
        </w:rPr>
        <w:t xml:space="preserve"> the request.  The instructions convey the confidentiality requirements to applicants.  </w:t>
      </w:r>
    </w:p>
    <w:p w:rsidR="0020010A" w:rsidRPr="000E74B1" w:rsidRDefault="0020010A" w:rsidP="0020010A">
      <w:pPr>
        <w:rPr>
          <w:b/>
          <w:szCs w:val="24"/>
        </w:rPr>
      </w:pPr>
    </w:p>
    <w:p w:rsidR="0020010A" w:rsidRPr="000E74B1" w:rsidRDefault="0020010A" w:rsidP="0020010A">
      <w:pPr>
        <w:rPr>
          <w:szCs w:val="24"/>
        </w:rPr>
      </w:pPr>
      <w:r w:rsidRPr="000E74B1">
        <w:rPr>
          <w:b/>
          <w:szCs w:val="24"/>
        </w:rPr>
        <w:t xml:space="preserve">Consultation </w:t>
      </w:r>
      <w:proofErr w:type="gramStart"/>
      <w:r w:rsidRPr="000E74B1">
        <w:rPr>
          <w:b/>
          <w:szCs w:val="24"/>
        </w:rPr>
        <w:t>Outside</w:t>
      </w:r>
      <w:proofErr w:type="gramEnd"/>
      <w:r w:rsidRPr="000E74B1">
        <w:rPr>
          <w:b/>
          <w:szCs w:val="24"/>
        </w:rPr>
        <w:t xml:space="preserve"> the Agency</w:t>
      </w:r>
    </w:p>
    <w:p w:rsidR="0020010A" w:rsidRPr="000E74B1" w:rsidRDefault="0020010A" w:rsidP="0020010A">
      <w:pPr>
        <w:rPr>
          <w:szCs w:val="24"/>
        </w:rPr>
      </w:pPr>
    </w:p>
    <w:p w:rsidR="0020010A" w:rsidRPr="00AE436F" w:rsidRDefault="0020010A" w:rsidP="0020010A">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pPr>
      <w:r w:rsidRPr="00AE436F">
        <w:t xml:space="preserve">On December 28, 2010, the Federal Reserve published a notice in the </w:t>
      </w:r>
      <w:r w:rsidRPr="00AE436F">
        <w:rPr>
          <w:i/>
        </w:rPr>
        <w:t>Federal Register</w:t>
      </w:r>
      <w:r w:rsidRPr="00AE436F">
        <w:t xml:space="preserve"> (75 FR 81607) requesting public comment for 60 days on the extension, </w:t>
      </w:r>
      <w:r w:rsidRPr="00AE436F">
        <w:rPr>
          <w:szCs w:val="24"/>
        </w:rPr>
        <w:t>without revision,</w:t>
      </w:r>
      <w:r w:rsidR="00901709">
        <w:rPr>
          <w:szCs w:val="24"/>
        </w:rPr>
        <w:t xml:space="preserve"> of</w:t>
      </w:r>
      <w:r w:rsidRPr="00AE436F">
        <w:rPr>
          <w:szCs w:val="24"/>
        </w:rPr>
        <w:t xml:space="preserve"> the </w:t>
      </w:r>
      <w:r w:rsidRPr="000E74B1">
        <w:rPr>
          <w:szCs w:val="24"/>
        </w:rPr>
        <w:t>Application for a Foreign Organization to Acquire a U.S. Bank or Bank Holding Company</w:t>
      </w:r>
      <w:r>
        <w:rPr>
          <w:szCs w:val="24"/>
        </w:rPr>
        <w:t xml:space="preserve">. </w:t>
      </w:r>
      <w:r w:rsidRPr="00AE436F">
        <w:rPr>
          <w:szCs w:val="24"/>
        </w:rPr>
        <w:t xml:space="preserve"> </w:t>
      </w:r>
      <w:r w:rsidRPr="00AE436F">
        <w:t>The comment period for this notice expire</w:t>
      </w:r>
      <w:r w:rsidR="00EF4B70">
        <w:t>d</w:t>
      </w:r>
      <w:r w:rsidRPr="00AE436F">
        <w:t xml:space="preserve"> on </w:t>
      </w:r>
      <w:r>
        <w:t>February 28</w:t>
      </w:r>
      <w:r w:rsidRPr="00AE436F">
        <w:t>, 201</w:t>
      </w:r>
      <w:r>
        <w:t>1</w:t>
      </w:r>
      <w:r w:rsidRPr="00AE436F">
        <w:t>.</w:t>
      </w:r>
      <w:r w:rsidR="00EF4B70">
        <w:t xml:space="preserve">  The Federal Reserve did not receive any comments.  On March </w:t>
      </w:r>
      <w:r w:rsidR="00B20EE3">
        <w:t>10</w:t>
      </w:r>
      <w:r w:rsidR="00EF4B70">
        <w:t xml:space="preserve">, 2011, the Federal Reserve published a final notice in the </w:t>
      </w:r>
      <w:r w:rsidR="00EF4B70" w:rsidRPr="00EF4B70">
        <w:rPr>
          <w:i/>
        </w:rPr>
        <w:t>Federal Register</w:t>
      </w:r>
      <w:r w:rsidR="00EF4B70">
        <w:t xml:space="preserve"> (76 FR </w:t>
      </w:r>
      <w:r w:rsidR="00B20EE3">
        <w:t>13188</w:t>
      </w:r>
      <w:r w:rsidR="00EF4B70">
        <w:t>).</w:t>
      </w:r>
    </w:p>
    <w:p w:rsidR="0020010A" w:rsidRPr="000E74B1" w:rsidRDefault="0020010A" w:rsidP="0020010A">
      <w:pPr>
        <w:rPr>
          <w:b/>
          <w:szCs w:val="24"/>
        </w:rPr>
      </w:pPr>
    </w:p>
    <w:p w:rsidR="0020010A" w:rsidRPr="000E74B1" w:rsidRDefault="0020010A" w:rsidP="0020010A">
      <w:pPr>
        <w:rPr>
          <w:szCs w:val="24"/>
        </w:rPr>
      </w:pPr>
      <w:r w:rsidRPr="000E74B1">
        <w:rPr>
          <w:b/>
          <w:szCs w:val="24"/>
        </w:rPr>
        <w:t>Estimate of Respondent Burden</w:t>
      </w:r>
    </w:p>
    <w:p w:rsidR="0020010A" w:rsidRPr="000E74B1" w:rsidRDefault="0020010A" w:rsidP="0020010A">
      <w:pPr>
        <w:ind w:firstLine="720"/>
        <w:rPr>
          <w:szCs w:val="24"/>
        </w:rPr>
      </w:pPr>
    </w:p>
    <w:p w:rsidR="0020010A" w:rsidRPr="000E74B1" w:rsidRDefault="0020010A" w:rsidP="0020010A">
      <w:pPr>
        <w:ind w:firstLine="720"/>
        <w:rPr>
          <w:szCs w:val="24"/>
        </w:rPr>
      </w:pPr>
      <w:r w:rsidRPr="000E74B1">
        <w:rPr>
          <w:szCs w:val="24"/>
        </w:rPr>
        <w:t xml:space="preserve">The total annual burden for these reports is estimated to be 580 hours, as shown in the following table.  The current burden estimates are based on the number of responses received during a typical year.  The estimated average hours per response for initial entry is 90 hours and the estimated average hours per response for foreign organizations that have already received approval to establish a branch or agency or to acquire a U.S. bank is 70 hours.  </w:t>
      </w:r>
      <w:r w:rsidRPr="000E74B1">
        <w:rPr>
          <w:bCs/>
          <w:szCs w:val="24"/>
        </w:rPr>
        <w:t>The reporting</w:t>
      </w:r>
      <w:r w:rsidRPr="000E74B1">
        <w:rPr>
          <w:bCs/>
          <w:color w:val="000000"/>
          <w:szCs w:val="24"/>
        </w:rPr>
        <w:t xml:space="preserve"> requirement of this application represents less than 1 percent of total Federal Reserve System paperwork burden</w:t>
      </w:r>
      <w:r w:rsidRPr="000E74B1">
        <w:rPr>
          <w:szCs w:val="24"/>
        </w:rPr>
        <w:t>.</w:t>
      </w:r>
    </w:p>
    <w:p w:rsidR="0020010A" w:rsidRPr="000E74B1" w:rsidRDefault="0020010A" w:rsidP="0020010A">
      <w:pPr>
        <w:ind w:firstLine="720"/>
        <w:rPr>
          <w:szCs w:val="24"/>
        </w:rPr>
      </w:pPr>
    </w:p>
    <w:tbl>
      <w:tblPr>
        <w:tblW w:w="0" w:type="auto"/>
        <w:jc w:val="center"/>
        <w:tblBorders>
          <w:top w:val="single" w:sz="4" w:space="0" w:color="auto"/>
          <w:bottom w:val="single" w:sz="4" w:space="0" w:color="auto"/>
        </w:tblBorders>
        <w:tblLook w:val="01E0"/>
      </w:tblPr>
      <w:tblGrid>
        <w:gridCol w:w="3348"/>
        <w:gridCol w:w="1710"/>
        <w:gridCol w:w="1350"/>
        <w:gridCol w:w="1620"/>
        <w:gridCol w:w="1548"/>
      </w:tblGrid>
      <w:tr w:rsidR="0020010A" w:rsidRPr="000E74B1" w:rsidTr="00EF4B70">
        <w:trPr>
          <w:jc w:val="center"/>
        </w:trPr>
        <w:tc>
          <w:tcPr>
            <w:tcW w:w="3348" w:type="dxa"/>
            <w:tcBorders>
              <w:top w:val="single" w:sz="4" w:space="0" w:color="auto"/>
              <w:bottom w:val="single" w:sz="4" w:space="0" w:color="auto"/>
            </w:tcBorders>
            <w:vAlign w:val="bottom"/>
          </w:tcPr>
          <w:p w:rsidR="0020010A" w:rsidRPr="000E74B1" w:rsidRDefault="0020010A" w:rsidP="00EF4B70">
            <w:pPr>
              <w:jc w:val="center"/>
              <w:rPr>
                <w:szCs w:val="24"/>
              </w:rPr>
            </w:pPr>
          </w:p>
        </w:tc>
        <w:tc>
          <w:tcPr>
            <w:tcW w:w="1710" w:type="dxa"/>
            <w:tcBorders>
              <w:top w:val="single" w:sz="4" w:space="0" w:color="auto"/>
              <w:bottom w:val="single" w:sz="4" w:space="0" w:color="auto"/>
            </w:tcBorders>
            <w:vAlign w:val="bottom"/>
          </w:tcPr>
          <w:p w:rsidR="0020010A" w:rsidRPr="000E74B1" w:rsidRDefault="0020010A" w:rsidP="00EF4B70">
            <w:pPr>
              <w:jc w:val="center"/>
              <w:rPr>
                <w:i/>
                <w:szCs w:val="24"/>
              </w:rPr>
            </w:pPr>
            <w:r w:rsidRPr="000E74B1">
              <w:rPr>
                <w:i/>
                <w:szCs w:val="24"/>
              </w:rPr>
              <w:t>Average number of  respondents</w:t>
            </w:r>
          </w:p>
        </w:tc>
        <w:tc>
          <w:tcPr>
            <w:tcW w:w="1350" w:type="dxa"/>
            <w:tcBorders>
              <w:top w:val="single" w:sz="4" w:space="0" w:color="auto"/>
              <w:bottom w:val="single" w:sz="4" w:space="0" w:color="auto"/>
            </w:tcBorders>
            <w:vAlign w:val="bottom"/>
          </w:tcPr>
          <w:p w:rsidR="0020010A" w:rsidRPr="000E74B1" w:rsidRDefault="0020010A" w:rsidP="00EF4B70">
            <w:pPr>
              <w:jc w:val="center"/>
              <w:rPr>
                <w:i/>
                <w:szCs w:val="24"/>
              </w:rPr>
            </w:pPr>
            <w:r w:rsidRPr="000E74B1">
              <w:rPr>
                <w:i/>
                <w:szCs w:val="24"/>
              </w:rPr>
              <w:t>Annual frequency</w:t>
            </w:r>
          </w:p>
        </w:tc>
        <w:tc>
          <w:tcPr>
            <w:tcW w:w="1620" w:type="dxa"/>
            <w:tcBorders>
              <w:top w:val="single" w:sz="4" w:space="0" w:color="auto"/>
              <w:bottom w:val="single" w:sz="4" w:space="0" w:color="auto"/>
            </w:tcBorders>
            <w:vAlign w:val="bottom"/>
          </w:tcPr>
          <w:p w:rsidR="0020010A" w:rsidRPr="000E74B1" w:rsidRDefault="0020010A" w:rsidP="00EF4B70">
            <w:pPr>
              <w:jc w:val="center"/>
              <w:rPr>
                <w:i/>
                <w:szCs w:val="24"/>
              </w:rPr>
            </w:pPr>
            <w:r w:rsidRPr="000E74B1">
              <w:rPr>
                <w:i/>
                <w:szCs w:val="24"/>
              </w:rPr>
              <w:t>Estimated average hours per response</w:t>
            </w:r>
          </w:p>
        </w:tc>
        <w:tc>
          <w:tcPr>
            <w:tcW w:w="1548" w:type="dxa"/>
            <w:tcBorders>
              <w:top w:val="single" w:sz="4" w:space="0" w:color="auto"/>
              <w:bottom w:val="single" w:sz="4" w:space="0" w:color="auto"/>
            </w:tcBorders>
            <w:vAlign w:val="bottom"/>
          </w:tcPr>
          <w:p w:rsidR="0020010A" w:rsidRPr="000E74B1" w:rsidRDefault="0020010A" w:rsidP="00EF4B70">
            <w:pPr>
              <w:jc w:val="center"/>
              <w:rPr>
                <w:i/>
                <w:szCs w:val="24"/>
              </w:rPr>
            </w:pPr>
            <w:r w:rsidRPr="000E74B1">
              <w:rPr>
                <w:i/>
                <w:szCs w:val="24"/>
              </w:rPr>
              <w:t>Estimated annual burden hours</w:t>
            </w:r>
          </w:p>
        </w:tc>
      </w:tr>
      <w:tr w:rsidR="0020010A" w:rsidRPr="000E74B1" w:rsidTr="00EF4B70">
        <w:trPr>
          <w:jc w:val="center"/>
        </w:trPr>
        <w:tc>
          <w:tcPr>
            <w:tcW w:w="3348" w:type="dxa"/>
          </w:tcPr>
          <w:p w:rsidR="0020010A" w:rsidRPr="000E74B1" w:rsidRDefault="0020010A" w:rsidP="00EF4B70">
            <w:pPr>
              <w:rPr>
                <w:szCs w:val="24"/>
              </w:rPr>
            </w:pPr>
          </w:p>
        </w:tc>
        <w:tc>
          <w:tcPr>
            <w:tcW w:w="1710" w:type="dxa"/>
          </w:tcPr>
          <w:p w:rsidR="0020010A" w:rsidRPr="000E74B1" w:rsidRDefault="0020010A" w:rsidP="00EF4B70">
            <w:pPr>
              <w:jc w:val="center"/>
              <w:rPr>
                <w:szCs w:val="24"/>
              </w:rPr>
            </w:pPr>
          </w:p>
        </w:tc>
        <w:tc>
          <w:tcPr>
            <w:tcW w:w="1350" w:type="dxa"/>
          </w:tcPr>
          <w:p w:rsidR="0020010A" w:rsidRPr="000E74B1" w:rsidRDefault="0020010A" w:rsidP="00EF4B70">
            <w:pPr>
              <w:jc w:val="center"/>
              <w:rPr>
                <w:szCs w:val="24"/>
              </w:rPr>
            </w:pPr>
          </w:p>
        </w:tc>
        <w:tc>
          <w:tcPr>
            <w:tcW w:w="1620" w:type="dxa"/>
          </w:tcPr>
          <w:p w:rsidR="0020010A" w:rsidRPr="000E74B1" w:rsidRDefault="0020010A" w:rsidP="00EF4B70">
            <w:pPr>
              <w:jc w:val="center"/>
              <w:rPr>
                <w:szCs w:val="24"/>
              </w:rPr>
            </w:pPr>
          </w:p>
        </w:tc>
        <w:tc>
          <w:tcPr>
            <w:tcW w:w="1548" w:type="dxa"/>
          </w:tcPr>
          <w:p w:rsidR="0020010A" w:rsidRPr="000E74B1" w:rsidRDefault="0020010A" w:rsidP="00EF4B70">
            <w:pPr>
              <w:jc w:val="center"/>
              <w:rPr>
                <w:szCs w:val="24"/>
              </w:rPr>
            </w:pPr>
          </w:p>
        </w:tc>
      </w:tr>
      <w:tr w:rsidR="0020010A" w:rsidRPr="000E74B1" w:rsidTr="00EF4B70">
        <w:trPr>
          <w:jc w:val="center"/>
        </w:trPr>
        <w:tc>
          <w:tcPr>
            <w:tcW w:w="3348" w:type="dxa"/>
          </w:tcPr>
          <w:p w:rsidR="0020010A" w:rsidRPr="000E74B1" w:rsidRDefault="0020010A" w:rsidP="00EF4B70">
            <w:pPr>
              <w:jc w:val="both"/>
              <w:rPr>
                <w:szCs w:val="24"/>
              </w:rPr>
            </w:pPr>
            <w:r w:rsidRPr="000E74B1">
              <w:rPr>
                <w:szCs w:val="24"/>
              </w:rPr>
              <w:t>Initial application</w:t>
            </w:r>
          </w:p>
        </w:tc>
        <w:tc>
          <w:tcPr>
            <w:tcW w:w="1710" w:type="dxa"/>
          </w:tcPr>
          <w:p w:rsidR="0020010A" w:rsidRPr="000E74B1" w:rsidRDefault="0020010A" w:rsidP="00EF4B70">
            <w:pPr>
              <w:jc w:val="center"/>
              <w:rPr>
                <w:szCs w:val="24"/>
              </w:rPr>
            </w:pPr>
            <w:r w:rsidRPr="000E74B1">
              <w:rPr>
                <w:szCs w:val="24"/>
              </w:rPr>
              <w:t>1</w:t>
            </w:r>
          </w:p>
        </w:tc>
        <w:tc>
          <w:tcPr>
            <w:tcW w:w="1350" w:type="dxa"/>
          </w:tcPr>
          <w:p w:rsidR="0020010A" w:rsidRPr="000E74B1" w:rsidRDefault="0020010A" w:rsidP="00EF4B70">
            <w:pPr>
              <w:jc w:val="center"/>
              <w:rPr>
                <w:szCs w:val="24"/>
              </w:rPr>
            </w:pPr>
            <w:r w:rsidRPr="000E74B1">
              <w:rPr>
                <w:szCs w:val="24"/>
              </w:rPr>
              <w:t>1</w:t>
            </w:r>
          </w:p>
        </w:tc>
        <w:tc>
          <w:tcPr>
            <w:tcW w:w="1620" w:type="dxa"/>
          </w:tcPr>
          <w:p w:rsidR="0020010A" w:rsidRPr="000E74B1" w:rsidRDefault="0020010A" w:rsidP="00EF4B70">
            <w:pPr>
              <w:jc w:val="center"/>
              <w:rPr>
                <w:szCs w:val="24"/>
              </w:rPr>
            </w:pPr>
            <w:r w:rsidRPr="000E74B1">
              <w:rPr>
                <w:szCs w:val="24"/>
              </w:rPr>
              <w:t>90</w:t>
            </w:r>
          </w:p>
        </w:tc>
        <w:tc>
          <w:tcPr>
            <w:tcW w:w="1548" w:type="dxa"/>
          </w:tcPr>
          <w:p w:rsidR="0020010A" w:rsidRPr="000E74B1" w:rsidRDefault="0020010A" w:rsidP="00EF4B70">
            <w:pPr>
              <w:jc w:val="center"/>
              <w:rPr>
                <w:szCs w:val="24"/>
              </w:rPr>
            </w:pPr>
            <w:r w:rsidRPr="000E74B1">
              <w:rPr>
                <w:szCs w:val="24"/>
              </w:rPr>
              <w:t xml:space="preserve">  90</w:t>
            </w:r>
          </w:p>
        </w:tc>
      </w:tr>
      <w:tr w:rsidR="0020010A" w:rsidRPr="000E74B1" w:rsidTr="00EF4B70">
        <w:trPr>
          <w:jc w:val="center"/>
        </w:trPr>
        <w:tc>
          <w:tcPr>
            <w:tcW w:w="3348" w:type="dxa"/>
          </w:tcPr>
          <w:p w:rsidR="0020010A" w:rsidRPr="000E74B1" w:rsidRDefault="0020010A" w:rsidP="00EF4B70">
            <w:pPr>
              <w:rPr>
                <w:szCs w:val="24"/>
              </w:rPr>
            </w:pPr>
            <w:r w:rsidRPr="000E74B1">
              <w:rPr>
                <w:szCs w:val="24"/>
              </w:rPr>
              <w:t>Subsequent application</w:t>
            </w:r>
          </w:p>
        </w:tc>
        <w:tc>
          <w:tcPr>
            <w:tcW w:w="1710" w:type="dxa"/>
          </w:tcPr>
          <w:p w:rsidR="0020010A" w:rsidRPr="000E74B1" w:rsidRDefault="0020010A" w:rsidP="00EF4B70">
            <w:pPr>
              <w:jc w:val="center"/>
              <w:rPr>
                <w:szCs w:val="24"/>
              </w:rPr>
            </w:pPr>
            <w:r w:rsidRPr="000E74B1">
              <w:rPr>
                <w:szCs w:val="24"/>
              </w:rPr>
              <w:t>7</w:t>
            </w:r>
          </w:p>
        </w:tc>
        <w:tc>
          <w:tcPr>
            <w:tcW w:w="1350" w:type="dxa"/>
          </w:tcPr>
          <w:p w:rsidR="0020010A" w:rsidRPr="000E74B1" w:rsidRDefault="0020010A" w:rsidP="00EF4B70">
            <w:pPr>
              <w:jc w:val="center"/>
              <w:rPr>
                <w:szCs w:val="24"/>
              </w:rPr>
            </w:pPr>
            <w:r w:rsidRPr="000E74B1">
              <w:rPr>
                <w:szCs w:val="24"/>
              </w:rPr>
              <w:t>1</w:t>
            </w:r>
          </w:p>
        </w:tc>
        <w:tc>
          <w:tcPr>
            <w:tcW w:w="1620" w:type="dxa"/>
          </w:tcPr>
          <w:p w:rsidR="0020010A" w:rsidRPr="000E74B1" w:rsidRDefault="0020010A" w:rsidP="00EF4B70">
            <w:pPr>
              <w:jc w:val="center"/>
              <w:rPr>
                <w:szCs w:val="24"/>
              </w:rPr>
            </w:pPr>
            <w:r w:rsidRPr="000E74B1">
              <w:rPr>
                <w:szCs w:val="24"/>
              </w:rPr>
              <w:t>70</w:t>
            </w:r>
          </w:p>
        </w:tc>
        <w:tc>
          <w:tcPr>
            <w:tcW w:w="1548" w:type="dxa"/>
          </w:tcPr>
          <w:p w:rsidR="0020010A" w:rsidRPr="000E74B1" w:rsidRDefault="0020010A" w:rsidP="00EF4B70">
            <w:pPr>
              <w:jc w:val="center"/>
              <w:rPr>
                <w:szCs w:val="24"/>
                <w:u w:val="single"/>
              </w:rPr>
            </w:pPr>
            <w:r w:rsidRPr="000E74B1">
              <w:rPr>
                <w:szCs w:val="24"/>
                <w:u w:val="single"/>
              </w:rPr>
              <w:t>490</w:t>
            </w:r>
          </w:p>
        </w:tc>
      </w:tr>
      <w:tr w:rsidR="0020010A" w:rsidRPr="000E74B1" w:rsidTr="00EF4B70">
        <w:trPr>
          <w:jc w:val="center"/>
        </w:trPr>
        <w:tc>
          <w:tcPr>
            <w:tcW w:w="3348" w:type="dxa"/>
          </w:tcPr>
          <w:p w:rsidR="0020010A" w:rsidRPr="000E74B1" w:rsidRDefault="0020010A" w:rsidP="00EF4B70">
            <w:pPr>
              <w:rPr>
                <w:szCs w:val="24"/>
              </w:rPr>
            </w:pPr>
          </w:p>
        </w:tc>
        <w:tc>
          <w:tcPr>
            <w:tcW w:w="1710" w:type="dxa"/>
          </w:tcPr>
          <w:p w:rsidR="0020010A" w:rsidRPr="000E74B1" w:rsidRDefault="0020010A" w:rsidP="00EF4B70">
            <w:pPr>
              <w:jc w:val="center"/>
              <w:rPr>
                <w:szCs w:val="24"/>
              </w:rPr>
            </w:pPr>
          </w:p>
        </w:tc>
        <w:tc>
          <w:tcPr>
            <w:tcW w:w="1350" w:type="dxa"/>
          </w:tcPr>
          <w:p w:rsidR="0020010A" w:rsidRPr="000E74B1" w:rsidRDefault="0020010A" w:rsidP="00EF4B70">
            <w:pPr>
              <w:jc w:val="center"/>
              <w:rPr>
                <w:szCs w:val="24"/>
              </w:rPr>
            </w:pPr>
          </w:p>
        </w:tc>
        <w:tc>
          <w:tcPr>
            <w:tcW w:w="1620" w:type="dxa"/>
          </w:tcPr>
          <w:p w:rsidR="0020010A" w:rsidRPr="000E74B1" w:rsidRDefault="0020010A" w:rsidP="00EF4B70">
            <w:pPr>
              <w:jc w:val="center"/>
              <w:rPr>
                <w:szCs w:val="24"/>
              </w:rPr>
            </w:pPr>
          </w:p>
        </w:tc>
        <w:tc>
          <w:tcPr>
            <w:tcW w:w="1548" w:type="dxa"/>
          </w:tcPr>
          <w:p w:rsidR="0020010A" w:rsidRPr="000E74B1" w:rsidRDefault="0020010A" w:rsidP="00EF4B70">
            <w:pPr>
              <w:jc w:val="center"/>
              <w:rPr>
                <w:szCs w:val="24"/>
              </w:rPr>
            </w:pPr>
          </w:p>
        </w:tc>
      </w:tr>
      <w:tr w:rsidR="0020010A" w:rsidRPr="000E74B1" w:rsidTr="00EF4B70">
        <w:trPr>
          <w:jc w:val="center"/>
        </w:trPr>
        <w:tc>
          <w:tcPr>
            <w:tcW w:w="3348" w:type="dxa"/>
          </w:tcPr>
          <w:p w:rsidR="0020010A" w:rsidRPr="000E74B1" w:rsidRDefault="0020010A" w:rsidP="00EF4B70">
            <w:pPr>
              <w:jc w:val="right"/>
              <w:rPr>
                <w:i/>
                <w:szCs w:val="24"/>
              </w:rPr>
            </w:pPr>
            <w:r w:rsidRPr="000E74B1">
              <w:rPr>
                <w:i/>
                <w:szCs w:val="24"/>
              </w:rPr>
              <w:t>Total</w:t>
            </w:r>
          </w:p>
        </w:tc>
        <w:tc>
          <w:tcPr>
            <w:tcW w:w="1710" w:type="dxa"/>
          </w:tcPr>
          <w:p w:rsidR="0020010A" w:rsidRPr="000E74B1" w:rsidRDefault="0020010A" w:rsidP="00EF4B70">
            <w:pPr>
              <w:jc w:val="center"/>
              <w:rPr>
                <w:szCs w:val="24"/>
              </w:rPr>
            </w:pPr>
          </w:p>
        </w:tc>
        <w:tc>
          <w:tcPr>
            <w:tcW w:w="1350" w:type="dxa"/>
          </w:tcPr>
          <w:p w:rsidR="0020010A" w:rsidRPr="000E74B1" w:rsidRDefault="0020010A" w:rsidP="00EF4B70">
            <w:pPr>
              <w:jc w:val="center"/>
              <w:rPr>
                <w:szCs w:val="24"/>
              </w:rPr>
            </w:pPr>
          </w:p>
        </w:tc>
        <w:tc>
          <w:tcPr>
            <w:tcW w:w="1620" w:type="dxa"/>
          </w:tcPr>
          <w:p w:rsidR="0020010A" w:rsidRPr="000E74B1" w:rsidRDefault="0020010A" w:rsidP="00EF4B70">
            <w:pPr>
              <w:jc w:val="center"/>
              <w:rPr>
                <w:szCs w:val="24"/>
              </w:rPr>
            </w:pPr>
          </w:p>
        </w:tc>
        <w:tc>
          <w:tcPr>
            <w:tcW w:w="1548" w:type="dxa"/>
          </w:tcPr>
          <w:p w:rsidR="0020010A" w:rsidRPr="000E74B1" w:rsidRDefault="0020010A" w:rsidP="00EF4B70">
            <w:pPr>
              <w:jc w:val="center"/>
              <w:rPr>
                <w:szCs w:val="24"/>
              </w:rPr>
            </w:pPr>
            <w:r w:rsidRPr="000E74B1">
              <w:rPr>
                <w:szCs w:val="24"/>
              </w:rPr>
              <w:t>580</w:t>
            </w:r>
          </w:p>
        </w:tc>
      </w:tr>
      <w:tr w:rsidR="0020010A" w:rsidRPr="000E74B1" w:rsidTr="00EF4B70">
        <w:trPr>
          <w:jc w:val="center"/>
        </w:trPr>
        <w:tc>
          <w:tcPr>
            <w:tcW w:w="3348" w:type="dxa"/>
          </w:tcPr>
          <w:p w:rsidR="0020010A" w:rsidRPr="000E74B1" w:rsidRDefault="0020010A" w:rsidP="00EF4B70">
            <w:pPr>
              <w:jc w:val="right"/>
              <w:rPr>
                <w:i/>
                <w:szCs w:val="24"/>
              </w:rPr>
            </w:pPr>
          </w:p>
        </w:tc>
        <w:tc>
          <w:tcPr>
            <w:tcW w:w="1710" w:type="dxa"/>
          </w:tcPr>
          <w:p w:rsidR="0020010A" w:rsidRPr="000E74B1" w:rsidRDefault="0020010A" w:rsidP="00EF4B70">
            <w:pPr>
              <w:jc w:val="center"/>
              <w:rPr>
                <w:szCs w:val="24"/>
              </w:rPr>
            </w:pPr>
          </w:p>
        </w:tc>
        <w:tc>
          <w:tcPr>
            <w:tcW w:w="1350" w:type="dxa"/>
          </w:tcPr>
          <w:p w:rsidR="0020010A" w:rsidRPr="000E74B1" w:rsidRDefault="0020010A" w:rsidP="00EF4B70">
            <w:pPr>
              <w:jc w:val="center"/>
              <w:rPr>
                <w:szCs w:val="24"/>
              </w:rPr>
            </w:pPr>
          </w:p>
        </w:tc>
        <w:tc>
          <w:tcPr>
            <w:tcW w:w="1620" w:type="dxa"/>
          </w:tcPr>
          <w:p w:rsidR="0020010A" w:rsidRPr="000E74B1" w:rsidRDefault="0020010A" w:rsidP="00EF4B70">
            <w:pPr>
              <w:jc w:val="center"/>
              <w:rPr>
                <w:szCs w:val="24"/>
              </w:rPr>
            </w:pPr>
          </w:p>
        </w:tc>
        <w:tc>
          <w:tcPr>
            <w:tcW w:w="1548" w:type="dxa"/>
          </w:tcPr>
          <w:p w:rsidR="0020010A" w:rsidRPr="000E74B1" w:rsidRDefault="0020010A" w:rsidP="00EF4B70">
            <w:pPr>
              <w:jc w:val="center"/>
              <w:rPr>
                <w:szCs w:val="24"/>
              </w:rPr>
            </w:pPr>
          </w:p>
        </w:tc>
      </w:tr>
    </w:tbl>
    <w:p w:rsidR="0020010A" w:rsidRPr="000E74B1" w:rsidRDefault="0020010A" w:rsidP="0020010A">
      <w:pPr>
        <w:rPr>
          <w:szCs w:val="24"/>
        </w:rPr>
      </w:pPr>
    </w:p>
    <w:p w:rsidR="0020010A" w:rsidRPr="000E74B1" w:rsidRDefault="0020010A" w:rsidP="0020010A">
      <w:pPr>
        <w:rPr>
          <w:szCs w:val="24"/>
        </w:rPr>
      </w:pPr>
      <w:r w:rsidRPr="000E74B1">
        <w:rPr>
          <w:szCs w:val="24"/>
        </w:rPr>
        <w:t>The total annual cost to the public for this application is estimated to be $24,418.</w:t>
      </w:r>
      <w:r w:rsidRPr="000E74B1">
        <w:rPr>
          <w:rStyle w:val="FootnoteReference"/>
          <w:szCs w:val="24"/>
        </w:rPr>
        <w:footnoteReference w:id="3"/>
      </w:r>
    </w:p>
    <w:p w:rsidR="0020010A" w:rsidRPr="000E74B1" w:rsidRDefault="0020010A" w:rsidP="0020010A">
      <w:pPr>
        <w:rPr>
          <w:szCs w:val="24"/>
        </w:rPr>
      </w:pPr>
    </w:p>
    <w:p w:rsidR="0020010A" w:rsidRPr="000E74B1" w:rsidRDefault="0020010A" w:rsidP="0020010A">
      <w:pPr>
        <w:rPr>
          <w:szCs w:val="24"/>
        </w:rPr>
      </w:pPr>
      <w:r w:rsidRPr="000E74B1">
        <w:rPr>
          <w:b/>
          <w:szCs w:val="24"/>
        </w:rPr>
        <w:t>Sensitive Questions</w:t>
      </w:r>
    </w:p>
    <w:p w:rsidR="0020010A" w:rsidRPr="000E74B1" w:rsidRDefault="0020010A" w:rsidP="0020010A">
      <w:pPr>
        <w:rPr>
          <w:szCs w:val="24"/>
        </w:rPr>
      </w:pPr>
    </w:p>
    <w:p w:rsidR="0020010A" w:rsidRPr="000E74B1" w:rsidRDefault="0020010A" w:rsidP="0020010A">
      <w:pPr>
        <w:ind w:firstLine="720"/>
        <w:rPr>
          <w:szCs w:val="24"/>
        </w:rPr>
      </w:pPr>
      <w:r w:rsidRPr="000E74B1">
        <w:rPr>
          <w:szCs w:val="24"/>
        </w:rPr>
        <w:t>This application contains no sensitive questions, as defined by OMB guidelines.</w:t>
      </w:r>
    </w:p>
    <w:p w:rsidR="0020010A" w:rsidRPr="000E74B1" w:rsidRDefault="0020010A" w:rsidP="0020010A">
      <w:pPr>
        <w:rPr>
          <w:szCs w:val="24"/>
        </w:rPr>
      </w:pPr>
    </w:p>
    <w:p w:rsidR="0020010A" w:rsidRPr="000E74B1" w:rsidRDefault="0020010A" w:rsidP="0020010A">
      <w:pPr>
        <w:rPr>
          <w:szCs w:val="24"/>
        </w:rPr>
      </w:pPr>
      <w:r w:rsidRPr="000E74B1">
        <w:rPr>
          <w:b/>
          <w:szCs w:val="24"/>
        </w:rPr>
        <w:t xml:space="preserve">Estimate of Cost to the Federal Reserve System </w:t>
      </w:r>
    </w:p>
    <w:p w:rsidR="0020010A" w:rsidRPr="000E74B1" w:rsidRDefault="0020010A" w:rsidP="0020010A">
      <w:pPr>
        <w:rPr>
          <w:szCs w:val="24"/>
        </w:rPr>
      </w:pPr>
    </w:p>
    <w:p w:rsidR="0020010A" w:rsidRPr="000E74B1" w:rsidRDefault="0020010A" w:rsidP="0020010A">
      <w:pPr>
        <w:pStyle w:val="BodyTextIndent2"/>
        <w:rPr>
          <w:szCs w:val="24"/>
        </w:rPr>
      </w:pPr>
      <w:r w:rsidRPr="000E74B1">
        <w:rPr>
          <w:szCs w:val="24"/>
        </w:rPr>
        <w:t xml:space="preserve">The cost to the Federal Reserve of printing, mailing, and processing the FR Y-3F is negligible.  The application form is available electronically from the </w:t>
      </w:r>
      <w:r w:rsidR="00901709">
        <w:rPr>
          <w:szCs w:val="24"/>
        </w:rPr>
        <w:t xml:space="preserve">Federal Reserve </w:t>
      </w:r>
      <w:r w:rsidRPr="000E74B1">
        <w:rPr>
          <w:szCs w:val="24"/>
        </w:rPr>
        <w:t xml:space="preserve">Board’s </w:t>
      </w:r>
      <w:r w:rsidR="00901709">
        <w:rPr>
          <w:szCs w:val="24"/>
        </w:rPr>
        <w:t>Public web</w:t>
      </w:r>
      <w:r w:rsidR="00901709" w:rsidRPr="000E74B1">
        <w:rPr>
          <w:szCs w:val="24"/>
        </w:rPr>
        <w:t xml:space="preserve"> </w:t>
      </w:r>
      <w:r w:rsidRPr="000E74B1">
        <w:rPr>
          <w:szCs w:val="24"/>
        </w:rPr>
        <w:t>site (http://www.federalreserve.gov/reportforms/default.cfm).</w:t>
      </w:r>
    </w:p>
    <w:p w:rsidR="003571A1" w:rsidRPr="00DF1EE4" w:rsidRDefault="003571A1" w:rsidP="0020010A">
      <w:pPr>
        <w:tabs>
          <w:tab w:val="left" w:pos="720"/>
          <w:tab w:val="left" w:pos="1440"/>
        </w:tabs>
      </w:pPr>
    </w:p>
    <w:sectPr w:rsidR="003571A1" w:rsidRPr="00DF1EE4" w:rsidSect="002C4FED">
      <w:headerReference w:type="default" r:id="rId7"/>
      <w:footerReference w:type="even" r:id="rId8"/>
      <w:footerReference w:type="default" r:id="rId9"/>
      <w:pgSz w:w="12240" w:h="15840" w:code="1"/>
      <w:pgMar w:top="144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B70" w:rsidRDefault="00EF4B70">
      <w:r>
        <w:separator/>
      </w:r>
    </w:p>
  </w:endnote>
  <w:endnote w:type="continuationSeparator" w:id="0">
    <w:p w:rsidR="00EF4B70" w:rsidRDefault="00EF4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70" w:rsidRDefault="002941C0" w:rsidP="002C4FED">
    <w:pPr>
      <w:pStyle w:val="Footer"/>
      <w:framePr w:wrap="around" w:vAnchor="text" w:hAnchor="margin" w:xAlign="center" w:y="1"/>
      <w:rPr>
        <w:rStyle w:val="PageNumber"/>
      </w:rPr>
    </w:pPr>
    <w:r>
      <w:rPr>
        <w:rStyle w:val="PageNumber"/>
      </w:rPr>
      <w:fldChar w:fldCharType="begin"/>
    </w:r>
    <w:r w:rsidR="00EF4B70">
      <w:rPr>
        <w:rStyle w:val="PageNumber"/>
      </w:rPr>
      <w:instrText xml:space="preserve">PAGE  </w:instrText>
    </w:r>
    <w:r>
      <w:rPr>
        <w:rStyle w:val="PageNumber"/>
      </w:rPr>
      <w:fldChar w:fldCharType="end"/>
    </w:r>
  </w:p>
  <w:p w:rsidR="00EF4B70" w:rsidRDefault="00EF4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70" w:rsidRDefault="002941C0" w:rsidP="002C4FED">
    <w:pPr>
      <w:pStyle w:val="Footer"/>
      <w:framePr w:wrap="around" w:vAnchor="text" w:hAnchor="margin" w:xAlign="center" w:y="1"/>
      <w:rPr>
        <w:rStyle w:val="PageNumber"/>
      </w:rPr>
    </w:pPr>
    <w:r>
      <w:rPr>
        <w:rStyle w:val="PageNumber"/>
      </w:rPr>
      <w:fldChar w:fldCharType="begin"/>
    </w:r>
    <w:r w:rsidR="00EF4B70">
      <w:rPr>
        <w:rStyle w:val="PageNumber"/>
      </w:rPr>
      <w:instrText xml:space="preserve">PAGE  </w:instrText>
    </w:r>
    <w:r>
      <w:rPr>
        <w:rStyle w:val="PageNumber"/>
      </w:rPr>
      <w:fldChar w:fldCharType="separate"/>
    </w:r>
    <w:r w:rsidR="00B20EE3">
      <w:rPr>
        <w:rStyle w:val="PageNumber"/>
        <w:noProof/>
      </w:rPr>
      <w:t>2</w:t>
    </w:r>
    <w:r>
      <w:rPr>
        <w:rStyle w:val="PageNumber"/>
      </w:rPr>
      <w:fldChar w:fldCharType="end"/>
    </w:r>
  </w:p>
  <w:p w:rsidR="00EF4B70" w:rsidRDefault="00EF4B70">
    <w:pPr>
      <w:pStyle w:val="Footer"/>
    </w:pPr>
  </w:p>
  <w:p w:rsidR="00EF4B70" w:rsidRDefault="00EF4B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B70" w:rsidRDefault="00EF4B70">
      <w:r>
        <w:separator/>
      </w:r>
    </w:p>
  </w:footnote>
  <w:footnote w:type="continuationSeparator" w:id="0">
    <w:p w:rsidR="00EF4B70" w:rsidRDefault="00EF4B70">
      <w:r>
        <w:continuationSeparator/>
      </w:r>
    </w:p>
  </w:footnote>
  <w:footnote w:id="1">
    <w:p w:rsidR="00EF4B70" w:rsidRPr="00FE1BCA" w:rsidRDefault="00EF4B70" w:rsidP="0020010A">
      <w:pPr>
        <w:spacing w:after="240"/>
        <w:ind w:right="144"/>
        <w:rPr>
          <w:sz w:val="20"/>
        </w:rPr>
      </w:pPr>
      <w:r w:rsidRPr="00FE1BCA">
        <w:rPr>
          <w:rStyle w:val="FootnoteReference"/>
          <w:sz w:val="20"/>
        </w:rPr>
        <w:footnoteRef/>
      </w:r>
      <w:r>
        <w:rPr>
          <w:sz w:val="20"/>
        </w:rPr>
        <w:t xml:space="preserve"> T</w:t>
      </w:r>
      <w:r w:rsidRPr="00FE1BCA">
        <w:rPr>
          <w:sz w:val="20"/>
        </w:rPr>
        <w:t>he FR</w:t>
      </w:r>
      <w:r>
        <w:rPr>
          <w:sz w:val="20"/>
        </w:rPr>
        <w:t> </w:t>
      </w:r>
      <w:r w:rsidRPr="00FE1BCA">
        <w:rPr>
          <w:sz w:val="20"/>
        </w:rPr>
        <w:t>Y-1 (OMB No. 7100-0119), was designed for domestic applicants; the supplement adapted the FR Y-1 for submissions by foreign applicants.  In 1994, the FR</w:t>
      </w:r>
      <w:r>
        <w:rPr>
          <w:sz w:val="20"/>
        </w:rPr>
        <w:t> </w:t>
      </w:r>
      <w:r w:rsidRPr="00FE1BCA">
        <w:rPr>
          <w:sz w:val="20"/>
        </w:rPr>
        <w:t>Y-1 was combined with the FR Y</w:t>
      </w:r>
      <w:r w:rsidRPr="00FE1BCA">
        <w:rPr>
          <w:sz w:val="20"/>
        </w:rPr>
        <w:noBreakHyphen/>
        <w:t>2 (OMB No. 7100</w:t>
      </w:r>
      <w:r w:rsidRPr="00FE1BCA">
        <w:rPr>
          <w:sz w:val="20"/>
        </w:rPr>
        <w:noBreakHyphen/>
        <w:t>0171) to create the FR</w:t>
      </w:r>
      <w:r>
        <w:rPr>
          <w:sz w:val="20"/>
        </w:rPr>
        <w:t> </w:t>
      </w:r>
      <w:r w:rsidRPr="00FE1BCA">
        <w:rPr>
          <w:sz w:val="20"/>
        </w:rPr>
        <w:t>Y-3 (OMB No. 7100-0121).  The FR</w:t>
      </w:r>
      <w:r>
        <w:rPr>
          <w:sz w:val="20"/>
        </w:rPr>
        <w:t> </w:t>
      </w:r>
      <w:r w:rsidRPr="00FE1BCA">
        <w:rPr>
          <w:sz w:val="20"/>
        </w:rPr>
        <w:t>Y-1 and FR Y-2 were discontinued.</w:t>
      </w:r>
    </w:p>
  </w:footnote>
  <w:footnote w:id="2">
    <w:p w:rsidR="00EF4B70" w:rsidRPr="00FE1BCA" w:rsidRDefault="00EF4B70" w:rsidP="0020010A">
      <w:pPr>
        <w:spacing w:after="240"/>
        <w:ind w:right="144"/>
        <w:rPr>
          <w:sz w:val="20"/>
        </w:rPr>
      </w:pPr>
      <w:r w:rsidRPr="00FE1BCA">
        <w:rPr>
          <w:rStyle w:val="FootnoteReference"/>
          <w:sz w:val="20"/>
        </w:rPr>
        <w:footnoteRef/>
      </w:r>
      <w:r w:rsidRPr="00FE1BCA">
        <w:rPr>
          <w:sz w:val="20"/>
        </w:rPr>
        <w:t xml:space="preserve"> Under the BHCA, the Board may not approve transactions that would result in monopoly or have other anticompetitive effects, unless such effects are </w:t>
      </w:r>
      <w:r>
        <w:rPr>
          <w:sz w:val="20"/>
        </w:rPr>
        <w:t>“</w:t>
      </w:r>
      <w:r w:rsidRPr="00FE1BCA">
        <w:rPr>
          <w:sz w:val="20"/>
        </w:rPr>
        <w:t>clearly outweighed in the public interest by the probable effect of the transaction in meeting the convenience and needs of the community to be served.</w:t>
      </w:r>
      <w:r>
        <w:rPr>
          <w:sz w:val="20"/>
        </w:rPr>
        <w:t>”</w:t>
      </w:r>
      <w:r w:rsidRPr="00FE1BCA">
        <w:rPr>
          <w:sz w:val="20"/>
        </w:rPr>
        <w:t xml:space="preserve">  The BHCA further directs the Board to consider the financial and managerial resources and future earnings prospects of the banks involved in the proposed transaction.</w:t>
      </w:r>
    </w:p>
  </w:footnote>
  <w:footnote w:id="3">
    <w:p w:rsidR="00EF4B70" w:rsidRPr="0020010A" w:rsidRDefault="00EF4B70" w:rsidP="0020010A">
      <w:pPr>
        <w:pStyle w:val="FootnoteText"/>
        <w:rPr>
          <w:sz w:val="20"/>
        </w:rPr>
      </w:pPr>
      <w:r w:rsidRPr="0020010A">
        <w:rPr>
          <w:rStyle w:val="FootnoteReference"/>
          <w:sz w:val="20"/>
        </w:rPr>
        <w:footnoteRef/>
      </w:r>
      <w:r w:rsidRPr="0020010A">
        <w:rPr>
          <w:sz w:val="20"/>
          <w:vertAlign w:val="superscript"/>
        </w:rPr>
        <w:t xml:space="preserve"> </w:t>
      </w:r>
      <w:r w:rsidRPr="0020010A">
        <w:rPr>
          <w:sz w:val="2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p w:rsidR="00EF4B70" w:rsidRDefault="00EF4B70" w:rsidP="0020010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70" w:rsidRDefault="00EF4B70" w:rsidP="00620F10">
    <w:pPr>
      <w:pStyle w:val="Header"/>
      <w:rPr>
        <w:szCs w:val="24"/>
      </w:rPr>
    </w:pPr>
    <w:r w:rsidRPr="0023323B">
      <w:rPr>
        <w:szCs w:val="24"/>
      </w:rPr>
      <w:tab/>
    </w:r>
    <w:r w:rsidRPr="0023323B">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AAF1077"/>
    <w:multiLevelType w:val="hybridMultilevel"/>
    <w:tmpl w:val="7B8AFBF4"/>
    <w:lvl w:ilvl="0" w:tplc="40265AF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3E5E5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974757B"/>
    <w:multiLevelType w:val="hybridMultilevel"/>
    <w:tmpl w:val="76F8A9CE"/>
    <w:lvl w:ilvl="0" w:tplc="FFFFFFFF">
      <w:start w:val="1"/>
      <w:numFmt w:val="decimal"/>
      <w:lvlText w:val="(%1)"/>
      <w:lvlJc w:val="left"/>
      <w:pPr>
        <w:tabs>
          <w:tab w:val="num" w:pos="1088"/>
        </w:tabs>
        <w:ind w:left="1088" w:hanging="360"/>
      </w:pPr>
      <w:rPr>
        <w:rFonts w:ascii="Times New Roman" w:hAnsi="Times New Roman"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4">
    <w:nsid w:val="67DE70CE"/>
    <w:multiLevelType w:val="hybridMultilevel"/>
    <w:tmpl w:val="40F8B500"/>
    <w:lvl w:ilvl="0" w:tplc="FFFFFFFF">
      <w:start w:val="1"/>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74D14EA"/>
    <w:multiLevelType w:val="hybridMultilevel"/>
    <w:tmpl w:val="1F0A09B2"/>
    <w:lvl w:ilvl="0" w:tplc="FFFFFFFF">
      <w:start w:val="1"/>
      <w:numFmt w:val="decimal"/>
      <w:lvlText w:val="(%1)"/>
      <w:lvlJc w:val="left"/>
      <w:pPr>
        <w:tabs>
          <w:tab w:val="num" w:pos="1088"/>
        </w:tabs>
        <w:ind w:left="1088" w:hanging="360"/>
      </w:pPr>
      <w:rPr>
        <w:rFonts w:ascii="Times New Roman" w:hAnsi="Times New Roman"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num w:numId="1">
    <w:abstractNumId w:val="2"/>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3"/>
  </w:num>
  <w:num w:numId="5">
    <w:abstractNumId w:val="5"/>
  </w:num>
  <w:num w:numId="6">
    <w:abstractNumId w:val="1"/>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F1C7A"/>
    <w:rsid w:val="0001572E"/>
    <w:rsid w:val="00021389"/>
    <w:rsid w:val="00024014"/>
    <w:rsid w:val="00032325"/>
    <w:rsid w:val="00037301"/>
    <w:rsid w:val="00062D12"/>
    <w:rsid w:val="000955B6"/>
    <w:rsid w:val="000A1D7F"/>
    <w:rsid w:val="000B5E47"/>
    <w:rsid w:val="000C301E"/>
    <w:rsid w:val="000D751B"/>
    <w:rsid w:val="000E3BB0"/>
    <w:rsid w:val="000E7BDE"/>
    <w:rsid w:val="00100A5F"/>
    <w:rsid w:val="00114B7E"/>
    <w:rsid w:val="00140612"/>
    <w:rsid w:val="001530CE"/>
    <w:rsid w:val="001654C8"/>
    <w:rsid w:val="0016731D"/>
    <w:rsid w:val="001724AC"/>
    <w:rsid w:val="00176A41"/>
    <w:rsid w:val="001864A4"/>
    <w:rsid w:val="001A0784"/>
    <w:rsid w:val="001A6950"/>
    <w:rsid w:val="001E1D78"/>
    <w:rsid w:val="001E41BB"/>
    <w:rsid w:val="001E4B9D"/>
    <w:rsid w:val="001F1838"/>
    <w:rsid w:val="0020010A"/>
    <w:rsid w:val="00200190"/>
    <w:rsid w:val="00211C8D"/>
    <w:rsid w:val="00217216"/>
    <w:rsid w:val="002236AD"/>
    <w:rsid w:val="0023323B"/>
    <w:rsid w:val="00256291"/>
    <w:rsid w:val="002672AC"/>
    <w:rsid w:val="00271483"/>
    <w:rsid w:val="002864B8"/>
    <w:rsid w:val="002941C0"/>
    <w:rsid w:val="002B0FC6"/>
    <w:rsid w:val="002B16DD"/>
    <w:rsid w:val="002C4FED"/>
    <w:rsid w:val="002E4331"/>
    <w:rsid w:val="002E4C55"/>
    <w:rsid w:val="002F1C7A"/>
    <w:rsid w:val="002F2CC5"/>
    <w:rsid w:val="00307994"/>
    <w:rsid w:val="003246E0"/>
    <w:rsid w:val="00345078"/>
    <w:rsid w:val="00352BF0"/>
    <w:rsid w:val="003571A1"/>
    <w:rsid w:val="0036562A"/>
    <w:rsid w:val="00382BDE"/>
    <w:rsid w:val="003848EB"/>
    <w:rsid w:val="0039577B"/>
    <w:rsid w:val="003B02E3"/>
    <w:rsid w:val="003C0DE6"/>
    <w:rsid w:val="003C2096"/>
    <w:rsid w:val="003C6A18"/>
    <w:rsid w:val="003E16E1"/>
    <w:rsid w:val="003E7578"/>
    <w:rsid w:val="0040269E"/>
    <w:rsid w:val="00405980"/>
    <w:rsid w:val="00410F3C"/>
    <w:rsid w:val="004110EB"/>
    <w:rsid w:val="0042115B"/>
    <w:rsid w:val="00421E7E"/>
    <w:rsid w:val="00440A0F"/>
    <w:rsid w:val="00445EC8"/>
    <w:rsid w:val="004515C5"/>
    <w:rsid w:val="004675E3"/>
    <w:rsid w:val="004713BD"/>
    <w:rsid w:val="004925E4"/>
    <w:rsid w:val="0049557C"/>
    <w:rsid w:val="004B006B"/>
    <w:rsid w:val="004C1047"/>
    <w:rsid w:val="004C69FC"/>
    <w:rsid w:val="004C6CD4"/>
    <w:rsid w:val="004E36BF"/>
    <w:rsid w:val="004E6130"/>
    <w:rsid w:val="004F7F82"/>
    <w:rsid w:val="0050704A"/>
    <w:rsid w:val="0050716C"/>
    <w:rsid w:val="00511092"/>
    <w:rsid w:val="00536A34"/>
    <w:rsid w:val="00537334"/>
    <w:rsid w:val="00545EE2"/>
    <w:rsid w:val="00551613"/>
    <w:rsid w:val="00570683"/>
    <w:rsid w:val="0057295E"/>
    <w:rsid w:val="005A57BC"/>
    <w:rsid w:val="005A7DC0"/>
    <w:rsid w:val="005B26DE"/>
    <w:rsid w:val="005B5374"/>
    <w:rsid w:val="005C53F1"/>
    <w:rsid w:val="005D58FE"/>
    <w:rsid w:val="005F40AC"/>
    <w:rsid w:val="005F4140"/>
    <w:rsid w:val="0060516C"/>
    <w:rsid w:val="0061010D"/>
    <w:rsid w:val="00620F10"/>
    <w:rsid w:val="00642A59"/>
    <w:rsid w:val="00644407"/>
    <w:rsid w:val="0064636E"/>
    <w:rsid w:val="00660942"/>
    <w:rsid w:val="00667207"/>
    <w:rsid w:val="00671407"/>
    <w:rsid w:val="006C41F9"/>
    <w:rsid w:val="006D3F55"/>
    <w:rsid w:val="006D476A"/>
    <w:rsid w:val="006F0233"/>
    <w:rsid w:val="0072135E"/>
    <w:rsid w:val="00723DDB"/>
    <w:rsid w:val="007412D9"/>
    <w:rsid w:val="0074138C"/>
    <w:rsid w:val="00762308"/>
    <w:rsid w:val="0076295E"/>
    <w:rsid w:val="00763DC2"/>
    <w:rsid w:val="00771F94"/>
    <w:rsid w:val="00775927"/>
    <w:rsid w:val="00781E0B"/>
    <w:rsid w:val="00783708"/>
    <w:rsid w:val="007B64EA"/>
    <w:rsid w:val="007D28CC"/>
    <w:rsid w:val="007E550D"/>
    <w:rsid w:val="0084008F"/>
    <w:rsid w:val="00853412"/>
    <w:rsid w:val="00862AD8"/>
    <w:rsid w:val="00863E4D"/>
    <w:rsid w:val="00864C8F"/>
    <w:rsid w:val="00873D12"/>
    <w:rsid w:val="00881CD5"/>
    <w:rsid w:val="0088776D"/>
    <w:rsid w:val="008B413B"/>
    <w:rsid w:val="008C565D"/>
    <w:rsid w:val="008C6C95"/>
    <w:rsid w:val="008D2472"/>
    <w:rsid w:val="008D61D3"/>
    <w:rsid w:val="008E342B"/>
    <w:rsid w:val="008E5FAF"/>
    <w:rsid w:val="008E6ED1"/>
    <w:rsid w:val="00901709"/>
    <w:rsid w:val="009532D3"/>
    <w:rsid w:val="0096691A"/>
    <w:rsid w:val="00991355"/>
    <w:rsid w:val="009C0B1A"/>
    <w:rsid w:val="009C772A"/>
    <w:rsid w:val="009C7D0F"/>
    <w:rsid w:val="009E2082"/>
    <w:rsid w:val="009F068A"/>
    <w:rsid w:val="009F0747"/>
    <w:rsid w:val="009F4C2D"/>
    <w:rsid w:val="00A008DC"/>
    <w:rsid w:val="00A06965"/>
    <w:rsid w:val="00A15EA4"/>
    <w:rsid w:val="00A42547"/>
    <w:rsid w:val="00A50C4A"/>
    <w:rsid w:val="00A65B75"/>
    <w:rsid w:val="00A779BC"/>
    <w:rsid w:val="00A839C5"/>
    <w:rsid w:val="00A8616E"/>
    <w:rsid w:val="00A94E47"/>
    <w:rsid w:val="00AA014E"/>
    <w:rsid w:val="00AA16BD"/>
    <w:rsid w:val="00AD16DD"/>
    <w:rsid w:val="00AF0C88"/>
    <w:rsid w:val="00B17177"/>
    <w:rsid w:val="00B204CF"/>
    <w:rsid w:val="00B20EE3"/>
    <w:rsid w:val="00B21E5C"/>
    <w:rsid w:val="00B409CE"/>
    <w:rsid w:val="00B50871"/>
    <w:rsid w:val="00B52C03"/>
    <w:rsid w:val="00B57DEB"/>
    <w:rsid w:val="00B6457B"/>
    <w:rsid w:val="00B7143A"/>
    <w:rsid w:val="00B77A81"/>
    <w:rsid w:val="00B82168"/>
    <w:rsid w:val="00B86E68"/>
    <w:rsid w:val="00B87F85"/>
    <w:rsid w:val="00B911C8"/>
    <w:rsid w:val="00BA0DF6"/>
    <w:rsid w:val="00BA1590"/>
    <w:rsid w:val="00BA2229"/>
    <w:rsid w:val="00BA4E46"/>
    <w:rsid w:val="00BC313D"/>
    <w:rsid w:val="00BD07C0"/>
    <w:rsid w:val="00BD0BD8"/>
    <w:rsid w:val="00BD7D1E"/>
    <w:rsid w:val="00BE14A9"/>
    <w:rsid w:val="00BE30BC"/>
    <w:rsid w:val="00BF07C9"/>
    <w:rsid w:val="00C04594"/>
    <w:rsid w:val="00C06ED4"/>
    <w:rsid w:val="00C10300"/>
    <w:rsid w:val="00C216EE"/>
    <w:rsid w:val="00C46DA0"/>
    <w:rsid w:val="00C47774"/>
    <w:rsid w:val="00C63A20"/>
    <w:rsid w:val="00C70C54"/>
    <w:rsid w:val="00C82565"/>
    <w:rsid w:val="00C8281E"/>
    <w:rsid w:val="00C86DBE"/>
    <w:rsid w:val="00CA5FBD"/>
    <w:rsid w:val="00CB3BFF"/>
    <w:rsid w:val="00CE765D"/>
    <w:rsid w:val="00CF2FA0"/>
    <w:rsid w:val="00D001B9"/>
    <w:rsid w:val="00D12C93"/>
    <w:rsid w:val="00D32CDA"/>
    <w:rsid w:val="00D44798"/>
    <w:rsid w:val="00D5073B"/>
    <w:rsid w:val="00D66900"/>
    <w:rsid w:val="00D766DC"/>
    <w:rsid w:val="00D857BC"/>
    <w:rsid w:val="00D9285C"/>
    <w:rsid w:val="00D975C6"/>
    <w:rsid w:val="00DA3C83"/>
    <w:rsid w:val="00DA5B1F"/>
    <w:rsid w:val="00DE22A3"/>
    <w:rsid w:val="00DF1EE4"/>
    <w:rsid w:val="00E003A0"/>
    <w:rsid w:val="00E25E86"/>
    <w:rsid w:val="00E43871"/>
    <w:rsid w:val="00E6379F"/>
    <w:rsid w:val="00E719D6"/>
    <w:rsid w:val="00E80C7B"/>
    <w:rsid w:val="00E94398"/>
    <w:rsid w:val="00EA2961"/>
    <w:rsid w:val="00EA7682"/>
    <w:rsid w:val="00EB41BB"/>
    <w:rsid w:val="00EC7486"/>
    <w:rsid w:val="00ED0A62"/>
    <w:rsid w:val="00ED124F"/>
    <w:rsid w:val="00EF4B70"/>
    <w:rsid w:val="00EF6DBC"/>
    <w:rsid w:val="00F00827"/>
    <w:rsid w:val="00F00B50"/>
    <w:rsid w:val="00F16D9C"/>
    <w:rsid w:val="00F33D91"/>
    <w:rsid w:val="00F45331"/>
    <w:rsid w:val="00F47829"/>
    <w:rsid w:val="00F63B20"/>
    <w:rsid w:val="00FD2654"/>
    <w:rsid w:val="00FD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81"/>
    <w:rPr>
      <w:sz w:val="24"/>
    </w:rPr>
  </w:style>
  <w:style w:type="paragraph" w:styleId="Heading1">
    <w:name w:val="heading 1"/>
    <w:basedOn w:val="Normal"/>
    <w:next w:val="Normal"/>
    <w:qFormat/>
    <w:rsid w:val="00B77A81"/>
    <w:pPr>
      <w:keepNext/>
      <w:outlineLvl w:val="0"/>
    </w:pPr>
    <w:rPr>
      <w:b/>
      <w:sz w:val="28"/>
    </w:rPr>
  </w:style>
  <w:style w:type="paragraph" w:styleId="Heading2">
    <w:name w:val="heading 2"/>
    <w:basedOn w:val="Normal"/>
    <w:next w:val="Normal"/>
    <w:qFormat/>
    <w:rsid w:val="00B77A81"/>
    <w:pPr>
      <w:keepNext/>
      <w:outlineLvl w:val="1"/>
    </w:pPr>
    <w:rPr>
      <w:b/>
    </w:rPr>
  </w:style>
  <w:style w:type="paragraph" w:styleId="Heading3">
    <w:name w:val="heading 3"/>
    <w:basedOn w:val="Normal"/>
    <w:next w:val="Normal"/>
    <w:qFormat/>
    <w:rsid w:val="00B77A81"/>
    <w:pPr>
      <w:keepNext/>
      <w:jc w:val="center"/>
      <w:outlineLvl w:val="2"/>
    </w:pPr>
    <w:rPr>
      <w:b/>
      <w:smallCaps/>
      <w:sz w:val="20"/>
    </w:rPr>
  </w:style>
  <w:style w:type="paragraph" w:styleId="Heading4">
    <w:name w:val="heading 4"/>
    <w:basedOn w:val="Normal"/>
    <w:next w:val="Normal"/>
    <w:qFormat/>
    <w:rsid w:val="00B77A81"/>
    <w:pPr>
      <w:keepNext/>
      <w:tabs>
        <w:tab w:val="left" w:pos="360"/>
        <w:tab w:val="left" w:pos="1080"/>
      </w:tabs>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77A81"/>
    <w:pPr>
      <w:spacing w:after="120"/>
    </w:pPr>
  </w:style>
  <w:style w:type="character" w:styleId="FootnoteReference">
    <w:name w:val="footnote reference"/>
    <w:basedOn w:val="DefaultParagraphFont"/>
    <w:semiHidden/>
    <w:rsid w:val="00B77A81"/>
    <w:rPr>
      <w:vertAlign w:val="superscript"/>
    </w:rPr>
  </w:style>
  <w:style w:type="paragraph" w:styleId="Header">
    <w:name w:val="header"/>
    <w:basedOn w:val="Normal"/>
    <w:link w:val="HeaderChar"/>
    <w:uiPriority w:val="99"/>
    <w:rsid w:val="00B77A81"/>
    <w:pPr>
      <w:tabs>
        <w:tab w:val="center" w:pos="4320"/>
        <w:tab w:val="right" w:pos="8640"/>
      </w:tabs>
    </w:pPr>
  </w:style>
  <w:style w:type="paragraph" w:styleId="Footer">
    <w:name w:val="footer"/>
    <w:aliases w:val="PageNumbers"/>
    <w:basedOn w:val="Normal"/>
    <w:rsid w:val="00B77A81"/>
    <w:pPr>
      <w:tabs>
        <w:tab w:val="center" w:pos="4320"/>
        <w:tab w:val="right" w:pos="8640"/>
      </w:tabs>
      <w:jc w:val="right"/>
    </w:pPr>
    <w:rPr>
      <w:snapToGrid w:val="0"/>
      <w:sz w:val="20"/>
    </w:rPr>
  </w:style>
  <w:style w:type="paragraph" w:customStyle="1" w:styleId="AddressOfficial">
    <w:name w:val="Address Official"/>
    <w:basedOn w:val="Normal"/>
    <w:rsid w:val="00B77A81"/>
    <w:pPr>
      <w:ind w:left="6840"/>
    </w:pPr>
    <w:rPr>
      <w:b/>
      <w:sz w:val="12"/>
    </w:rPr>
  </w:style>
  <w:style w:type="paragraph" w:customStyle="1" w:styleId="LetterHead">
    <w:name w:val="LetterHead"/>
    <w:basedOn w:val="Normal"/>
    <w:autoRedefine/>
    <w:rsid w:val="00B77A81"/>
    <w:pPr>
      <w:spacing w:line="360" w:lineRule="auto"/>
      <w:jc w:val="center"/>
    </w:pPr>
    <w:rPr>
      <w:b/>
    </w:rPr>
  </w:style>
  <w:style w:type="paragraph" w:customStyle="1" w:styleId="a">
    <w:name w:val="_"/>
    <w:basedOn w:val="Normal"/>
    <w:rsid w:val="00B77A81"/>
    <w:pPr>
      <w:widowControl w:val="0"/>
      <w:ind w:left="360" w:hanging="360"/>
    </w:pPr>
    <w:rPr>
      <w:rFonts w:ascii="Courier" w:hAnsi="Courier"/>
      <w:snapToGrid w:val="0"/>
    </w:rPr>
  </w:style>
  <w:style w:type="paragraph" w:customStyle="1" w:styleId="DocClassification">
    <w:name w:val="Doc Classification"/>
    <w:basedOn w:val="Header"/>
    <w:next w:val="Normal"/>
    <w:rsid w:val="00B77A81"/>
    <w:pPr>
      <w:jc w:val="right"/>
    </w:pPr>
    <w:rPr>
      <w:b/>
      <w:sz w:val="20"/>
      <w:effect w:val="antsRed"/>
    </w:rPr>
  </w:style>
  <w:style w:type="paragraph" w:customStyle="1" w:styleId="MemoHeader">
    <w:name w:val="Memo Header"/>
    <w:basedOn w:val="Normal"/>
    <w:next w:val="Normal"/>
    <w:rsid w:val="00B77A81"/>
    <w:rPr>
      <w:smallCaps/>
    </w:rPr>
  </w:style>
  <w:style w:type="paragraph" w:customStyle="1" w:styleId="MemoAddress">
    <w:name w:val="Memo Address"/>
    <w:basedOn w:val="Normal"/>
    <w:next w:val="Normal"/>
    <w:rsid w:val="00B77A81"/>
    <w:pPr>
      <w:spacing w:line="220" w:lineRule="exact"/>
      <w:ind w:left="1152" w:hanging="1152"/>
    </w:pPr>
  </w:style>
  <w:style w:type="paragraph" w:customStyle="1" w:styleId="AddressLine">
    <w:name w:val="Address Line"/>
    <w:basedOn w:val="NormalIndent"/>
    <w:next w:val="Normal"/>
    <w:rsid w:val="00B77A81"/>
  </w:style>
  <w:style w:type="paragraph" w:styleId="NormalIndent">
    <w:name w:val="Normal Indent"/>
    <w:basedOn w:val="Normal"/>
    <w:rsid w:val="00B77A81"/>
    <w:pPr>
      <w:ind w:left="720"/>
    </w:pPr>
  </w:style>
  <w:style w:type="paragraph" w:customStyle="1" w:styleId="MemoLabel">
    <w:name w:val="Memo Label"/>
    <w:basedOn w:val="Normal"/>
    <w:next w:val="Normal"/>
    <w:rsid w:val="00B77A81"/>
    <w:rPr>
      <w:b/>
      <w:smallCaps/>
      <w:sz w:val="56"/>
    </w:rPr>
  </w:style>
  <w:style w:type="paragraph" w:styleId="BalloonText">
    <w:name w:val="Balloon Text"/>
    <w:basedOn w:val="Normal"/>
    <w:semiHidden/>
    <w:rsid w:val="00BE30BC"/>
    <w:rPr>
      <w:rFonts w:ascii="Tahoma" w:hAnsi="Tahoma" w:cs="Tahoma"/>
      <w:sz w:val="16"/>
      <w:szCs w:val="16"/>
    </w:rPr>
  </w:style>
  <w:style w:type="paragraph" w:styleId="BodyText2">
    <w:name w:val="Body Text 2"/>
    <w:basedOn w:val="Normal"/>
    <w:rsid w:val="00DA3C83"/>
    <w:pPr>
      <w:jc w:val="center"/>
    </w:pPr>
  </w:style>
  <w:style w:type="character" w:styleId="PageNumber">
    <w:name w:val="page number"/>
    <w:basedOn w:val="DefaultParagraphFont"/>
    <w:rsid w:val="00352BF0"/>
  </w:style>
  <w:style w:type="paragraph" w:styleId="BodyTextIndent2">
    <w:name w:val="Body Text Indent 2"/>
    <w:basedOn w:val="Normal"/>
    <w:link w:val="BodyTextIndent2Char"/>
    <w:rsid w:val="0020010A"/>
    <w:pPr>
      <w:widowControl w:val="0"/>
      <w:ind w:firstLine="720"/>
    </w:pPr>
    <w:rPr>
      <w:snapToGrid w:val="0"/>
    </w:rPr>
  </w:style>
  <w:style w:type="character" w:customStyle="1" w:styleId="BodyTextIndent2Char">
    <w:name w:val="Body Text Indent 2 Char"/>
    <w:basedOn w:val="DefaultParagraphFont"/>
    <w:link w:val="BodyTextIndent2"/>
    <w:rsid w:val="0020010A"/>
    <w:rPr>
      <w:snapToGrid w:val="0"/>
      <w:sz w:val="24"/>
    </w:rPr>
  </w:style>
  <w:style w:type="character" w:customStyle="1" w:styleId="HeaderChar">
    <w:name w:val="Header Char"/>
    <w:basedOn w:val="DefaultParagraphFont"/>
    <w:link w:val="Header"/>
    <w:uiPriority w:val="99"/>
    <w:rsid w:val="0039577B"/>
    <w:rPr>
      <w:sz w:val="24"/>
    </w:rPr>
  </w:style>
</w:styles>
</file>

<file path=word/webSettings.xml><?xml version="1.0" encoding="utf-8"?>
<w:webSettings xmlns:r="http://schemas.openxmlformats.org/officeDocument/2006/relationships" xmlns:w="http://schemas.openxmlformats.org/wordprocessingml/2006/main">
  <w:divs>
    <w:div w:id="3680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SR\BS&amp;R%20Styl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BS&amp;R Style Memo.dot</Template>
  <TotalTime>64</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BS&amp;R</dc:creator>
  <cp:keywords/>
  <cp:lastModifiedBy>Scott William Farmer</cp:lastModifiedBy>
  <cp:revision>5</cp:revision>
  <cp:lastPrinted>2008-02-05T19:35:00Z</cp:lastPrinted>
  <dcterms:created xsi:type="dcterms:W3CDTF">2011-01-07T14:26:00Z</dcterms:created>
  <dcterms:modified xsi:type="dcterms:W3CDTF">2011-03-10T14:16:00Z</dcterms:modified>
</cp:coreProperties>
</file>