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C83" w:rsidRPr="00DF1EE4" w:rsidRDefault="00DA3C83" w:rsidP="00DA3C83">
      <w:pPr>
        <w:pStyle w:val="BodyText2"/>
        <w:rPr>
          <w:b/>
          <w:bCs/>
          <w:szCs w:val="24"/>
        </w:rPr>
      </w:pPr>
      <w:r w:rsidRPr="00DF1EE4">
        <w:rPr>
          <w:b/>
          <w:bCs/>
          <w:szCs w:val="24"/>
        </w:rPr>
        <w:t xml:space="preserve">Supporting Statement for </w:t>
      </w:r>
    </w:p>
    <w:p w:rsidR="00DA3C83" w:rsidRPr="00DF1EE4" w:rsidRDefault="00DA3C83" w:rsidP="00DA3C83">
      <w:pPr>
        <w:pStyle w:val="BodyText2"/>
        <w:rPr>
          <w:b/>
          <w:bCs/>
          <w:szCs w:val="24"/>
        </w:rPr>
      </w:pPr>
      <w:r w:rsidRPr="00DF1EE4">
        <w:rPr>
          <w:b/>
          <w:bCs/>
          <w:szCs w:val="24"/>
        </w:rPr>
        <w:t>Bank Holding Company Applications and Notifications</w:t>
      </w:r>
    </w:p>
    <w:p w:rsidR="00DA3C83" w:rsidRPr="00DF1EE4" w:rsidRDefault="00DA3C83" w:rsidP="00DA3C83">
      <w:pPr>
        <w:pStyle w:val="BodyText2"/>
        <w:rPr>
          <w:b/>
          <w:bCs/>
          <w:szCs w:val="24"/>
        </w:rPr>
      </w:pPr>
      <w:r w:rsidRPr="00DF1EE4">
        <w:rPr>
          <w:b/>
          <w:bCs/>
          <w:szCs w:val="24"/>
        </w:rPr>
        <w:t>(FR Y-3, FR Y-3N, and FR Y-4; OMB No. 7100-0121)</w:t>
      </w:r>
    </w:p>
    <w:p w:rsidR="00DA3C83" w:rsidRPr="00DF1EE4" w:rsidRDefault="00DA3C83">
      <w:pPr>
        <w:pStyle w:val="Header"/>
        <w:tabs>
          <w:tab w:val="clear" w:pos="4320"/>
          <w:tab w:val="clear" w:pos="8640"/>
          <w:tab w:val="left" w:pos="720"/>
          <w:tab w:val="left" w:pos="1440"/>
        </w:tabs>
        <w:rPr>
          <w:b/>
          <w:szCs w:val="24"/>
        </w:rPr>
      </w:pPr>
    </w:p>
    <w:p w:rsidR="009F0747" w:rsidRPr="00DF1EE4" w:rsidRDefault="009F0747">
      <w:pPr>
        <w:pStyle w:val="Header"/>
        <w:tabs>
          <w:tab w:val="clear" w:pos="4320"/>
          <w:tab w:val="clear" w:pos="8640"/>
          <w:tab w:val="left" w:pos="720"/>
          <w:tab w:val="left" w:pos="1440"/>
        </w:tabs>
        <w:rPr>
          <w:b/>
          <w:szCs w:val="24"/>
        </w:rPr>
      </w:pPr>
      <w:r w:rsidRPr="00DF1EE4">
        <w:rPr>
          <w:b/>
          <w:szCs w:val="24"/>
        </w:rPr>
        <w:t>Summary</w:t>
      </w:r>
    </w:p>
    <w:p w:rsidR="009F0747" w:rsidRPr="00DF1EE4" w:rsidRDefault="009F0747">
      <w:pPr>
        <w:pStyle w:val="Header"/>
        <w:tabs>
          <w:tab w:val="clear" w:pos="4320"/>
          <w:tab w:val="clear" w:pos="8640"/>
        </w:tabs>
        <w:rPr>
          <w:szCs w:val="24"/>
        </w:rPr>
      </w:pPr>
    </w:p>
    <w:p w:rsidR="00667207" w:rsidRPr="008412D3" w:rsidRDefault="0076295E" w:rsidP="0047251D">
      <w:pPr>
        <w:tabs>
          <w:tab w:val="left" w:pos="720"/>
          <w:tab w:val="left" w:pos="1440"/>
        </w:tabs>
        <w:ind w:firstLine="720"/>
        <w:rPr>
          <w:szCs w:val="24"/>
        </w:rPr>
      </w:pPr>
      <w:r>
        <w:t>The Board of Governors of the Federal Reserve System, under delegated authority from the Office of Management and Budget (OMB),</w:t>
      </w:r>
      <w:r w:rsidR="00DA3C83" w:rsidRPr="00DF1EE4">
        <w:t xml:space="preserve"> </w:t>
      </w:r>
      <w:r w:rsidR="00667207" w:rsidRPr="008412D3">
        <w:rPr>
          <w:szCs w:val="24"/>
        </w:rPr>
        <w:t>proposes to extend for three years, with minor revision, the mandatory Application for Prior Approval to Become a Bank Holding Company or for a Bank Holding Company to Acquire an Additional Bank or Bank Holding Company (FR Y-3; OMB No. 7100-0121).  This family of reports also contains the following notifications that are not being revised:</w:t>
      </w:r>
    </w:p>
    <w:p w:rsidR="00667207" w:rsidRPr="008412D3" w:rsidRDefault="00667207" w:rsidP="00667207">
      <w:pPr>
        <w:numPr>
          <w:ilvl w:val="0"/>
          <w:numId w:val="1"/>
        </w:numPr>
        <w:tabs>
          <w:tab w:val="left" w:pos="720"/>
          <w:tab w:val="left" w:pos="1440"/>
        </w:tabs>
        <w:rPr>
          <w:szCs w:val="24"/>
        </w:rPr>
      </w:pPr>
      <w:r w:rsidRPr="008412D3">
        <w:rPr>
          <w:szCs w:val="24"/>
        </w:rPr>
        <w:t>the Notification for Prior Approval to Become a Bank Holding Company or for a Bank Holding Company to Acquire an Additional Bank or Bank Holding Company (FR Y-3N; OMB No. 7100-0121) and</w:t>
      </w:r>
    </w:p>
    <w:p w:rsidR="00667207" w:rsidRPr="008412D3" w:rsidRDefault="00667207" w:rsidP="00667207">
      <w:pPr>
        <w:numPr>
          <w:ilvl w:val="0"/>
          <w:numId w:val="1"/>
        </w:numPr>
        <w:tabs>
          <w:tab w:val="left" w:pos="720"/>
          <w:tab w:val="left" w:pos="1440"/>
        </w:tabs>
        <w:rPr>
          <w:szCs w:val="24"/>
        </w:rPr>
      </w:pPr>
      <w:proofErr w:type="gramStart"/>
      <w:r w:rsidRPr="008412D3">
        <w:rPr>
          <w:szCs w:val="24"/>
        </w:rPr>
        <w:t>the</w:t>
      </w:r>
      <w:proofErr w:type="gramEnd"/>
      <w:r w:rsidRPr="008412D3">
        <w:rPr>
          <w:szCs w:val="24"/>
        </w:rPr>
        <w:t xml:space="preserve"> Notification for Prior Approval to Engage Directly or Indirectly in Certain Nonbanking Activities (FR Y-4; OMB No. 7100-0121).</w:t>
      </w:r>
    </w:p>
    <w:p w:rsidR="00667207" w:rsidRPr="008412D3" w:rsidRDefault="00667207" w:rsidP="00667207">
      <w:pPr>
        <w:rPr>
          <w:szCs w:val="24"/>
        </w:rPr>
      </w:pPr>
    </w:p>
    <w:p w:rsidR="00667207" w:rsidRPr="008412D3" w:rsidRDefault="00667207" w:rsidP="0047251D">
      <w:pPr>
        <w:tabs>
          <w:tab w:val="left" w:pos="720"/>
        </w:tabs>
        <w:ind w:firstLine="720"/>
        <w:rPr>
          <w:szCs w:val="24"/>
        </w:rPr>
      </w:pPr>
      <w:r w:rsidRPr="008412D3">
        <w:rPr>
          <w:szCs w:val="24"/>
        </w:rPr>
        <w:t>The Federal Reserve requires the submission of these filings for regulatory and supervisory purposes and to allow the Federal Reserve to fulfill its statutory obligations under the Bank Holding Company Act of 1956 (the BHC Act).  These filings</w:t>
      </w:r>
      <w:r w:rsidRPr="008412D3" w:rsidDel="006B3CD3">
        <w:rPr>
          <w:szCs w:val="24"/>
        </w:rPr>
        <w:t xml:space="preserve"> </w:t>
      </w:r>
      <w:r w:rsidRPr="008412D3">
        <w:rPr>
          <w:szCs w:val="24"/>
        </w:rPr>
        <w:t xml:space="preserve">collect information on proposals by BHCs involving formations, acquisitions, mergers, and nonbanking activities.  The Federal Reserve must obtain this information to evaluate each individual transaction with respect to financial and managerial factors, permissibility, competitive effects, net public benefits, and the impact on the convenience and needs of affected communities.  </w:t>
      </w:r>
    </w:p>
    <w:p w:rsidR="00667207" w:rsidRPr="008412D3" w:rsidRDefault="00667207" w:rsidP="00667207">
      <w:pPr>
        <w:tabs>
          <w:tab w:val="left" w:pos="720"/>
        </w:tabs>
        <w:rPr>
          <w:szCs w:val="24"/>
        </w:rPr>
      </w:pPr>
    </w:p>
    <w:p w:rsidR="00667207" w:rsidRPr="008412D3" w:rsidRDefault="00667207" w:rsidP="00667207">
      <w:pPr>
        <w:tabs>
          <w:tab w:val="left" w:pos="720"/>
        </w:tabs>
        <w:ind w:firstLine="720"/>
        <w:rPr>
          <w:szCs w:val="24"/>
        </w:rPr>
      </w:pPr>
      <w:r w:rsidRPr="008412D3">
        <w:rPr>
          <w:szCs w:val="24"/>
        </w:rPr>
        <w:t xml:space="preserve">The Federal Reserve </w:t>
      </w:r>
      <w:r w:rsidRPr="008412D3">
        <w:rPr>
          <w:color w:val="000000"/>
          <w:szCs w:val="24"/>
        </w:rPr>
        <w:t xml:space="preserve">proposes to revise the FR Y-3 instructions by requesting additional information in Section 7.  Any principal that would own 10 percent or more of the equity of the Applicant would be asked to provide an Interagency Biographical and Financial Report (FR 2081c; OMB No. 7100-0134) (IBFR).  If the principal is a corporation or partnership, it would be asked to provide financial statements (balance sheets and income statements) for the two most recent fiscal years and the most recent quarter end.  Applicants would be asked to discuss any negative trends in the financial statements.  </w:t>
      </w:r>
      <w:r w:rsidRPr="008412D3">
        <w:rPr>
          <w:szCs w:val="24"/>
        </w:rPr>
        <w:t xml:space="preserve">The current combined annual burden for the application and notifications is estimated to be 14,913 hours and would increase to 15,905 hours with the proposed revision.  </w:t>
      </w:r>
      <w:r w:rsidRPr="008412D3">
        <w:rPr>
          <w:color w:val="000000"/>
          <w:szCs w:val="24"/>
        </w:rPr>
        <w:t xml:space="preserve">A copy of the draft instructions, marked to show the proposed revision, is attached.  </w:t>
      </w:r>
    </w:p>
    <w:p w:rsidR="00667207" w:rsidRPr="008412D3" w:rsidRDefault="00667207" w:rsidP="00667207">
      <w:pPr>
        <w:tabs>
          <w:tab w:val="left" w:pos="720"/>
        </w:tabs>
        <w:rPr>
          <w:bCs/>
          <w:szCs w:val="24"/>
        </w:rPr>
      </w:pPr>
    </w:p>
    <w:p w:rsidR="00667207" w:rsidRPr="008412D3" w:rsidRDefault="00667207" w:rsidP="00667207">
      <w:pPr>
        <w:rPr>
          <w:bCs/>
          <w:szCs w:val="24"/>
        </w:rPr>
      </w:pPr>
      <w:r w:rsidRPr="008412D3">
        <w:rPr>
          <w:b/>
          <w:bCs/>
          <w:szCs w:val="24"/>
        </w:rPr>
        <w:t>Background and Justification</w:t>
      </w:r>
    </w:p>
    <w:p w:rsidR="00667207" w:rsidRPr="008412D3" w:rsidRDefault="00667207" w:rsidP="00667207">
      <w:pPr>
        <w:pStyle w:val="Header"/>
        <w:tabs>
          <w:tab w:val="clear" w:pos="4320"/>
          <w:tab w:val="clear" w:pos="8640"/>
        </w:tabs>
        <w:rPr>
          <w:szCs w:val="24"/>
        </w:rPr>
      </w:pPr>
    </w:p>
    <w:p w:rsidR="00667207" w:rsidRPr="008412D3" w:rsidRDefault="00667207" w:rsidP="0047251D">
      <w:pPr>
        <w:pStyle w:val="FootnoteText"/>
        <w:tabs>
          <w:tab w:val="left" w:pos="720"/>
          <w:tab w:val="left" w:pos="1440"/>
        </w:tabs>
        <w:spacing w:after="0"/>
        <w:ind w:firstLine="720"/>
        <w:rPr>
          <w:szCs w:val="24"/>
        </w:rPr>
      </w:pPr>
      <w:r w:rsidRPr="008412D3">
        <w:rPr>
          <w:szCs w:val="24"/>
        </w:rPr>
        <w:t>The FR Y-3 was created in July 1994 as a replacement for the Application for Prior Approval to Become a Bank Holding Company (FR Y-1; OMB No. 7100-0119) and the Application for Prior Approval for a Bank Holding Company to Acquire an Additional Bank or Bank Holding Company (FR Y-2; OMB No. 7100-0171).  The FR Y-1 and FR Y-2 applications had been in existence since the implementation of the BHC Act.</w:t>
      </w:r>
    </w:p>
    <w:p w:rsidR="00667207" w:rsidRPr="008412D3" w:rsidRDefault="00667207" w:rsidP="00667207">
      <w:pPr>
        <w:pStyle w:val="FootnoteText"/>
        <w:tabs>
          <w:tab w:val="left" w:pos="720"/>
          <w:tab w:val="left" w:pos="1440"/>
        </w:tabs>
        <w:spacing w:after="0"/>
        <w:rPr>
          <w:szCs w:val="24"/>
        </w:rPr>
      </w:pPr>
    </w:p>
    <w:p w:rsidR="00667207" w:rsidRPr="008412D3" w:rsidRDefault="00667207" w:rsidP="0047251D">
      <w:pPr>
        <w:pStyle w:val="FootnoteText"/>
        <w:tabs>
          <w:tab w:val="left" w:pos="720"/>
          <w:tab w:val="left" w:pos="1440"/>
        </w:tabs>
        <w:spacing w:after="0"/>
        <w:ind w:firstLine="720"/>
        <w:rPr>
          <w:szCs w:val="24"/>
        </w:rPr>
      </w:pPr>
      <w:r w:rsidRPr="008412D3">
        <w:rPr>
          <w:szCs w:val="24"/>
        </w:rPr>
        <w:t xml:space="preserve">The FR Y-3N was created in April 1999 to accommodate certain changes to Regulation Y (approved by the Federal Reserve on February 19, 1997) that established streamlined review processes for certain applications and notifications.  These revisions reduced the burden and delay associated with the review process for proposals filed under section 3 of the </w:t>
      </w:r>
      <w:r w:rsidRPr="008412D3">
        <w:rPr>
          <w:szCs w:val="24"/>
        </w:rPr>
        <w:lastRenderedPageBreak/>
        <w:t xml:space="preserve">BHC Act by well-run BHCs (those institutions that meet objective and verifiable measures for each of the criteria set forth in the BHC Act and Regulation Y).  These procedures (which became effective April 21, 1997) reduced the amount of information required to be provided by a filer and permitted the Federal Reserve System to take expedited action on proposals meeting the qualifying criteria set forth in the regulation.  </w:t>
      </w:r>
    </w:p>
    <w:p w:rsidR="00667207" w:rsidRPr="008412D3" w:rsidRDefault="00667207" w:rsidP="00667207">
      <w:pPr>
        <w:pStyle w:val="FootnoteText"/>
        <w:tabs>
          <w:tab w:val="left" w:pos="720"/>
          <w:tab w:val="left" w:pos="1440"/>
        </w:tabs>
        <w:spacing w:after="0"/>
        <w:rPr>
          <w:szCs w:val="24"/>
        </w:rPr>
      </w:pPr>
    </w:p>
    <w:p w:rsidR="00667207" w:rsidRPr="008412D3" w:rsidRDefault="00667207" w:rsidP="00667207">
      <w:pPr>
        <w:pStyle w:val="FootnoteText"/>
        <w:tabs>
          <w:tab w:val="left" w:pos="720"/>
          <w:tab w:val="left" w:pos="1440"/>
        </w:tabs>
        <w:spacing w:after="0"/>
        <w:rPr>
          <w:szCs w:val="24"/>
        </w:rPr>
      </w:pPr>
      <w:r w:rsidRPr="008412D3">
        <w:rPr>
          <w:szCs w:val="24"/>
        </w:rPr>
        <w:tab/>
        <w:t>The FR Y-4 was created in June 1971 as a result of amendments to the BHC Act in 1970 permitting BHCs to engage in certain nonbanking activities.  The notification form was significantly revised in April 1999 to accommodate other 1997 revisions to Regulation Y that established streamlined procedures for certain nonbanking proposals.  These new procedures were intended to reduce significantly the regulatory burden associated with the review process for proposals filed under section 4 of the BHC Act by well-run BHCs.</w:t>
      </w:r>
    </w:p>
    <w:p w:rsidR="00667207" w:rsidRPr="008412D3" w:rsidRDefault="00667207" w:rsidP="00667207">
      <w:pPr>
        <w:pStyle w:val="FootnoteText"/>
        <w:tabs>
          <w:tab w:val="left" w:pos="720"/>
          <w:tab w:val="left" w:pos="1440"/>
        </w:tabs>
        <w:spacing w:after="0"/>
        <w:rPr>
          <w:szCs w:val="24"/>
        </w:rPr>
      </w:pPr>
    </w:p>
    <w:p w:rsidR="00667207" w:rsidRPr="008412D3" w:rsidRDefault="00667207" w:rsidP="00667207">
      <w:pPr>
        <w:pStyle w:val="FootnoteText"/>
        <w:tabs>
          <w:tab w:val="left" w:pos="720"/>
          <w:tab w:val="left" w:pos="1440"/>
        </w:tabs>
        <w:spacing w:after="0"/>
        <w:rPr>
          <w:szCs w:val="24"/>
        </w:rPr>
      </w:pPr>
      <w:r w:rsidRPr="008412D3">
        <w:rPr>
          <w:szCs w:val="24"/>
        </w:rPr>
        <w:tab/>
        <w:t>In 1999, minor additions and substitutions to the FR Y-3 and the FR Y-3N and deletions to the FR Y-4 were necessary after passage of the Gramm-Leach-Bliley Act (the GLB Act).  The revisions reflected that a filing organization could seek to become, or already had become, a financial holding company (FHC), as well as other related modifications.  The 2004 and 2007 reviews of these application and notifications continued to focus on modifications that clarify the information needed for specific types of proposals, as more detailed initial filings (that fully explain the particular type of proposal) have proven to be the best means for reducing the time and burden associated with the review of these applications.</w:t>
      </w:r>
    </w:p>
    <w:p w:rsidR="00667207" w:rsidRPr="008412D3" w:rsidRDefault="00667207" w:rsidP="00667207">
      <w:pPr>
        <w:pStyle w:val="FootnoteText"/>
        <w:tabs>
          <w:tab w:val="left" w:pos="720"/>
          <w:tab w:val="left" w:pos="1440"/>
        </w:tabs>
        <w:spacing w:after="0"/>
        <w:rPr>
          <w:szCs w:val="24"/>
        </w:rPr>
      </w:pPr>
    </w:p>
    <w:p w:rsidR="00667207" w:rsidRPr="008412D3" w:rsidRDefault="00667207" w:rsidP="00667207">
      <w:pPr>
        <w:pStyle w:val="FootnoteText"/>
        <w:tabs>
          <w:tab w:val="left" w:pos="720"/>
          <w:tab w:val="left" w:pos="1440"/>
        </w:tabs>
        <w:spacing w:after="0"/>
        <w:rPr>
          <w:szCs w:val="24"/>
        </w:rPr>
      </w:pPr>
      <w:r w:rsidRPr="008412D3">
        <w:rPr>
          <w:szCs w:val="24"/>
        </w:rPr>
        <w:tab/>
        <w:t xml:space="preserve">The Federal Reserve has the sole authority to act on the transactions contemplated under the application and notification forms.  The information requested for each type of filing is necessary for the Federal Reserve to fulfill its responsibilities under the BHC Act.  The completed filings are the primary source of comprehensive data on the structure of the proposal, the pro forma financial condition of the filer and of its </w:t>
      </w:r>
      <w:proofErr w:type="gramStart"/>
      <w:r w:rsidRPr="008412D3">
        <w:rPr>
          <w:szCs w:val="24"/>
        </w:rPr>
        <w:t>subsidiary(</w:t>
      </w:r>
      <w:proofErr w:type="spellStart"/>
      <w:proofErr w:type="gramEnd"/>
      <w:r w:rsidRPr="008412D3">
        <w:rPr>
          <w:szCs w:val="24"/>
        </w:rPr>
        <w:t>ies</w:t>
      </w:r>
      <w:proofErr w:type="spellEnd"/>
      <w:r w:rsidRPr="008412D3">
        <w:rPr>
          <w:szCs w:val="24"/>
        </w:rPr>
        <w:t>), the competitive position of the filer and entities being acquired, the effect that the proposal would have on the public interest, and the nonbanking activities in which the filer proposes to engage.  This information is not available from any other source, and the information is critical to the Federal Reserve being able to determine whether a proposed transaction is financially sound, competitively acceptable, and consistent with the public interest.</w:t>
      </w:r>
    </w:p>
    <w:p w:rsidR="00667207" w:rsidRDefault="00667207" w:rsidP="00667207">
      <w:pPr>
        <w:rPr>
          <w:b/>
          <w:bCs/>
          <w:szCs w:val="24"/>
        </w:rPr>
      </w:pPr>
    </w:p>
    <w:p w:rsidR="00667207" w:rsidRPr="008412D3" w:rsidRDefault="00667207" w:rsidP="00667207">
      <w:pPr>
        <w:rPr>
          <w:b/>
          <w:bCs/>
          <w:szCs w:val="24"/>
        </w:rPr>
      </w:pPr>
      <w:r w:rsidRPr="008412D3">
        <w:rPr>
          <w:b/>
          <w:bCs/>
          <w:szCs w:val="24"/>
        </w:rPr>
        <w:t>Description of Information Collection</w:t>
      </w:r>
    </w:p>
    <w:p w:rsidR="00667207" w:rsidRPr="008412D3" w:rsidRDefault="00667207" w:rsidP="00667207">
      <w:pPr>
        <w:tabs>
          <w:tab w:val="left" w:pos="360"/>
        </w:tabs>
        <w:rPr>
          <w:szCs w:val="24"/>
        </w:rPr>
      </w:pPr>
    </w:p>
    <w:p w:rsidR="00667207" w:rsidRPr="008412D3" w:rsidRDefault="00667207" w:rsidP="00667207">
      <w:pPr>
        <w:tabs>
          <w:tab w:val="left" w:pos="720"/>
          <w:tab w:val="left" w:pos="1440"/>
        </w:tabs>
        <w:rPr>
          <w:szCs w:val="24"/>
        </w:rPr>
      </w:pPr>
      <w:r w:rsidRPr="008412D3">
        <w:rPr>
          <w:szCs w:val="24"/>
        </w:rPr>
        <w:tab/>
        <w:t>The FR Y-3, FR Y-3N, and FR Y-4 are event generated.  The application and notification forms collect information concerning proposed BHC formations, acquisitions, mergers, and proposed nonbanking activities.  The acquisitions may involve bank, nonbank, and BHC targets.  Generally these applications and notifications are submitted to the appropriate Federal Reserve Bank by existing or proposed BHCs.  A Reserve Bank participates in the review of every application and notification filed by a BHC for which it is responsible.  Certain proposals are approved by a Reserve Bank under delegated authority, while certain other proposals are forwarded to the Board or the Secretary of the Board for action.</w:t>
      </w:r>
      <w:r w:rsidRPr="008412D3">
        <w:rPr>
          <w:rStyle w:val="FootnoteReference"/>
          <w:szCs w:val="24"/>
        </w:rPr>
        <w:footnoteReference w:id="1"/>
      </w:r>
    </w:p>
    <w:p w:rsidR="00667207" w:rsidRPr="008412D3" w:rsidRDefault="00667207" w:rsidP="00667207">
      <w:pPr>
        <w:tabs>
          <w:tab w:val="left" w:pos="720"/>
          <w:tab w:val="left" w:pos="1440"/>
        </w:tabs>
        <w:rPr>
          <w:szCs w:val="24"/>
        </w:rPr>
      </w:pPr>
    </w:p>
    <w:p w:rsidR="00667207" w:rsidRPr="008412D3" w:rsidRDefault="00667207" w:rsidP="00667207">
      <w:pPr>
        <w:tabs>
          <w:tab w:val="left" w:pos="720"/>
          <w:tab w:val="left" w:pos="1440"/>
        </w:tabs>
        <w:rPr>
          <w:szCs w:val="24"/>
        </w:rPr>
      </w:pPr>
      <w:r w:rsidRPr="008412D3">
        <w:rPr>
          <w:szCs w:val="24"/>
        </w:rPr>
        <w:tab/>
        <w:t xml:space="preserve">The financial information required for bank and BHC acquisitions is generally collected at both the holding company and bank level.  The competitive data for such banking proposals generally involve only the affected local banking markets, with collection normally at the branch level and occasionally at the bank level.  Financial information for nonbank applications is collected on the BHC and the particular </w:t>
      </w:r>
      <w:proofErr w:type="gramStart"/>
      <w:r w:rsidRPr="008412D3">
        <w:rPr>
          <w:szCs w:val="24"/>
        </w:rPr>
        <w:t>company(</w:t>
      </w:r>
      <w:proofErr w:type="spellStart"/>
      <w:proofErr w:type="gramEnd"/>
      <w:r w:rsidRPr="008412D3">
        <w:rPr>
          <w:szCs w:val="24"/>
        </w:rPr>
        <w:t>ies</w:t>
      </w:r>
      <w:proofErr w:type="spellEnd"/>
      <w:r w:rsidRPr="008412D3">
        <w:rPr>
          <w:szCs w:val="24"/>
        </w:rPr>
        <w:t>) involved in the transaction.  Nonbank competitive information is collected on a local, regional, or national basis, depending on the product or activity involved.</w:t>
      </w:r>
    </w:p>
    <w:p w:rsidR="00667207" w:rsidRPr="008412D3" w:rsidRDefault="00667207" w:rsidP="00667207">
      <w:pPr>
        <w:tabs>
          <w:tab w:val="left" w:pos="720"/>
          <w:tab w:val="left" w:pos="1440"/>
        </w:tabs>
        <w:rPr>
          <w:szCs w:val="24"/>
        </w:rPr>
      </w:pPr>
    </w:p>
    <w:p w:rsidR="00667207" w:rsidRPr="008412D3" w:rsidRDefault="00667207" w:rsidP="00667207">
      <w:pPr>
        <w:tabs>
          <w:tab w:val="left" w:pos="720"/>
          <w:tab w:val="left" w:pos="1440"/>
        </w:tabs>
        <w:rPr>
          <w:b/>
          <w:szCs w:val="24"/>
        </w:rPr>
      </w:pPr>
      <w:r w:rsidRPr="008412D3">
        <w:rPr>
          <w:b/>
          <w:szCs w:val="24"/>
        </w:rPr>
        <w:tab/>
        <w:t>FR Y-3</w:t>
      </w:r>
    </w:p>
    <w:p w:rsidR="00667207" w:rsidRPr="008412D3" w:rsidRDefault="00667207" w:rsidP="00667207">
      <w:pPr>
        <w:tabs>
          <w:tab w:val="left" w:pos="720"/>
          <w:tab w:val="left" w:pos="1440"/>
        </w:tabs>
        <w:rPr>
          <w:szCs w:val="24"/>
        </w:rPr>
      </w:pPr>
    </w:p>
    <w:p w:rsidR="00667207" w:rsidRPr="008412D3" w:rsidRDefault="00667207" w:rsidP="00667207">
      <w:pPr>
        <w:tabs>
          <w:tab w:val="left" w:pos="720"/>
          <w:tab w:val="left" w:pos="1440"/>
        </w:tabs>
        <w:rPr>
          <w:szCs w:val="24"/>
        </w:rPr>
      </w:pPr>
      <w:r w:rsidRPr="008412D3">
        <w:rPr>
          <w:szCs w:val="24"/>
        </w:rPr>
        <w:tab/>
        <w:t>The FR Y-3 application form is completed by an:</w:t>
      </w:r>
    </w:p>
    <w:p w:rsidR="00667207" w:rsidRPr="008412D3" w:rsidRDefault="00667207" w:rsidP="00667207">
      <w:pPr>
        <w:pStyle w:val="a"/>
        <w:widowControl/>
        <w:numPr>
          <w:ilvl w:val="0"/>
          <w:numId w:val="7"/>
        </w:numPr>
        <w:tabs>
          <w:tab w:val="left" w:pos="360"/>
        </w:tabs>
        <w:rPr>
          <w:rFonts w:ascii="Times New Roman" w:hAnsi="Times New Roman"/>
          <w:szCs w:val="24"/>
        </w:rPr>
      </w:pPr>
      <w:r w:rsidRPr="008412D3">
        <w:rPr>
          <w:rFonts w:ascii="Times New Roman" w:hAnsi="Times New Roman"/>
          <w:szCs w:val="24"/>
        </w:rPr>
        <w:t>organization seeking prior approval to become a BHC through the acquisition of one or more banks; and</w:t>
      </w:r>
    </w:p>
    <w:p w:rsidR="00667207" w:rsidRPr="008412D3" w:rsidRDefault="00667207" w:rsidP="00667207">
      <w:pPr>
        <w:pStyle w:val="a"/>
        <w:widowControl/>
        <w:numPr>
          <w:ilvl w:val="0"/>
          <w:numId w:val="7"/>
        </w:numPr>
        <w:tabs>
          <w:tab w:val="left" w:pos="360"/>
        </w:tabs>
        <w:rPr>
          <w:rFonts w:ascii="Times New Roman" w:hAnsi="Times New Roman"/>
          <w:szCs w:val="24"/>
        </w:rPr>
      </w:pPr>
      <w:r w:rsidRPr="008412D3">
        <w:rPr>
          <w:rFonts w:ascii="Times New Roman" w:hAnsi="Times New Roman"/>
          <w:szCs w:val="24"/>
        </w:rPr>
        <w:t>existing BHC seeking prior approval to (</w:t>
      </w:r>
      <w:proofErr w:type="spellStart"/>
      <w:r w:rsidRPr="008412D3">
        <w:rPr>
          <w:rFonts w:ascii="Times New Roman" w:hAnsi="Times New Roman"/>
          <w:szCs w:val="24"/>
        </w:rPr>
        <w:t>i</w:t>
      </w:r>
      <w:proofErr w:type="spellEnd"/>
      <w:r w:rsidRPr="008412D3">
        <w:rPr>
          <w:rFonts w:ascii="Times New Roman" w:hAnsi="Times New Roman"/>
          <w:szCs w:val="24"/>
        </w:rPr>
        <w:t>) acquire 5 percent or more of the shares of an additional bank, (ii) acquire additional shares of any bank in which a BHC already has an ownership position of 5 percent or more, but less than 50 percent,</w:t>
      </w:r>
      <w:r w:rsidRPr="008412D3">
        <w:rPr>
          <w:rStyle w:val="FootnoteReference"/>
          <w:rFonts w:ascii="Times New Roman" w:hAnsi="Times New Roman"/>
          <w:szCs w:val="24"/>
        </w:rPr>
        <w:footnoteReference w:id="2"/>
      </w:r>
      <w:r w:rsidRPr="008412D3">
        <w:rPr>
          <w:rFonts w:ascii="Times New Roman" w:hAnsi="Times New Roman"/>
          <w:szCs w:val="24"/>
        </w:rPr>
        <w:t xml:space="preserve"> (iii) merge or consolidate with another BHC, or (iv) otherwise acquire all or a portion of the assets of a bank.</w:t>
      </w:r>
    </w:p>
    <w:p w:rsidR="00667207" w:rsidRPr="008412D3" w:rsidRDefault="00667207" w:rsidP="00667207">
      <w:pPr>
        <w:pStyle w:val="a"/>
        <w:widowControl/>
        <w:tabs>
          <w:tab w:val="left" w:pos="360"/>
        </w:tabs>
        <w:ind w:left="0" w:firstLine="0"/>
        <w:rPr>
          <w:rFonts w:ascii="Times New Roman" w:hAnsi="Times New Roman"/>
          <w:szCs w:val="24"/>
        </w:rPr>
      </w:pPr>
    </w:p>
    <w:p w:rsidR="00667207" w:rsidRPr="008412D3" w:rsidRDefault="00667207" w:rsidP="00667207">
      <w:pPr>
        <w:tabs>
          <w:tab w:val="left" w:pos="720"/>
          <w:tab w:val="left" w:pos="1440"/>
        </w:tabs>
        <w:rPr>
          <w:szCs w:val="24"/>
        </w:rPr>
      </w:pPr>
      <w:r w:rsidRPr="008412D3">
        <w:rPr>
          <w:szCs w:val="24"/>
        </w:rPr>
        <w:tab/>
        <w:t>These applications are reviewed under the procedures described in section 225.15 of Regulation Y and are filed in the event the institution does not meet the requirements for filing the FR Y-3N (discussed below).  Each of the applications requires information on the proposed transaction, information on competition, convenience, and needs, and financial and managerial information.  The FR Y-3 instructions describe the publication requirements for each application.</w:t>
      </w:r>
    </w:p>
    <w:p w:rsidR="00667207" w:rsidRPr="008412D3" w:rsidRDefault="00667207" w:rsidP="00667207">
      <w:pPr>
        <w:tabs>
          <w:tab w:val="left" w:pos="720"/>
          <w:tab w:val="left" w:pos="1440"/>
        </w:tabs>
        <w:rPr>
          <w:szCs w:val="24"/>
          <w:u w:val="single"/>
        </w:rPr>
      </w:pPr>
    </w:p>
    <w:p w:rsidR="00667207" w:rsidRPr="008412D3" w:rsidRDefault="00667207" w:rsidP="00667207">
      <w:pPr>
        <w:tabs>
          <w:tab w:val="left" w:pos="720"/>
          <w:tab w:val="left" w:pos="1440"/>
        </w:tabs>
        <w:rPr>
          <w:b/>
          <w:szCs w:val="24"/>
        </w:rPr>
      </w:pPr>
      <w:r w:rsidRPr="008412D3">
        <w:rPr>
          <w:szCs w:val="24"/>
        </w:rPr>
        <w:tab/>
      </w:r>
      <w:r w:rsidRPr="008412D3">
        <w:rPr>
          <w:b/>
          <w:szCs w:val="24"/>
        </w:rPr>
        <w:t>FR Y-3N</w:t>
      </w:r>
    </w:p>
    <w:p w:rsidR="00667207" w:rsidRPr="008412D3" w:rsidRDefault="00667207" w:rsidP="00667207">
      <w:pPr>
        <w:tabs>
          <w:tab w:val="left" w:pos="720"/>
          <w:tab w:val="left" w:pos="1440"/>
        </w:tabs>
        <w:rPr>
          <w:szCs w:val="24"/>
        </w:rPr>
      </w:pPr>
    </w:p>
    <w:p w:rsidR="00667207" w:rsidRPr="008412D3" w:rsidRDefault="00667207" w:rsidP="00667207">
      <w:pPr>
        <w:tabs>
          <w:tab w:val="left" w:pos="720"/>
          <w:tab w:val="left" w:pos="1440"/>
        </w:tabs>
        <w:rPr>
          <w:szCs w:val="24"/>
        </w:rPr>
      </w:pPr>
      <w:r w:rsidRPr="008412D3">
        <w:rPr>
          <w:szCs w:val="24"/>
        </w:rPr>
        <w:tab/>
        <w:t>The FR Y-3N notification form is completed:</w:t>
      </w:r>
    </w:p>
    <w:p w:rsidR="00667207" w:rsidRPr="008412D3" w:rsidRDefault="00667207" w:rsidP="00667207">
      <w:pPr>
        <w:pStyle w:val="a"/>
        <w:widowControl/>
        <w:numPr>
          <w:ilvl w:val="0"/>
          <w:numId w:val="7"/>
        </w:numPr>
        <w:tabs>
          <w:tab w:val="left" w:pos="360"/>
        </w:tabs>
        <w:rPr>
          <w:rFonts w:ascii="Times New Roman" w:hAnsi="Times New Roman"/>
          <w:szCs w:val="24"/>
        </w:rPr>
      </w:pPr>
      <w:r w:rsidRPr="008412D3">
        <w:rPr>
          <w:rFonts w:ascii="Times New Roman" w:hAnsi="Times New Roman"/>
          <w:szCs w:val="24"/>
        </w:rPr>
        <w:t>for certain BHC formations, using the abbreviated notice procedures described in section 225.17 of Regulation Y; and</w:t>
      </w:r>
    </w:p>
    <w:p w:rsidR="00667207" w:rsidRPr="008412D3" w:rsidRDefault="00667207" w:rsidP="00667207">
      <w:pPr>
        <w:pStyle w:val="a"/>
        <w:widowControl/>
        <w:numPr>
          <w:ilvl w:val="0"/>
          <w:numId w:val="7"/>
        </w:numPr>
        <w:tabs>
          <w:tab w:val="left" w:pos="360"/>
        </w:tabs>
        <w:rPr>
          <w:rFonts w:ascii="Times New Roman" w:hAnsi="Times New Roman"/>
          <w:szCs w:val="24"/>
        </w:rPr>
      </w:pPr>
      <w:proofErr w:type="gramStart"/>
      <w:r w:rsidRPr="008412D3">
        <w:rPr>
          <w:rFonts w:ascii="Times New Roman" w:hAnsi="Times New Roman"/>
          <w:szCs w:val="24"/>
        </w:rPr>
        <w:t>to</w:t>
      </w:r>
      <w:proofErr w:type="gramEnd"/>
      <w:r w:rsidRPr="008412D3">
        <w:rPr>
          <w:rFonts w:ascii="Times New Roman" w:hAnsi="Times New Roman"/>
          <w:szCs w:val="24"/>
        </w:rPr>
        <w:t xml:space="preserve"> acquire shares, assets,</w:t>
      </w:r>
      <w:r w:rsidRPr="008412D3">
        <w:rPr>
          <w:rFonts w:ascii="Times New Roman" w:hAnsi="Times New Roman"/>
          <w:b/>
          <w:szCs w:val="24"/>
        </w:rPr>
        <w:t xml:space="preserve"> </w:t>
      </w:r>
      <w:r w:rsidRPr="008412D3">
        <w:rPr>
          <w:rFonts w:ascii="Times New Roman" w:hAnsi="Times New Roman"/>
          <w:szCs w:val="24"/>
        </w:rPr>
        <w:t>or control of a bank, or a merger or consolidation between BHCs using the streamlined procedures described in section 225.14 of Regulation Y.</w:t>
      </w:r>
    </w:p>
    <w:p w:rsidR="00667207" w:rsidRPr="008412D3" w:rsidRDefault="00667207" w:rsidP="00667207">
      <w:pPr>
        <w:tabs>
          <w:tab w:val="left" w:pos="360"/>
        </w:tabs>
        <w:rPr>
          <w:szCs w:val="24"/>
        </w:rPr>
      </w:pPr>
    </w:p>
    <w:p w:rsidR="00667207" w:rsidRPr="008412D3" w:rsidRDefault="00667207" w:rsidP="00667207">
      <w:pPr>
        <w:tabs>
          <w:tab w:val="left" w:pos="720"/>
          <w:tab w:val="left" w:pos="1440"/>
        </w:tabs>
        <w:rPr>
          <w:szCs w:val="24"/>
        </w:rPr>
      </w:pPr>
      <w:r w:rsidRPr="008412D3">
        <w:rPr>
          <w:szCs w:val="24"/>
        </w:rPr>
        <w:tab/>
        <w:t>Formation notifications filed under section 225.17 of Regulation Y must be provided in writing and contain a certification that the requirements of 12 U.S.C. 1842(a</w:t>
      </w:r>
      <w:proofErr w:type="gramStart"/>
      <w:r w:rsidRPr="008412D3">
        <w:rPr>
          <w:szCs w:val="24"/>
        </w:rPr>
        <w:t>)(</w:t>
      </w:r>
      <w:proofErr w:type="gramEnd"/>
      <w:r w:rsidRPr="008412D3">
        <w:rPr>
          <w:szCs w:val="24"/>
        </w:rPr>
        <w:t>C) and section 225.17(a) of Regulation Y are met.  The notification also must contain shareholder information prior to and following the reorganization, management information, and financial information.</w:t>
      </w:r>
    </w:p>
    <w:p w:rsidR="00667207" w:rsidRPr="008412D3" w:rsidRDefault="00667207" w:rsidP="00667207">
      <w:pPr>
        <w:tabs>
          <w:tab w:val="left" w:pos="720"/>
          <w:tab w:val="left" w:pos="1440"/>
        </w:tabs>
        <w:rPr>
          <w:szCs w:val="24"/>
        </w:rPr>
      </w:pPr>
    </w:p>
    <w:p w:rsidR="00667207" w:rsidRPr="008412D3" w:rsidRDefault="00667207" w:rsidP="00667207">
      <w:pPr>
        <w:tabs>
          <w:tab w:val="left" w:pos="720"/>
          <w:tab w:val="left" w:pos="1440"/>
        </w:tabs>
        <w:rPr>
          <w:szCs w:val="24"/>
        </w:rPr>
      </w:pPr>
      <w:r w:rsidRPr="008412D3">
        <w:rPr>
          <w:szCs w:val="24"/>
        </w:rPr>
        <w:tab/>
        <w:t>Acquisition and merger notifications filed under section 225.14 of Regulation Y must be provided in writing and contain a certification that all of the criteria listed in section 225.14(c) are satisfied.  Among other criteria, only well-capitalized and well-managed organizations may use the expedited procedure.  Each notification also must contain a description of the transaction, the effect on the convenience and needs of the communities to be served, evidence of publication of the proposed transaction, financial information based on the size of the BHC, managerial and capital information that is dependent on the type of proposal, and competitive information.</w:t>
      </w:r>
      <w:r w:rsidRPr="008412D3">
        <w:rPr>
          <w:rStyle w:val="FootnoteReference"/>
          <w:szCs w:val="24"/>
        </w:rPr>
        <w:footnoteReference w:id="3"/>
      </w:r>
    </w:p>
    <w:p w:rsidR="00667207" w:rsidRPr="008412D3" w:rsidRDefault="00667207" w:rsidP="00667207">
      <w:pPr>
        <w:tabs>
          <w:tab w:val="left" w:pos="720"/>
          <w:tab w:val="left" w:pos="1440"/>
        </w:tabs>
        <w:rPr>
          <w:szCs w:val="24"/>
        </w:rPr>
      </w:pPr>
    </w:p>
    <w:p w:rsidR="00667207" w:rsidRPr="008412D3" w:rsidRDefault="00667207" w:rsidP="00667207">
      <w:pPr>
        <w:tabs>
          <w:tab w:val="left" w:pos="720"/>
          <w:tab w:val="left" w:pos="1440"/>
        </w:tabs>
        <w:rPr>
          <w:szCs w:val="24"/>
        </w:rPr>
      </w:pPr>
      <w:r w:rsidRPr="008412D3">
        <w:rPr>
          <w:szCs w:val="24"/>
        </w:rPr>
        <w:tab/>
        <w:t>Although the FR Y-3N requests the same type of information as the FR Y-3, significantly less detail is generally required.  The FR Y-3N instructions describe the publication requirements for notifications filed under section 225.14 of Regulation Y.  Notifications filed under section 225.17 do not require public notice.</w:t>
      </w:r>
    </w:p>
    <w:p w:rsidR="00667207" w:rsidRPr="008412D3" w:rsidRDefault="00667207" w:rsidP="00667207">
      <w:pPr>
        <w:tabs>
          <w:tab w:val="left" w:pos="720"/>
          <w:tab w:val="left" w:pos="1440"/>
        </w:tabs>
        <w:rPr>
          <w:szCs w:val="24"/>
        </w:rPr>
      </w:pPr>
      <w:r w:rsidRPr="008412D3">
        <w:rPr>
          <w:szCs w:val="24"/>
        </w:rPr>
        <w:tab/>
      </w:r>
    </w:p>
    <w:p w:rsidR="00667207" w:rsidRPr="008412D3" w:rsidRDefault="00667207" w:rsidP="00667207">
      <w:pPr>
        <w:tabs>
          <w:tab w:val="left" w:pos="720"/>
          <w:tab w:val="left" w:pos="1440"/>
        </w:tabs>
        <w:rPr>
          <w:szCs w:val="24"/>
        </w:rPr>
      </w:pPr>
      <w:r w:rsidRPr="008412D3">
        <w:rPr>
          <w:b/>
          <w:szCs w:val="24"/>
        </w:rPr>
        <w:tab/>
        <w:t>FR Y-4</w:t>
      </w:r>
    </w:p>
    <w:p w:rsidR="00667207" w:rsidRPr="008412D3" w:rsidRDefault="00667207" w:rsidP="00667207">
      <w:pPr>
        <w:tabs>
          <w:tab w:val="left" w:pos="720"/>
          <w:tab w:val="left" w:pos="1440"/>
        </w:tabs>
        <w:rPr>
          <w:szCs w:val="24"/>
        </w:rPr>
      </w:pPr>
    </w:p>
    <w:p w:rsidR="00667207" w:rsidRPr="008412D3" w:rsidRDefault="00667207" w:rsidP="00667207">
      <w:pPr>
        <w:tabs>
          <w:tab w:val="left" w:pos="720"/>
          <w:tab w:val="left" w:pos="1440"/>
        </w:tabs>
        <w:rPr>
          <w:szCs w:val="24"/>
        </w:rPr>
      </w:pPr>
      <w:r w:rsidRPr="008412D3">
        <w:rPr>
          <w:szCs w:val="24"/>
        </w:rPr>
        <w:tab/>
        <w:t>The FR Y-4 notification form is completed by a BHC in order to:</w:t>
      </w:r>
    </w:p>
    <w:p w:rsidR="00667207" w:rsidRPr="008412D3" w:rsidRDefault="00667207" w:rsidP="00667207">
      <w:pPr>
        <w:pStyle w:val="a"/>
        <w:widowControl/>
        <w:numPr>
          <w:ilvl w:val="0"/>
          <w:numId w:val="7"/>
        </w:numPr>
        <w:tabs>
          <w:tab w:val="left" w:pos="360"/>
        </w:tabs>
        <w:rPr>
          <w:rFonts w:ascii="Times New Roman" w:hAnsi="Times New Roman"/>
          <w:szCs w:val="24"/>
        </w:rPr>
      </w:pPr>
      <w:r w:rsidRPr="008412D3">
        <w:rPr>
          <w:rFonts w:ascii="Times New Roman" w:hAnsi="Times New Roman"/>
          <w:szCs w:val="24"/>
        </w:rPr>
        <w:t xml:space="preserve">acquire the assets or shares of a nonbank company (including a nonbank insured depository institution) and engage in nonbanking activities under section 4(c)(8) of the BHC Act; and </w:t>
      </w:r>
    </w:p>
    <w:p w:rsidR="00667207" w:rsidRPr="008412D3" w:rsidRDefault="00667207" w:rsidP="00667207">
      <w:pPr>
        <w:pStyle w:val="a"/>
        <w:widowControl/>
        <w:numPr>
          <w:ilvl w:val="0"/>
          <w:numId w:val="7"/>
        </w:numPr>
        <w:tabs>
          <w:tab w:val="left" w:pos="360"/>
        </w:tabs>
        <w:rPr>
          <w:rFonts w:ascii="Times New Roman" w:hAnsi="Times New Roman"/>
          <w:szCs w:val="24"/>
        </w:rPr>
      </w:pPr>
      <w:proofErr w:type="gramStart"/>
      <w:r w:rsidRPr="008412D3">
        <w:rPr>
          <w:rFonts w:ascii="Times New Roman" w:hAnsi="Times New Roman"/>
          <w:szCs w:val="24"/>
        </w:rPr>
        <w:t>engage</w:t>
      </w:r>
      <w:proofErr w:type="gramEnd"/>
      <w:r w:rsidRPr="008412D3">
        <w:rPr>
          <w:rFonts w:ascii="Times New Roman" w:hAnsi="Times New Roman"/>
          <w:szCs w:val="24"/>
        </w:rPr>
        <w:t xml:space="preserve"> </w:t>
      </w:r>
      <w:r w:rsidRPr="008412D3">
        <w:rPr>
          <w:rFonts w:ascii="Times New Roman" w:hAnsi="Times New Roman"/>
          <w:i/>
          <w:szCs w:val="24"/>
        </w:rPr>
        <w:t>de novo</w:t>
      </w:r>
      <w:r w:rsidRPr="008412D3">
        <w:rPr>
          <w:rFonts w:ascii="Times New Roman" w:hAnsi="Times New Roman"/>
          <w:szCs w:val="24"/>
        </w:rPr>
        <w:t xml:space="preserve"> in nonbank activities under section 4(c)(8) of the BHC Act. </w:t>
      </w:r>
    </w:p>
    <w:p w:rsidR="00667207" w:rsidRPr="008412D3" w:rsidRDefault="00667207" w:rsidP="00667207">
      <w:pPr>
        <w:tabs>
          <w:tab w:val="left" w:pos="720"/>
          <w:tab w:val="left" w:pos="1440"/>
        </w:tabs>
        <w:rPr>
          <w:szCs w:val="24"/>
        </w:rPr>
      </w:pPr>
    </w:p>
    <w:p w:rsidR="00667207" w:rsidRPr="008412D3" w:rsidRDefault="00667207" w:rsidP="00667207">
      <w:pPr>
        <w:tabs>
          <w:tab w:val="left" w:pos="720"/>
          <w:tab w:val="left" w:pos="1440"/>
        </w:tabs>
        <w:rPr>
          <w:szCs w:val="24"/>
        </w:rPr>
      </w:pPr>
      <w:r w:rsidRPr="008412D3">
        <w:rPr>
          <w:szCs w:val="24"/>
        </w:rPr>
        <w:tab/>
        <w:t>These notifications generally require information on the proposed transaction, information on competition and public benefits, and financial and managerial information.</w:t>
      </w:r>
      <w:r w:rsidRPr="008412D3">
        <w:rPr>
          <w:b/>
          <w:szCs w:val="24"/>
        </w:rPr>
        <w:t xml:space="preserve">  </w:t>
      </w:r>
      <w:r w:rsidRPr="008412D3">
        <w:rPr>
          <w:szCs w:val="24"/>
        </w:rPr>
        <w:t xml:space="preserve">For notifications to engage </w:t>
      </w:r>
      <w:r w:rsidRPr="008412D3">
        <w:rPr>
          <w:i/>
          <w:szCs w:val="24"/>
        </w:rPr>
        <w:t>de novo</w:t>
      </w:r>
      <w:r w:rsidRPr="008412D3">
        <w:rPr>
          <w:szCs w:val="24"/>
        </w:rPr>
        <w:t xml:space="preserve"> in nonbanking activities permissible under Regulation Y, only the name and location of the applicant, the name and location of the company that will perform the activity, the activity to be conducted, and the geographic area to be served must be submitted.</w:t>
      </w:r>
    </w:p>
    <w:p w:rsidR="00667207" w:rsidRPr="008412D3" w:rsidRDefault="00667207" w:rsidP="00667207">
      <w:pPr>
        <w:tabs>
          <w:tab w:val="left" w:pos="720"/>
          <w:tab w:val="left" w:pos="1440"/>
        </w:tabs>
        <w:rPr>
          <w:szCs w:val="24"/>
        </w:rPr>
      </w:pPr>
    </w:p>
    <w:p w:rsidR="00667207" w:rsidRPr="008412D3" w:rsidRDefault="00667207" w:rsidP="00667207">
      <w:pPr>
        <w:tabs>
          <w:tab w:val="left" w:pos="720"/>
          <w:tab w:val="left" w:pos="1440"/>
        </w:tabs>
        <w:rPr>
          <w:szCs w:val="24"/>
        </w:rPr>
      </w:pPr>
      <w:r w:rsidRPr="008412D3">
        <w:rPr>
          <w:szCs w:val="24"/>
        </w:rPr>
        <w:tab/>
        <w:t xml:space="preserve">The instructions to the FR Y-4 provide substantial information about two expedited procedures for certain nonbanking proposals, one of which does not require use of the notification form.  Both streamlined procedures were implemented in 1995 as replacements for other expedited procedures implemented in 1984, and both improve the ability of qualifying BHCs to respond quickly to market events.  The first expedited procedure allows well-run BHCs to file post-consummation notices for proposals to engage </w:t>
      </w:r>
      <w:r w:rsidRPr="008412D3">
        <w:rPr>
          <w:i/>
          <w:szCs w:val="24"/>
        </w:rPr>
        <w:t>de novo</w:t>
      </w:r>
      <w:r w:rsidRPr="008412D3">
        <w:rPr>
          <w:szCs w:val="24"/>
        </w:rPr>
        <w:t xml:space="preserve"> in nonbanking activities that have been permitted by regulation.</w:t>
      </w:r>
      <w:r w:rsidRPr="008412D3">
        <w:rPr>
          <w:rStyle w:val="FootnoteReference"/>
          <w:szCs w:val="24"/>
        </w:rPr>
        <w:footnoteReference w:id="4"/>
      </w:r>
      <w:r w:rsidRPr="008412D3">
        <w:rPr>
          <w:szCs w:val="24"/>
        </w:rPr>
        <w:t xml:space="preserve">  The second allows well-run BHCs (that also meet certain additional criteria in section 225.23(c) of Regulation Y) to seek prior Federal Reserve approval on a substantially shorter timeframe than usually occurs in the notification review process.</w:t>
      </w:r>
      <w:r w:rsidRPr="008412D3">
        <w:rPr>
          <w:rStyle w:val="FootnoteReference"/>
          <w:szCs w:val="24"/>
        </w:rPr>
        <w:footnoteReference w:id="5"/>
      </w:r>
      <w:r w:rsidRPr="008412D3">
        <w:rPr>
          <w:szCs w:val="24"/>
        </w:rPr>
        <w:t xml:space="preserve">  To use the second procedure, a BHC must file, at the appropriate Reserve Bank and at least 12 business days before effecting the proposed transaction, the FR Y-4 that contains the information required in section 225.23(a) of Regulation Y.  During the 12-day review period, the Federal Reserve may indicate that a non-expedited notification is required under section 225.24 of Regulation Y.</w:t>
      </w:r>
    </w:p>
    <w:p w:rsidR="00667207" w:rsidRPr="008412D3" w:rsidRDefault="00667207" w:rsidP="00667207">
      <w:pPr>
        <w:tabs>
          <w:tab w:val="left" w:pos="360"/>
          <w:tab w:val="left" w:pos="1440"/>
        </w:tabs>
        <w:rPr>
          <w:szCs w:val="24"/>
        </w:rPr>
      </w:pPr>
    </w:p>
    <w:p w:rsidR="00667207" w:rsidRPr="008412D3" w:rsidRDefault="00667207" w:rsidP="00667207">
      <w:pPr>
        <w:pStyle w:val="FootnoteText"/>
        <w:spacing w:after="0"/>
        <w:rPr>
          <w:szCs w:val="24"/>
        </w:rPr>
      </w:pPr>
      <w:r w:rsidRPr="008412D3">
        <w:rPr>
          <w:szCs w:val="24"/>
        </w:rPr>
        <w:tab/>
        <w:t>Proposals that do not qualify for the two streamlined procedures are subject to the non-expedited procedures outlined in section 225.24 of Regulation Y.  The information requirements for such a notification depend on the type of transaction and are contained in sections 225.24 (a</w:t>
      </w:r>
      <w:proofErr w:type="gramStart"/>
      <w:r w:rsidRPr="008412D3">
        <w:rPr>
          <w:szCs w:val="24"/>
        </w:rPr>
        <w:t>)(</w:t>
      </w:r>
      <w:proofErr w:type="gramEnd"/>
      <w:r w:rsidRPr="008412D3">
        <w:rPr>
          <w:szCs w:val="24"/>
        </w:rPr>
        <w:t xml:space="preserve">1) and (2) of Regulation Y.  To engage </w:t>
      </w:r>
      <w:r w:rsidRPr="008412D3">
        <w:rPr>
          <w:i/>
          <w:szCs w:val="24"/>
        </w:rPr>
        <w:t>de novo</w:t>
      </w:r>
      <w:r w:rsidRPr="008412D3">
        <w:rPr>
          <w:szCs w:val="24"/>
        </w:rPr>
        <w:t xml:space="preserve"> in permissible nonbanking activities listed in section 225.28 of Regulation Y (listed activities), the BHC must file a notification containing a description of the activities to be conducted, with appropriate authorizations cited, and the identity of the company that will conduct the activity.  To engage </w:t>
      </w:r>
      <w:r w:rsidRPr="008412D3">
        <w:rPr>
          <w:i/>
          <w:szCs w:val="24"/>
        </w:rPr>
        <w:t>de novo</w:t>
      </w:r>
      <w:r w:rsidRPr="008412D3">
        <w:rPr>
          <w:szCs w:val="24"/>
        </w:rPr>
        <w:t xml:space="preserve"> in nonbanking activities not listed in section 225.28 of Regulation Y but previously approved by the Federal Reserve (unlisted activities), or to acquire a company engaged in listed or unlisted activities, the notification must include a description of the proposal, the identity of any entity involved in the proposal, a statement of public benefits, certain financial information, a description of management expertise, internal controls, and risk-management systems to be utilized, and a copy of any purchase agreement(s).  The FR Y-4 instructions describe the publication requirements for each relevant transaction.</w:t>
      </w:r>
    </w:p>
    <w:p w:rsidR="00667207" w:rsidRPr="008412D3" w:rsidRDefault="00667207" w:rsidP="00667207">
      <w:pPr>
        <w:tabs>
          <w:tab w:val="left" w:pos="720"/>
          <w:tab w:val="left" w:pos="1440"/>
        </w:tabs>
        <w:rPr>
          <w:szCs w:val="24"/>
        </w:rPr>
      </w:pPr>
      <w:r w:rsidRPr="008412D3">
        <w:rPr>
          <w:szCs w:val="24"/>
        </w:rPr>
        <w:tab/>
      </w:r>
    </w:p>
    <w:p w:rsidR="00667207" w:rsidRPr="008412D3" w:rsidRDefault="00667207" w:rsidP="00667207">
      <w:pPr>
        <w:tabs>
          <w:tab w:val="left" w:pos="720"/>
          <w:tab w:val="left" w:pos="1440"/>
        </w:tabs>
        <w:rPr>
          <w:b/>
          <w:szCs w:val="24"/>
        </w:rPr>
      </w:pPr>
      <w:r w:rsidRPr="008412D3">
        <w:rPr>
          <w:b/>
          <w:szCs w:val="24"/>
        </w:rPr>
        <w:tab/>
        <w:t>Proposed Revision</w:t>
      </w:r>
    </w:p>
    <w:p w:rsidR="00667207" w:rsidRPr="008412D3" w:rsidRDefault="00667207" w:rsidP="00667207">
      <w:pPr>
        <w:tabs>
          <w:tab w:val="left" w:pos="720"/>
          <w:tab w:val="left" w:pos="1440"/>
        </w:tabs>
        <w:rPr>
          <w:b/>
          <w:szCs w:val="24"/>
        </w:rPr>
      </w:pPr>
    </w:p>
    <w:p w:rsidR="00667207" w:rsidRPr="008412D3" w:rsidRDefault="00667207" w:rsidP="00667207">
      <w:pPr>
        <w:tabs>
          <w:tab w:val="left" w:pos="720"/>
        </w:tabs>
        <w:ind w:firstLine="720"/>
        <w:rPr>
          <w:color w:val="000000"/>
          <w:szCs w:val="24"/>
        </w:rPr>
      </w:pPr>
      <w:r w:rsidRPr="008412D3">
        <w:rPr>
          <w:szCs w:val="24"/>
        </w:rPr>
        <w:t xml:space="preserve">The Federal Reserve </w:t>
      </w:r>
      <w:r w:rsidRPr="008412D3">
        <w:rPr>
          <w:color w:val="000000"/>
          <w:szCs w:val="24"/>
        </w:rPr>
        <w:t xml:space="preserve">proposes to revise the FR Y-3 reporting instructions by requesting additional information under Financial and Managerial Information.  New section 7.f would ask:  “For any principal that would own 10 percent or more of the equity of </w:t>
      </w:r>
      <w:proofErr w:type="gramStart"/>
      <w:r w:rsidRPr="008412D3">
        <w:rPr>
          <w:color w:val="000000"/>
          <w:szCs w:val="24"/>
        </w:rPr>
        <w:t>Applicant,</w:t>
      </w:r>
      <w:proofErr w:type="gramEnd"/>
      <w:r w:rsidRPr="008412D3">
        <w:rPr>
          <w:color w:val="000000"/>
          <w:szCs w:val="24"/>
        </w:rPr>
        <w:t xml:space="preserve"> provide an Interagency Biographical and Financial Report.  If the principal is a corporation or partnership, provide financial statements (balance sheet and income statement) for the two most recent fiscal years and the most recent quarter end.  Discuss any negative trends in the financial statements.”</w:t>
      </w:r>
    </w:p>
    <w:p w:rsidR="00667207" w:rsidRPr="008412D3" w:rsidRDefault="00667207" w:rsidP="00667207">
      <w:pPr>
        <w:tabs>
          <w:tab w:val="left" w:pos="720"/>
        </w:tabs>
        <w:ind w:firstLine="720"/>
        <w:rPr>
          <w:color w:val="000000"/>
          <w:szCs w:val="24"/>
        </w:rPr>
      </w:pPr>
    </w:p>
    <w:p w:rsidR="00667207" w:rsidRPr="008412D3" w:rsidRDefault="00667207" w:rsidP="00667207">
      <w:pPr>
        <w:tabs>
          <w:tab w:val="left" w:pos="720"/>
        </w:tabs>
        <w:ind w:firstLine="720"/>
        <w:rPr>
          <w:bCs/>
          <w:szCs w:val="24"/>
        </w:rPr>
      </w:pPr>
      <w:r w:rsidRPr="008412D3">
        <w:rPr>
          <w:color w:val="000000"/>
          <w:szCs w:val="24"/>
        </w:rPr>
        <w:t xml:space="preserve">A significant portion of FR Y-3 applications involve principals that would hold more than 10 percent of the equity of an Applicant.  </w:t>
      </w:r>
      <w:r w:rsidRPr="008412D3">
        <w:rPr>
          <w:szCs w:val="24"/>
        </w:rPr>
        <w:t xml:space="preserve">The Federal Reserve </w:t>
      </w:r>
      <w:r w:rsidRPr="008412D3">
        <w:rPr>
          <w:color w:val="000000"/>
          <w:szCs w:val="24"/>
        </w:rPr>
        <w:t xml:space="preserve">believes that requesting IBFRs in advance would save time and burden for Applicants over the current practice of requesting the information as a follow up to the initial filing.  IBFRs would be required of these principals in order for </w:t>
      </w:r>
      <w:r>
        <w:rPr>
          <w:color w:val="000000"/>
          <w:szCs w:val="24"/>
        </w:rPr>
        <w:t xml:space="preserve">the </w:t>
      </w:r>
      <w:r w:rsidRPr="008412D3">
        <w:rPr>
          <w:color w:val="000000"/>
          <w:szCs w:val="24"/>
        </w:rPr>
        <w:t>Federal Reserve to fully evaluate their financial and managerial aspects.  In addition, IBFRs are often used as part of the name check process for individuals.</w:t>
      </w:r>
    </w:p>
    <w:p w:rsidR="00667207" w:rsidRPr="008412D3" w:rsidRDefault="00667207" w:rsidP="00667207">
      <w:pPr>
        <w:tabs>
          <w:tab w:val="left" w:pos="720"/>
        </w:tabs>
        <w:ind w:firstLine="720"/>
        <w:rPr>
          <w:color w:val="000000"/>
          <w:szCs w:val="24"/>
        </w:rPr>
      </w:pPr>
    </w:p>
    <w:p w:rsidR="00667207" w:rsidRPr="008412D3" w:rsidRDefault="00667207" w:rsidP="00667207">
      <w:pPr>
        <w:tabs>
          <w:tab w:val="left" w:pos="720"/>
          <w:tab w:val="left" w:pos="1440"/>
        </w:tabs>
        <w:rPr>
          <w:b/>
          <w:szCs w:val="24"/>
        </w:rPr>
      </w:pPr>
      <w:r w:rsidRPr="008412D3">
        <w:rPr>
          <w:b/>
          <w:szCs w:val="24"/>
        </w:rPr>
        <w:t>Time Schedule for Information Collection</w:t>
      </w:r>
    </w:p>
    <w:p w:rsidR="00667207" w:rsidRPr="008412D3" w:rsidRDefault="00667207" w:rsidP="00667207">
      <w:pPr>
        <w:tabs>
          <w:tab w:val="left" w:pos="720"/>
          <w:tab w:val="left" w:pos="1440"/>
        </w:tabs>
        <w:rPr>
          <w:szCs w:val="24"/>
        </w:rPr>
      </w:pPr>
    </w:p>
    <w:p w:rsidR="00667207" w:rsidRPr="008412D3" w:rsidRDefault="00667207" w:rsidP="00667207">
      <w:pPr>
        <w:tabs>
          <w:tab w:val="left" w:pos="720"/>
          <w:tab w:val="left" w:pos="1440"/>
        </w:tabs>
        <w:rPr>
          <w:szCs w:val="24"/>
        </w:rPr>
      </w:pPr>
      <w:r w:rsidRPr="008412D3">
        <w:rPr>
          <w:szCs w:val="24"/>
        </w:rPr>
        <w:tab/>
        <w:t>The application and notifications submitted with these forms are event generated and the data are not part of any published reporting series.  All timeframes are generally dependent upon when the filer chooses to enter into a transaction that requires an individual submission.  The filing may be processed under various schedules.  Final action may ultimately be taken by the appropriate Reserve Bank under delegated authority, by the Secretary of the Board under delegated authority, or by the Board directly.</w:t>
      </w:r>
    </w:p>
    <w:p w:rsidR="00667207" w:rsidRPr="008412D3" w:rsidRDefault="00667207" w:rsidP="00667207">
      <w:pPr>
        <w:tabs>
          <w:tab w:val="left" w:pos="720"/>
          <w:tab w:val="left" w:pos="1440"/>
        </w:tabs>
        <w:rPr>
          <w:szCs w:val="24"/>
        </w:rPr>
      </w:pPr>
    </w:p>
    <w:p w:rsidR="00667207" w:rsidRDefault="00667207" w:rsidP="00667207">
      <w:pPr>
        <w:tabs>
          <w:tab w:val="left" w:pos="720"/>
          <w:tab w:val="left" w:pos="1440"/>
        </w:tabs>
        <w:rPr>
          <w:szCs w:val="24"/>
        </w:rPr>
      </w:pPr>
      <w:r w:rsidRPr="008412D3">
        <w:rPr>
          <w:szCs w:val="24"/>
        </w:rPr>
        <w:tab/>
      </w:r>
    </w:p>
    <w:p w:rsidR="00667207" w:rsidRPr="008412D3" w:rsidRDefault="00667207" w:rsidP="00667207">
      <w:pPr>
        <w:tabs>
          <w:tab w:val="left" w:pos="720"/>
          <w:tab w:val="left" w:pos="1440"/>
        </w:tabs>
        <w:ind w:firstLine="720"/>
        <w:rPr>
          <w:b/>
          <w:szCs w:val="24"/>
        </w:rPr>
      </w:pPr>
      <w:r>
        <w:rPr>
          <w:szCs w:val="24"/>
        </w:rPr>
        <w:br w:type="page"/>
      </w:r>
      <w:r w:rsidRPr="008412D3">
        <w:rPr>
          <w:b/>
          <w:szCs w:val="24"/>
        </w:rPr>
        <w:t>FR Y-3</w:t>
      </w:r>
    </w:p>
    <w:p w:rsidR="00667207" w:rsidRPr="008412D3" w:rsidRDefault="00667207" w:rsidP="00667207">
      <w:pPr>
        <w:tabs>
          <w:tab w:val="left" w:pos="720"/>
          <w:tab w:val="left" w:pos="1440"/>
        </w:tabs>
        <w:rPr>
          <w:szCs w:val="24"/>
        </w:rPr>
      </w:pPr>
    </w:p>
    <w:p w:rsidR="00667207" w:rsidRPr="008412D3" w:rsidRDefault="00667207" w:rsidP="00667207">
      <w:pPr>
        <w:tabs>
          <w:tab w:val="left" w:pos="720"/>
          <w:tab w:val="left" w:pos="1440"/>
        </w:tabs>
        <w:rPr>
          <w:szCs w:val="24"/>
        </w:rPr>
      </w:pPr>
      <w:r w:rsidRPr="008412D3">
        <w:rPr>
          <w:szCs w:val="24"/>
        </w:rPr>
        <w:tab/>
        <w:t xml:space="preserve">The FR Y-3 applications filed under section 225.15 of Regulation Y must satisfy established criteria to be processed under delegated authority.  If the delegation criteria are satisfied, the Reserve Bank or the Secretary of the Board, as appropriate, will act on the application within five business days after the close of the public comment period (which generally is about thirty days after receipt of a final filing).  If it is determined that an application does not meet the criteria for processing under delegated authority, the application will be forwarded to the Board for action.  These applications will be acted on within </w:t>
      </w:r>
      <w:r>
        <w:rPr>
          <w:szCs w:val="24"/>
        </w:rPr>
        <w:t>60</w:t>
      </w:r>
      <w:r w:rsidRPr="008412D3">
        <w:rPr>
          <w:szCs w:val="24"/>
        </w:rPr>
        <w:t> calendar days of receipt, unless the Federal Reserve notifies the applicant that the processing period is being extended and discloses the reasons for the extension.</w:t>
      </w:r>
    </w:p>
    <w:p w:rsidR="00667207" w:rsidRPr="008412D3" w:rsidRDefault="00667207" w:rsidP="00667207">
      <w:pPr>
        <w:tabs>
          <w:tab w:val="left" w:pos="720"/>
          <w:tab w:val="left" w:pos="1440"/>
        </w:tabs>
        <w:rPr>
          <w:szCs w:val="24"/>
        </w:rPr>
      </w:pPr>
    </w:p>
    <w:p w:rsidR="00667207" w:rsidRPr="008412D3" w:rsidRDefault="00667207" w:rsidP="00667207">
      <w:pPr>
        <w:tabs>
          <w:tab w:val="left" w:pos="720"/>
          <w:tab w:val="left" w:pos="1440"/>
        </w:tabs>
        <w:rPr>
          <w:b/>
          <w:szCs w:val="24"/>
        </w:rPr>
      </w:pPr>
      <w:r w:rsidRPr="008412D3">
        <w:rPr>
          <w:szCs w:val="24"/>
        </w:rPr>
        <w:tab/>
      </w:r>
      <w:r w:rsidRPr="008412D3">
        <w:rPr>
          <w:b/>
          <w:szCs w:val="24"/>
        </w:rPr>
        <w:t>FR Y-3N</w:t>
      </w:r>
    </w:p>
    <w:p w:rsidR="00667207" w:rsidRPr="008412D3" w:rsidRDefault="00667207" w:rsidP="00667207">
      <w:pPr>
        <w:tabs>
          <w:tab w:val="left" w:pos="720"/>
          <w:tab w:val="left" w:pos="1440"/>
        </w:tabs>
        <w:rPr>
          <w:szCs w:val="24"/>
        </w:rPr>
      </w:pPr>
    </w:p>
    <w:p w:rsidR="00667207" w:rsidRPr="008412D3" w:rsidRDefault="00667207" w:rsidP="00667207">
      <w:pPr>
        <w:tabs>
          <w:tab w:val="left" w:pos="720"/>
          <w:tab w:val="left" w:pos="1440"/>
        </w:tabs>
        <w:rPr>
          <w:szCs w:val="24"/>
        </w:rPr>
      </w:pPr>
      <w:r w:rsidRPr="008412D3">
        <w:rPr>
          <w:szCs w:val="24"/>
        </w:rPr>
        <w:tab/>
        <w:t xml:space="preserve">Proposals to form a BHC that would control a single bank and that satisfy all the criteria in section 225.17 of Regulation Y may be consummated within </w:t>
      </w:r>
      <w:r>
        <w:rPr>
          <w:szCs w:val="24"/>
        </w:rPr>
        <w:t>30</w:t>
      </w:r>
      <w:r w:rsidRPr="008412D3">
        <w:rPr>
          <w:szCs w:val="24"/>
        </w:rPr>
        <w:t> calendar days after the BHC has provided the appropriate Reserve Bank with a notification that contains all the required information.</w:t>
      </w:r>
    </w:p>
    <w:p w:rsidR="00667207" w:rsidRPr="008412D3" w:rsidRDefault="00667207" w:rsidP="00667207">
      <w:pPr>
        <w:tabs>
          <w:tab w:val="left" w:pos="720"/>
          <w:tab w:val="left" w:pos="1440"/>
        </w:tabs>
        <w:rPr>
          <w:szCs w:val="24"/>
        </w:rPr>
      </w:pPr>
    </w:p>
    <w:p w:rsidR="00667207" w:rsidRPr="008412D3" w:rsidRDefault="00667207" w:rsidP="00667207">
      <w:pPr>
        <w:tabs>
          <w:tab w:val="left" w:pos="720"/>
          <w:tab w:val="left" w:pos="1440"/>
        </w:tabs>
        <w:rPr>
          <w:szCs w:val="24"/>
        </w:rPr>
      </w:pPr>
      <w:r w:rsidRPr="008412D3">
        <w:rPr>
          <w:szCs w:val="24"/>
        </w:rPr>
        <w:tab/>
        <w:t>Proposals by existing BHCs to acquire additional banks or BHCs and that meet all the criteria in section 225.14 of Regulation Y must be acted on by the Reserve Bank or the Secretary of the Board (as appropriate) under delegated authority within five business days after the close of the public comment period.</w:t>
      </w:r>
    </w:p>
    <w:p w:rsidR="00667207" w:rsidRPr="008412D3" w:rsidRDefault="00667207" w:rsidP="00667207">
      <w:pPr>
        <w:tabs>
          <w:tab w:val="left" w:pos="720"/>
          <w:tab w:val="left" w:pos="1440"/>
        </w:tabs>
        <w:rPr>
          <w:szCs w:val="24"/>
        </w:rPr>
      </w:pPr>
    </w:p>
    <w:p w:rsidR="00667207" w:rsidRPr="008412D3" w:rsidRDefault="00667207" w:rsidP="00667207">
      <w:pPr>
        <w:tabs>
          <w:tab w:val="left" w:pos="720"/>
          <w:tab w:val="left" w:pos="1440"/>
        </w:tabs>
        <w:rPr>
          <w:b/>
          <w:szCs w:val="24"/>
        </w:rPr>
      </w:pPr>
      <w:r w:rsidRPr="008412D3">
        <w:rPr>
          <w:szCs w:val="24"/>
        </w:rPr>
        <w:tab/>
      </w:r>
      <w:r w:rsidRPr="008412D3">
        <w:rPr>
          <w:b/>
          <w:szCs w:val="24"/>
        </w:rPr>
        <w:t>FR Y-4</w:t>
      </w:r>
    </w:p>
    <w:p w:rsidR="00667207" w:rsidRPr="008412D3" w:rsidRDefault="00667207" w:rsidP="00667207">
      <w:pPr>
        <w:tabs>
          <w:tab w:val="left" w:pos="720"/>
          <w:tab w:val="left" w:pos="1440"/>
        </w:tabs>
        <w:rPr>
          <w:szCs w:val="24"/>
        </w:rPr>
      </w:pPr>
    </w:p>
    <w:p w:rsidR="00667207" w:rsidRPr="008412D3" w:rsidRDefault="00667207" w:rsidP="00667207">
      <w:pPr>
        <w:tabs>
          <w:tab w:val="left" w:pos="720"/>
          <w:tab w:val="left" w:pos="1440"/>
        </w:tabs>
        <w:rPr>
          <w:szCs w:val="24"/>
        </w:rPr>
      </w:pPr>
      <w:r w:rsidRPr="008412D3">
        <w:rPr>
          <w:szCs w:val="24"/>
        </w:rPr>
        <w:tab/>
        <w:t xml:space="preserve">Nonbanking proposals by well-run BHCs that meet all of the criteria in section 225.23(c) of Regulation Y must be acted upon by the Reserve Bank, the Secretary of the Board, or the Board (as appropriate) within </w:t>
      </w:r>
      <w:r>
        <w:rPr>
          <w:szCs w:val="24"/>
        </w:rPr>
        <w:t>12</w:t>
      </w:r>
      <w:r w:rsidRPr="008412D3">
        <w:rPr>
          <w:szCs w:val="24"/>
        </w:rPr>
        <w:t xml:space="preserve"> business days of a substantially complete filing being submitted at the appropriate Reserve Bank.</w:t>
      </w:r>
      <w:r w:rsidRPr="008412D3">
        <w:rPr>
          <w:rStyle w:val="FootnoteReference"/>
          <w:szCs w:val="24"/>
        </w:rPr>
        <w:footnoteReference w:id="6"/>
      </w:r>
    </w:p>
    <w:p w:rsidR="00667207" w:rsidRPr="008412D3" w:rsidRDefault="00667207" w:rsidP="00667207">
      <w:pPr>
        <w:tabs>
          <w:tab w:val="left" w:pos="720"/>
          <w:tab w:val="left" w:pos="1440"/>
        </w:tabs>
        <w:rPr>
          <w:szCs w:val="24"/>
        </w:rPr>
      </w:pPr>
    </w:p>
    <w:p w:rsidR="00667207" w:rsidRPr="008412D3" w:rsidRDefault="00667207" w:rsidP="00667207">
      <w:pPr>
        <w:pStyle w:val="FootnoteText"/>
        <w:tabs>
          <w:tab w:val="left" w:pos="720"/>
          <w:tab w:val="left" w:pos="1440"/>
        </w:tabs>
        <w:spacing w:after="0"/>
        <w:rPr>
          <w:szCs w:val="24"/>
        </w:rPr>
      </w:pPr>
      <w:r w:rsidRPr="008412D3">
        <w:rPr>
          <w:szCs w:val="24"/>
        </w:rPr>
        <w:tab/>
        <w:t xml:space="preserve">Non-expedited notifications filed under section 225.24 of Regulation Y must satisfy established criteria to be processed under delegated authority.  If the delegation criteria are satisfied, the Reserve Bank or the Secretary of the Board, as appropriate, will act on the notification within five business days after the close of the public comment period (which is generally about </w:t>
      </w:r>
      <w:r>
        <w:rPr>
          <w:szCs w:val="24"/>
        </w:rPr>
        <w:t>30</w:t>
      </w:r>
      <w:r w:rsidRPr="008412D3">
        <w:rPr>
          <w:szCs w:val="24"/>
        </w:rPr>
        <w:t xml:space="preserve"> days after receipt of the filing).  If it is determined that the notification does not meet the criteria for processing under delegated authority, the application will be transferred to the Board for action generally within </w:t>
      </w:r>
      <w:r>
        <w:rPr>
          <w:szCs w:val="24"/>
        </w:rPr>
        <w:t>60</w:t>
      </w:r>
      <w:r w:rsidRPr="008412D3">
        <w:rPr>
          <w:szCs w:val="24"/>
        </w:rPr>
        <w:t xml:space="preserve"> calendar days of receipt.  Under the BHC Act, the Federal Reserve System must act on nonbanking proposals within </w:t>
      </w:r>
      <w:r>
        <w:rPr>
          <w:szCs w:val="24"/>
        </w:rPr>
        <w:t>60</w:t>
      </w:r>
      <w:r w:rsidRPr="008412D3">
        <w:rPr>
          <w:szCs w:val="24"/>
        </w:rPr>
        <w:t xml:space="preserve"> days of receipt of a “complete notice,” which generally is a date sometime after the initial date of receipt.  In the case of all nonbank proposals, the Board may extend the statutory </w:t>
      </w:r>
      <w:r w:rsidR="00A50C4A">
        <w:rPr>
          <w:szCs w:val="24"/>
        </w:rPr>
        <w:t>60</w:t>
      </w:r>
      <w:r w:rsidRPr="008412D3">
        <w:rPr>
          <w:szCs w:val="24"/>
        </w:rPr>
        <w:t xml:space="preserve">-day processing period for an additional </w:t>
      </w:r>
      <w:r w:rsidR="00A50C4A">
        <w:rPr>
          <w:szCs w:val="24"/>
        </w:rPr>
        <w:t>30</w:t>
      </w:r>
      <w:r w:rsidRPr="008412D3">
        <w:rPr>
          <w:szCs w:val="24"/>
        </w:rPr>
        <w:t xml:space="preserve"> calendar days, if necessary, and for proposals involving unlisted activities, may extend the </w:t>
      </w:r>
      <w:r w:rsidR="00A50C4A">
        <w:rPr>
          <w:szCs w:val="24"/>
        </w:rPr>
        <w:t>30</w:t>
      </w:r>
      <w:r w:rsidRPr="008412D3">
        <w:rPr>
          <w:szCs w:val="24"/>
        </w:rPr>
        <w:t xml:space="preserve">-day processing period for an additional </w:t>
      </w:r>
      <w:r w:rsidR="00A50C4A">
        <w:rPr>
          <w:szCs w:val="24"/>
        </w:rPr>
        <w:t>90</w:t>
      </w:r>
      <w:r w:rsidRPr="008412D3">
        <w:rPr>
          <w:szCs w:val="24"/>
        </w:rPr>
        <w:t> calendar days.</w:t>
      </w:r>
    </w:p>
    <w:p w:rsidR="00667207" w:rsidRPr="008412D3" w:rsidRDefault="00667207" w:rsidP="00667207">
      <w:pPr>
        <w:pStyle w:val="FootnoteText"/>
        <w:spacing w:after="0"/>
        <w:rPr>
          <w:szCs w:val="24"/>
        </w:rPr>
      </w:pPr>
    </w:p>
    <w:p w:rsidR="00667207" w:rsidRPr="008412D3" w:rsidRDefault="00667207" w:rsidP="00667207">
      <w:pPr>
        <w:pStyle w:val="FootnoteText"/>
        <w:tabs>
          <w:tab w:val="left" w:pos="720"/>
          <w:tab w:val="left" w:pos="1440"/>
        </w:tabs>
        <w:spacing w:after="0"/>
        <w:rPr>
          <w:szCs w:val="24"/>
        </w:rPr>
      </w:pPr>
      <w:r w:rsidRPr="008412D3">
        <w:rPr>
          <w:szCs w:val="24"/>
        </w:rPr>
        <w:tab/>
        <w:t>For nonbanking proposals initiated under the post-consummation procedures of section 225.22(a</w:t>
      </w:r>
      <w:proofErr w:type="gramStart"/>
      <w:r w:rsidRPr="008412D3">
        <w:rPr>
          <w:szCs w:val="24"/>
        </w:rPr>
        <w:t>)(</w:t>
      </w:r>
      <w:proofErr w:type="gramEnd"/>
      <w:r w:rsidRPr="008412D3">
        <w:rPr>
          <w:szCs w:val="24"/>
        </w:rPr>
        <w:t xml:space="preserve">3) of Regulation Y, a well-run BHC must notify the appropriate Reserve Bank within </w:t>
      </w:r>
      <w:r w:rsidR="00A50C4A">
        <w:rPr>
          <w:szCs w:val="24"/>
        </w:rPr>
        <w:t>10</w:t>
      </w:r>
      <w:r w:rsidRPr="008412D3">
        <w:rPr>
          <w:szCs w:val="24"/>
        </w:rPr>
        <w:t> business days after commencing the activity.</w:t>
      </w:r>
    </w:p>
    <w:p w:rsidR="00667207" w:rsidRPr="008412D3" w:rsidRDefault="00667207" w:rsidP="00667207">
      <w:pPr>
        <w:tabs>
          <w:tab w:val="left" w:pos="720"/>
          <w:tab w:val="left" w:pos="1440"/>
        </w:tabs>
        <w:rPr>
          <w:szCs w:val="24"/>
        </w:rPr>
      </w:pPr>
    </w:p>
    <w:p w:rsidR="00667207" w:rsidRPr="008412D3" w:rsidRDefault="00667207" w:rsidP="00667207">
      <w:pPr>
        <w:pStyle w:val="Heading2"/>
        <w:tabs>
          <w:tab w:val="left" w:pos="720"/>
          <w:tab w:val="left" w:pos="1440"/>
        </w:tabs>
        <w:rPr>
          <w:bCs/>
          <w:szCs w:val="24"/>
        </w:rPr>
      </w:pPr>
      <w:r w:rsidRPr="008412D3">
        <w:rPr>
          <w:bCs/>
          <w:szCs w:val="24"/>
        </w:rPr>
        <w:t>Legal Status</w:t>
      </w:r>
    </w:p>
    <w:p w:rsidR="00667207" w:rsidRPr="008412D3" w:rsidRDefault="00667207" w:rsidP="00667207">
      <w:pPr>
        <w:tabs>
          <w:tab w:val="left" w:pos="720"/>
          <w:tab w:val="left" w:pos="1440"/>
        </w:tabs>
        <w:rPr>
          <w:szCs w:val="24"/>
        </w:rPr>
      </w:pPr>
    </w:p>
    <w:p w:rsidR="00667207" w:rsidRPr="008412D3" w:rsidRDefault="00667207" w:rsidP="00667207">
      <w:pPr>
        <w:tabs>
          <w:tab w:val="left" w:pos="720"/>
          <w:tab w:val="left" w:pos="1440"/>
        </w:tabs>
        <w:rPr>
          <w:szCs w:val="24"/>
        </w:rPr>
      </w:pPr>
      <w:r w:rsidRPr="008412D3">
        <w:rPr>
          <w:szCs w:val="24"/>
        </w:rPr>
        <w:tab/>
        <w:t>The Board's Legal Division has determined that the FR Y-3 application and FR Y-3N notification are authorized by sections 3(a) and 5(b) of the BHC Act, as amended (12 U.S.C. §§ 1842(a), 1844(b)).  The FR Y-4 notification is authorized by section 4(j)</w:t>
      </w:r>
      <w:r w:rsidRPr="008412D3">
        <w:rPr>
          <w:color w:val="FF0000"/>
          <w:szCs w:val="24"/>
        </w:rPr>
        <w:t xml:space="preserve"> </w:t>
      </w:r>
      <w:r w:rsidRPr="008412D3">
        <w:rPr>
          <w:szCs w:val="24"/>
        </w:rPr>
        <w:t>of the BHC Act, as amended (12 U.S.C. § 1843(j)).  Federal Reserve action on an application or notification filed using one of these forms is required for an organization to consummate the related proposal.  The public sections of each filing (including those that do not require public comment periods) are subject to public disclosure under the FOIA.</w:t>
      </w:r>
    </w:p>
    <w:p w:rsidR="00667207" w:rsidRPr="008412D3" w:rsidRDefault="00667207" w:rsidP="00667207">
      <w:pPr>
        <w:tabs>
          <w:tab w:val="left" w:pos="720"/>
          <w:tab w:val="left" w:pos="1440"/>
        </w:tabs>
        <w:rPr>
          <w:szCs w:val="24"/>
        </w:rPr>
      </w:pPr>
    </w:p>
    <w:p w:rsidR="00667207" w:rsidRPr="008412D3" w:rsidRDefault="00667207" w:rsidP="0047251D">
      <w:pPr>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ind w:firstLine="720"/>
        <w:rPr>
          <w:szCs w:val="24"/>
        </w:rPr>
      </w:pPr>
      <w:r w:rsidRPr="008412D3">
        <w:rPr>
          <w:szCs w:val="24"/>
        </w:rPr>
        <w:t xml:space="preserve">The information submitted in the FR Y-3, FR Y-3N, and FR Y-4 is considered to be public unless an institution requests confidential treatment for portions of the particular application or notification.  Applicants may rely on any Freedom of Information Act (FOIA) exemption, but such requests for confidentiality must contain detailed justifications corresponding to the claimed FOIA exemption.  Requests for confidentiality must be evaluated on a case-by-case basis.  </w:t>
      </w:r>
    </w:p>
    <w:p w:rsidR="00667207" w:rsidRPr="008412D3" w:rsidRDefault="00667207" w:rsidP="00667207">
      <w:pPr>
        <w:tabs>
          <w:tab w:val="left" w:pos="720"/>
          <w:tab w:val="left" w:pos="1440"/>
        </w:tabs>
        <w:rPr>
          <w:szCs w:val="24"/>
        </w:rPr>
      </w:pPr>
    </w:p>
    <w:p w:rsidR="00667207" w:rsidRPr="008412D3" w:rsidRDefault="00667207" w:rsidP="00667207">
      <w:pPr>
        <w:pStyle w:val="Heading2"/>
        <w:tabs>
          <w:tab w:val="left" w:pos="720"/>
          <w:tab w:val="left" w:pos="1440"/>
        </w:tabs>
        <w:rPr>
          <w:bCs/>
          <w:szCs w:val="24"/>
        </w:rPr>
      </w:pPr>
      <w:r w:rsidRPr="008412D3">
        <w:rPr>
          <w:bCs/>
          <w:szCs w:val="24"/>
        </w:rPr>
        <w:t xml:space="preserve">Consultation </w:t>
      </w:r>
      <w:proofErr w:type="gramStart"/>
      <w:r w:rsidRPr="008412D3">
        <w:rPr>
          <w:bCs/>
          <w:szCs w:val="24"/>
        </w:rPr>
        <w:t>Outside</w:t>
      </w:r>
      <w:proofErr w:type="gramEnd"/>
      <w:r w:rsidRPr="008412D3">
        <w:rPr>
          <w:bCs/>
          <w:szCs w:val="24"/>
        </w:rPr>
        <w:t xml:space="preserve"> the Agency </w:t>
      </w:r>
    </w:p>
    <w:p w:rsidR="00667207" w:rsidRPr="008412D3" w:rsidRDefault="00667207" w:rsidP="00667207">
      <w:pPr>
        <w:tabs>
          <w:tab w:val="left" w:pos="720"/>
          <w:tab w:val="left" w:pos="1440"/>
        </w:tabs>
        <w:rPr>
          <w:szCs w:val="24"/>
        </w:rPr>
      </w:pPr>
    </w:p>
    <w:p w:rsidR="0047251D" w:rsidRPr="00AE436F" w:rsidRDefault="0047251D" w:rsidP="0047251D">
      <w:pPr>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ind w:firstLine="720"/>
      </w:pPr>
      <w:r w:rsidRPr="00AE436F">
        <w:t xml:space="preserve">On December 28, 2010, the Federal Reserve published a notice in the </w:t>
      </w:r>
      <w:r w:rsidRPr="00AE436F">
        <w:rPr>
          <w:i/>
        </w:rPr>
        <w:t>Federal Register</w:t>
      </w:r>
      <w:r w:rsidRPr="00AE436F">
        <w:t xml:space="preserve"> (75 FR 81607) requesting public comment for 60 days on the extension, </w:t>
      </w:r>
      <w:r w:rsidR="00F16C62" w:rsidRPr="008412D3">
        <w:rPr>
          <w:szCs w:val="24"/>
        </w:rPr>
        <w:t>with minor revision</w:t>
      </w:r>
      <w:r w:rsidRPr="00AE436F">
        <w:rPr>
          <w:szCs w:val="24"/>
        </w:rPr>
        <w:t xml:space="preserve">, </w:t>
      </w:r>
      <w:r w:rsidR="00631BCD">
        <w:rPr>
          <w:szCs w:val="24"/>
        </w:rPr>
        <w:t xml:space="preserve">of </w:t>
      </w:r>
      <w:r w:rsidRPr="00AE436F">
        <w:rPr>
          <w:szCs w:val="24"/>
        </w:rPr>
        <w:t xml:space="preserve">the </w:t>
      </w:r>
      <w:r w:rsidRPr="000E74B1">
        <w:rPr>
          <w:szCs w:val="24"/>
        </w:rPr>
        <w:t>Application for a Foreign Organization to Acquire a U.S. Bank or Bank Holding Company</w:t>
      </w:r>
      <w:r>
        <w:rPr>
          <w:szCs w:val="24"/>
        </w:rPr>
        <w:t xml:space="preserve">. </w:t>
      </w:r>
      <w:r w:rsidRPr="00AE436F">
        <w:rPr>
          <w:szCs w:val="24"/>
        </w:rPr>
        <w:t xml:space="preserve"> </w:t>
      </w:r>
      <w:r w:rsidRPr="00AE436F">
        <w:t>The comment period for this notice expire</w:t>
      </w:r>
      <w:r w:rsidR="004E0185">
        <w:t>d</w:t>
      </w:r>
      <w:r w:rsidRPr="00AE436F">
        <w:t xml:space="preserve"> on </w:t>
      </w:r>
      <w:r>
        <w:t>February 28</w:t>
      </w:r>
      <w:r w:rsidRPr="00AE436F">
        <w:t>, 201</w:t>
      </w:r>
      <w:r>
        <w:t>1</w:t>
      </w:r>
      <w:r w:rsidRPr="00AE436F">
        <w:t>.</w:t>
      </w:r>
      <w:r w:rsidR="004E0185">
        <w:t xml:space="preserve">  The Federal Reserve did not receive any comments.  The revision will be implemented as proposed.  On March </w:t>
      </w:r>
      <w:r w:rsidR="00A06283">
        <w:t>10</w:t>
      </w:r>
      <w:r w:rsidR="004E0185">
        <w:t xml:space="preserve">, 2011, the Federal Reserve published a final notice in the </w:t>
      </w:r>
      <w:r w:rsidR="004E0185" w:rsidRPr="004E0185">
        <w:rPr>
          <w:i/>
        </w:rPr>
        <w:t>Federal Register</w:t>
      </w:r>
      <w:r w:rsidR="004E0185">
        <w:t xml:space="preserve"> (76 FR </w:t>
      </w:r>
      <w:r w:rsidR="00A06283">
        <w:t>13188</w:t>
      </w:r>
      <w:r w:rsidR="004E0185">
        <w:t>).</w:t>
      </w:r>
    </w:p>
    <w:p w:rsidR="00667207" w:rsidRPr="008412D3" w:rsidRDefault="00667207" w:rsidP="00667207">
      <w:pPr>
        <w:tabs>
          <w:tab w:val="left" w:pos="720"/>
          <w:tab w:val="left" w:pos="1440"/>
        </w:tabs>
        <w:rPr>
          <w:szCs w:val="24"/>
        </w:rPr>
      </w:pPr>
    </w:p>
    <w:p w:rsidR="00667207" w:rsidRPr="008412D3" w:rsidRDefault="00667207" w:rsidP="00667207">
      <w:pPr>
        <w:pStyle w:val="Heading2"/>
        <w:tabs>
          <w:tab w:val="left" w:pos="720"/>
          <w:tab w:val="left" w:pos="1440"/>
        </w:tabs>
        <w:rPr>
          <w:bCs/>
          <w:szCs w:val="24"/>
        </w:rPr>
      </w:pPr>
      <w:r w:rsidRPr="008412D3">
        <w:rPr>
          <w:bCs/>
          <w:szCs w:val="24"/>
        </w:rPr>
        <w:t>Sensitive Questions</w:t>
      </w:r>
    </w:p>
    <w:p w:rsidR="00667207" w:rsidRPr="008412D3" w:rsidRDefault="00667207" w:rsidP="00667207">
      <w:pPr>
        <w:tabs>
          <w:tab w:val="left" w:pos="720"/>
          <w:tab w:val="left" w:pos="1440"/>
        </w:tabs>
        <w:rPr>
          <w:szCs w:val="24"/>
        </w:rPr>
      </w:pPr>
    </w:p>
    <w:p w:rsidR="00667207" w:rsidRPr="008412D3" w:rsidRDefault="00667207" w:rsidP="00667207">
      <w:pPr>
        <w:tabs>
          <w:tab w:val="left" w:pos="720"/>
          <w:tab w:val="left" w:pos="1440"/>
        </w:tabs>
        <w:rPr>
          <w:szCs w:val="24"/>
        </w:rPr>
      </w:pPr>
      <w:r w:rsidRPr="008412D3">
        <w:rPr>
          <w:szCs w:val="24"/>
        </w:rPr>
        <w:tab/>
        <w:t>These collections of information contain no questions of a sensitive nature, as defined by OMB guidelines.</w:t>
      </w:r>
    </w:p>
    <w:p w:rsidR="00667207" w:rsidRPr="008412D3" w:rsidRDefault="00667207" w:rsidP="00667207">
      <w:pPr>
        <w:tabs>
          <w:tab w:val="left" w:pos="720"/>
          <w:tab w:val="left" w:pos="1440"/>
        </w:tabs>
        <w:rPr>
          <w:szCs w:val="24"/>
        </w:rPr>
      </w:pPr>
    </w:p>
    <w:p w:rsidR="00667207" w:rsidRPr="008412D3" w:rsidRDefault="00667207" w:rsidP="00667207">
      <w:pPr>
        <w:rPr>
          <w:b/>
          <w:bCs/>
          <w:szCs w:val="24"/>
        </w:rPr>
      </w:pPr>
      <w:r w:rsidRPr="008412D3">
        <w:rPr>
          <w:b/>
          <w:bCs/>
          <w:szCs w:val="24"/>
        </w:rPr>
        <w:t>Estimate of Respondent Burden</w:t>
      </w:r>
    </w:p>
    <w:p w:rsidR="00667207" w:rsidRPr="008412D3" w:rsidRDefault="00667207" w:rsidP="00667207">
      <w:pPr>
        <w:tabs>
          <w:tab w:val="left" w:pos="720"/>
          <w:tab w:val="left" w:pos="1440"/>
        </w:tabs>
        <w:rPr>
          <w:szCs w:val="24"/>
        </w:rPr>
      </w:pPr>
    </w:p>
    <w:p w:rsidR="00667207" w:rsidRPr="008412D3" w:rsidRDefault="00667207" w:rsidP="00667207">
      <w:pPr>
        <w:tabs>
          <w:tab w:val="left" w:pos="720"/>
          <w:tab w:val="left" w:pos="1440"/>
        </w:tabs>
        <w:rPr>
          <w:szCs w:val="24"/>
        </w:rPr>
      </w:pPr>
      <w:r w:rsidRPr="008412D3">
        <w:rPr>
          <w:szCs w:val="24"/>
        </w:rPr>
        <w:tab/>
        <w:t>The annual burden for the FR Y-3, FR Y-3N, and FR Y-4 is estimated to be 14,913 hours and would increase to 15,905 hours with the proposed revision.  The increase in the estimated response time for FR Y-3 respondents is attributable the time required to complete the IBFR (4 hours).  Individuals would use the IBFR to provide supporting financial and employment data.  C</w:t>
      </w:r>
      <w:r w:rsidRPr="008412D3">
        <w:rPr>
          <w:color w:val="000000"/>
          <w:szCs w:val="24"/>
        </w:rPr>
        <w:t xml:space="preserve">orporations or partnerships would provide financial statements (balance sheets and income statements) for the two most recent fiscal years </w:t>
      </w:r>
      <w:r w:rsidR="00A50C4A" w:rsidRPr="008412D3">
        <w:rPr>
          <w:color w:val="000000"/>
          <w:szCs w:val="24"/>
        </w:rPr>
        <w:t xml:space="preserve">and the most recent quarter end </w:t>
      </w:r>
      <w:r w:rsidRPr="008412D3">
        <w:rPr>
          <w:color w:val="000000"/>
          <w:szCs w:val="24"/>
        </w:rPr>
        <w:t xml:space="preserve">and would be asked to elaborate on any negative trends in the financial statements.  </w:t>
      </w:r>
      <w:r w:rsidRPr="008412D3">
        <w:rPr>
          <w:szCs w:val="24"/>
        </w:rPr>
        <w:t xml:space="preserve">The current burden estimates are based on the number of applications and notifications, including post-consummation notices, received in 2008 and 2009.  </w:t>
      </w:r>
      <w:r w:rsidRPr="008412D3">
        <w:rPr>
          <w:bCs/>
          <w:szCs w:val="24"/>
        </w:rPr>
        <w:t>The reporting</w:t>
      </w:r>
      <w:r w:rsidRPr="008412D3">
        <w:rPr>
          <w:bCs/>
          <w:color w:val="000000"/>
          <w:szCs w:val="24"/>
        </w:rPr>
        <w:t xml:space="preserve"> requirement of these applications and notifications represents less than 1 percent of total Federal Reserve System paperwork burden</w:t>
      </w:r>
      <w:r w:rsidRPr="008412D3">
        <w:rPr>
          <w:szCs w:val="24"/>
        </w:rPr>
        <w:t xml:space="preserve">.  </w:t>
      </w:r>
    </w:p>
    <w:p w:rsidR="00667207" w:rsidRPr="008412D3" w:rsidRDefault="00667207" w:rsidP="00667207">
      <w:pPr>
        <w:tabs>
          <w:tab w:val="left" w:pos="360"/>
          <w:tab w:val="left" w:pos="1080"/>
        </w:tabs>
        <w:rPr>
          <w:szCs w:val="24"/>
        </w:rPr>
      </w:pPr>
    </w:p>
    <w:tbl>
      <w:tblPr>
        <w:tblW w:w="0" w:type="auto"/>
        <w:tblInd w:w="105" w:type="dxa"/>
        <w:tblBorders>
          <w:top w:val="single" w:sz="4" w:space="0" w:color="auto"/>
          <w:bottom w:val="single" w:sz="4" w:space="0" w:color="auto"/>
        </w:tblBorders>
        <w:tblLayout w:type="fixed"/>
        <w:tblCellMar>
          <w:left w:w="120" w:type="dxa"/>
          <w:right w:w="120" w:type="dxa"/>
        </w:tblCellMar>
        <w:tblLook w:val="0000"/>
      </w:tblPr>
      <w:tblGrid>
        <w:gridCol w:w="3525"/>
        <w:gridCol w:w="1619"/>
        <w:gridCol w:w="1261"/>
        <w:gridCol w:w="1350"/>
        <w:gridCol w:w="1710"/>
      </w:tblGrid>
      <w:tr w:rsidR="00667207" w:rsidRPr="008412D3" w:rsidTr="00667207">
        <w:tc>
          <w:tcPr>
            <w:tcW w:w="3525" w:type="dxa"/>
            <w:vAlign w:val="center"/>
          </w:tcPr>
          <w:p w:rsidR="00667207" w:rsidRPr="008412D3" w:rsidRDefault="00667207" w:rsidP="00667207">
            <w:pPr>
              <w:spacing w:line="163" w:lineRule="exact"/>
              <w:jc w:val="center"/>
              <w:rPr>
                <w:szCs w:val="24"/>
              </w:rPr>
            </w:pPr>
          </w:p>
          <w:p w:rsidR="00667207" w:rsidRPr="008412D3" w:rsidRDefault="00667207" w:rsidP="00667207">
            <w:pPr>
              <w:tabs>
                <w:tab w:val="left" w:pos="360"/>
                <w:tab w:val="left" w:pos="1080"/>
              </w:tabs>
              <w:jc w:val="center"/>
              <w:rPr>
                <w:szCs w:val="24"/>
              </w:rPr>
            </w:pPr>
          </w:p>
        </w:tc>
        <w:tc>
          <w:tcPr>
            <w:tcW w:w="1619" w:type="dxa"/>
            <w:vAlign w:val="center"/>
          </w:tcPr>
          <w:p w:rsidR="00667207" w:rsidRPr="008412D3" w:rsidRDefault="00667207" w:rsidP="00667207">
            <w:pPr>
              <w:spacing w:line="163" w:lineRule="exact"/>
              <w:jc w:val="center"/>
              <w:rPr>
                <w:szCs w:val="24"/>
              </w:rPr>
            </w:pPr>
          </w:p>
          <w:p w:rsidR="00667207" w:rsidRPr="008412D3" w:rsidRDefault="00667207" w:rsidP="00667207">
            <w:pPr>
              <w:tabs>
                <w:tab w:val="left" w:pos="360"/>
                <w:tab w:val="left" w:pos="1080"/>
              </w:tabs>
              <w:jc w:val="center"/>
              <w:rPr>
                <w:i/>
                <w:szCs w:val="24"/>
              </w:rPr>
            </w:pPr>
            <w:r w:rsidRPr="008412D3">
              <w:rPr>
                <w:i/>
                <w:szCs w:val="24"/>
              </w:rPr>
              <w:t>Number</w:t>
            </w:r>
          </w:p>
          <w:p w:rsidR="00667207" w:rsidRPr="008412D3" w:rsidRDefault="00667207" w:rsidP="00667207">
            <w:pPr>
              <w:tabs>
                <w:tab w:val="left" w:pos="360"/>
                <w:tab w:val="left" w:pos="1080"/>
              </w:tabs>
              <w:jc w:val="center"/>
              <w:rPr>
                <w:i/>
                <w:szCs w:val="24"/>
              </w:rPr>
            </w:pPr>
            <w:r w:rsidRPr="008412D3">
              <w:rPr>
                <w:i/>
                <w:szCs w:val="24"/>
              </w:rPr>
              <w:t>of</w:t>
            </w:r>
          </w:p>
          <w:p w:rsidR="00667207" w:rsidRPr="008412D3" w:rsidRDefault="00667207" w:rsidP="00667207">
            <w:pPr>
              <w:tabs>
                <w:tab w:val="left" w:pos="360"/>
                <w:tab w:val="left" w:pos="1080"/>
              </w:tabs>
              <w:jc w:val="center"/>
              <w:rPr>
                <w:i/>
                <w:szCs w:val="24"/>
              </w:rPr>
            </w:pPr>
            <w:r w:rsidRPr="008412D3">
              <w:rPr>
                <w:i/>
                <w:szCs w:val="24"/>
              </w:rPr>
              <w:t>respondents</w:t>
            </w:r>
          </w:p>
        </w:tc>
        <w:tc>
          <w:tcPr>
            <w:tcW w:w="1261" w:type="dxa"/>
            <w:vAlign w:val="center"/>
          </w:tcPr>
          <w:p w:rsidR="00667207" w:rsidRPr="008412D3" w:rsidRDefault="00667207" w:rsidP="00667207">
            <w:pPr>
              <w:spacing w:line="163" w:lineRule="exact"/>
              <w:jc w:val="center"/>
              <w:rPr>
                <w:szCs w:val="24"/>
              </w:rPr>
            </w:pPr>
          </w:p>
          <w:p w:rsidR="00667207" w:rsidRPr="008412D3" w:rsidRDefault="00667207" w:rsidP="00667207">
            <w:pPr>
              <w:tabs>
                <w:tab w:val="left" w:pos="360"/>
                <w:tab w:val="left" w:pos="1080"/>
              </w:tabs>
              <w:jc w:val="center"/>
              <w:rPr>
                <w:szCs w:val="24"/>
              </w:rPr>
            </w:pPr>
            <w:r w:rsidRPr="008412D3">
              <w:rPr>
                <w:i/>
                <w:szCs w:val="24"/>
              </w:rPr>
              <w:t>Estimated annual frequency</w:t>
            </w:r>
          </w:p>
        </w:tc>
        <w:tc>
          <w:tcPr>
            <w:tcW w:w="1350" w:type="dxa"/>
            <w:vAlign w:val="center"/>
          </w:tcPr>
          <w:p w:rsidR="00667207" w:rsidRPr="008412D3" w:rsidRDefault="00667207" w:rsidP="00667207">
            <w:pPr>
              <w:spacing w:line="163" w:lineRule="exact"/>
              <w:jc w:val="center"/>
              <w:rPr>
                <w:szCs w:val="24"/>
              </w:rPr>
            </w:pPr>
          </w:p>
          <w:p w:rsidR="00667207" w:rsidRPr="008412D3" w:rsidRDefault="00667207" w:rsidP="00667207">
            <w:pPr>
              <w:tabs>
                <w:tab w:val="left" w:pos="360"/>
                <w:tab w:val="left" w:pos="1080"/>
              </w:tabs>
              <w:jc w:val="center"/>
              <w:rPr>
                <w:szCs w:val="24"/>
              </w:rPr>
            </w:pPr>
            <w:r w:rsidRPr="008412D3">
              <w:rPr>
                <w:i/>
                <w:szCs w:val="24"/>
              </w:rPr>
              <w:t xml:space="preserve">Estimated </w:t>
            </w:r>
            <w:r>
              <w:rPr>
                <w:i/>
                <w:szCs w:val="24"/>
              </w:rPr>
              <w:t xml:space="preserve">average hours per </w:t>
            </w:r>
            <w:r w:rsidRPr="008412D3">
              <w:rPr>
                <w:i/>
                <w:szCs w:val="24"/>
              </w:rPr>
              <w:t>response</w:t>
            </w:r>
          </w:p>
        </w:tc>
        <w:tc>
          <w:tcPr>
            <w:tcW w:w="1710" w:type="dxa"/>
            <w:vAlign w:val="center"/>
          </w:tcPr>
          <w:p w:rsidR="00667207" w:rsidRPr="008412D3" w:rsidRDefault="00667207" w:rsidP="00667207">
            <w:pPr>
              <w:spacing w:line="163" w:lineRule="exact"/>
              <w:jc w:val="center"/>
              <w:rPr>
                <w:szCs w:val="24"/>
              </w:rPr>
            </w:pPr>
          </w:p>
          <w:p w:rsidR="00667207" w:rsidRDefault="00667207" w:rsidP="00667207">
            <w:pPr>
              <w:tabs>
                <w:tab w:val="left" w:pos="360"/>
                <w:tab w:val="left" w:pos="1080"/>
              </w:tabs>
              <w:jc w:val="center"/>
              <w:rPr>
                <w:i/>
                <w:szCs w:val="24"/>
              </w:rPr>
            </w:pPr>
            <w:r w:rsidRPr="008412D3">
              <w:rPr>
                <w:i/>
                <w:szCs w:val="24"/>
              </w:rPr>
              <w:t>Estimated annual</w:t>
            </w:r>
          </w:p>
          <w:p w:rsidR="00667207" w:rsidRPr="008412D3" w:rsidRDefault="00667207" w:rsidP="00667207">
            <w:pPr>
              <w:tabs>
                <w:tab w:val="left" w:pos="360"/>
                <w:tab w:val="left" w:pos="1080"/>
              </w:tabs>
              <w:jc w:val="center"/>
              <w:rPr>
                <w:szCs w:val="24"/>
              </w:rPr>
            </w:pPr>
            <w:r w:rsidRPr="008412D3">
              <w:rPr>
                <w:i/>
                <w:szCs w:val="24"/>
              </w:rPr>
              <w:t>burden hours</w:t>
            </w:r>
          </w:p>
        </w:tc>
      </w:tr>
      <w:tr w:rsidR="00667207" w:rsidRPr="008412D3" w:rsidTr="00667207">
        <w:tc>
          <w:tcPr>
            <w:tcW w:w="3525" w:type="dxa"/>
            <w:vAlign w:val="center"/>
          </w:tcPr>
          <w:p w:rsidR="00667207" w:rsidRPr="008412D3" w:rsidRDefault="00667207" w:rsidP="00667207">
            <w:pPr>
              <w:tabs>
                <w:tab w:val="left" w:pos="360"/>
                <w:tab w:val="left" w:pos="1080"/>
              </w:tabs>
              <w:rPr>
                <w:i/>
                <w:szCs w:val="24"/>
              </w:rPr>
            </w:pPr>
            <w:r w:rsidRPr="008412D3">
              <w:rPr>
                <w:i/>
                <w:szCs w:val="24"/>
              </w:rPr>
              <w:t>Current</w:t>
            </w:r>
          </w:p>
        </w:tc>
        <w:tc>
          <w:tcPr>
            <w:tcW w:w="1619" w:type="dxa"/>
            <w:vAlign w:val="center"/>
          </w:tcPr>
          <w:p w:rsidR="00667207" w:rsidRPr="008412D3" w:rsidRDefault="00667207" w:rsidP="00667207">
            <w:pPr>
              <w:tabs>
                <w:tab w:val="left" w:pos="360"/>
                <w:tab w:val="left" w:pos="1080"/>
              </w:tabs>
              <w:jc w:val="center"/>
              <w:rPr>
                <w:szCs w:val="24"/>
              </w:rPr>
            </w:pPr>
          </w:p>
        </w:tc>
        <w:tc>
          <w:tcPr>
            <w:tcW w:w="1261" w:type="dxa"/>
            <w:vAlign w:val="center"/>
          </w:tcPr>
          <w:p w:rsidR="00667207" w:rsidRPr="008412D3" w:rsidRDefault="00667207" w:rsidP="00667207">
            <w:pPr>
              <w:tabs>
                <w:tab w:val="left" w:pos="360"/>
                <w:tab w:val="left" w:pos="1080"/>
              </w:tabs>
              <w:jc w:val="center"/>
              <w:rPr>
                <w:szCs w:val="24"/>
              </w:rPr>
            </w:pPr>
          </w:p>
        </w:tc>
        <w:tc>
          <w:tcPr>
            <w:tcW w:w="1350" w:type="dxa"/>
            <w:vAlign w:val="center"/>
          </w:tcPr>
          <w:p w:rsidR="00667207" w:rsidRPr="008412D3" w:rsidRDefault="00667207" w:rsidP="00667207">
            <w:pPr>
              <w:tabs>
                <w:tab w:val="left" w:pos="360"/>
                <w:tab w:val="left" w:pos="1080"/>
              </w:tabs>
              <w:jc w:val="center"/>
              <w:rPr>
                <w:szCs w:val="24"/>
              </w:rPr>
            </w:pPr>
          </w:p>
        </w:tc>
        <w:tc>
          <w:tcPr>
            <w:tcW w:w="1710" w:type="dxa"/>
            <w:vAlign w:val="center"/>
          </w:tcPr>
          <w:p w:rsidR="00667207" w:rsidRPr="008412D3" w:rsidRDefault="00667207" w:rsidP="00667207">
            <w:pPr>
              <w:spacing w:line="144" w:lineRule="exact"/>
              <w:jc w:val="center"/>
              <w:rPr>
                <w:szCs w:val="24"/>
              </w:rPr>
            </w:pPr>
          </w:p>
        </w:tc>
      </w:tr>
      <w:tr w:rsidR="00667207" w:rsidRPr="008412D3" w:rsidTr="00667207">
        <w:tc>
          <w:tcPr>
            <w:tcW w:w="3525" w:type="dxa"/>
            <w:vAlign w:val="center"/>
          </w:tcPr>
          <w:p w:rsidR="00667207" w:rsidRPr="008412D3" w:rsidRDefault="00667207" w:rsidP="00667207">
            <w:pPr>
              <w:tabs>
                <w:tab w:val="left" w:pos="360"/>
                <w:tab w:val="left" w:pos="1080"/>
              </w:tabs>
              <w:rPr>
                <w:b/>
                <w:szCs w:val="24"/>
              </w:rPr>
            </w:pPr>
            <w:r w:rsidRPr="008412D3">
              <w:rPr>
                <w:b/>
                <w:szCs w:val="24"/>
              </w:rPr>
              <w:t>FR Y-3</w:t>
            </w:r>
          </w:p>
          <w:p w:rsidR="00667207" w:rsidRPr="008412D3" w:rsidRDefault="00667207" w:rsidP="00667207">
            <w:pPr>
              <w:tabs>
                <w:tab w:val="left" w:pos="360"/>
                <w:tab w:val="left" w:pos="1080"/>
              </w:tabs>
              <w:rPr>
                <w:szCs w:val="24"/>
              </w:rPr>
            </w:pPr>
            <w:r w:rsidRPr="008412D3">
              <w:rPr>
                <w:szCs w:val="24"/>
              </w:rPr>
              <w:t>Section 3(a)(1)</w:t>
            </w:r>
          </w:p>
          <w:p w:rsidR="00667207" w:rsidRPr="008412D3" w:rsidRDefault="00667207" w:rsidP="00667207">
            <w:pPr>
              <w:tabs>
                <w:tab w:val="left" w:pos="360"/>
                <w:tab w:val="left" w:pos="1080"/>
              </w:tabs>
              <w:rPr>
                <w:szCs w:val="24"/>
              </w:rPr>
            </w:pPr>
            <w:r w:rsidRPr="008412D3">
              <w:rPr>
                <w:szCs w:val="24"/>
              </w:rPr>
              <w:t>Section 3(a)(3) and 3(a)(5)</w:t>
            </w:r>
          </w:p>
        </w:tc>
        <w:tc>
          <w:tcPr>
            <w:tcW w:w="1619" w:type="dxa"/>
            <w:vAlign w:val="center"/>
          </w:tcPr>
          <w:p w:rsidR="00667207" w:rsidRPr="008412D3" w:rsidRDefault="00667207" w:rsidP="00667207">
            <w:pPr>
              <w:tabs>
                <w:tab w:val="left" w:pos="360"/>
                <w:tab w:val="left" w:pos="1080"/>
              </w:tabs>
              <w:jc w:val="center"/>
              <w:rPr>
                <w:szCs w:val="24"/>
              </w:rPr>
            </w:pPr>
          </w:p>
          <w:p w:rsidR="00667207" w:rsidRPr="008412D3" w:rsidRDefault="00667207" w:rsidP="00667207">
            <w:pPr>
              <w:tabs>
                <w:tab w:val="left" w:pos="360"/>
                <w:tab w:val="left" w:pos="1080"/>
              </w:tabs>
              <w:jc w:val="center"/>
              <w:rPr>
                <w:szCs w:val="24"/>
              </w:rPr>
            </w:pPr>
            <w:r w:rsidRPr="008412D3">
              <w:rPr>
                <w:szCs w:val="24"/>
              </w:rPr>
              <w:t>105</w:t>
            </w:r>
          </w:p>
          <w:p w:rsidR="00667207" w:rsidRPr="008412D3" w:rsidRDefault="00667207" w:rsidP="00667207">
            <w:pPr>
              <w:tabs>
                <w:tab w:val="left" w:pos="360"/>
                <w:tab w:val="left" w:pos="1080"/>
              </w:tabs>
              <w:jc w:val="center"/>
              <w:rPr>
                <w:szCs w:val="24"/>
              </w:rPr>
            </w:pPr>
            <w:r w:rsidRPr="008412D3">
              <w:rPr>
                <w:szCs w:val="24"/>
              </w:rPr>
              <w:t>143</w:t>
            </w:r>
          </w:p>
        </w:tc>
        <w:tc>
          <w:tcPr>
            <w:tcW w:w="1261" w:type="dxa"/>
            <w:vAlign w:val="center"/>
          </w:tcPr>
          <w:p w:rsidR="00667207" w:rsidRPr="008412D3" w:rsidRDefault="00667207" w:rsidP="00667207">
            <w:pPr>
              <w:tabs>
                <w:tab w:val="left" w:pos="360"/>
                <w:tab w:val="left" w:pos="1080"/>
              </w:tabs>
              <w:jc w:val="center"/>
              <w:rPr>
                <w:szCs w:val="24"/>
              </w:rPr>
            </w:pPr>
          </w:p>
          <w:p w:rsidR="00667207" w:rsidRPr="008412D3" w:rsidRDefault="00667207" w:rsidP="00667207">
            <w:pPr>
              <w:tabs>
                <w:tab w:val="left" w:pos="360"/>
                <w:tab w:val="left" w:pos="1080"/>
              </w:tabs>
              <w:jc w:val="center"/>
              <w:rPr>
                <w:szCs w:val="24"/>
              </w:rPr>
            </w:pPr>
            <w:r w:rsidRPr="008412D3">
              <w:rPr>
                <w:szCs w:val="24"/>
              </w:rPr>
              <w:t>1</w:t>
            </w:r>
          </w:p>
          <w:p w:rsidR="00667207" w:rsidRPr="008412D3" w:rsidRDefault="00667207" w:rsidP="00667207">
            <w:pPr>
              <w:tabs>
                <w:tab w:val="left" w:pos="360"/>
                <w:tab w:val="left" w:pos="1080"/>
              </w:tabs>
              <w:jc w:val="center"/>
              <w:rPr>
                <w:szCs w:val="24"/>
              </w:rPr>
            </w:pPr>
            <w:r w:rsidRPr="008412D3">
              <w:rPr>
                <w:szCs w:val="24"/>
              </w:rPr>
              <w:t>1</w:t>
            </w:r>
          </w:p>
        </w:tc>
        <w:tc>
          <w:tcPr>
            <w:tcW w:w="1350" w:type="dxa"/>
            <w:vAlign w:val="center"/>
          </w:tcPr>
          <w:p w:rsidR="00667207" w:rsidRPr="008412D3" w:rsidRDefault="00667207" w:rsidP="00667207">
            <w:pPr>
              <w:tabs>
                <w:tab w:val="left" w:pos="360"/>
                <w:tab w:val="left" w:pos="1080"/>
              </w:tabs>
              <w:jc w:val="center"/>
              <w:rPr>
                <w:szCs w:val="24"/>
              </w:rPr>
            </w:pPr>
          </w:p>
          <w:p w:rsidR="00667207" w:rsidRPr="008412D3" w:rsidRDefault="00667207" w:rsidP="00667207">
            <w:pPr>
              <w:tabs>
                <w:tab w:val="left" w:pos="360"/>
                <w:tab w:val="left" w:pos="1080"/>
              </w:tabs>
              <w:jc w:val="center"/>
              <w:rPr>
                <w:szCs w:val="24"/>
              </w:rPr>
            </w:pPr>
            <w:r w:rsidRPr="008412D3">
              <w:rPr>
                <w:szCs w:val="24"/>
              </w:rPr>
              <w:t>49.0</w:t>
            </w:r>
          </w:p>
          <w:p w:rsidR="00667207" w:rsidRPr="008412D3" w:rsidRDefault="00667207" w:rsidP="00667207">
            <w:pPr>
              <w:tabs>
                <w:tab w:val="left" w:pos="360"/>
                <w:tab w:val="left" w:pos="1080"/>
              </w:tabs>
              <w:jc w:val="center"/>
              <w:rPr>
                <w:szCs w:val="24"/>
              </w:rPr>
            </w:pPr>
            <w:r w:rsidRPr="008412D3">
              <w:rPr>
                <w:szCs w:val="24"/>
              </w:rPr>
              <w:t>59.5</w:t>
            </w:r>
          </w:p>
        </w:tc>
        <w:tc>
          <w:tcPr>
            <w:tcW w:w="1710" w:type="dxa"/>
            <w:vAlign w:val="center"/>
          </w:tcPr>
          <w:p w:rsidR="00667207" w:rsidRPr="008412D3" w:rsidRDefault="00667207" w:rsidP="00667207">
            <w:pPr>
              <w:spacing w:line="144" w:lineRule="exact"/>
              <w:jc w:val="center"/>
              <w:rPr>
                <w:szCs w:val="24"/>
              </w:rPr>
            </w:pPr>
          </w:p>
          <w:p w:rsidR="00667207" w:rsidRPr="008412D3" w:rsidRDefault="00667207" w:rsidP="00667207">
            <w:pPr>
              <w:tabs>
                <w:tab w:val="left" w:pos="360"/>
                <w:tab w:val="left" w:pos="1080"/>
              </w:tabs>
              <w:jc w:val="center"/>
              <w:rPr>
                <w:szCs w:val="24"/>
              </w:rPr>
            </w:pPr>
            <w:r w:rsidRPr="008412D3">
              <w:rPr>
                <w:szCs w:val="24"/>
              </w:rPr>
              <w:t>5,145</w:t>
            </w:r>
          </w:p>
          <w:p w:rsidR="00667207" w:rsidRPr="008412D3" w:rsidRDefault="00667207" w:rsidP="00667207">
            <w:pPr>
              <w:tabs>
                <w:tab w:val="left" w:pos="360"/>
                <w:tab w:val="left" w:pos="1080"/>
              </w:tabs>
              <w:jc w:val="center"/>
              <w:rPr>
                <w:szCs w:val="24"/>
              </w:rPr>
            </w:pPr>
            <w:r w:rsidRPr="008412D3">
              <w:rPr>
                <w:szCs w:val="24"/>
              </w:rPr>
              <w:t>8,509</w:t>
            </w:r>
          </w:p>
        </w:tc>
      </w:tr>
      <w:tr w:rsidR="00667207" w:rsidRPr="008412D3" w:rsidTr="00667207">
        <w:tc>
          <w:tcPr>
            <w:tcW w:w="3525" w:type="dxa"/>
            <w:vAlign w:val="center"/>
          </w:tcPr>
          <w:p w:rsidR="00667207" w:rsidRPr="008412D3" w:rsidRDefault="00667207" w:rsidP="00667207">
            <w:pPr>
              <w:tabs>
                <w:tab w:val="left" w:pos="360"/>
                <w:tab w:val="left" w:pos="1080"/>
              </w:tabs>
              <w:rPr>
                <w:b/>
                <w:szCs w:val="24"/>
              </w:rPr>
            </w:pPr>
            <w:r w:rsidRPr="008412D3">
              <w:rPr>
                <w:b/>
                <w:szCs w:val="24"/>
              </w:rPr>
              <w:t>FR Y-3N</w:t>
            </w:r>
          </w:p>
          <w:p w:rsidR="00667207" w:rsidRPr="008412D3" w:rsidRDefault="00667207" w:rsidP="00667207">
            <w:pPr>
              <w:tabs>
                <w:tab w:val="left" w:pos="360"/>
                <w:tab w:val="left" w:pos="1080"/>
              </w:tabs>
              <w:rPr>
                <w:i/>
                <w:iCs/>
                <w:szCs w:val="24"/>
              </w:rPr>
            </w:pPr>
            <w:r w:rsidRPr="008412D3">
              <w:rPr>
                <w:szCs w:val="24"/>
              </w:rPr>
              <w:t xml:space="preserve">Section 3(a)(1), 3(a)(3), and 3(a)(5) </w:t>
            </w:r>
          </w:p>
        </w:tc>
        <w:tc>
          <w:tcPr>
            <w:tcW w:w="1619" w:type="dxa"/>
            <w:vAlign w:val="center"/>
          </w:tcPr>
          <w:p w:rsidR="00667207" w:rsidRPr="008412D3" w:rsidRDefault="00667207" w:rsidP="00667207">
            <w:pPr>
              <w:tabs>
                <w:tab w:val="left" w:pos="360"/>
                <w:tab w:val="left" w:pos="1080"/>
              </w:tabs>
              <w:jc w:val="center"/>
              <w:rPr>
                <w:szCs w:val="24"/>
              </w:rPr>
            </w:pPr>
            <w:r w:rsidRPr="008412D3">
              <w:rPr>
                <w:szCs w:val="24"/>
              </w:rPr>
              <w:t xml:space="preserve">  45</w:t>
            </w:r>
          </w:p>
        </w:tc>
        <w:tc>
          <w:tcPr>
            <w:tcW w:w="1261" w:type="dxa"/>
            <w:vAlign w:val="center"/>
          </w:tcPr>
          <w:p w:rsidR="00667207" w:rsidRPr="008412D3" w:rsidRDefault="00667207" w:rsidP="00667207">
            <w:pPr>
              <w:tabs>
                <w:tab w:val="left" w:pos="360"/>
                <w:tab w:val="left" w:pos="1080"/>
              </w:tabs>
              <w:jc w:val="center"/>
              <w:rPr>
                <w:szCs w:val="24"/>
              </w:rPr>
            </w:pPr>
            <w:r w:rsidRPr="008412D3">
              <w:rPr>
                <w:szCs w:val="24"/>
              </w:rPr>
              <w:t>1</w:t>
            </w:r>
          </w:p>
        </w:tc>
        <w:tc>
          <w:tcPr>
            <w:tcW w:w="1350" w:type="dxa"/>
            <w:vAlign w:val="center"/>
          </w:tcPr>
          <w:p w:rsidR="00667207" w:rsidRPr="008412D3" w:rsidRDefault="00667207" w:rsidP="00667207">
            <w:pPr>
              <w:tabs>
                <w:tab w:val="left" w:pos="360"/>
                <w:tab w:val="left" w:pos="1080"/>
              </w:tabs>
              <w:jc w:val="center"/>
              <w:rPr>
                <w:szCs w:val="24"/>
              </w:rPr>
            </w:pPr>
            <w:r w:rsidRPr="008412D3">
              <w:rPr>
                <w:szCs w:val="24"/>
              </w:rPr>
              <w:t>5.0</w:t>
            </w:r>
          </w:p>
        </w:tc>
        <w:tc>
          <w:tcPr>
            <w:tcW w:w="1710" w:type="dxa"/>
            <w:vAlign w:val="center"/>
          </w:tcPr>
          <w:p w:rsidR="00667207" w:rsidRPr="008412D3" w:rsidRDefault="00667207" w:rsidP="00667207">
            <w:pPr>
              <w:tabs>
                <w:tab w:val="left" w:pos="360"/>
                <w:tab w:val="left" w:pos="1080"/>
              </w:tabs>
              <w:jc w:val="center"/>
              <w:rPr>
                <w:szCs w:val="24"/>
                <w:u w:val="single"/>
              </w:rPr>
            </w:pPr>
            <w:r w:rsidRPr="008412D3">
              <w:rPr>
                <w:szCs w:val="24"/>
              </w:rPr>
              <w:t xml:space="preserve">   225</w:t>
            </w:r>
          </w:p>
        </w:tc>
      </w:tr>
      <w:tr w:rsidR="00667207" w:rsidRPr="008412D3" w:rsidTr="00667207">
        <w:tc>
          <w:tcPr>
            <w:tcW w:w="3525" w:type="dxa"/>
            <w:vAlign w:val="center"/>
          </w:tcPr>
          <w:p w:rsidR="00667207" w:rsidRPr="008412D3" w:rsidRDefault="00667207" w:rsidP="00667207">
            <w:pPr>
              <w:tabs>
                <w:tab w:val="left" w:pos="360"/>
                <w:tab w:val="left" w:pos="1080"/>
              </w:tabs>
              <w:rPr>
                <w:b/>
                <w:szCs w:val="24"/>
              </w:rPr>
            </w:pPr>
            <w:r w:rsidRPr="008412D3">
              <w:rPr>
                <w:b/>
                <w:szCs w:val="24"/>
              </w:rPr>
              <w:t>FR Y-4</w:t>
            </w:r>
          </w:p>
          <w:p w:rsidR="00667207" w:rsidRPr="008412D3" w:rsidRDefault="00667207" w:rsidP="00667207">
            <w:pPr>
              <w:tabs>
                <w:tab w:val="left" w:pos="360"/>
                <w:tab w:val="left" w:pos="1080"/>
              </w:tabs>
              <w:rPr>
                <w:szCs w:val="24"/>
              </w:rPr>
            </w:pPr>
            <w:r w:rsidRPr="008412D3">
              <w:rPr>
                <w:szCs w:val="24"/>
              </w:rPr>
              <w:t>Complete notification</w:t>
            </w:r>
          </w:p>
          <w:p w:rsidR="00667207" w:rsidRPr="008412D3" w:rsidRDefault="00667207" w:rsidP="00667207">
            <w:pPr>
              <w:tabs>
                <w:tab w:val="left" w:pos="360"/>
                <w:tab w:val="left" w:pos="1080"/>
              </w:tabs>
              <w:rPr>
                <w:szCs w:val="24"/>
              </w:rPr>
            </w:pPr>
            <w:r w:rsidRPr="008412D3">
              <w:rPr>
                <w:szCs w:val="24"/>
              </w:rPr>
              <w:t>Expedited notification</w:t>
            </w:r>
          </w:p>
          <w:p w:rsidR="00667207" w:rsidRPr="008412D3" w:rsidRDefault="00667207" w:rsidP="00667207">
            <w:pPr>
              <w:tabs>
                <w:tab w:val="left" w:pos="360"/>
                <w:tab w:val="left" w:pos="1080"/>
              </w:tabs>
              <w:rPr>
                <w:szCs w:val="24"/>
              </w:rPr>
            </w:pPr>
            <w:r w:rsidRPr="008412D3">
              <w:rPr>
                <w:szCs w:val="24"/>
              </w:rPr>
              <w:t>Post-consummation</w:t>
            </w:r>
          </w:p>
        </w:tc>
        <w:tc>
          <w:tcPr>
            <w:tcW w:w="1619" w:type="dxa"/>
            <w:vAlign w:val="center"/>
          </w:tcPr>
          <w:p w:rsidR="00667207" w:rsidRPr="008412D3" w:rsidRDefault="00667207" w:rsidP="00667207">
            <w:pPr>
              <w:tabs>
                <w:tab w:val="left" w:pos="360"/>
                <w:tab w:val="left" w:pos="1080"/>
              </w:tabs>
              <w:jc w:val="center"/>
              <w:rPr>
                <w:szCs w:val="24"/>
              </w:rPr>
            </w:pPr>
          </w:p>
          <w:p w:rsidR="00667207" w:rsidRPr="008412D3" w:rsidRDefault="00667207" w:rsidP="00667207">
            <w:pPr>
              <w:tabs>
                <w:tab w:val="left" w:pos="360"/>
                <w:tab w:val="left" w:pos="1080"/>
              </w:tabs>
              <w:jc w:val="center"/>
              <w:rPr>
                <w:szCs w:val="24"/>
              </w:rPr>
            </w:pPr>
            <w:r w:rsidRPr="008412D3">
              <w:rPr>
                <w:szCs w:val="24"/>
              </w:rPr>
              <w:t>78</w:t>
            </w:r>
          </w:p>
          <w:p w:rsidR="00667207" w:rsidRPr="008412D3" w:rsidRDefault="00667207" w:rsidP="00667207">
            <w:pPr>
              <w:tabs>
                <w:tab w:val="left" w:pos="360"/>
                <w:tab w:val="left" w:pos="1080"/>
              </w:tabs>
              <w:jc w:val="center"/>
              <w:rPr>
                <w:szCs w:val="24"/>
              </w:rPr>
            </w:pPr>
            <w:r w:rsidRPr="008412D3">
              <w:rPr>
                <w:szCs w:val="24"/>
              </w:rPr>
              <w:t>18</w:t>
            </w:r>
          </w:p>
          <w:p w:rsidR="00667207" w:rsidRPr="008412D3" w:rsidRDefault="00667207" w:rsidP="00667207">
            <w:pPr>
              <w:tabs>
                <w:tab w:val="left" w:pos="360"/>
                <w:tab w:val="left" w:pos="1080"/>
              </w:tabs>
              <w:jc w:val="center"/>
              <w:rPr>
                <w:szCs w:val="24"/>
              </w:rPr>
            </w:pPr>
            <w:r w:rsidRPr="008412D3">
              <w:rPr>
                <w:szCs w:val="24"/>
              </w:rPr>
              <w:t>16</w:t>
            </w:r>
          </w:p>
        </w:tc>
        <w:tc>
          <w:tcPr>
            <w:tcW w:w="1261" w:type="dxa"/>
            <w:vAlign w:val="center"/>
          </w:tcPr>
          <w:p w:rsidR="00667207" w:rsidRPr="008412D3" w:rsidRDefault="00667207" w:rsidP="00667207">
            <w:pPr>
              <w:tabs>
                <w:tab w:val="left" w:pos="360"/>
                <w:tab w:val="left" w:pos="1080"/>
              </w:tabs>
              <w:jc w:val="center"/>
              <w:rPr>
                <w:szCs w:val="24"/>
              </w:rPr>
            </w:pPr>
          </w:p>
          <w:p w:rsidR="00667207" w:rsidRPr="008412D3" w:rsidRDefault="00667207" w:rsidP="00667207">
            <w:pPr>
              <w:tabs>
                <w:tab w:val="left" w:pos="360"/>
                <w:tab w:val="left" w:pos="1080"/>
              </w:tabs>
              <w:jc w:val="center"/>
              <w:rPr>
                <w:szCs w:val="24"/>
              </w:rPr>
            </w:pPr>
            <w:r w:rsidRPr="008412D3">
              <w:rPr>
                <w:szCs w:val="24"/>
              </w:rPr>
              <w:t>1</w:t>
            </w:r>
          </w:p>
          <w:p w:rsidR="00667207" w:rsidRPr="008412D3" w:rsidRDefault="00667207" w:rsidP="00667207">
            <w:pPr>
              <w:tabs>
                <w:tab w:val="left" w:pos="360"/>
                <w:tab w:val="left" w:pos="1080"/>
              </w:tabs>
              <w:jc w:val="center"/>
              <w:rPr>
                <w:szCs w:val="24"/>
              </w:rPr>
            </w:pPr>
            <w:r w:rsidRPr="008412D3">
              <w:rPr>
                <w:szCs w:val="24"/>
              </w:rPr>
              <w:t>1</w:t>
            </w:r>
          </w:p>
          <w:p w:rsidR="00667207" w:rsidRPr="008412D3" w:rsidRDefault="00667207" w:rsidP="00667207">
            <w:pPr>
              <w:tabs>
                <w:tab w:val="left" w:pos="360"/>
                <w:tab w:val="left" w:pos="1080"/>
              </w:tabs>
              <w:jc w:val="center"/>
              <w:rPr>
                <w:szCs w:val="24"/>
              </w:rPr>
            </w:pPr>
            <w:r w:rsidRPr="008412D3">
              <w:rPr>
                <w:szCs w:val="24"/>
              </w:rPr>
              <w:t>1</w:t>
            </w:r>
          </w:p>
        </w:tc>
        <w:tc>
          <w:tcPr>
            <w:tcW w:w="1350" w:type="dxa"/>
            <w:vAlign w:val="center"/>
          </w:tcPr>
          <w:p w:rsidR="00667207" w:rsidRPr="008412D3" w:rsidRDefault="00667207" w:rsidP="00667207">
            <w:pPr>
              <w:tabs>
                <w:tab w:val="left" w:pos="360"/>
                <w:tab w:val="left" w:pos="1080"/>
              </w:tabs>
              <w:jc w:val="center"/>
              <w:rPr>
                <w:szCs w:val="24"/>
              </w:rPr>
            </w:pPr>
          </w:p>
          <w:p w:rsidR="00667207" w:rsidRPr="008412D3" w:rsidRDefault="00667207" w:rsidP="00667207">
            <w:pPr>
              <w:tabs>
                <w:tab w:val="left" w:pos="360"/>
                <w:tab w:val="left" w:pos="1080"/>
              </w:tabs>
              <w:jc w:val="center"/>
              <w:rPr>
                <w:szCs w:val="24"/>
              </w:rPr>
            </w:pPr>
            <w:r w:rsidRPr="008412D3">
              <w:rPr>
                <w:szCs w:val="24"/>
              </w:rPr>
              <w:t>12.0</w:t>
            </w:r>
          </w:p>
          <w:p w:rsidR="00667207" w:rsidRPr="008412D3" w:rsidRDefault="00667207" w:rsidP="00667207">
            <w:pPr>
              <w:tabs>
                <w:tab w:val="left" w:pos="360"/>
                <w:tab w:val="left" w:pos="1080"/>
              </w:tabs>
              <w:jc w:val="center"/>
              <w:rPr>
                <w:szCs w:val="24"/>
              </w:rPr>
            </w:pPr>
            <w:r w:rsidRPr="008412D3">
              <w:rPr>
                <w:szCs w:val="24"/>
              </w:rPr>
              <w:t xml:space="preserve">  5.0</w:t>
            </w:r>
          </w:p>
          <w:p w:rsidR="00667207" w:rsidRPr="008412D3" w:rsidRDefault="00667207" w:rsidP="00667207">
            <w:pPr>
              <w:tabs>
                <w:tab w:val="left" w:pos="360"/>
                <w:tab w:val="left" w:pos="1080"/>
              </w:tabs>
              <w:jc w:val="center"/>
              <w:rPr>
                <w:szCs w:val="24"/>
              </w:rPr>
            </w:pPr>
            <w:r w:rsidRPr="008412D3">
              <w:rPr>
                <w:szCs w:val="24"/>
              </w:rPr>
              <w:t xml:space="preserve">    .5</w:t>
            </w:r>
          </w:p>
        </w:tc>
        <w:tc>
          <w:tcPr>
            <w:tcW w:w="1710" w:type="dxa"/>
            <w:vAlign w:val="center"/>
          </w:tcPr>
          <w:p w:rsidR="00667207" w:rsidRPr="008412D3" w:rsidRDefault="00667207" w:rsidP="00667207">
            <w:pPr>
              <w:tabs>
                <w:tab w:val="left" w:pos="360"/>
                <w:tab w:val="left" w:pos="1080"/>
              </w:tabs>
              <w:jc w:val="center"/>
              <w:rPr>
                <w:szCs w:val="24"/>
              </w:rPr>
            </w:pPr>
          </w:p>
          <w:p w:rsidR="00667207" w:rsidRPr="008412D3" w:rsidRDefault="00667207" w:rsidP="00667207">
            <w:pPr>
              <w:tabs>
                <w:tab w:val="left" w:pos="360"/>
                <w:tab w:val="left" w:pos="1080"/>
              </w:tabs>
              <w:jc w:val="center"/>
              <w:rPr>
                <w:szCs w:val="24"/>
              </w:rPr>
            </w:pPr>
            <w:r w:rsidRPr="008412D3">
              <w:rPr>
                <w:szCs w:val="24"/>
              </w:rPr>
              <w:t xml:space="preserve">  936</w:t>
            </w:r>
          </w:p>
          <w:p w:rsidR="00667207" w:rsidRPr="008412D3" w:rsidRDefault="00667207" w:rsidP="00667207">
            <w:pPr>
              <w:tabs>
                <w:tab w:val="left" w:pos="360"/>
                <w:tab w:val="left" w:pos="1080"/>
              </w:tabs>
              <w:jc w:val="center"/>
              <w:rPr>
                <w:szCs w:val="24"/>
              </w:rPr>
            </w:pPr>
            <w:r w:rsidRPr="008412D3">
              <w:rPr>
                <w:szCs w:val="24"/>
              </w:rPr>
              <w:t xml:space="preserve">    90</w:t>
            </w:r>
          </w:p>
          <w:p w:rsidR="00667207" w:rsidRPr="008412D3" w:rsidRDefault="00667207" w:rsidP="00667207">
            <w:pPr>
              <w:tabs>
                <w:tab w:val="left" w:pos="360"/>
                <w:tab w:val="left" w:pos="1080"/>
              </w:tabs>
              <w:jc w:val="center"/>
              <w:rPr>
                <w:szCs w:val="24"/>
                <w:u w:val="single"/>
              </w:rPr>
            </w:pPr>
            <w:r w:rsidRPr="008412D3">
              <w:rPr>
                <w:szCs w:val="24"/>
                <w:u w:val="single"/>
              </w:rPr>
              <w:t xml:space="preserve">      8</w:t>
            </w:r>
          </w:p>
        </w:tc>
      </w:tr>
      <w:tr w:rsidR="00667207" w:rsidRPr="008412D3" w:rsidTr="00667207">
        <w:tc>
          <w:tcPr>
            <w:tcW w:w="3525" w:type="dxa"/>
            <w:vAlign w:val="center"/>
          </w:tcPr>
          <w:p w:rsidR="00667207" w:rsidRPr="008412D3" w:rsidRDefault="00667207" w:rsidP="00667207">
            <w:pPr>
              <w:pStyle w:val="Heading4"/>
              <w:jc w:val="right"/>
              <w:rPr>
                <w:szCs w:val="24"/>
              </w:rPr>
            </w:pPr>
            <w:r w:rsidRPr="008412D3">
              <w:rPr>
                <w:szCs w:val="24"/>
              </w:rPr>
              <w:t>Total</w:t>
            </w:r>
          </w:p>
        </w:tc>
        <w:tc>
          <w:tcPr>
            <w:tcW w:w="1619" w:type="dxa"/>
            <w:vAlign w:val="center"/>
          </w:tcPr>
          <w:p w:rsidR="00667207" w:rsidRPr="008412D3" w:rsidRDefault="00667207" w:rsidP="00667207">
            <w:pPr>
              <w:tabs>
                <w:tab w:val="left" w:pos="360"/>
                <w:tab w:val="left" w:pos="1080"/>
              </w:tabs>
              <w:jc w:val="center"/>
              <w:rPr>
                <w:szCs w:val="24"/>
              </w:rPr>
            </w:pPr>
          </w:p>
        </w:tc>
        <w:tc>
          <w:tcPr>
            <w:tcW w:w="1261" w:type="dxa"/>
            <w:vAlign w:val="center"/>
          </w:tcPr>
          <w:p w:rsidR="00667207" w:rsidRPr="008412D3" w:rsidRDefault="00667207" w:rsidP="00667207">
            <w:pPr>
              <w:tabs>
                <w:tab w:val="left" w:pos="360"/>
                <w:tab w:val="left" w:pos="1080"/>
              </w:tabs>
              <w:jc w:val="center"/>
              <w:rPr>
                <w:szCs w:val="24"/>
              </w:rPr>
            </w:pPr>
          </w:p>
        </w:tc>
        <w:tc>
          <w:tcPr>
            <w:tcW w:w="1350" w:type="dxa"/>
            <w:vAlign w:val="center"/>
          </w:tcPr>
          <w:p w:rsidR="00667207" w:rsidRPr="008412D3" w:rsidRDefault="00667207" w:rsidP="00667207">
            <w:pPr>
              <w:tabs>
                <w:tab w:val="left" w:pos="360"/>
                <w:tab w:val="left" w:pos="1080"/>
              </w:tabs>
              <w:jc w:val="right"/>
              <w:rPr>
                <w:szCs w:val="24"/>
              </w:rPr>
            </w:pPr>
          </w:p>
        </w:tc>
        <w:tc>
          <w:tcPr>
            <w:tcW w:w="1710" w:type="dxa"/>
            <w:vAlign w:val="center"/>
          </w:tcPr>
          <w:p w:rsidR="00667207" w:rsidRPr="008412D3" w:rsidRDefault="00667207" w:rsidP="00667207">
            <w:pPr>
              <w:tabs>
                <w:tab w:val="left" w:pos="360"/>
                <w:tab w:val="left" w:pos="1080"/>
              </w:tabs>
              <w:rPr>
                <w:szCs w:val="24"/>
              </w:rPr>
            </w:pPr>
            <w:r w:rsidRPr="008412D3">
              <w:rPr>
                <w:szCs w:val="24"/>
              </w:rPr>
              <w:t xml:space="preserve">      14,913</w:t>
            </w:r>
          </w:p>
        </w:tc>
      </w:tr>
      <w:tr w:rsidR="00667207" w:rsidRPr="008412D3" w:rsidTr="00667207">
        <w:tc>
          <w:tcPr>
            <w:tcW w:w="3525" w:type="dxa"/>
            <w:vAlign w:val="center"/>
          </w:tcPr>
          <w:p w:rsidR="00667207" w:rsidRPr="008412D3" w:rsidRDefault="00667207" w:rsidP="00667207">
            <w:pPr>
              <w:pStyle w:val="Heading4"/>
              <w:rPr>
                <w:szCs w:val="24"/>
              </w:rPr>
            </w:pPr>
            <w:r w:rsidRPr="008412D3">
              <w:rPr>
                <w:szCs w:val="24"/>
              </w:rPr>
              <w:t>Proposed</w:t>
            </w:r>
          </w:p>
        </w:tc>
        <w:tc>
          <w:tcPr>
            <w:tcW w:w="1619" w:type="dxa"/>
            <w:vAlign w:val="center"/>
          </w:tcPr>
          <w:p w:rsidR="00667207" w:rsidRPr="008412D3" w:rsidRDefault="00667207" w:rsidP="00667207">
            <w:pPr>
              <w:tabs>
                <w:tab w:val="left" w:pos="360"/>
                <w:tab w:val="left" w:pos="1080"/>
              </w:tabs>
              <w:jc w:val="center"/>
              <w:rPr>
                <w:szCs w:val="24"/>
              </w:rPr>
            </w:pPr>
          </w:p>
        </w:tc>
        <w:tc>
          <w:tcPr>
            <w:tcW w:w="1261" w:type="dxa"/>
            <w:vAlign w:val="center"/>
          </w:tcPr>
          <w:p w:rsidR="00667207" w:rsidRPr="008412D3" w:rsidRDefault="00667207" w:rsidP="00667207">
            <w:pPr>
              <w:tabs>
                <w:tab w:val="left" w:pos="360"/>
                <w:tab w:val="left" w:pos="1080"/>
              </w:tabs>
              <w:jc w:val="center"/>
              <w:rPr>
                <w:szCs w:val="24"/>
              </w:rPr>
            </w:pPr>
          </w:p>
        </w:tc>
        <w:tc>
          <w:tcPr>
            <w:tcW w:w="1350" w:type="dxa"/>
            <w:vAlign w:val="center"/>
          </w:tcPr>
          <w:p w:rsidR="00667207" w:rsidRPr="008412D3" w:rsidRDefault="00667207" w:rsidP="00667207">
            <w:pPr>
              <w:tabs>
                <w:tab w:val="left" w:pos="360"/>
                <w:tab w:val="left" w:pos="1080"/>
              </w:tabs>
              <w:jc w:val="right"/>
              <w:rPr>
                <w:szCs w:val="24"/>
              </w:rPr>
            </w:pPr>
          </w:p>
        </w:tc>
        <w:tc>
          <w:tcPr>
            <w:tcW w:w="1710" w:type="dxa"/>
            <w:vAlign w:val="center"/>
          </w:tcPr>
          <w:p w:rsidR="00667207" w:rsidRPr="008412D3" w:rsidRDefault="00667207" w:rsidP="00667207">
            <w:pPr>
              <w:tabs>
                <w:tab w:val="left" w:pos="360"/>
                <w:tab w:val="left" w:pos="1080"/>
              </w:tabs>
              <w:jc w:val="center"/>
              <w:rPr>
                <w:szCs w:val="24"/>
              </w:rPr>
            </w:pPr>
          </w:p>
        </w:tc>
      </w:tr>
      <w:tr w:rsidR="00667207" w:rsidRPr="008412D3" w:rsidTr="00667207">
        <w:tc>
          <w:tcPr>
            <w:tcW w:w="3525" w:type="dxa"/>
            <w:vAlign w:val="center"/>
          </w:tcPr>
          <w:p w:rsidR="00667207" w:rsidRPr="008412D3" w:rsidRDefault="00667207" w:rsidP="00667207">
            <w:pPr>
              <w:tabs>
                <w:tab w:val="left" w:pos="360"/>
                <w:tab w:val="left" w:pos="1080"/>
              </w:tabs>
              <w:rPr>
                <w:b/>
                <w:szCs w:val="24"/>
              </w:rPr>
            </w:pPr>
            <w:r w:rsidRPr="008412D3">
              <w:rPr>
                <w:b/>
                <w:szCs w:val="24"/>
              </w:rPr>
              <w:t>FR Y-3</w:t>
            </w:r>
          </w:p>
          <w:p w:rsidR="00667207" w:rsidRPr="008412D3" w:rsidRDefault="00667207" w:rsidP="00667207">
            <w:pPr>
              <w:tabs>
                <w:tab w:val="left" w:pos="360"/>
                <w:tab w:val="left" w:pos="1080"/>
              </w:tabs>
              <w:rPr>
                <w:szCs w:val="24"/>
              </w:rPr>
            </w:pPr>
            <w:r w:rsidRPr="008412D3">
              <w:rPr>
                <w:szCs w:val="24"/>
              </w:rPr>
              <w:t>Section 3(a)(1)</w:t>
            </w:r>
          </w:p>
          <w:p w:rsidR="00667207" w:rsidRPr="008412D3" w:rsidRDefault="00667207" w:rsidP="00667207">
            <w:pPr>
              <w:tabs>
                <w:tab w:val="left" w:pos="360"/>
                <w:tab w:val="left" w:pos="1080"/>
              </w:tabs>
              <w:rPr>
                <w:szCs w:val="24"/>
              </w:rPr>
            </w:pPr>
            <w:r w:rsidRPr="008412D3">
              <w:rPr>
                <w:szCs w:val="24"/>
              </w:rPr>
              <w:t>Section 3(a)(3) and 3(a)(5)</w:t>
            </w:r>
          </w:p>
        </w:tc>
        <w:tc>
          <w:tcPr>
            <w:tcW w:w="1619" w:type="dxa"/>
            <w:vAlign w:val="center"/>
          </w:tcPr>
          <w:p w:rsidR="00667207" w:rsidRPr="008412D3" w:rsidRDefault="00667207" w:rsidP="00667207">
            <w:pPr>
              <w:tabs>
                <w:tab w:val="left" w:pos="360"/>
                <w:tab w:val="left" w:pos="1080"/>
              </w:tabs>
              <w:jc w:val="center"/>
              <w:rPr>
                <w:szCs w:val="24"/>
              </w:rPr>
            </w:pPr>
          </w:p>
          <w:p w:rsidR="00667207" w:rsidRPr="008412D3" w:rsidRDefault="00667207" w:rsidP="00667207">
            <w:pPr>
              <w:tabs>
                <w:tab w:val="left" w:pos="360"/>
                <w:tab w:val="left" w:pos="1080"/>
              </w:tabs>
              <w:jc w:val="center"/>
              <w:rPr>
                <w:szCs w:val="24"/>
              </w:rPr>
            </w:pPr>
            <w:r w:rsidRPr="008412D3">
              <w:rPr>
                <w:szCs w:val="24"/>
              </w:rPr>
              <w:t>105</w:t>
            </w:r>
          </w:p>
          <w:p w:rsidR="00667207" w:rsidRPr="008412D3" w:rsidRDefault="00667207" w:rsidP="00667207">
            <w:pPr>
              <w:tabs>
                <w:tab w:val="left" w:pos="360"/>
                <w:tab w:val="left" w:pos="1080"/>
              </w:tabs>
              <w:jc w:val="center"/>
              <w:rPr>
                <w:szCs w:val="24"/>
              </w:rPr>
            </w:pPr>
            <w:r w:rsidRPr="008412D3">
              <w:rPr>
                <w:szCs w:val="24"/>
              </w:rPr>
              <w:t>143</w:t>
            </w:r>
          </w:p>
        </w:tc>
        <w:tc>
          <w:tcPr>
            <w:tcW w:w="1261" w:type="dxa"/>
            <w:vAlign w:val="center"/>
          </w:tcPr>
          <w:p w:rsidR="00667207" w:rsidRPr="008412D3" w:rsidRDefault="00667207" w:rsidP="00667207">
            <w:pPr>
              <w:tabs>
                <w:tab w:val="left" w:pos="360"/>
                <w:tab w:val="left" w:pos="1080"/>
              </w:tabs>
              <w:jc w:val="center"/>
              <w:rPr>
                <w:szCs w:val="24"/>
              </w:rPr>
            </w:pPr>
          </w:p>
          <w:p w:rsidR="00667207" w:rsidRPr="008412D3" w:rsidRDefault="00667207" w:rsidP="00667207">
            <w:pPr>
              <w:tabs>
                <w:tab w:val="left" w:pos="360"/>
                <w:tab w:val="left" w:pos="1080"/>
              </w:tabs>
              <w:jc w:val="center"/>
              <w:rPr>
                <w:szCs w:val="24"/>
              </w:rPr>
            </w:pPr>
            <w:r w:rsidRPr="008412D3">
              <w:rPr>
                <w:szCs w:val="24"/>
              </w:rPr>
              <w:t>1</w:t>
            </w:r>
          </w:p>
          <w:p w:rsidR="00667207" w:rsidRPr="008412D3" w:rsidRDefault="00667207" w:rsidP="00667207">
            <w:pPr>
              <w:tabs>
                <w:tab w:val="left" w:pos="360"/>
                <w:tab w:val="left" w:pos="1080"/>
              </w:tabs>
              <w:jc w:val="center"/>
              <w:rPr>
                <w:szCs w:val="24"/>
              </w:rPr>
            </w:pPr>
            <w:r w:rsidRPr="008412D3">
              <w:rPr>
                <w:szCs w:val="24"/>
              </w:rPr>
              <w:t>1</w:t>
            </w:r>
          </w:p>
        </w:tc>
        <w:tc>
          <w:tcPr>
            <w:tcW w:w="1350" w:type="dxa"/>
            <w:vAlign w:val="center"/>
          </w:tcPr>
          <w:p w:rsidR="00667207" w:rsidRPr="008412D3" w:rsidRDefault="00667207" w:rsidP="00667207">
            <w:pPr>
              <w:tabs>
                <w:tab w:val="left" w:pos="360"/>
                <w:tab w:val="left" w:pos="1080"/>
              </w:tabs>
              <w:jc w:val="center"/>
              <w:rPr>
                <w:szCs w:val="24"/>
              </w:rPr>
            </w:pPr>
          </w:p>
          <w:p w:rsidR="00667207" w:rsidRPr="008412D3" w:rsidRDefault="00667207" w:rsidP="00667207">
            <w:pPr>
              <w:tabs>
                <w:tab w:val="left" w:pos="360"/>
                <w:tab w:val="left" w:pos="1080"/>
              </w:tabs>
              <w:jc w:val="center"/>
              <w:rPr>
                <w:szCs w:val="24"/>
              </w:rPr>
            </w:pPr>
            <w:r w:rsidRPr="008412D3">
              <w:rPr>
                <w:szCs w:val="24"/>
              </w:rPr>
              <w:t>53.0</w:t>
            </w:r>
          </w:p>
          <w:p w:rsidR="00667207" w:rsidRPr="008412D3" w:rsidRDefault="00667207" w:rsidP="00667207">
            <w:pPr>
              <w:tabs>
                <w:tab w:val="left" w:pos="360"/>
                <w:tab w:val="left" w:pos="1080"/>
              </w:tabs>
              <w:jc w:val="center"/>
              <w:rPr>
                <w:szCs w:val="24"/>
              </w:rPr>
            </w:pPr>
            <w:r w:rsidRPr="008412D3">
              <w:rPr>
                <w:szCs w:val="24"/>
              </w:rPr>
              <w:t>63.5</w:t>
            </w:r>
          </w:p>
        </w:tc>
        <w:tc>
          <w:tcPr>
            <w:tcW w:w="1710" w:type="dxa"/>
            <w:vAlign w:val="center"/>
          </w:tcPr>
          <w:p w:rsidR="00A06283" w:rsidRDefault="00A06283" w:rsidP="00A06283">
            <w:pPr>
              <w:tabs>
                <w:tab w:val="left" w:pos="360"/>
                <w:tab w:val="left" w:pos="1080"/>
              </w:tabs>
              <w:rPr>
                <w:szCs w:val="24"/>
              </w:rPr>
            </w:pPr>
          </w:p>
          <w:p w:rsidR="00667207" w:rsidRPr="008412D3" w:rsidRDefault="00A06283" w:rsidP="00A06283">
            <w:pPr>
              <w:tabs>
                <w:tab w:val="left" w:pos="360"/>
                <w:tab w:val="left" w:pos="1080"/>
              </w:tabs>
              <w:rPr>
                <w:szCs w:val="24"/>
              </w:rPr>
            </w:pPr>
            <w:r>
              <w:rPr>
                <w:szCs w:val="24"/>
              </w:rPr>
              <w:t xml:space="preserve">        </w:t>
            </w:r>
            <w:r w:rsidR="00667207" w:rsidRPr="008412D3">
              <w:rPr>
                <w:szCs w:val="24"/>
              </w:rPr>
              <w:t>5,565</w:t>
            </w:r>
          </w:p>
          <w:p w:rsidR="00667207" w:rsidRPr="008412D3" w:rsidRDefault="00667207" w:rsidP="00667207">
            <w:pPr>
              <w:tabs>
                <w:tab w:val="left" w:pos="360"/>
                <w:tab w:val="left" w:pos="1080"/>
              </w:tabs>
              <w:jc w:val="center"/>
              <w:rPr>
                <w:snapToGrid w:val="0"/>
                <w:szCs w:val="24"/>
              </w:rPr>
            </w:pPr>
            <w:r w:rsidRPr="008412D3">
              <w:rPr>
                <w:szCs w:val="24"/>
              </w:rPr>
              <w:t>9,081</w:t>
            </w:r>
          </w:p>
        </w:tc>
      </w:tr>
      <w:tr w:rsidR="00667207" w:rsidRPr="008412D3" w:rsidTr="00667207">
        <w:tc>
          <w:tcPr>
            <w:tcW w:w="3525" w:type="dxa"/>
            <w:vAlign w:val="center"/>
          </w:tcPr>
          <w:p w:rsidR="00667207" w:rsidRPr="008412D3" w:rsidRDefault="00667207" w:rsidP="00667207">
            <w:pPr>
              <w:tabs>
                <w:tab w:val="left" w:pos="360"/>
                <w:tab w:val="left" w:pos="1080"/>
              </w:tabs>
              <w:rPr>
                <w:b/>
                <w:szCs w:val="24"/>
              </w:rPr>
            </w:pPr>
            <w:r w:rsidRPr="008412D3">
              <w:rPr>
                <w:b/>
                <w:szCs w:val="24"/>
              </w:rPr>
              <w:t>FR Y-3N</w:t>
            </w:r>
          </w:p>
          <w:p w:rsidR="00667207" w:rsidRPr="008412D3" w:rsidRDefault="00667207" w:rsidP="00667207">
            <w:pPr>
              <w:tabs>
                <w:tab w:val="left" w:pos="360"/>
                <w:tab w:val="left" w:pos="1080"/>
              </w:tabs>
              <w:rPr>
                <w:i/>
                <w:iCs/>
                <w:szCs w:val="24"/>
              </w:rPr>
            </w:pPr>
            <w:r w:rsidRPr="008412D3">
              <w:rPr>
                <w:szCs w:val="24"/>
              </w:rPr>
              <w:t xml:space="preserve">Section 3(a)(1), 3(a)(3), and 3(a)(5) </w:t>
            </w:r>
          </w:p>
        </w:tc>
        <w:tc>
          <w:tcPr>
            <w:tcW w:w="1619" w:type="dxa"/>
            <w:vAlign w:val="center"/>
          </w:tcPr>
          <w:p w:rsidR="00667207" w:rsidRPr="008412D3" w:rsidRDefault="00667207" w:rsidP="00667207">
            <w:pPr>
              <w:tabs>
                <w:tab w:val="left" w:pos="360"/>
                <w:tab w:val="left" w:pos="1080"/>
              </w:tabs>
              <w:jc w:val="center"/>
              <w:rPr>
                <w:szCs w:val="24"/>
              </w:rPr>
            </w:pPr>
            <w:r w:rsidRPr="008412D3">
              <w:rPr>
                <w:szCs w:val="24"/>
              </w:rPr>
              <w:t xml:space="preserve">  45</w:t>
            </w:r>
          </w:p>
        </w:tc>
        <w:tc>
          <w:tcPr>
            <w:tcW w:w="1261" w:type="dxa"/>
            <w:vAlign w:val="center"/>
          </w:tcPr>
          <w:p w:rsidR="00667207" w:rsidRPr="008412D3" w:rsidRDefault="00667207" w:rsidP="00667207">
            <w:pPr>
              <w:tabs>
                <w:tab w:val="left" w:pos="360"/>
                <w:tab w:val="left" w:pos="1080"/>
              </w:tabs>
              <w:jc w:val="center"/>
              <w:rPr>
                <w:szCs w:val="24"/>
              </w:rPr>
            </w:pPr>
            <w:r w:rsidRPr="008412D3">
              <w:rPr>
                <w:szCs w:val="24"/>
              </w:rPr>
              <w:t>1</w:t>
            </w:r>
          </w:p>
        </w:tc>
        <w:tc>
          <w:tcPr>
            <w:tcW w:w="1350" w:type="dxa"/>
            <w:vAlign w:val="center"/>
          </w:tcPr>
          <w:p w:rsidR="00667207" w:rsidRPr="008412D3" w:rsidRDefault="00667207" w:rsidP="00667207">
            <w:pPr>
              <w:tabs>
                <w:tab w:val="left" w:pos="360"/>
                <w:tab w:val="left" w:pos="1080"/>
              </w:tabs>
              <w:jc w:val="center"/>
              <w:rPr>
                <w:szCs w:val="24"/>
              </w:rPr>
            </w:pPr>
            <w:r w:rsidRPr="008412D3">
              <w:rPr>
                <w:szCs w:val="24"/>
              </w:rPr>
              <w:t>5.0</w:t>
            </w:r>
          </w:p>
        </w:tc>
        <w:tc>
          <w:tcPr>
            <w:tcW w:w="1710" w:type="dxa"/>
            <w:vAlign w:val="center"/>
          </w:tcPr>
          <w:p w:rsidR="00667207" w:rsidRPr="008412D3" w:rsidRDefault="00667207" w:rsidP="00667207">
            <w:pPr>
              <w:tabs>
                <w:tab w:val="left" w:pos="360"/>
                <w:tab w:val="left" w:pos="1080"/>
              </w:tabs>
              <w:jc w:val="center"/>
              <w:rPr>
                <w:szCs w:val="24"/>
                <w:u w:val="single"/>
              </w:rPr>
            </w:pPr>
            <w:r w:rsidRPr="008412D3">
              <w:rPr>
                <w:szCs w:val="24"/>
              </w:rPr>
              <w:t xml:space="preserve">   225</w:t>
            </w:r>
          </w:p>
        </w:tc>
      </w:tr>
      <w:tr w:rsidR="00667207" w:rsidRPr="008412D3" w:rsidTr="00667207">
        <w:tc>
          <w:tcPr>
            <w:tcW w:w="3525" w:type="dxa"/>
            <w:vAlign w:val="center"/>
          </w:tcPr>
          <w:p w:rsidR="00667207" w:rsidRPr="008412D3" w:rsidRDefault="00667207" w:rsidP="00667207">
            <w:pPr>
              <w:tabs>
                <w:tab w:val="left" w:pos="360"/>
                <w:tab w:val="left" w:pos="1080"/>
              </w:tabs>
              <w:rPr>
                <w:b/>
                <w:szCs w:val="24"/>
              </w:rPr>
            </w:pPr>
            <w:r w:rsidRPr="008412D3">
              <w:rPr>
                <w:b/>
                <w:szCs w:val="24"/>
              </w:rPr>
              <w:t>FR Y-4</w:t>
            </w:r>
          </w:p>
          <w:p w:rsidR="00667207" w:rsidRPr="008412D3" w:rsidRDefault="00667207" w:rsidP="00667207">
            <w:pPr>
              <w:tabs>
                <w:tab w:val="left" w:pos="360"/>
                <w:tab w:val="left" w:pos="1080"/>
              </w:tabs>
              <w:rPr>
                <w:szCs w:val="24"/>
              </w:rPr>
            </w:pPr>
            <w:r w:rsidRPr="008412D3">
              <w:rPr>
                <w:szCs w:val="24"/>
              </w:rPr>
              <w:t>Complete notification</w:t>
            </w:r>
          </w:p>
          <w:p w:rsidR="00667207" w:rsidRPr="008412D3" w:rsidRDefault="00667207" w:rsidP="00667207">
            <w:pPr>
              <w:tabs>
                <w:tab w:val="left" w:pos="360"/>
                <w:tab w:val="left" w:pos="1080"/>
              </w:tabs>
              <w:rPr>
                <w:szCs w:val="24"/>
              </w:rPr>
            </w:pPr>
            <w:r w:rsidRPr="008412D3">
              <w:rPr>
                <w:szCs w:val="24"/>
              </w:rPr>
              <w:t>Expedited notification</w:t>
            </w:r>
          </w:p>
          <w:p w:rsidR="00667207" w:rsidRPr="008412D3" w:rsidRDefault="00667207" w:rsidP="00667207">
            <w:pPr>
              <w:tabs>
                <w:tab w:val="left" w:pos="360"/>
                <w:tab w:val="left" w:pos="1080"/>
              </w:tabs>
              <w:rPr>
                <w:szCs w:val="24"/>
              </w:rPr>
            </w:pPr>
            <w:r w:rsidRPr="008412D3">
              <w:rPr>
                <w:szCs w:val="24"/>
              </w:rPr>
              <w:t>Post-consummation</w:t>
            </w:r>
          </w:p>
        </w:tc>
        <w:tc>
          <w:tcPr>
            <w:tcW w:w="1619" w:type="dxa"/>
            <w:vAlign w:val="center"/>
          </w:tcPr>
          <w:p w:rsidR="00667207" w:rsidRPr="008412D3" w:rsidRDefault="00667207" w:rsidP="00667207">
            <w:pPr>
              <w:tabs>
                <w:tab w:val="left" w:pos="360"/>
                <w:tab w:val="left" w:pos="1080"/>
              </w:tabs>
              <w:jc w:val="center"/>
              <w:rPr>
                <w:szCs w:val="24"/>
              </w:rPr>
            </w:pPr>
          </w:p>
          <w:p w:rsidR="00667207" w:rsidRPr="008412D3" w:rsidRDefault="00667207" w:rsidP="00667207">
            <w:pPr>
              <w:tabs>
                <w:tab w:val="left" w:pos="360"/>
                <w:tab w:val="left" w:pos="1080"/>
              </w:tabs>
              <w:jc w:val="center"/>
              <w:rPr>
                <w:szCs w:val="24"/>
              </w:rPr>
            </w:pPr>
            <w:r w:rsidRPr="008412D3">
              <w:rPr>
                <w:szCs w:val="24"/>
              </w:rPr>
              <w:t>78</w:t>
            </w:r>
          </w:p>
          <w:p w:rsidR="00667207" w:rsidRPr="008412D3" w:rsidRDefault="00667207" w:rsidP="00667207">
            <w:pPr>
              <w:tabs>
                <w:tab w:val="left" w:pos="360"/>
                <w:tab w:val="left" w:pos="1080"/>
              </w:tabs>
              <w:jc w:val="center"/>
              <w:rPr>
                <w:szCs w:val="24"/>
              </w:rPr>
            </w:pPr>
            <w:r w:rsidRPr="008412D3">
              <w:rPr>
                <w:szCs w:val="24"/>
              </w:rPr>
              <w:t>18</w:t>
            </w:r>
          </w:p>
          <w:p w:rsidR="00667207" w:rsidRPr="008412D3" w:rsidRDefault="00667207" w:rsidP="00667207">
            <w:pPr>
              <w:tabs>
                <w:tab w:val="left" w:pos="360"/>
                <w:tab w:val="left" w:pos="1080"/>
              </w:tabs>
              <w:jc w:val="center"/>
              <w:rPr>
                <w:szCs w:val="24"/>
              </w:rPr>
            </w:pPr>
            <w:r w:rsidRPr="008412D3">
              <w:rPr>
                <w:szCs w:val="24"/>
              </w:rPr>
              <w:t>16</w:t>
            </w:r>
          </w:p>
        </w:tc>
        <w:tc>
          <w:tcPr>
            <w:tcW w:w="1261" w:type="dxa"/>
            <w:vAlign w:val="center"/>
          </w:tcPr>
          <w:p w:rsidR="00667207" w:rsidRPr="008412D3" w:rsidRDefault="00667207" w:rsidP="00667207">
            <w:pPr>
              <w:tabs>
                <w:tab w:val="left" w:pos="360"/>
                <w:tab w:val="left" w:pos="1080"/>
              </w:tabs>
              <w:jc w:val="center"/>
              <w:rPr>
                <w:szCs w:val="24"/>
              </w:rPr>
            </w:pPr>
          </w:p>
          <w:p w:rsidR="00667207" w:rsidRPr="008412D3" w:rsidRDefault="00667207" w:rsidP="00667207">
            <w:pPr>
              <w:tabs>
                <w:tab w:val="left" w:pos="360"/>
                <w:tab w:val="left" w:pos="1080"/>
              </w:tabs>
              <w:jc w:val="center"/>
              <w:rPr>
                <w:szCs w:val="24"/>
              </w:rPr>
            </w:pPr>
            <w:r w:rsidRPr="008412D3">
              <w:rPr>
                <w:szCs w:val="24"/>
              </w:rPr>
              <w:t>1</w:t>
            </w:r>
          </w:p>
          <w:p w:rsidR="00667207" w:rsidRPr="008412D3" w:rsidRDefault="00667207" w:rsidP="00667207">
            <w:pPr>
              <w:tabs>
                <w:tab w:val="left" w:pos="360"/>
                <w:tab w:val="left" w:pos="1080"/>
              </w:tabs>
              <w:jc w:val="center"/>
              <w:rPr>
                <w:szCs w:val="24"/>
              </w:rPr>
            </w:pPr>
            <w:r w:rsidRPr="008412D3">
              <w:rPr>
                <w:szCs w:val="24"/>
              </w:rPr>
              <w:t>1</w:t>
            </w:r>
          </w:p>
          <w:p w:rsidR="00667207" w:rsidRPr="008412D3" w:rsidRDefault="00667207" w:rsidP="00667207">
            <w:pPr>
              <w:tabs>
                <w:tab w:val="left" w:pos="360"/>
                <w:tab w:val="left" w:pos="1080"/>
              </w:tabs>
              <w:jc w:val="center"/>
              <w:rPr>
                <w:szCs w:val="24"/>
              </w:rPr>
            </w:pPr>
            <w:r w:rsidRPr="008412D3">
              <w:rPr>
                <w:szCs w:val="24"/>
              </w:rPr>
              <w:t>1</w:t>
            </w:r>
          </w:p>
        </w:tc>
        <w:tc>
          <w:tcPr>
            <w:tcW w:w="1350" w:type="dxa"/>
            <w:vAlign w:val="center"/>
          </w:tcPr>
          <w:p w:rsidR="00667207" w:rsidRPr="008412D3" w:rsidRDefault="00667207" w:rsidP="00667207">
            <w:pPr>
              <w:tabs>
                <w:tab w:val="left" w:pos="360"/>
                <w:tab w:val="left" w:pos="1080"/>
              </w:tabs>
              <w:jc w:val="center"/>
              <w:rPr>
                <w:szCs w:val="24"/>
              </w:rPr>
            </w:pPr>
          </w:p>
          <w:p w:rsidR="00667207" w:rsidRPr="008412D3" w:rsidRDefault="00667207" w:rsidP="00667207">
            <w:pPr>
              <w:tabs>
                <w:tab w:val="left" w:pos="360"/>
                <w:tab w:val="left" w:pos="1080"/>
              </w:tabs>
              <w:jc w:val="center"/>
              <w:rPr>
                <w:szCs w:val="24"/>
              </w:rPr>
            </w:pPr>
            <w:r w:rsidRPr="008412D3">
              <w:rPr>
                <w:szCs w:val="24"/>
              </w:rPr>
              <w:t>12.0</w:t>
            </w:r>
          </w:p>
          <w:p w:rsidR="00667207" w:rsidRPr="008412D3" w:rsidRDefault="00667207" w:rsidP="00667207">
            <w:pPr>
              <w:tabs>
                <w:tab w:val="left" w:pos="360"/>
                <w:tab w:val="left" w:pos="1080"/>
              </w:tabs>
              <w:jc w:val="center"/>
              <w:rPr>
                <w:szCs w:val="24"/>
              </w:rPr>
            </w:pPr>
            <w:r w:rsidRPr="008412D3">
              <w:rPr>
                <w:szCs w:val="24"/>
              </w:rPr>
              <w:t xml:space="preserve">  5.0</w:t>
            </w:r>
          </w:p>
          <w:p w:rsidR="00667207" w:rsidRPr="008412D3" w:rsidRDefault="00667207" w:rsidP="00667207">
            <w:pPr>
              <w:tabs>
                <w:tab w:val="left" w:pos="360"/>
                <w:tab w:val="left" w:pos="1080"/>
              </w:tabs>
              <w:jc w:val="center"/>
              <w:rPr>
                <w:szCs w:val="24"/>
              </w:rPr>
            </w:pPr>
            <w:r w:rsidRPr="008412D3">
              <w:rPr>
                <w:szCs w:val="24"/>
              </w:rPr>
              <w:t xml:space="preserve">    .5</w:t>
            </w:r>
          </w:p>
        </w:tc>
        <w:tc>
          <w:tcPr>
            <w:tcW w:w="1710" w:type="dxa"/>
            <w:vAlign w:val="center"/>
          </w:tcPr>
          <w:p w:rsidR="00667207" w:rsidRPr="008412D3" w:rsidRDefault="00667207" w:rsidP="00667207">
            <w:pPr>
              <w:tabs>
                <w:tab w:val="left" w:pos="360"/>
                <w:tab w:val="left" w:pos="1080"/>
              </w:tabs>
              <w:jc w:val="center"/>
              <w:rPr>
                <w:szCs w:val="24"/>
              </w:rPr>
            </w:pPr>
          </w:p>
          <w:p w:rsidR="00667207" w:rsidRPr="008412D3" w:rsidRDefault="00667207" w:rsidP="00667207">
            <w:pPr>
              <w:tabs>
                <w:tab w:val="left" w:pos="360"/>
                <w:tab w:val="left" w:pos="1080"/>
              </w:tabs>
              <w:jc w:val="center"/>
              <w:rPr>
                <w:szCs w:val="24"/>
              </w:rPr>
            </w:pPr>
            <w:r w:rsidRPr="008412D3">
              <w:rPr>
                <w:szCs w:val="24"/>
              </w:rPr>
              <w:t xml:space="preserve">  936</w:t>
            </w:r>
          </w:p>
          <w:p w:rsidR="00667207" w:rsidRPr="008412D3" w:rsidRDefault="00667207" w:rsidP="00667207">
            <w:pPr>
              <w:tabs>
                <w:tab w:val="left" w:pos="360"/>
                <w:tab w:val="left" w:pos="1080"/>
              </w:tabs>
              <w:jc w:val="center"/>
              <w:rPr>
                <w:szCs w:val="24"/>
              </w:rPr>
            </w:pPr>
            <w:r w:rsidRPr="008412D3">
              <w:rPr>
                <w:szCs w:val="24"/>
              </w:rPr>
              <w:t xml:space="preserve">    90</w:t>
            </w:r>
          </w:p>
          <w:p w:rsidR="00667207" w:rsidRPr="008412D3" w:rsidRDefault="00667207" w:rsidP="00667207">
            <w:pPr>
              <w:tabs>
                <w:tab w:val="left" w:pos="360"/>
                <w:tab w:val="left" w:pos="1080"/>
              </w:tabs>
              <w:jc w:val="center"/>
              <w:rPr>
                <w:szCs w:val="24"/>
                <w:u w:val="single"/>
              </w:rPr>
            </w:pPr>
            <w:r w:rsidRPr="008412D3">
              <w:rPr>
                <w:szCs w:val="24"/>
                <w:u w:val="single"/>
              </w:rPr>
              <w:t xml:space="preserve">      8</w:t>
            </w:r>
          </w:p>
        </w:tc>
      </w:tr>
      <w:tr w:rsidR="00667207" w:rsidRPr="008412D3" w:rsidTr="00667207">
        <w:tc>
          <w:tcPr>
            <w:tcW w:w="3525" w:type="dxa"/>
            <w:vAlign w:val="center"/>
          </w:tcPr>
          <w:p w:rsidR="00667207" w:rsidRPr="008412D3" w:rsidRDefault="00667207" w:rsidP="00667207">
            <w:pPr>
              <w:tabs>
                <w:tab w:val="left" w:pos="360"/>
                <w:tab w:val="left" w:pos="1080"/>
              </w:tabs>
              <w:jc w:val="right"/>
              <w:rPr>
                <w:i/>
                <w:szCs w:val="24"/>
              </w:rPr>
            </w:pPr>
            <w:r w:rsidRPr="008412D3">
              <w:rPr>
                <w:i/>
                <w:szCs w:val="24"/>
              </w:rPr>
              <w:t>Total</w:t>
            </w:r>
          </w:p>
        </w:tc>
        <w:tc>
          <w:tcPr>
            <w:tcW w:w="1619" w:type="dxa"/>
            <w:vAlign w:val="center"/>
          </w:tcPr>
          <w:p w:rsidR="00667207" w:rsidRPr="008412D3" w:rsidRDefault="00667207" w:rsidP="00667207">
            <w:pPr>
              <w:tabs>
                <w:tab w:val="left" w:pos="360"/>
                <w:tab w:val="left" w:pos="1080"/>
              </w:tabs>
              <w:jc w:val="center"/>
              <w:rPr>
                <w:szCs w:val="24"/>
              </w:rPr>
            </w:pPr>
          </w:p>
        </w:tc>
        <w:tc>
          <w:tcPr>
            <w:tcW w:w="1261" w:type="dxa"/>
            <w:vAlign w:val="center"/>
          </w:tcPr>
          <w:p w:rsidR="00667207" w:rsidRPr="008412D3" w:rsidRDefault="00667207" w:rsidP="00667207">
            <w:pPr>
              <w:tabs>
                <w:tab w:val="left" w:pos="360"/>
                <w:tab w:val="left" w:pos="1080"/>
              </w:tabs>
              <w:jc w:val="center"/>
              <w:rPr>
                <w:szCs w:val="24"/>
              </w:rPr>
            </w:pPr>
          </w:p>
        </w:tc>
        <w:tc>
          <w:tcPr>
            <w:tcW w:w="1350" w:type="dxa"/>
            <w:vAlign w:val="center"/>
          </w:tcPr>
          <w:p w:rsidR="00667207" w:rsidRPr="008412D3" w:rsidRDefault="00667207" w:rsidP="00667207">
            <w:pPr>
              <w:tabs>
                <w:tab w:val="left" w:pos="360"/>
                <w:tab w:val="left" w:pos="1080"/>
              </w:tabs>
              <w:jc w:val="center"/>
              <w:rPr>
                <w:szCs w:val="24"/>
              </w:rPr>
            </w:pPr>
          </w:p>
        </w:tc>
        <w:tc>
          <w:tcPr>
            <w:tcW w:w="1710" w:type="dxa"/>
            <w:vAlign w:val="center"/>
          </w:tcPr>
          <w:p w:rsidR="00667207" w:rsidRPr="008412D3" w:rsidRDefault="00667207" w:rsidP="00667207">
            <w:pPr>
              <w:tabs>
                <w:tab w:val="left" w:pos="360"/>
                <w:tab w:val="left" w:pos="1080"/>
              </w:tabs>
              <w:rPr>
                <w:szCs w:val="24"/>
              </w:rPr>
            </w:pPr>
            <w:r w:rsidRPr="008412D3">
              <w:rPr>
                <w:szCs w:val="24"/>
              </w:rPr>
              <w:t xml:space="preserve">      15,905</w:t>
            </w:r>
          </w:p>
        </w:tc>
      </w:tr>
      <w:tr w:rsidR="00667207" w:rsidRPr="008412D3" w:rsidTr="00667207">
        <w:tc>
          <w:tcPr>
            <w:tcW w:w="3525" w:type="dxa"/>
            <w:vAlign w:val="center"/>
          </w:tcPr>
          <w:p w:rsidR="00667207" w:rsidRPr="008412D3" w:rsidRDefault="00667207" w:rsidP="00667207">
            <w:pPr>
              <w:tabs>
                <w:tab w:val="left" w:pos="360"/>
                <w:tab w:val="left" w:pos="1080"/>
              </w:tabs>
              <w:jc w:val="right"/>
              <w:rPr>
                <w:i/>
                <w:szCs w:val="24"/>
              </w:rPr>
            </w:pPr>
            <w:r w:rsidRPr="008412D3">
              <w:rPr>
                <w:i/>
                <w:szCs w:val="24"/>
              </w:rPr>
              <w:t>Change</w:t>
            </w:r>
          </w:p>
        </w:tc>
        <w:tc>
          <w:tcPr>
            <w:tcW w:w="1619" w:type="dxa"/>
            <w:vAlign w:val="center"/>
          </w:tcPr>
          <w:p w:rsidR="00667207" w:rsidRPr="008412D3" w:rsidRDefault="00667207" w:rsidP="00667207">
            <w:pPr>
              <w:tabs>
                <w:tab w:val="left" w:pos="360"/>
                <w:tab w:val="left" w:pos="1080"/>
              </w:tabs>
              <w:jc w:val="center"/>
              <w:rPr>
                <w:szCs w:val="24"/>
              </w:rPr>
            </w:pPr>
          </w:p>
        </w:tc>
        <w:tc>
          <w:tcPr>
            <w:tcW w:w="1261" w:type="dxa"/>
            <w:vAlign w:val="center"/>
          </w:tcPr>
          <w:p w:rsidR="00667207" w:rsidRPr="008412D3" w:rsidRDefault="00667207" w:rsidP="00667207">
            <w:pPr>
              <w:tabs>
                <w:tab w:val="left" w:pos="360"/>
                <w:tab w:val="left" w:pos="1080"/>
              </w:tabs>
              <w:jc w:val="center"/>
              <w:rPr>
                <w:szCs w:val="24"/>
              </w:rPr>
            </w:pPr>
          </w:p>
        </w:tc>
        <w:tc>
          <w:tcPr>
            <w:tcW w:w="1350" w:type="dxa"/>
            <w:vAlign w:val="center"/>
          </w:tcPr>
          <w:p w:rsidR="00667207" w:rsidRPr="008412D3" w:rsidRDefault="00667207" w:rsidP="00667207">
            <w:pPr>
              <w:tabs>
                <w:tab w:val="left" w:pos="360"/>
                <w:tab w:val="left" w:pos="1080"/>
              </w:tabs>
              <w:jc w:val="center"/>
              <w:rPr>
                <w:szCs w:val="24"/>
              </w:rPr>
            </w:pPr>
          </w:p>
        </w:tc>
        <w:tc>
          <w:tcPr>
            <w:tcW w:w="1710" w:type="dxa"/>
            <w:vAlign w:val="center"/>
          </w:tcPr>
          <w:p w:rsidR="00667207" w:rsidRPr="008412D3" w:rsidRDefault="00667207" w:rsidP="00667207">
            <w:pPr>
              <w:tabs>
                <w:tab w:val="left" w:pos="360"/>
                <w:tab w:val="left" w:pos="1080"/>
              </w:tabs>
              <w:jc w:val="center"/>
              <w:rPr>
                <w:szCs w:val="24"/>
              </w:rPr>
            </w:pPr>
            <w:r w:rsidRPr="008412D3">
              <w:rPr>
                <w:szCs w:val="24"/>
              </w:rPr>
              <w:t xml:space="preserve">   992</w:t>
            </w:r>
          </w:p>
        </w:tc>
      </w:tr>
    </w:tbl>
    <w:p w:rsidR="00667207" w:rsidRPr="008412D3" w:rsidRDefault="00667207" w:rsidP="00667207">
      <w:pPr>
        <w:tabs>
          <w:tab w:val="left" w:pos="360"/>
          <w:tab w:val="left" w:pos="1080"/>
        </w:tabs>
        <w:rPr>
          <w:szCs w:val="24"/>
        </w:rPr>
      </w:pPr>
    </w:p>
    <w:p w:rsidR="00667207" w:rsidRPr="008412D3" w:rsidRDefault="00667207" w:rsidP="00667207">
      <w:pPr>
        <w:tabs>
          <w:tab w:val="left" w:pos="360"/>
        </w:tabs>
        <w:rPr>
          <w:szCs w:val="24"/>
        </w:rPr>
      </w:pPr>
      <w:r w:rsidRPr="008412D3">
        <w:rPr>
          <w:szCs w:val="24"/>
        </w:rPr>
        <w:t>The total annual cost to the public for these reports is estimated to be $858,870.</w:t>
      </w:r>
      <w:r w:rsidRPr="008412D3">
        <w:rPr>
          <w:rStyle w:val="FootnoteReference"/>
          <w:szCs w:val="24"/>
        </w:rPr>
        <w:footnoteReference w:id="7"/>
      </w:r>
    </w:p>
    <w:p w:rsidR="00667207" w:rsidRPr="008412D3" w:rsidRDefault="00667207" w:rsidP="00667207">
      <w:pPr>
        <w:tabs>
          <w:tab w:val="left" w:pos="360"/>
          <w:tab w:val="left" w:pos="1080"/>
        </w:tabs>
        <w:rPr>
          <w:b/>
          <w:szCs w:val="24"/>
        </w:rPr>
      </w:pPr>
    </w:p>
    <w:p w:rsidR="00667207" w:rsidRPr="008412D3" w:rsidRDefault="00667207" w:rsidP="00667207">
      <w:pPr>
        <w:rPr>
          <w:szCs w:val="24"/>
        </w:rPr>
      </w:pPr>
      <w:r w:rsidRPr="008412D3">
        <w:rPr>
          <w:b/>
          <w:szCs w:val="24"/>
        </w:rPr>
        <w:t>Estimate of Cost to the Federal Reserve System</w:t>
      </w:r>
    </w:p>
    <w:p w:rsidR="00667207" w:rsidRPr="008412D3" w:rsidRDefault="00667207" w:rsidP="00667207">
      <w:pPr>
        <w:tabs>
          <w:tab w:val="left" w:pos="720"/>
          <w:tab w:val="left" w:pos="1440"/>
        </w:tabs>
        <w:rPr>
          <w:szCs w:val="24"/>
        </w:rPr>
      </w:pPr>
    </w:p>
    <w:p w:rsidR="00667207" w:rsidRPr="008412D3" w:rsidRDefault="00667207" w:rsidP="00667207">
      <w:pPr>
        <w:tabs>
          <w:tab w:val="left" w:pos="720"/>
          <w:tab w:val="left" w:pos="1440"/>
        </w:tabs>
        <w:rPr>
          <w:szCs w:val="24"/>
        </w:rPr>
      </w:pPr>
      <w:r w:rsidRPr="008412D3">
        <w:rPr>
          <w:szCs w:val="24"/>
        </w:rPr>
        <w:tab/>
        <w:t>The information submitted in the application and notifications is not automated.  The Federal Reserve System's costs for printing and mailing the application and notifications are minimal.</w:t>
      </w:r>
    </w:p>
    <w:p w:rsidR="003571A1" w:rsidRPr="00DF1EE4" w:rsidRDefault="003571A1" w:rsidP="00667207">
      <w:pPr>
        <w:tabs>
          <w:tab w:val="left" w:pos="720"/>
          <w:tab w:val="left" w:pos="1440"/>
        </w:tabs>
      </w:pPr>
    </w:p>
    <w:sectPr w:rsidR="003571A1" w:rsidRPr="00DF1EE4" w:rsidSect="002C4FED">
      <w:headerReference w:type="default" r:id="rId7"/>
      <w:footerReference w:type="even" r:id="rId8"/>
      <w:footerReference w:type="default" r:id="rId9"/>
      <w:pgSz w:w="12240" w:h="15840" w:code="1"/>
      <w:pgMar w:top="1440" w:right="1440" w:bottom="72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37CF" w:rsidRDefault="00DA37CF">
      <w:r>
        <w:separator/>
      </w:r>
    </w:p>
  </w:endnote>
  <w:endnote w:type="continuationSeparator" w:id="0">
    <w:p w:rsidR="00DA37CF" w:rsidRDefault="00DA37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207" w:rsidRDefault="00466E40" w:rsidP="002C4FED">
    <w:pPr>
      <w:pStyle w:val="Footer"/>
      <w:framePr w:wrap="around" w:vAnchor="text" w:hAnchor="margin" w:xAlign="center" w:y="1"/>
      <w:rPr>
        <w:rStyle w:val="PageNumber"/>
      </w:rPr>
    </w:pPr>
    <w:r>
      <w:rPr>
        <w:rStyle w:val="PageNumber"/>
      </w:rPr>
      <w:fldChar w:fldCharType="begin"/>
    </w:r>
    <w:r w:rsidR="00667207">
      <w:rPr>
        <w:rStyle w:val="PageNumber"/>
      </w:rPr>
      <w:instrText xml:space="preserve">PAGE  </w:instrText>
    </w:r>
    <w:r>
      <w:rPr>
        <w:rStyle w:val="PageNumber"/>
      </w:rPr>
      <w:fldChar w:fldCharType="end"/>
    </w:r>
  </w:p>
  <w:p w:rsidR="00667207" w:rsidRDefault="006672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207" w:rsidRDefault="00466E40" w:rsidP="002C4FED">
    <w:pPr>
      <w:pStyle w:val="Footer"/>
      <w:framePr w:wrap="around" w:vAnchor="text" w:hAnchor="margin" w:xAlign="center" w:y="1"/>
      <w:rPr>
        <w:rStyle w:val="PageNumber"/>
      </w:rPr>
    </w:pPr>
    <w:r>
      <w:rPr>
        <w:rStyle w:val="PageNumber"/>
      </w:rPr>
      <w:fldChar w:fldCharType="begin"/>
    </w:r>
    <w:r w:rsidR="00667207">
      <w:rPr>
        <w:rStyle w:val="PageNumber"/>
      </w:rPr>
      <w:instrText xml:space="preserve">PAGE  </w:instrText>
    </w:r>
    <w:r>
      <w:rPr>
        <w:rStyle w:val="PageNumber"/>
      </w:rPr>
      <w:fldChar w:fldCharType="separate"/>
    </w:r>
    <w:r w:rsidR="00A06283">
      <w:rPr>
        <w:rStyle w:val="PageNumber"/>
        <w:noProof/>
      </w:rPr>
      <w:t>8</w:t>
    </w:r>
    <w:r>
      <w:rPr>
        <w:rStyle w:val="PageNumber"/>
      </w:rPr>
      <w:fldChar w:fldCharType="end"/>
    </w:r>
  </w:p>
  <w:p w:rsidR="00667207" w:rsidRDefault="00667207">
    <w:pPr>
      <w:pStyle w:val="Footer"/>
    </w:pPr>
  </w:p>
  <w:p w:rsidR="00667207" w:rsidRDefault="0066720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37CF" w:rsidRDefault="00DA37CF">
      <w:r>
        <w:separator/>
      </w:r>
    </w:p>
  </w:footnote>
  <w:footnote w:type="continuationSeparator" w:id="0">
    <w:p w:rsidR="00DA37CF" w:rsidRDefault="00DA37CF">
      <w:r>
        <w:continuationSeparator/>
      </w:r>
    </w:p>
  </w:footnote>
  <w:footnote w:id="1">
    <w:p w:rsidR="00667207" w:rsidRPr="00151D30" w:rsidRDefault="00667207" w:rsidP="00667207">
      <w:pPr>
        <w:pStyle w:val="FootnoteText"/>
        <w:rPr>
          <w:sz w:val="20"/>
        </w:rPr>
      </w:pPr>
      <w:r w:rsidRPr="00151D30">
        <w:rPr>
          <w:rStyle w:val="FootnoteReference"/>
          <w:sz w:val="20"/>
        </w:rPr>
        <w:footnoteRef/>
      </w:r>
      <w:r w:rsidRPr="00151D30">
        <w:rPr>
          <w:sz w:val="20"/>
        </w:rPr>
        <w:t xml:space="preserve"> In an emergency situation (such as to avert the failure of a bank or savings association), the Director of the Division of Banking Supervision and Regulation may take the actions permitted of a Reserve Bank.</w:t>
      </w:r>
    </w:p>
  </w:footnote>
  <w:footnote w:id="2">
    <w:p w:rsidR="00667207" w:rsidRPr="00151D30" w:rsidRDefault="00667207" w:rsidP="00667207">
      <w:pPr>
        <w:pStyle w:val="FootnoteText"/>
        <w:widowControl w:val="0"/>
        <w:rPr>
          <w:sz w:val="20"/>
        </w:rPr>
      </w:pPr>
      <w:r w:rsidRPr="00151D30">
        <w:rPr>
          <w:rStyle w:val="FootnoteReference"/>
          <w:sz w:val="20"/>
        </w:rPr>
        <w:footnoteRef/>
      </w:r>
      <w:r w:rsidRPr="00151D30">
        <w:rPr>
          <w:sz w:val="20"/>
        </w:rPr>
        <w:t xml:space="preserve"> Under the BHC Act, a subsidiary is defined as any bank or nonbank company in which a BHC directly or indirectly owns or controls 25 percent or more of any class of the outstanding voting shares or which is otherwise controlled by the BHC.  Once a BHC owns 50 percent of a bank, the BHC Act provides that generally no further regulatory approval is required to acquire additional shares of the bank.</w:t>
      </w:r>
    </w:p>
  </w:footnote>
  <w:footnote w:id="3">
    <w:p w:rsidR="00667207" w:rsidRPr="00151D30" w:rsidRDefault="00667207" w:rsidP="00667207">
      <w:pPr>
        <w:pStyle w:val="FootnoteText"/>
        <w:rPr>
          <w:sz w:val="20"/>
        </w:rPr>
      </w:pPr>
      <w:r w:rsidRPr="00151D30">
        <w:rPr>
          <w:rStyle w:val="FootnoteReference"/>
          <w:sz w:val="20"/>
        </w:rPr>
        <w:footnoteRef/>
      </w:r>
      <w:r w:rsidRPr="00151D30">
        <w:rPr>
          <w:sz w:val="20"/>
        </w:rPr>
        <w:t xml:space="preserve"> In some cases, an acquisition or merger proposal may result in a person or group of persons acquiring control of a BHC for purposes of the Change in Bank Control Act (CIBC Act).  The requirements of the CIBC Act may be fulfilled if the notification filed under section 225.14 of Regulation Y contains certain information required under the CIBC Act and under section 225.43 of Regulation Y.</w:t>
      </w:r>
    </w:p>
  </w:footnote>
  <w:footnote w:id="4">
    <w:p w:rsidR="00667207" w:rsidRPr="00151D30" w:rsidRDefault="00667207" w:rsidP="00667207">
      <w:pPr>
        <w:pStyle w:val="FootnoteText"/>
        <w:rPr>
          <w:sz w:val="20"/>
        </w:rPr>
      </w:pPr>
      <w:r w:rsidRPr="00151D30">
        <w:rPr>
          <w:rStyle w:val="FootnoteReference"/>
          <w:sz w:val="20"/>
        </w:rPr>
        <w:footnoteRef/>
      </w:r>
      <w:r w:rsidRPr="00151D30">
        <w:rPr>
          <w:sz w:val="20"/>
        </w:rPr>
        <w:t xml:space="preserve"> As indicated above, the notifying BHC does not use the FR Y-4 form to satisfy this requirement.  Instead, within 10 business days after commencing the activity, the BHC submits in writing to its appropriate Reserve Bank the information and certifications specified in section 225.22(a)(3) of Regulation Y.</w:t>
      </w:r>
    </w:p>
  </w:footnote>
  <w:footnote w:id="5">
    <w:p w:rsidR="00667207" w:rsidRPr="00151D30" w:rsidRDefault="00667207" w:rsidP="00667207">
      <w:pPr>
        <w:pStyle w:val="FootnoteText"/>
        <w:rPr>
          <w:sz w:val="20"/>
        </w:rPr>
      </w:pPr>
      <w:r w:rsidRPr="00151D30">
        <w:rPr>
          <w:rStyle w:val="FootnoteReference"/>
          <w:sz w:val="20"/>
        </w:rPr>
        <w:footnoteRef/>
      </w:r>
      <w:r w:rsidRPr="00151D30">
        <w:rPr>
          <w:sz w:val="20"/>
        </w:rPr>
        <w:t xml:space="preserve"> The nonbanking proposals that may qualify for this expedited procedure involve a filing (</w:t>
      </w:r>
      <w:proofErr w:type="spellStart"/>
      <w:r w:rsidRPr="00151D30">
        <w:rPr>
          <w:sz w:val="20"/>
        </w:rPr>
        <w:t>i</w:t>
      </w:r>
      <w:proofErr w:type="spellEnd"/>
      <w:r w:rsidRPr="00151D30">
        <w:rPr>
          <w:sz w:val="20"/>
        </w:rPr>
        <w:t xml:space="preserve">) to engage </w:t>
      </w:r>
      <w:r w:rsidRPr="00151D30">
        <w:rPr>
          <w:i/>
          <w:sz w:val="20"/>
        </w:rPr>
        <w:t>de</w:t>
      </w:r>
      <w:r w:rsidRPr="00151D30">
        <w:rPr>
          <w:sz w:val="20"/>
        </w:rPr>
        <w:t xml:space="preserve"> </w:t>
      </w:r>
      <w:r w:rsidRPr="00151D30">
        <w:rPr>
          <w:i/>
          <w:sz w:val="20"/>
        </w:rPr>
        <w:t xml:space="preserve">novo </w:t>
      </w:r>
      <w:r w:rsidRPr="00151D30">
        <w:rPr>
          <w:sz w:val="20"/>
        </w:rPr>
        <w:t>in any nonbanking activity that the Board has permitted by order or regulation, or (ii) to acquire voting shares or assets of a going concern engaged in any nonbanking activity that the Board has permitted by order or regulation (except operating a nonbank insured depository institution).  This procedure is generally shorter than other non-expedited procedures because it has no publication requirement.</w:t>
      </w:r>
    </w:p>
  </w:footnote>
  <w:footnote w:id="6">
    <w:p w:rsidR="00667207" w:rsidRPr="00151D30" w:rsidRDefault="00667207" w:rsidP="00667207">
      <w:pPr>
        <w:pStyle w:val="FootnoteText"/>
        <w:rPr>
          <w:sz w:val="20"/>
        </w:rPr>
      </w:pPr>
      <w:r w:rsidRPr="00151D30">
        <w:rPr>
          <w:rStyle w:val="FootnoteReference"/>
          <w:sz w:val="20"/>
        </w:rPr>
        <w:footnoteRef/>
      </w:r>
      <w:r w:rsidRPr="00151D30">
        <w:rPr>
          <w:sz w:val="20"/>
        </w:rPr>
        <w:t xml:space="preserve"> The Board generally acts only on those </w:t>
      </w:r>
      <w:r>
        <w:rPr>
          <w:sz w:val="20"/>
        </w:rPr>
        <w:t>12-</w:t>
      </w:r>
      <w:r w:rsidRPr="00151D30">
        <w:rPr>
          <w:sz w:val="20"/>
        </w:rPr>
        <w:t>day notifications that involve certain unlisted activities for which no delegated authority exists.</w:t>
      </w:r>
    </w:p>
  </w:footnote>
  <w:footnote w:id="7">
    <w:p w:rsidR="00667207" w:rsidRPr="00151D30" w:rsidRDefault="00667207" w:rsidP="00667207">
      <w:pPr>
        <w:pStyle w:val="FootnoteText"/>
        <w:rPr>
          <w:sz w:val="20"/>
        </w:rPr>
      </w:pPr>
      <w:r w:rsidRPr="00151D30">
        <w:rPr>
          <w:rStyle w:val="FootnoteReference"/>
          <w:sz w:val="20"/>
        </w:rPr>
        <w:footnoteRef/>
      </w:r>
      <w:r w:rsidRPr="00151D30">
        <w:rPr>
          <w:sz w:val="20"/>
        </w:rPr>
        <w:t xml:space="preserve"> Total cost to the public was estimated using the following formula: percent of staff time, multiplied by annual burden hours, multiplied by hourly rate (1</w:t>
      </w:r>
      <w:r>
        <w:rPr>
          <w:sz w:val="20"/>
        </w:rPr>
        <w:t>00</w:t>
      </w:r>
      <w:r w:rsidRPr="00151D30">
        <w:rPr>
          <w:sz w:val="20"/>
        </w:rPr>
        <w:t xml:space="preserve">% Legal Counsel @ $54).  Hourly rate for each occupational group are the median hourly wages (rounded up) from the Bureau of Labor and Statistics (BLS), Occupational Employment and Wages 2008, www.bls.gov/news.release/ocwage.nr0.htm  Occupations are defined using the BLS Occupational Classification System,  www.bls.gov/soc/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207" w:rsidRDefault="00667207" w:rsidP="00620F10">
    <w:pPr>
      <w:pStyle w:val="Header"/>
      <w:rPr>
        <w:szCs w:val="24"/>
      </w:rPr>
    </w:pPr>
    <w:r w:rsidRPr="0023323B">
      <w:rPr>
        <w:szCs w:val="24"/>
      </w:rPr>
      <w:tab/>
    </w:r>
    <w:r w:rsidRPr="0023323B">
      <w:rPr>
        <w:szCs w:val="24"/>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3AAF1077"/>
    <w:multiLevelType w:val="hybridMultilevel"/>
    <w:tmpl w:val="7B8AFBF4"/>
    <w:lvl w:ilvl="0" w:tplc="40265AF4">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nsid w:val="3E5E58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5974757B"/>
    <w:multiLevelType w:val="hybridMultilevel"/>
    <w:tmpl w:val="76F8A9CE"/>
    <w:lvl w:ilvl="0" w:tplc="FFFFFFFF">
      <w:start w:val="1"/>
      <w:numFmt w:val="decimal"/>
      <w:lvlText w:val="(%1)"/>
      <w:lvlJc w:val="left"/>
      <w:pPr>
        <w:tabs>
          <w:tab w:val="num" w:pos="1088"/>
        </w:tabs>
        <w:ind w:left="1088" w:hanging="360"/>
      </w:pPr>
      <w:rPr>
        <w:rFonts w:ascii="Times New Roman" w:hAnsi="Times New Roman" w:hint="default"/>
      </w:rPr>
    </w:lvl>
    <w:lvl w:ilvl="1" w:tplc="04090019" w:tentative="1">
      <w:start w:val="1"/>
      <w:numFmt w:val="lowerLetter"/>
      <w:lvlText w:val="%2."/>
      <w:lvlJc w:val="left"/>
      <w:pPr>
        <w:tabs>
          <w:tab w:val="num" w:pos="1808"/>
        </w:tabs>
        <w:ind w:left="1808" w:hanging="360"/>
      </w:pPr>
    </w:lvl>
    <w:lvl w:ilvl="2" w:tplc="0409001B" w:tentative="1">
      <w:start w:val="1"/>
      <w:numFmt w:val="lowerRoman"/>
      <w:lvlText w:val="%3."/>
      <w:lvlJc w:val="right"/>
      <w:pPr>
        <w:tabs>
          <w:tab w:val="num" w:pos="2528"/>
        </w:tabs>
        <w:ind w:left="2528" w:hanging="180"/>
      </w:pPr>
    </w:lvl>
    <w:lvl w:ilvl="3" w:tplc="0409000F" w:tentative="1">
      <w:start w:val="1"/>
      <w:numFmt w:val="decimal"/>
      <w:lvlText w:val="%4."/>
      <w:lvlJc w:val="left"/>
      <w:pPr>
        <w:tabs>
          <w:tab w:val="num" w:pos="3248"/>
        </w:tabs>
        <w:ind w:left="3248" w:hanging="360"/>
      </w:pPr>
    </w:lvl>
    <w:lvl w:ilvl="4" w:tplc="04090019" w:tentative="1">
      <w:start w:val="1"/>
      <w:numFmt w:val="lowerLetter"/>
      <w:lvlText w:val="%5."/>
      <w:lvlJc w:val="left"/>
      <w:pPr>
        <w:tabs>
          <w:tab w:val="num" w:pos="3968"/>
        </w:tabs>
        <w:ind w:left="3968" w:hanging="360"/>
      </w:pPr>
    </w:lvl>
    <w:lvl w:ilvl="5" w:tplc="0409001B" w:tentative="1">
      <w:start w:val="1"/>
      <w:numFmt w:val="lowerRoman"/>
      <w:lvlText w:val="%6."/>
      <w:lvlJc w:val="right"/>
      <w:pPr>
        <w:tabs>
          <w:tab w:val="num" w:pos="4688"/>
        </w:tabs>
        <w:ind w:left="4688" w:hanging="180"/>
      </w:pPr>
    </w:lvl>
    <w:lvl w:ilvl="6" w:tplc="0409000F" w:tentative="1">
      <w:start w:val="1"/>
      <w:numFmt w:val="decimal"/>
      <w:lvlText w:val="%7."/>
      <w:lvlJc w:val="left"/>
      <w:pPr>
        <w:tabs>
          <w:tab w:val="num" w:pos="5408"/>
        </w:tabs>
        <w:ind w:left="5408" w:hanging="360"/>
      </w:pPr>
    </w:lvl>
    <w:lvl w:ilvl="7" w:tplc="04090019" w:tentative="1">
      <w:start w:val="1"/>
      <w:numFmt w:val="lowerLetter"/>
      <w:lvlText w:val="%8."/>
      <w:lvlJc w:val="left"/>
      <w:pPr>
        <w:tabs>
          <w:tab w:val="num" w:pos="6128"/>
        </w:tabs>
        <w:ind w:left="6128" w:hanging="360"/>
      </w:pPr>
    </w:lvl>
    <w:lvl w:ilvl="8" w:tplc="0409001B" w:tentative="1">
      <w:start w:val="1"/>
      <w:numFmt w:val="lowerRoman"/>
      <w:lvlText w:val="%9."/>
      <w:lvlJc w:val="right"/>
      <w:pPr>
        <w:tabs>
          <w:tab w:val="num" w:pos="6848"/>
        </w:tabs>
        <w:ind w:left="6848" w:hanging="180"/>
      </w:pPr>
    </w:lvl>
  </w:abstractNum>
  <w:abstractNum w:abstractNumId="4">
    <w:nsid w:val="67DE70CE"/>
    <w:multiLevelType w:val="hybridMultilevel"/>
    <w:tmpl w:val="40F8B500"/>
    <w:lvl w:ilvl="0" w:tplc="FFFFFFFF">
      <w:start w:val="1"/>
      <w:numFmt w:val="decimal"/>
      <w:lvlText w:val="(%1)"/>
      <w:lvlJc w:val="left"/>
      <w:pPr>
        <w:tabs>
          <w:tab w:val="num" w:pos="1080"/>
        </w:tabs>
        <w:ind w:left="1080" w:hanging="360"/>
      </w:pPr>
      <w:rPr>
        <w:rFonts w:ascii="Times New Roman" w:hAnsi="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774D14EA"/>
    <w:multiLevelType w:val="hybridMultilevel"/>
    <w:tmpl w:val="1F0A09B2"/>
    <w:lvl w:ilvl="0" w:tplc="FFFFFFFF">
      <w:start w:val="1"/>
      <w:numFmt w:val="decimal"/>
      <w:lvlText w:val="(%1)"/>
      <w:lvlJc w:val="left"/>
      <w:pPr>
        <w:tabs>
          <w:tab w:val="num" w:pos="1088"/>
        </w:tabs>
        <w:ind w:left="1088" w:hanging="360"/>
      </w:pPr>
      <w:rPr>
        <w:rFonts w:ascii="Times New Roman" w:hAnsi="Times New Roman" w:hint="default"/>
      </w:rPr>
    </w:lvl>
    <w:lvl w:ilvl="1" w:tplc="04090019" w:tentative="1">
      <w:start w:val="1"/>
      <w:numFmt w:val="lowerLetter"/>
      <w:lvlText w:val="%2."/>
      <w:lvlJc w:val="left"/>
      <w:pPr>
        <w:tabs>
          <w:tab w:val="num" w:pos="1808"/>
        </w:tabs>
        <w:ind w:left="1808" w:hanging="360"/>
      </w:pPr>
    </w:lvl>
    <w:lvl w:ilvl="2" w:tplc="0409001B" w:tentative="1">
      <w:start w:val="1"/>
      <w:numFmt w:val="lowerRoman"/>
      <w:lvlText w:val="%3."/>
      <w:lvlJc w:val="right"/>
      <w:pPr>
        <w:tabs>
          <w:tab w:val="num" w:pos="2528"/>
        </w:tabs>
        <w:ind w:left="2528" w:hanging="180"/>
      </w:pPr>
    </w:lvl>
    <w:lvl w:ilvl="3" w:tplc="0409000F" w:tentative="1">
      <w:start w:val="1"/>
      <w:numFmt w:val="decimal"/>
      <w:lvlText w:val="%4."/>
      <w:lvlJc w:val="left"/>
      <w:pPr>
        <w:tabs>
          <w:tab w:val="num" w:pos="3248"/>
        </w:tabs>
        <w:ind w:left="3248" w:hanging="360"/>
      </w:pPr>
    </w:lvl>
    <w:lvl w:ilvl="4" w:tplc="04090019" w:tentative="1">
      <w:start w:val="1"/>
      <w:numFmt w:val="lowerLetter"/>
      <w:lvlText w:val="%5."/>
      <w:lvlJc w:val="left"/>
      <w:pPr>
        <w:tabs>
          <w:tab w:val="num" w:pos="3968"/>
        </w:tabs>
        <w:ind w:left="3968" w:hanging="360"/>
      </w:pPr>
    </w:lvl>
    <w:lvl w:ilvl="5" w:tplc="0409001B" w:tentative="1">
      <w:start w:val="1"/>
      <w:numFmt w:val="lowerRoman"/>
      <w:lvlText w:val="%6."/>
      <w:lvlJc w:val="right"/>
      <w:pPr>
        <w:tabs>
          <w:tab w:val="num" w:pos="4688"/>
        </w:tabs>
        <w:ind w:left="4688" w:hanging="180"/>
      </w:pPr>
    </w:lvl>
    <w:lvl w:ilvl="6" w:tplc="0409000F" w:tentative="1">
      <w:start w:val="1"/>
      <w:numFmt w:val="decimal"/>
      <w:lvlText w:val="%7."/>
      <w:lvlJc w:val="left"/>
      <w:pPr>
        <w:tabs>
          <w:tab w:val="num" w:pos="5408"/>
        </w:tabs>
        <w:ind w:left="5408" w:hanging="360"/>
      </w:pPr>
    </w:lvl>
    <w:lvl w:ilvl="7" w:tplc="04090019" w:tentative="1">
      <w:start w:val="1"/>
      <w:numFmt w:val="lowerLetter"/>
      <w:lvlText w:val="%8."/>
      <w:lvlJc w:val="left"/>
      <w:pPr>
        <w:tabs>
          <w:tab w:val="num" w:pos="6128"/>
        </w:tabs>
        <w:ind w:left="6128" w:hanging="360"/>
      </w:pPr>
    </w:lvl>
    <w:lvl w:ilvl="8" w:tplc="0409001B" w:tentative="1">
      <w:start w:val="1"/>
      <w:numFmt w:val="lowerRoman"/>
      <w:lvlText w:val="%9."/>
      <w:lvlJc w:val="right"/>
      <w:pPr>
        <w:tabs>
          <w:tab w:val="num" w:pos="6848"/>
        </w:tabs>
        <w:ind w:left="6848" w:hanging="180"/>
      </w:pPr>
    </w:lvl>
  </w:abstractNum>
  <w:num w:numId="1">
    <w:abstractNumId w:val="2"/>
  </w:num>
  <w:num w:numId="2">
    <w:abstractNumId w:val="0"/>
    <w:lvlOverride w:ilvl="0">
      <w:lvl w:ilvl="0">
        <w:numFmt w:val="bullet"/>
        <w:lvlText w:val=""/>
        <w:legacy w:legacy="1" w:legacySpace="0" w:legacyIndent="360"/>
        <w:lvlJc w:val="left"/>
        <w:pPr>
          <w:ind w:left="360" w:hanging="360"/>
        </w:pPr>
        <w:rPr>
          <w:rFonts w:ascii="Symbol" w:hAnsi="Symbol" w:hint="default"/>
        </w:rPr>
      </w:lvl>
    </w:lvlOverride>
  </w:num>
  <w:num w:numId="3">
    <w:abstractNumId w:val="4"/>
  </w:num>
  <w:num w:numId="4">
    <w:abstractNumId w:val="3"/>
  </w:num>
  <w:num w:numId="5">
    <w:abstractNumId w:val="5"/>
  </w:num>
  <w:num w:numId="6">
    <w:abstractNumId w:val="1"/>
  </w:num>
  <w:num w:numId="7">
    <w:abstractNumId w:val="0"/>
    <w:lvlOverride w:ilvl="0">
      <w:lvl w:ilvl="0">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8" w:dllVersion="513" w:checkStyle="1"/>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rsids>
    <w:rsidRoot w:val="002F1C7A"/>
    <w:rsid w:val="0001572E"/>
    <w:rsid w:val="00021389"/>
    <w:rsid w:val="00024014"/>
    <w:rsid w:val="00032325"/>
    <w:rsid w:val="00037301"/>
    <w:rsid w:val="00062D12"/>
    <w:rsid w:val="000955B6"/>
    <w:rsid w:val="000A1D7F"/>
    <w:rsid w:val="000B5E47"/>
    <w:rsid w:val="000D751B"/>
    <w:rsid w:val="000E3BB0"/>
    <w:rsid w:val="000E4A74"/>
    <w:rsid w:val="000E7BDE"/>
    <w:rsid w:val="00100A5F"/>
    <w:rsid w:val="00114B7E"/>
    <w:rsid w:val="00140612"/>
    <w:rsid w:val="00147002"/>
    <w:rsid w:val="001530CE"/>
    <w:rsid w:val="001654C8"/>
    <w:rsid w:val="0016731D"/>
    <w:rsid w:val="001724AC"/>
    <w:rsid w:val="00176A41"/>
    <w:rsid w:val="001864A4"/>
    <w:rsid w:val="001A0784"/>
    <w:rsid w:val="001A6950"/>
    <w:rsid w:val="001E1D78"/>
    <w:rsid w:val="001E41BB"/>
    <w:rsid w:val="001E4B9D"/>
    <w:rsid w:val="001F1838"/>
    <w:rsid w:val="00200190"/>
    <w:rsid w:val="00211C8D"/>
    <w:rsid w:val="00217216"/>
    <w:rsid w:val="002236AD"/>
    <w:rsid w:val="0023323B"/>
    <w:rsid w:val="00256291"/>
    <w:rsid w:val="002672AC"/>
    <w:rsid w:val="00271483"/>
    <w:rsid w:val="002864B8"/>
    <w:rsid w:val="002B0FC6"/>
    <w:rsid w:val="002B16DD"/>
    <w:rsid w:val="002B492C"/>
    <w:rsid w:val="002C4FED"/>
    <w:rsid w:val="002E4331"/>
    <w:rsid w:val="002E4C55"/>
    <w:rsid w:val="002F1C7A"/>
    <w:rsid w:val="002F2CC5"/>
    <w:rsid w:val="00307994"/>
    <w:rsid w:val="003246E0"/>
    <w:rsid w:val="003355E5"/>
    <w:rsid w:val="00345078"/>
    <w:rsid w:val="00352BF0"/>
    <w:rsid w:val="003571A1"/>
    <w:rsid w:val="0036562A"/>
    <w:rsid w:val="00382BDE"/>
    <w:rsid w:val="003848EB"/>
    <w:rsid w:val="003B02E3"/>
    <w:rsid w:val="003C0DE6"/>
    <w:rsid w:val="003C2096"/>
    <w:rsid w:val="003C6A18"/>
    <w:rsid w:val="003E16E1"/>
    <w:rsid w:val="003E7578"/>
    <w:rsid w:val="0040269E"/>
    <w:rsid w:val="00405980"/>
    <w:rsid w:val="00410F3C"/>
    <w:rsid w:val="004110EB"/>
    <w:rsid w:val="0042115B"/>
    <w:rsid w:val="00421E7E"/>
    <w:rsid w:val="00440A0F"/>
    <w:rsid w:val="00445EC8"/>
    <w:rsid w:val="004515C5"/>
    <w:rsid w:val="00466E40"/>
    <w:rsid w:val="004675E3"/>
    <w:rsid w:val="004713BD"/>
    <w:rsid w:val="0047251D"/>
    <w:rsid w:val="004925E4"/>
    <w:rsid w:val="0049557C"/>
    <w:rsid w:val="004C69FC"/>
    <w:rsid w:val="004C6CD4"/>
    <w:rsid w:val="004E0185"/>
    <w:rsid w:val="004E36BF"/>
    <w:rsid w:val="004E6130"/>
    <w:rsid w:val="004F7F82"/>
    <w:rsid w:val="0050704A"/>
    <w:rsid w:val="0050716C"/>
    <w:rsid w:val="00511092"/>
    <w:rsid w:val="00531C05"/>
    <w:rsid w:val="00536A34"/>
    <w:rsid w:val="00537334"/>
    <w:rsid w:val="00545EE2"/>
    <w:rsid w:val="00551613"/>
    <w:rsid w:val="00564E40"/>
    <w:rsid w:val="00570683"/>
    <w:rsid w:val="0057295E"/>
    <w:rsid w:val="005A57BC"/>
    <w:rsid w:val="005A7DC0"/>
    <w:rsid w:val="005B26DE"/>
    <w:rsid w:val="005B5374"/>
    <w:rsid w:val="005C53F1"/>
    <w:rsid w:val="005D58FE"/>
    <w:rsid w:val="005F4140"/>
    <w:rsid w:val="0060516C"/>
    <w:rsid w:val="00620F10"/>
    <w:rsid w:val="00631BCD"/>
    <w:rsid w:val="00642A59"/>
    <w:rsid w:val="00644407"/>
    <w:rsid w:val="0064636E"/>
    <w:rsid w:val="00656424"/>
    <w:rsid w:val="00660942"/>
    <w:rsid w:val="00667207"/>
    <w:rsid w:val="00671407"/>
    <w:rsid w:val="006C41F9"/>
    <w:rsid w:val="006D476A"/>
    <w:rsid w:val="006F0233"/>
    <w:rsid w:val="0072135E"/>
    <w:rsid w:val="00723DDB"/>
    <w:rsid w:val="00736C55"/>
    <w:rsid w:val="0074138C"/>
    <w:rsid w:val="007472C5"/>
    <w:rsid w:val="00762308"/>
    <w:rsid w:val="0076295E"/>
    <w:rsid w:val="00763DC2"/>
    <w:rsid w:val="00775927"/>
    <w:rsid w:val="00781E0B"/>
    <w:rsid w:val="00783708"/>
    <w:rsid w:val="007B64EA"/>
    <w:rsid w:val="007D28CC"/>
    <w:rsid w:val="007E550D"/>
    <w:rsid w:val="0084008F"/>
    <w:rsid w:val="00853412"/>
    <w:rsid w:val="00862AD8"/>
    <w:rsid w:val="00863E4D"/>
    <w:rsid w:val="00864C8F"/>
    <w:rsid w:val="00873D12"/>
    <w:rsid w:val="00881CD5"/>
    <w:rsid w:val="0088776D"/>
    <w:rsid w:val="008C1E79"/>
    <w:rsid w:val="008C565D"/>
    <w:rsid w:val="008C6C95"/>
    <w:rsid w:val="008D2472"/>
    <w:rsid w:val="008D61D3"/>
    <w:rsid w:val="008E342B"/>
    <w:rsid w:val="008E5FAF"/>
    <w:rsid w:val="008E6ED1"/>
    <w:rsid w:val="009532D3"/>
    <w:rsid w:val="0096691A"/>
    <w:rsid w:val="00991355"/>
    <w:rsid w:val="009C0B1A"/>
    <w:rsid w:val="009C772A"/>
    <w:rsid w:val="009C7D0F"/>
    <w:rsid w:val="009E2082"/>
    <w:rsid w:val="009F068A"/>
    <w:rsid w:val="009F0747"/>
    <w:rsid w:val="009F4C2D"/>
    <w:rsid w:val="00A008DC"/>
    <w:rsid w:val="00A06283"/>
    <w:rsid w:val="00A06965"/>
    <w:rsid w:val="00A15EA4"/>
    <w:rsid w:val="00A42547"/>
    <w:rsid w:val="00A50C4A"/>
    <w:rsid w:val="00A65B75"/>
    <w:rsid w:val="00A779BC"/>
    <w:rsid w:val="00A839C5"/>
    <w:rsid w:val="00A8616E"/>
    <w:rsid w:val="00A94E47"/>
    <w:rsid w:val="00AA014E"/>
    <w:rsid w:val="00AA16BD"/>
    <w:rsid w:val="00AD16DD"/>
    <w:rsid w:val="00AF0C88"/>
    <w:rsid w:val="00B0641F"/>
    <w:rsid w:val="00B17177"/>
    <w:rsid w:val="00B204CF"/>
    <w:rsid w:val="00B21E5C"/>
    <w:rsid w:val="00B409CE"/>
    <w:rsid w:val="00B50871"/>
    <w:rsid w:val="00B52C03"/>
    <w:rsid w:val="00B57DEB"/>
    <w:rsid w:val="00B6457B"/>
    <w:rsid w:val="00B7143A"/>
    <w:rsid w:val="00B82168"/>
    <w:rsid w:val="00B82AA5"/>
    <w:rsid w:val="00B86E68"/>
    <w:rsid w:val="00B87F85"/>
    <w:rsid w:val="00BA0DF6"/>
    <w:rsid w:val="00BA1590"/>
    <w:rsid w:val="00BA2229"/>
    <w:rsid w:val="00BA4E46"/>
    <w:rsid w:val="00BC313D"/>
    <w:rsid w:val="00BD07C0"/>
    <w:rsid w:val="00BD0BD8"/>
    <w:rsid w:val="00BD7D1E"/>
    <w:rsid w:val="00BE14A9"/>
    <w:rsid w:val="00BE30BC"/>
    <w:rsid w:val="00BF07C9"/>
    <w:rsid w:val="00C04594"/>
    <w:rsid w:val="00C06ED4"/>
    <w:rsid w:val="00C10300"/>
    <w:rsid w:val="00C216EE"/>
    <w:rsid w:val="00C46DA0"/>
    <w:rsid w:val="00C47774"/>
    <w:rsid w:val="00C63A20"/>
    <w:rsid w:val="00C70C54"/>
    <w:rsid w:val="00C82565"/>
    <w:rsid w:val="00C86DBE"/>
    <w:rsid w:val="00CA5FBD"/>
    <w:rsid w:val="00CB3BFF"/>
    <w:rsid w:val="00CE765D"/>
    <w:rsid w:val="00D001B9"/>
    <w:rsid w:val="00D12C93"/>
    <w:rsid w:val="00D32CDA"/>
    <w:rsid w:val="00D44798"/>
    <w:rsid w:val="00D5073B"/>
    <w:rsid w:val="00D66900"/>
    <w:rsid w:val="00D766DC"/>
    <w:rsid w:val="00D857BC"/>
    <w:rsid w:val="00D9285C"/>
    <w:rsid w:val="00D975C6"/>
    <w:rsid w:val="00DA37CF"/>
    <w:rsid w:val="00DA3C83"/>
    <w:rsid w:val="00DA5B1F"/>
    <w:rsid w:val="00DE22A3"/>
    <w:rsid w:val="00DF1EE4"/>
    <w:rsid w:val="00E003A0"/>
    <w:rsid w:val="00E164B8"/>
    <w:rsid w:val="00E25E86"/>
    <w:rsid w:val="00E43871"/>
    <w:rsid w:val="00E6379F"/>
    <w:rsid w:val="00E719D6"/>
    <w:rsid w:val="00E80C7B"/>
    <w:rsid w:val="00E94398"/>
    <w:rsid w:val="00EA2961"/>
    <w:rsid w:val="00EA7682"/>
    <w:rsid w:val="00EB41BB"/>
    <w:rsid w:val="00EC7486"/>
    <w:rsid w:val="00ED0A62"/>
    <w:rsid w:val="00ED124F"/>
    <w:rsid w:val="00EF6DBC"/>
    <w:rsid w:val="00F00827"/>
    <w:rsid w:val="00F00B50"/>
    <w:rsid w:val="00F16C62"/>
    <w:rsid w:val="00F16D9C"/>
    <w:rsid w:val="00F33D91"/>
    <w:rsid w:val="00F45331"/>
    <w:rsid w:val="00F47829"/>
    <w:rsid w:val="00F63B20"/>
    <w:rsid w:val="00FA3CC6"/>
    <w:rsid w:val="00FD2654"/>
    <w:rsid w:val="00FD4D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C55"/>
    <w:rPr>
      <w:sz w:val="24"/>
    </w:rPr>
  </w:style>
  <w:style w:type="paragraph" w:styleId="Heading1">
    <w:name w:val="heading 1"/>
    <w:basedOn w:val="Normal"/>
    <w:next w:val="Normal"/>
    <w:qFormat/>
    <w:rsid w:val="00736C55"/>
    <w:pPr>
      <w:keepNext/>
      <w:outlineLvl w:val="0"/>
    </w:pPr>
    <w:rPr>
      <w:b/>
      <w:sz w:val="28"/>
    </w:rPr>
  </w:style>
  <w:style w:type="paragraph" w:styleId="Heading2">
    <w:name w:val="heading 2"/>
    <w:basedOn w:val="Normal"/>
    <w:next w:val="Normal"/>
    <w:qFormat/>
    <w:rsid w:val="00736C55"/>
    <w:pPr>
      <w:keepNext/>
      <w:outlineLvl w:val="1"/>
    </w:pPr>
    <w:rPr>
      <w:b/>
    </w:rPr>
  </w:style>
  <w:style w:type="paragraph" w:styleId="Heading3">
    <w:name w:val="heading 3"/>
    <w:basedOn w:val="Normal"/>
    <w:next w:val="Normal"/>
    <w:qFormat/>
    <w:rsid w:val="00736C55"/>
    <w:pPr>
      <w:keepNext/>
      <w:jc w:val="center"/>
      <w:outlineLvl w:val="2"/>
    </w:pPr>
    <w:rPr>
      <w:b/>
      <w:smallCaps/>
      <w:sz w:val="20"/>
    </w:rPr>
  </w:style>
  <w:style w:type="paragraph" w:styleId="Heading4">
    <w:name w:val="heading 4"/>
    <w:basedOn w:val="Normal"/>
    <w:next w:val="Normal"/>
    <w:qFormat/>
    <w:rsid w:val="00736C55"/>
    <w:pPr>
      <w:keepNext/>
      <w:tabs>
        <w:tab w:val="left" w:pos="360"/>
        <w:tab w:val="left" w:pos="1080"/>
      </w:tabs>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736C55"/>
    <w:pPr>
      <w:spacing w:after="120"/>
    </w:pPr>
  </w:style>
  <w:style w:type="character" w:styleId="FootnoteReference">
    <w:name w:val="footnote reference"/>
    <w:basedOn w:val="DefaultParagraphFont"/>
    <w:semiHidden/>
    <w:rsid w:val="00736C55"/>
    <w:rPr>
      <w:vertAlign w:val="superscript"/>
    </w:rPr>
  </w:style>
  <w:style w:type="paragraph" w:styleId="Header">
    <w:name w:val="header"/>
    <w:basedOn w:val="Normal"/>
    <w:link w:val="HeaderChar"/>
    <w:uiPriority w:val="99"/>
    <w:rsid w:val="00736C55"/>
    <w:pPr>
      <w:tabs>
        <w:tab w:val="center" w:pos="4320"/>
        <w:tab w:val="right" w:pos="8640"/>
      </w:tabs>
    </w:pPr>
  </w:style>
  <w:style w:type="paragraph" w:styleId="Footer">
    <w:name w:val="footer"/>
    <w:aliases w:val="PageNumbers"/>
    <w:basedOn w:val="Normal"/>
    <w:rsid w:val="00736C55"/>
    <w:pPr>
      <w:tabs>
        <w:tab w:val="center" w:pos="4320"/>
        <w:tab w:val="right" w:pos="8640"/>
      </w:tabs>
      <w:jc w:val="right"/>
    </w:pPr>
    <w:rPr>
      <w:snapToGrid w:val="0"/>
      <w:sz w:val="20"/>
    </w:rPr>
  </w:style>
  <w:style w:type="paragraph" w:customStyle="1" w:styleId="AddressOfficial">
    <w:name w:val="Address Official"/>
    <w:basedOn w:val="Normal"/>
    <w:rsid w:val="00736C55"/>
    <w:pPr>
      <w:ind w:left="6840"/>
    </w:pPr>
    <w:rPr>
      <w:b/>
      <w:sz w:val="12"/>
    </w:rPr>
  </w:style>
  <w:style w:type="paragraph" w:customStyle="1" w:styleId="LetterHead">
    <w:name w:val="LetterHead"/>
    <w:basedOn w:val="Normal"/>
    <w:autoRedefine/>
    <w:rsid w:val="00736C55"/>
    <w:pPr>
      <w:spacing w:line="360" w:lineRule="auto"/>
      <w:jc w:val="center"/>
    </w:pPr>
    <w:rPr>
      <w:b/>
    </w:rPr>
  </w:style>
  <w:style w:type="paragraph" w:customStyle="1" w:styleId="a">
    <w:name w:val="_"/>
    <w:basedOn w:val="Normal"/>
    <w:rsid w:val="00736C55"/>
    <w:pPr>
      <w:widowControl w:val="0"/>
      <w:ind w:left="360" w:hanging="360"/>
    </w:pPr>
    <w:rPr>
      <w:rFonts w:ascii="Courier" w:hAnsi="Courier"/>
      <w:snapToGrid w:val="0"/>
    </w:rPr>
  </w:style>
  <w:style w:type="paragraph" w:customStyle="1" w:styleId="DocClassification">
    <w:name w:val="Doc Classification"/>
    <w:basedOn w:val="Header"/>
    <w:next w:val="Normal"/>
    <w:rsid w:val="00736C55"/>
    <w:pPr>
      <w:jc w:val="right"/>
    </w:pPr>
    <w:rPr>
      <w:b/>
      <w:sz w:val="20"/>
      <w:effect w:val="antsRed"/>
    </w:rPr>
  </w:style>
  <w:style w:type="paragraph" w:customStyle="1" w:styleId="MemoHeader">
    <w:name w:val="Memo Header"/>
    <w:basedOn w:val="Normal"/>
    <w:next w:val="Normal"/>
    <w:rsid w:val="00736C55"/>
    <w:rPr>
      <w:smallCaps/>
    </w:rPr>
  </w:style>
  <w:style w:type="paragraph" w:customStyle="1" w:styleId="MemoAddress">
    <w:name w:val="Memo Address"/>
    <w:basedOn w:val="Normal"/>
    <w:next w:val="Normal"/>
    <w:rsid w:val="00736C55"/>
    <w:pPr>
      <w:spacing w:line="220" w:lineRule="exact"/>
      <w:ind w:left="1152" w:hanging="1152"/>
    </w:pPr>
  </w:style>
  <w:style w:type="paragraph" w:customStyle="1" w:styleId="AddressLine">
    <w:name w:val="Address Line"/>
    <w:basedOn w:val="NormalIndent"/>
    <w:next w:val="Normal"/>
    <w:rsid w:val="00736C55"/>
  </w:style>
  <w:style w:type="paragraph" w:styleId="NormalIndent">
    <w:name w:val="Normal Indent"/>
    <w:basedOn w:val="Normal"/>
    <w:rsid w:val="00736C55"/>
    <w:pPr>
      <w:ind w:left="720"/>
    </w:pPr>
  </w:style>
  <w:style w:type="paragraph" w:customStyle="1" w:styleId="MemoLabel">
    <w:name w:val="Memo Label"/>
    <w:basedOn w:val="Normal"/>
    <w:next w:val="Normal"/>
    <w:rsid w:val="00736C55"/>
    <w:rPr>
      <w:b/>
      <w:smallCaps/>
      <w:sz w:val="56"/>
    </w:rPr>
  </w:style>
  <w:style w:type="paragraph" w:styleId="BalloonText">
    <w:name w:val="Balloon Text"/>
    <w:basedOn w:val="Normal"/>
    <w:semiHidden/>
    <w:rsid w:val="00BE30BC"/>
    <w:rPr>
      <w:rFonts w:ascii="Tahoma" w:hAnsi="Tahoma" w:cs="Tahoma"/>
      <w:sz w:val="16"/>
      <w:szCs w:val="16"/>
    </w:rPr>
  </w:style>
  <w:style w:type="paragraph" w:styleId="BodyText2">
    <w:name w:val="Body Text 2"/>
    <w:basedOn w:val="Normal"/>
    <w:rsid w:val="00DA3C83"/>
    <w:pPr>
      <w:jc w:val="center"/>
    </w:pPr>
  </w:style>
  <w:style w:type="character" w:styleId="PageNumber">
    <w:name w:val="page number"/>
    <w:basedOn w:val="DefaultParagraphFont"/>
    <w:rsid w:val="00352BF0"/>
  </w:style>
  <w:style w:type="character" w:customStyle="1" w:styleId="HeaderChar">
    <w:name w:val="Header Char"/>
    <w:basedOn w:val="DefaultParagraphFont"/>
    <w:link w:val="Header"/>
    <w:uiPriority w:val="99"/>
    <w:rsid w:val="003355E5"/>
    <w:rPr>
      <w:sz w:val="24"/>
    </w:rPr>
  </w:style>
</w:styles>
</file>

<file path=word/webSettings.xml><?xml version="1.0" encoding="utf-8"?>
<w:webSettings xmlns:r="http://schemas.openxmlformats.org/officeDocument/2006/relationships" xmlns:w="http://schemas.openxmlformats.org/wordprocessingml/2006/main">
  <w:divs>
    <w:div w:id="36806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SR\BS&amp;R%20Styl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BS&amp;R Style Memo.dot</Template>
  <TotalTime>21</TotalTime>
  <Pages>8</Pages>
  <Words>3340</Words>
  <Characters>18420</Characters>
  <Application>Microsoft Office Word</Application>
  <DocSecurity>0</DocSecurity>
  <Lines>153</Lines>
  <Paragraphs>43</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BOARD OF GOVERNORS OF THE FEDERAL RESERVE SYSTEM</vt:lpstr>
      <vt:lpstr>    Legal Status</vt:lpstr>
      <vt:lpstr>    Consultation Outside the Agency </vt:lpstr>
      <vt:lpstr>    Sensitive Questions</vt:lpstr>
    </vt:vector>
  </TitlesOfParts>
  <Company/>
  <LinksUpToDate>false</LinksUpToDate>
  <CharactersWithSpaces>21717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GOVERNORS OF THE FEDERAL RESERVE SYSTEM</dc:title>
  <dc:subject/>
  <dc:creator>BS&amp;R</dc:creator>
  <cp:keywords/>
  <cp:lastModifiedBy>Scott William Farmer</cp:lastModifiedBy>
  <cp:revision>7</cp:revision>
  <cp:lastPrinted>2008-02-05T19:35:00Z</cp:lastPrinted>
  <dcterms:created xsi:type="dcterms:W3CDTF">2011-01-05T14:39:00Z</dcterms:created>
  <dcterms:modified xsi:type="dcterms:W3CDTF">2011-03-11T14:51:00Z</dcterms:modified>
</cp:coreProperties>
</file>