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48" w:rsidRDefault="007C23B8">
      <w:pPr>
        <w:suppressAutoHyphens/>
        <w:jc w:val="center"/>
        <w:rPr>
          <w:rFonts w:ascii="Times New Roman" w:hAnsi="Times New Roman"/>
          <w:b/>
        </w:rPr>
      </w:pPr>
      <w:r>
        <w:rPr>
          <w:rFonts w:ascii="Times New Roman" w:hAnsi="Times New Roman"/>
          <w:b/>
        </w:rPr>
        <w:t>SUPPORTING STATEMENT FOR NEW AND</w:t>
      </w:r>
    </w:p>
    <w:p w:rsidR="00F80A48" w:rsidRDefault="007C23B8">
      <w:pPr>
        <w:suppressAutoHyphens/>
        <w:spacing w:after="240"/>
        <w:jc w:val="center"/>
        <w:rPr>
          <w:rFonts w:ascii="Times New Roman" w:hAnsi="Times New Roman"/>
          <w:b/>
        </w:rPr>
      </w:pPr>
      <w:r>
        <w:rPr>
          <w:rFonts w:ascii="Times New Roman" w:hAnsi="Times New Roman"/>
          <w:b/>
        </w:rPr>
        <w:t>REVISED INFORMATION COLLECTIONS</w:t>
      </w:r>
    </w:p>
    <w:p w:rsidR="00F80A48" w:rsidRDefault="007C23B8">
      <w:pPr>
        <w:tabs>
          <w:tab w:val="center" w:pos="4680"/>
        </w:tabs>
        <w:suppressAutoHyphens/>
        <w:spacing w:after="240"/>
        <w:jc w:val="center"/>
        <w:rPr>
          <w:rFonts w:ascii="Times New Roman" w:hAnsi="Times New Roman"/>
          <w:b/>
        </w:rPr>
      </w:pPr>
      <w:r>
        <w:rPr>
          <w:rFonts w:ascii="Times New Roman" w:hAnsi="Times New Roman"/>
          <w:b/>
        </w:rPr>
        <w:t>OMB CONTROL NUMBER 3038-____</w:t>
      </w:r>
    </w:p>
    <w:p w:rsidR="00F80A48" w:rsidRDefault="007C23B8">
      <w:pPr>
        <w:pStyle w:val="Heading1"/>
        <w:keepNext w:val="0"/>
        <w:rPr>
          <w:rFonts w:ascii="Times New Roman" w:hAnsi="Times New Roman"/>
          <w:szCs w:val="24"/>
        </w:rPr>
      </w:pPr>
      <w:r>
        <w:rPr>
          <w:rFonts w:ascii="Times New Roman" w:hAnsi="Times New Roman"/>
          <w:szCs w:val="24"/>
        </w:rPr>
        <w:t>Justification</w:t>
      </w:r>
    </w:p>
    <w:p w:rsidR="00F80A48" w:rsidRDefault="00F80A48">
      <w:pPr>
        <w:jc w:val="both"/>
      </w:pPr>
    </w:p>
    <w:p w:rsidR="00F80A48" w:rsidRDefault="007C23B8">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 xml:space="preserve">Explain the circumstances that make the collection of information necessary.  Identify any legal or administrative requirements that </w:t>
      </w:r>
      <w:r>
        <w:rPr>
          <w:rFonts w:ascii="Times New Roman" w:hAnsi="Times New Roman"/>
          <w:b/>
        </w:rPr>
        <w:t>necessitate the collection.  Attach a copy of the appropriate section of each statute and regulation mandating or authorizing the collection of information.</w:t>
      </w:r>
    </w:p>
    <w:p w:rsidR="00F80A48" w:rsidRDefault="00F80A48">
      <w:pPr>
        <w:pStyle w:val="Default"/>
        <w:jc w:val="both"/>
        <w:rPr>
          <w:rFonts w:ascii="Times New Roman" w:hAnsi="Times New Roman" w:cs="Times New Roman"/>
        </w:rPr>
      </w:pPr>
    </w:p>
    <w:p w:rsidR="00F80A48" w:rsidRDefault="007C23B8">
      <w:pPr>
        <w:pStyle w:val="Default"/>
        <w:jc w:val="both"/>
        <w:rPr>
          <w:rFonts w:ascii="Times New Roman" w:hAnsi="Times New Roman" w:cs="Times New Roman"/>
        </w:rPr>
      </w:pPr>
      <w:r>
        <w:rPr>
          <w:rFonts w:ascii="Times New Roman" w:hAnsi="Times New Roman" w:cs="Times New Roman"/>
        </w:rPr>
        <w:t>Section 731 of Title VII of the Dodd-Frank Wall Street Reform and Consumer Protection Act (Dodd-Fr</w:t>
      </w:r>
      <w:r>
        <w:rPr>
          <w:rFonts w:ascii="Times New Roman" w:hAnsi="Times New Roman" w:cs="Times New Roman"/>
        </w:rPr>
        <w:t xml:space="preserve">ank Act, Pub L. No. 111-203, 124 Stat. 1376 (2010)) amended the Commodity Exchange Act (CEA) to add new section </w:t>
      </w:r>
      <w:proofErr w:type="gramStart"/>
      <w:r>
        <w:rPr>
          <w:rFonts w:ascii="Times New Roman" w:hAnsi="Times New Roman" w:cs="Times New Roman"/>
        </w:rPr>
        <w:t>4s(</w:t>
      </w:r>
      <w:proofErr w:type="spellStart"/>
      <w:proofErr w:type="gramEnd"/>
      <w:r>
        <w:rPr>
          <w:rFonts w:ascii="Times New Roman" w:hAnsi="Times New Roman" w:cs="Times New Roman"/>
        </w:rPr>
        <w:t>i</w:t>
      </w:r>
      <w:proofErr w:type="spellEnd"/>
      <w:r>
        <w:rPr>
          <w:rFonts w:ascii="Times New Roman" w:hAnsi="Times New Roman" w:cs="Times New Roman"/>
        </w:rPr>
        <w:t>), which requires the Commission to prescribe standards for swap dealers and major swap participants related to the timely and accurate conf</w:t>
      </w:r>
      <w:r>
        <w:rPr>
          <w:rFonts w:ascii="Times New Roman" w:hAnsi="Times New Roman" w:cs="Times New Roman"/>
        </w:rPr>
        <w:t xml:space="preserve">irmation, processing, netting, documentation, and valuation of swaps.  Pursuant to this authority, the Commission has proposed regulations 23.504 and 23.505, which impose certain documentation requirements upon swap dealers and major swap participants.  </w:t>
      </w:r>
    </w:p>
    <w:p w:rsidR="00F80A48" w:rsidRDefault="00F80A48">
      <w:pPr>
        <w:pStyle w:val="Default"/>
        <w:jc w:val="both"/>
        <w:rPr>
          <w:rFonts w:ascii="Times New Roman" w:hAnsi="Times New Roman" w:cs="Times New Roman"/>
        </w:rPr>
      </w:pPr>
    </w:p>
    <w:p w:rsidR="00F80A48" w:rsidRDefault="007C23B8">
      <w:pPr>
        <w:pStyle w:val="Default"/>
        <w:jc w:val="both"/>
        <w:rPr>
          <w:rFonts w:ascii="Times New Roman" w:hAnsi="Times New Roman" w:cs="Times New Roman"/>
        </w:rPr>
      </w:pPr>
      <w:r>
        <w:rPr>
          <w:rFonts w:ascii="Times New Roman" w:hAnsi="Times New Roman" w:cs="Times New Roman"/>
        </w:rPr>
        <w:t xml:space="preserve">Proposed regulation 23.504 generally would obligate swap dealers and major swap participants to develop and retain written swap trading relationship documentation that includes the elements set forth in the proposed regulation.  Specifically, swap dealers </w:t>
      </w:r>
      <w:r>
        <w:rPr>
          <w:rFonts w:ascii="Times New Roman" w:hAnsi="Times New Roman" w:cs="Times New Roman"/>
        </w:rPr>
        <w:t>and major swap participants would be required to maintain written documentation of:  (1) the terms of their trading relationships with each of their counterparties (including, without limitation, the terms addressing payment obligations, the netting of pay</w:t>
      </w:r>
      <w:r>
        <w:rPr>
          <w:rFonts w:ascii="Times New Roman" w:hAnsi="Times New Roman" w:cs="Times New Roman"/>
        </w:rPr>
        <w:t>ments, events of default and other termination events, the calculation and netting of obligations upon termination, transfer of rights and obligations, governing law, valuation, and dispute resolution); (2) credit support arrangements (including, without l</w:t>
      </w:r>
      <w:r>
        <w:rPr>
          <w:rFonts w:ascii="Times New Roman" w:hAnsi="Times New Roman" w:cs="Times New Roman"/>
        </w:rPr>
        <w:t xml:space="preserve">imitation, the parties’ arrangements with respect to initial and variation margin requirements, assets that are acceptable as margin, asset valuation haircuts, investment and </w:t>
      </w:r>
      <w:proofErr w:type="spellStart"/>
      <w:r>
        <w:rPr>
          <w:rFonts w:ascii="Times New Roman" w:hAnsi="Times New Roman" w:cs="Times New Roman"/>
        </w:rPr>
        <w:t>rehypothecation</w:t>
      </w:r>
      <w:proofErr w:type="spellEnd"/>
      <w:r>
        <w:rPr>
          <w:rFonts w:ascii="Times New Roman" w:hAnsi="Times New Roman" w:cs="Times New Roman"/>
        </w:rPr>
        <w:t xml:space="preserve"> terms for assets used as margin for </w:t>
      </w:r>
      <w:proofErr w:type="spellStart"/>
      <w:r>
        <w:rPr>
          <w:rFonts w:ascii="Times New Roman" w:hAnsi="Times New Roman" w:cs="Times New Roman"/>
        </w:rPr>
        <w:t>uncleared</w:t>
      </w:r>
      <w:proofErr w:type="spellEnd"/>
      <w:r>
        <w:rPr>
          <w:rFonts w:ascii="Times New Roman" w:hAnsi="Times New Roman" w:cs="Times New Roman"/>
        </w:rPr>
        <w:t xml:space="preserve"> swaps, and custodia</w:t>
      </w:r>
      <w:r>
        <w:rPr>
          <w:rFonts w:ascii="Times New Roman" w:hAnsi="Times New Roman" w:cs="Times New Roman"/>
        </w:rPr>
        <w:t>l arrangements for margin assets); (3) the parties’ agreement on the methods, procedures, rules, and inputs for determining the value of their swaps; and (4) certain information regarding cleared swaps.   Swap dealers and major swap participants also would</w:t>
      </w:r>
      <w:r>
        <w:rPr>
          <w:rFonts w:ascii="Times New Roman" w:hAnsi="Times New Roman" w:cs="Times New Roman"/>
        </w:rPr>
        <w:t xml:space="preserve"> be required to maintain written policies and procedures for executing the necessary swap trading documentation and to make and maintain records of their annual audits for compliance with the documentation requirements.  Finally, proposed regulation 23.504</w:t>
      </w:r>
      <w:r>
        <w:rPr>
          <w:rFonts w:ascii="Times New Roman" w:hAnsi="Times New Roman" w:cs="Times New Roman"/>
        </w:rPr>
        <w:t xml:space="preserve"> would require swap dealers and major swap participants to report to the Commission those swap valuation disputes that have not been resolved between the parties within designated time frames.  </w:t>
      </w:r>
    </w:p>
    <w:p w:rsidR="00F80A48" w:rsidRDefault="00F80A48">
      <w:pPr>
        <w:pStyle w:val="Default"/>
        <w:jc w:val="both"/>
        <w:rPr>
          <w:rFonts w:ascii="Times New Roman" w:hAnsi="Times New Roman" w:cs="Times New Roman"/>
        </w:rPr>
      </w:pPr>
    </w:p>
    <w:p w:rsidR="00F80A48" w:rsidRDefault="007C23B8">
      <w:pPr>
        <w:pStyle w:val="Default"/>
        <w:jc w:val="both"/>
        <w:rPr>
          <w:rFonts w:ascii="Times New Roman" w:hAnsi="Times New Roman" w:cs="Times New Roman"/>
        </w:rPr>
      </w:pPr>
      <w:r>
        <w:rPr>
          <w:rFonts w:ascii="Times New Roman" w:hAnsi="Times New Roman" w:cs="Times New Roman"/>
        </w:rPr>
        <w:t>Proposed regulation 23.505 would require that swap dealers a</w:t>
      </w:r>
      <w:r>
        <w:rPr>
          <w:rFonts w:ascii="Times New Roman" w:hAnsi="Times New Roman" w:cs="Times New Roman"/>
        </w:rPr>
        <w:t xml:space="preserve">nd major swap participants collect documentation sufficient to provide a reasonable basis on which to believe that its counterparty meets the statutory conditions necessary for an exception from the mandatory clearing requirements, where applicable. </w:t>
      </w:r>
    </w:p>
    <w:p w:rsidR="00F80A48" w:rsidRDefault="00F80A48">
      <w:pPr>
        <w:pStyle w:val="Default"/>
        <w:jc w:val="both"/>
        <w:rPr>
          <w:rFonts w:ascii="Times New Roman" w:hAnsi="Times New Roman" w:cs="Times New Roman"/>
        </w:rPr>
      </w:pPr>
    </w:p>
    <w:p w:rsidR="00F80A48" w:rsidRDefault="007C23B8">
      <w:pPr>
        <w:pStyle w:val="Default"/>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information collection obligations imposed by the proposed regulations are necessary to implement section </w:t>
      </w:r>
      <w:proofErr w:type="gramStart"/>
      <w:r>
        <w:rPr>
          <w:rFonts w:ascii="Times New Roman" w:hAnsi="Times New Roman" w:cs="Times New Roman"/>
        </w:rPr>
        <w:t>4s(</w:t>
      </w:r>
      <w:proofErr w:type="spellStart"/>
      <w:proofErr w:type="gramEnd"/>
      <w:r>
        <w:rPr>
          <w:rFonts w:ascii="Times New Roman" w:hAnsi="Times New Roman" w:cs="Times New Roman"/>
        </w:rPr>
        <w:t>i</w:t>
      </w:r>
      <w:proofErr w:type="spellEnd"/>
      <w:r>
        <w:rPr>
          <w:rFonts w:ascii="Times New Roman" w:hAnsi="Times New Roman" w:cs="Times New Roman"/>
        </w:rPr>
        <w:t xml:space="preserve">) of the CEA.  The proposed recordkeeping requirements contained in </w:t>
      </w:r>
      <w:r>
        <w:rPr>
          <w:rFonts w:ascii="Times New Roman" w:hAnsi="Times New Roman" w:cs="Times New Roman"/>
        </w:rPr>
        <w:lastRenderedPageBreak/>
        <w:t>regulation 23.504 are essential to ensuring that swap dealers and major swap p</w:t>
      </w:r>
      <w:r>
        <w:rPr>
          <w:rFonts w:ascii="Times New Roman" w:hAnsi="Times New Roman" w:cs="Times New Roman"/>
        </w:rPr>
        <w:t>articipants memorialize, in writing, all of the terms of their swap trading relationships.  The Commission believes that documenting the parties’ understanding with respect to the terms prescribed in the proposed regulation would decrease the likelihood of</w:t>
      </w:r>
      <w:r>
        <w:rPr>
          <w:rFonts w:ascii="Times New Roman" w:hAnsi="Times New Roman" w:cs="Times New Roman"/>
        </w:rPr>
        <w:t xml:space="preserve"> significant counterparty disputes; promote transaction standardization; enhance the parties’ abilities to engage in risk-reducing exercises such as bilateral offset, portfolio reconciliation, and portfolio compression; provide for more timely and orderly </w:t>
      </w:r>
      <w:r>
        <w:rPr>
          <w:rFonts w:ascii="Times New Roman" w:hAnsi="Times New Roman" w:cs="Times New Roman"/>
        </w:rPr>
        <w:t>resolution of events of default; and enhance the stability of the market place as a whole.  The proposed regulation also would ensure that certain important information regarding cleared swaps would be preserved.  The reporting requirement established by p</w:t>
      </w:r>
      <w:r>
        <w:rPr>
          <w:rFonts w:ascii="Times New Roman" w:hAnsi="Times New Roman" w:cs="Times New Roman"/>
        </w:rPr>
        <w:t>roposed regulation 23.504 would ensure that the Commission is provided with timely notification of swap valuation disputes that relevant market participants have been unable to resolve promptly. Proposed regulation 23.505 is needed to ensure compliance wit</w:t>
      </w:r>
      <w:r>
        <w:rPr>
          <w:rFonts w:ascii="Times New Roman" w:hAnsi="Times New Roman" w:cs="Times New Roman"/>
        </w:rPr>
        <w:t xml:space="preserve">h the mandatory clearing requirements of the CEA and Commission regulations.  </w:t>
      </w:r>
    </w:p>
    <w:p w:rsidR="00F80A48" w:rsidRDefault="00F80A48">
      <w:pPr>
        <w:pStyle w:val="Default"/>
        <w:jc w:val="both"/>
        <w:rPr>
          <w:rFonts w:ascii="Times New Roman" w:hAnsi="Times New Roman" w:cs="Times New Roman"/>
        </w:rPr>
      </w:pPr>
    </w:p>
    <w:p w:rsidR="00F80A48" w:rsidRDefault="007C23B8">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w:t>
      </w:r>
      <w:r>
        <w:rPr>
          <w:rFonts w:ascii="Times New Roman" w:hAnsi="Times New Roman"/>
          <w:b/>
        </w:rPr>
        <w:t>m the current collection.</w:t>
      </w:r>
    </w:p>
    <w:p w:rsidR="00F80A48" w:rsidRDefault="00F80A48">
      <w:pPr>
        <w:jc w:val="both"/>
        <w:rPr>
          <w:rFonts w:ascii="Times New Roman" w:hAnsi="Times New Roman"/>
        </w:rPr>
      </w:pPr>
    </w:p>
    <w:p w:rsidR="00F80A48" w:rsidRDefault="007C23B8">
      <w:pPr>
        <w:pStyle w:val="Default"/>
        <w:jc w:val="both"/>
        <w:rPr>
          <w:rFonts w:ascii="Times New Roman" w:hAnsi="Times New Roman" w:cs="Times New Roman"/>
        </w:rPr>
      </w:pPr>
      <w:r>
        <w:rPr>
          <w:rFonts w:ascii="Times New Roman" w:hAnsi="Times New Roman"/>
        </w:rPr>
        <w:t>The proposed regulations would be an important part of the Commission’s regulatory program for swap dealers and major swap participants.  The information required to be preserved would be used by representatives of the Commission</w:t>
      </w:r>
      <w:r>
        <w:rPr>
          <w:rFonts w:ascii="Times New Roman" w:hAnsi="Times New Roman"/>
        </w:rPr>
        <w:t xml:space="preserve"> to ensure compliance with the CEA and applicable Commission regulations.</w:t>
      </w:r>
      <w:r>
        <w:rPr>
          <w:rFonts w:ascii="Times New Roman" w:hAnsi="Times New Roman" w:cs="Times New Roman"/>
        </w:rPr>
        <w:t xml:space="preserve"> </w:t>
      </w:r>
    </w:p>
    <w:p w:rsidR="00F80A48" w:rsidRDefault="00F80A48">
      <w:pPr>
        <w:jc w:val="both"/>
        <w:rPr>
          <w:rFonts w:ascii="Times New Roman" w:hAnsi="Times New Roman"/>
        </w:rPr>
      </w:pPr>
    </w:p>
    <w:p w:rsidR="00F80A48" w:rsidRDefault="007C23B8">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 xml:space="preserve">Describe whether, and to what extent, the collection of information involves the use of automated, electronic, mechanical, or other technological collection techniques or other </w:t>
      </w:r>
      <w:r>
        <w:rPr>
          <w:rFonts w:ascii="Times New Roman" w:hAnsi="Times New Roman"/>
          <w:b/>
        </w:rPr>
        <w:t>forms of information technology, e.g. permitting electronic submission of responses, and the basis for the decision for adopting this means of collection.  Also describe any consideration of using information technology to reduce burden.</w:t>
      </w:r>
    </w:p>
    <w:p w:rsidR="00F80A48" w:rsidRDefault="007C23B8">
      <w:pPr>
        <w:tabs>
          <w:tab w:val="left" w:pos="-720"/>
          <w:tab w:val="left" w:pos="0"/>
        </w:tabs>
        <w:spacing w:after="240"/>
        <w:jc w:val="both"/>
        <w:rPr>
          <w:rFonts w:ascii="Times New Roman" w:hAnsi="Times New Roman"/>
        </w:rPr>
      </w:pPr>
      <w:r>
        <w:rPr>
          <w:rFonts w:ascii="Times New Roman" w:hAnsi="Times New Roman"/>
        </w:rPr>
        <w:t xml:space="preserve">The proposed </w:t>
      </w:r>
      <w:r>
        <w:rPr>
          <w:rFonts w:ascii="Times New Roman" w:hAnsi="Times New Roman"/>
        </w:rPr>
        <w:t>regulations require that recordkeeping generally be performed in accordance with Commission regulation 1.31, which permits the use of electronic storage media.</w:t>
      </w:r>
    </w:p>
    <w:p w:rsidR="00F80A48" w:rsidRDefault="007C23B8">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w:t>
      </w:r>
      <w:r>
        <w:rPr>
          <w:rFonts w:ascii="Times New Roman" w:hAnsi="Times New Roman"/>
          <w:b/>
        </w:rPr>
        <w:t>ady available cannot be used or modified for use for the purposes described in Item 2 above.</w:t>
      </w:r>
    </w:p>
    <w:p w:rsidR="00F80A48" w:rsidRDefault="007C23B8">
      <w:pPr>
        <w:tabs>
          <w:tab w:val="left" w:pos="-720"/>
        </w:tabs>
        <w:spacing w:after="240"/>
        <w:jc w:val="both"/>
        <w:rPr>
          <w:rFonts w:ascii="Times New Roman" w:hAnsi="Times New Roman"/>
        </w:rPr>
      </w:pPr>
      <w:r>
        <w:rPr>
          <w:rFonts w:ascii="Times New Roman" w:hAnsi="Times New Roman"/>
        </w:rPr>
        <w:t>Swap dealers and major swap participants are new categories of registrants under the Dodd-Frank Act.  Accordingly, the required information is not already collecte</w:t>
      </w:r>
      <w:r>
        <w:rPr>
          <w:rFonts w:ascii="Times New Roman" w:hAnsi="Times New Roman"/>
        </w:rPr>
        <w:t xml:space="preserve">d by the Commission for any other purpose.  It also is not collected by any other agency or available for public disclosure through any other source. </w:t>
      </w:r>
    </w:p>
    <w:p w:rsidR="00F80A48" w:rsidRDefault="007C23B8">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w:t>
      </w:r>
      <w:r>
        <w:rPr>
          <w:rFonts w:ascii="Times New Roman" w:hAnsi="Times New Roman"/>
          <w:b/>
        </w:rPr>
        <w:t>3-I), describe the methods used to minimize burden.</w:t>
      </w:r>
    </w:p>
    <w:p w:rsidR="00F80A48" w:rsidRDefault="007C23B8">
      <w:pPr>
        <w:tabs>
          <w:tab w:val="left" w:pos="-720"/>
        </w:tabs>
        <w:spacing w:after="240"/>
        <w:jc w:val="both"/>
        <w:rPr>
          <w:rFonts w:ascii="Times New Roman" w:hAnsi="Times New Roman"/>
        </w:rPr>
      </w:pPr>
      <w:r>
        <w:rPr>
          <w:rFonts w:ascii="Times New Roman" w:hAnsi="Times New Roman"/>
        </w:rPr>
        <w:t xml:space="preserve">The collection of the required information does not involve any small businesses or small entities. </w:t>
      </w:r>
    </w:p>
    <w:p w:rsidR="00F80A48" w:rsidRDefault="007C23B8">
      <w:pPr>
        <w:tabs>
          <w:tab w:val="left" w:pos="-720"/>
        </w:tabs>
        <w:spacing w:after="240"/>
        <w:ind w:left="720" w:hanging="720"/>
        <w:jc w:val="both"/>
        <w:rPr>
          <w:rFonts w:ascii="Times New Roman" w:hAnsi="Times New Roman"/>
          <w:b/>
        </w:rPr>
      </w:pPr>
      <w:r>
        <w:rPr>
          <w:rFonts w:ascii="Times New Roman" w:hAnsi="Times New Roman"/>
          <w:b/>
        </w:rPr>
        <w:lastRenderedPageBreak/>
        <w:t>6.</w:t>
      </w:r>
      <w:r>
        <w:rPr>
          <w:rFonts w:ascii="Times New Roman" w:hAnsi="Times New Roman"/>
          <w:b/>
        </w:rPr>
        <w:tab/>
        <w:t>Describe the consequence to the Federal Program or policy activities if the collection were conducte</w:t>
      </w:r>
      <w:r>
        <w:rPr>
          <w:rFonts w:ascii="Times New Roman" w:hAnsi="Times New Roman"/>
          <w:b/>
        </w:rPr>
        <w:t>d less frequently as well as any technical or legal obstacles to reducing burden.</w:t>
      </w:r>
    </w:p>
    <w:p w:rsidR="00F80A48" w:rsidRDefault="007C23B8">
      <w:pPr>
        <w:pStyle w:val="Default"/>
        <w:jc w:val="both"/>
        <w:rPr>
          <w:rFonts w:ascii="Times New Roman" w:hAnsi="Times New Roman" w:cs="Times New Roman"/>
        </w:rPr>
      </w:pPr>
      <w:r>
        <w:rPr>
          <w:rFonts w:ascii="Times New Roman" w:hAnsi="Times New Roman" w:cs="Times New Roman"/>
        </w:rPr>
        <w:t>Failure to maintain the records required by the proposed regulations would adversely affect the Commission’s ability to ensure that swap dealers and major swap participants c</w:t>
      </w:r>
      <w:r>
        <w:rPr>
          <w:rFonts w:ascii="Times New Roman" w:hAnsi="Times New Roman" w:cs="Times New Roman"/>
        </w:rPr>
        <w:t>omply with their documentation obligations under the CEA and Commission regulations and to ensure compliance with the mandatory clearing requirements of the CEA and Commission regulations.  Failure to comply with the reporting requirements established by t</w:t>
      </w:r>
      <w:r>
        <w:rPr>
          <w:rFonts w:ascii="Times New Roman" w:hAnsi="Times New Roman" w:cs="Times New Roman"/>
        </w:rPr>
        <w:t>he proposed regulation would prohibit the Commission from receiving timely notification of unresolved swap valuation disputes.</w:t>
      </w:r>
    </w:p>
    <w:p w:rsidR="00F80A48" w:rsidRDefault="00F80A48">
      <w:pPr>
        <w:pStyle w:val="Default"/>
        <w:jc w:val="both"/>
        <w:rPr>
          <w:rFonts w:ascii="Times New Roman" w:hAnsi="Times New Roman" w:cs="Times New Roman"/>
        </w:rPr>
      </w:pPr>
    </w:p>
    <w:p w:rsidR="00F80A48" w:rsidRDefault="007C23B8">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w:t>
      </w:r>
      <w:r>
        <w:rPr>
          <w:rFonts w:ascii="Times New Roman" w:hAnsi="Times New Roman"/>
          <w:b/>
        </w:rPr>
        <w:t>formation to the agency more often than quarterly;</w:t>
      </w:r>
    </w:p>
    <w:p w:rsidR="00F80A48" w:rsidRDefault="007C23B8">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sole reporting requirement contained in the proposed regulations is event-based. </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t>
      </w:r>
      <w:r>
        <w:rPr>
          <w:rFonts w:ascii="Times New Roman" w:hAnsi="Times New Roman"/>
          <w:b/>
        </w:rPr>
        <w:t>wer than 30 days after receipt of it:</w:t>
      </w:r>
    </w:p>
    <w:p w:rsidR="00F80A48" w:rsidRDefault="007C23B8">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F80A48" w:rsidRDefault="007C23B8">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regulations do not impose a reporting requirement that wo</w:t>
      </w:r>
      <w:r>
        <w:rPr>
          <w:rFonts w:ascii="Times New Roman" w:hAnsi="Times New Roman"/>
        </w:rPr>
        <w:t>uld obligate a respondent to submit more than an original and two copies of any document.</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F80A48" w:rsidRDefault="007C23B8">
      <w:pPr>
        <w:tabs>
          <w:tab w:val="left" w:pos="-720"/>
          <w:tab w:val="left" w:pos="0"/>
          <w:tab w:val="left" w:pos="720"/>
        </w:tabs>
        <w:spacing w:after="240"/>
        <w:jc w:val="both"/>
        <w:rPr>
          <w:rFonts w:ascii="Times New Roman" w:hAnsi="Times New Roman"/>
        </w:rPr>
      </w:pPr>
      <w:r>
        <w:rPr>
          <w:rFonts w:ascii="Times New Roman" w:hAnsi="Times New Roman"/>
        </w:rPr>
        <w:t>Commission regulatio</w:t>
      </w:r>
      <w:r>
        <w:rPr>
          <w:rFonts w:ascii="Times New Roman" w:hAnsi="Times New Roman"/>
        </w:rPr>
        <w:t>n 1.31 expressly requires that:</w:t>
      </w:r>
    </w:p>
    <w:p w:rsidR="00F80A48" w:rsidRDefault="007C23B8">
      <w:pPr>
        <w:tabs>
          <w:tab w:val="left" w:pos="-720"/>
          <w:tab w:val="left" w:pos="0"/>
          <w:tab w:val="left" w:pos="720"/>
        </w:tabs>
        <w:spacing w:after="240"/>
        <w:ind w:left="720" w:right="720"/>
        <w:jc w:val="both"/>
        <w:rPr>
          <w:rFonts w:ascii="Times New Roman" w:hAnsi="Times New Roman"/>
        </w:rPr>
      </w:pPr>
      <w:r>
        <w:rPr>
          <w:rFonts w:ascii="Times New Roman" w:hAnsi="Times New Roman"/>
        </w:rPr>
        <w:t xml:space="preserve">All books and records required to be kept by the [CEA] or by [Commission] regulations shall be kept for a period of five years from the date thereof and shall be readily accessible during the first 2 years of the five-year </w:t>
      </w:r>
      <w:r>
        <w:rPr>
          <w:rFonts w:ascii="Times New Roman" w:hAnsi="Times New Roman"/>
        </w:rPr>
        <w:t>period.  All such books and records shall be open to inspection by any representative of the commission or the United States Department of Justice.</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 connection with a statistical survey, that is not designed to produce valid and reliable results that can</w:t>
      </w:r>
      <w:r>
        <w:rPr>
          <w:rFonts w:ascii="Times New Roman" w:hAnsi="Times New Roman"/>
          <w:b/>
        </w:rPr>
        <w:t xml:space="preserve"> be generalized to the universe of study; </w:t>
      </w:r>
    </w:p>
    <w:p w:rsidR="00F80A48" w:rsidRDefault="007C23B8">
      <w:pPr>
        <w:tabs>
          <w:tab w:val="left" w:pos="-720"/>
          <w:tab w:val="left" w:pos="0"/>
          <w:tab w:val="left" w:pos="720"/>
        </w:tabs>
        <w:spacing w:after="240"/>
        <w:jc w:val="both"/>
        <w:rPr>
          <w:rFonts w:ascii="Times New Roman" w:hAnsi="Times New Roman"/>
        </w:rPr>
      </w:pPr>
      <w:r>
        <w:rPr>
          <w:rFonts w:ascii="Times New Roman" w:hAnsi="Times New Roman"/>
        </w:rPr>
        <w:lastRenderedPageBreak/>
        <w:t>This question does not apply.  The proposed regulation does not require nor involve any statistical surveys.</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F80A48" w:rsidRDefault="007C23B8">
      <w:pPr>
        <w:tabs>
          <w:tab w:val="left" w:pos="-720"/>
          <w:tab w:val="left" w:pos="0"/>
          <w:tab w:val="left" w:pos="720"/>
        </w:tabs>
        <w:spacing w:after="240"/>
        <w:jc w:val="both"/>
        <w:rPr>
          <w:rFonts w:ascii="Times New Roman" w:hAnsi="Times New Roman"/>
        </w:rPr>
      </w:pPr>
      <w:r>
        <w:rPr>
          <w:rFonts w:ascii="Times New Roman" w:hAnsi="Times New Roman"/>
        </w:rPr>
        <w:t>T</w:t>
      </w:r>
      <w:r>
        <w:rPr>
          <w:rFonts w:ascii="Times New Roman" w:hAnsi="Times New Roman"/>
        </w:rPr>
        <w:t>his question does not apply. The proposed regulation does not require nor involve the use of any statistical data classification.</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that includes a pledge of confidentiality that is not supported by authority established in statue or regulation, that is not </w:t>
      </w:r>
      <w:r>
        <w:rPr>
          <w:rFonts w:ascii="Times New Roman" w:hAnsi="Times New Roman"/>
          <w:b/>
        </w:rPr>
        <w:t>supported by disclosure and data security policies that are consistent with the pledge, or which unnecessarily impedes sharing of data with other agencies for compatible confidential use; or</w:t>
      </w:r>
    </w:p>
    <w:p w:rsidR="00F80A48" w:rsidRDefault="007C23B8">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proposed regulation does not </w:t>
      </w:r>
      <w:r>
        <w:rPr>
          <w:rFonts w:ascii="Times New Roman" w:hAnsi="Times New Roman"/>
        </w:rPr>
        <w:t>require a pledge of confidentiality.</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w:t>
      </w:r>
      <w:r>
        <w:rPr>
          <w:rFonts w:ascii="Times New Roman" w:hAnsi="Times New Roman"/>
          <w:b/>
        </w:rPr>
        <w:t xml:space="preserve"> permitted by law.</w:t>
      </w:r>
    </w:p>
    <w:p w:rsidR="00F80A48" w:rsidRDefault="007C23B8">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In any event, the Commission has promulgated regulations to protect the confidentiality of any information collected from respondents.  Such regulations are set forth in 17 CFR Part 145.  </w:t>
      </w:r>
    </w:p>
    <w:p w:rsidR="00F80A48" w:rsidRDefault="007C23B8">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If applicable,</w:t>
      </w:r>
      <w:r>
        <w:rPr>
          <w:rFonts w:ascii="Times New Roman" w:hAnsi="Times New Roman"/>
          <w:b/>
        </w:rPr>
        <w:t xml:space="preserv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w:t>
      </w:r>
      <w:r>
        <w:rPr>
          <w:rFonts w:ascii="Times New Roman" w:hAnsi="Times New Roman"/>
          <w:b/>
        </w:rPr>
        <w:t>ed in response to that notice and describe actions taken by the agency in response to these comments.  Specifically address comments received on cost and hour burden.</w:t>
      </w:r>
    </w:p>
    <w:p w:rsidR="00C16775" w:rsidRDefault="00C16775" w:rsidP="00C16775">
      <w:pPr>
        <w:pStyle w:val="TOC6"/>
        <w:tabs>
          <w:tab w:val="clear" w:pos="9360"/>
          <w:tab w:val="left" w:pos="-720"/>
          <w:tab w:val="left" w:pos="0"/>
        </w:tabs>
        <w:suppressAutoHyphens w:val="0"/>
        <w:spacing w:after="240"/>
        <w:ind w:left="0" w:firstLine="0"/>
        <w:jc w:val="both"/>
        <w:rPr>
          <w:rFonts w:ascii="Times New Roman" w:hAnsi="Times New Roman"/>
          <w:szCs w:val="24"/>
        </w:rPr>
      </w:pPr>
      <w:r>
        <w:rPr>
          <w:rFonts w:ascii="Times New Roman" w:hAnsi="Times New Roman"/>
          <w:szCs w:val="24"/>
        </w:rPr>
        <w:t xml:space="preserve">The Commission is affirmatively seeking comment from the public and federal agencies on the proposed information collection.  A copy of the proposed regulation as it appears in the </w:t>
      </w:r>
      <w:r>
        <w:rPr>
          <w:rFonts w:ascii="Times New Roman" w:hAnsi="Times New Roman"/>
          <w:i/>
          <w:szCs w:val="24"/>
        </w:rPr>
        <w:t xml:space="preserve">Federal Register </w:t>
      </w:r>
      <w:r>
        <w:rPr>
          <w:rFonts w:ascii="Times New Roman" w:hAnsi="Times New Roman"/>
          <w:szCs w:val="24"/>
        </w:rPr>
        <w:t xml:space="preserve">(75 FR 80572 December 22, 2010 ), including the explicit solicitation of comment on all aspects of the reporting and recordkeeping burdens imposed, is accompanied with this submission.    </w:t>
      </w:r>
    </w:p>
    <w:p w:rsidR="00F80A48" w:rsidRDefault="007C23B8">
      <w:pPr>
        <w:tabs>
          <w:tab w:val="left" w:pos="-720"/>
        </w:tabs>
        <w:spacing w:after="240"/>
        <w:ind w:left="720"/>
        <w:jc w:val="both"/>
        <w:rPr>
          <w:rFonts w:ascii="Times New Roman" w:hAnsi="Times New Roman"/>
          <w:b/>
        </w:rPr>
      </w:pPr>
      <w:r>
        <w:rPr>
          <w:rFonts w:ascii="Times New Roman" w:hAnsi="Times New Roman"/>
          <w:b/>
        </w:rPr>
        <w:t>Describe efforts to consult with persons o</w:t>
      </w:r>
      <w:r>
        <w:rPr>
          <w:rFonts w:ascii="Times New Roman" w:hAnsi="Times New Roman"/>
          <w:b/>
        </w:rPr>
        <w:t xml:space="preserve">utside the agency to obtain their views on the availability of data, frequency of collection, the clarity of instructions and </w:t>
      </w:r>
      <w:proofErr w:type="gramStart"/>
      <w:r>
        <w:rPr>
          <w:rFonts w:ascii="Times New Roman" w:hAnsi="Times New Roman"/>
          <w:b/>
        </w:rPr>
        <w:t>recordkeeping</w:t>
      </w:r>
      <w:proofErr w:type="gramEnd"/>
      <w:r>
        <w:rPr>
          <w:rFonts w:ascii="Times New Roman" w:hAnsi="Times New Roman"/>
          <w:b/>
        </w:rPr>
        <w:t xml:space="preserve"> disclosure, or reporting format (if any, and on the data elements to be recorded, disclosed, or reported).</w:t>
      </w:r>
    </w:p>
    <w:p w:rsidR="00F80A48" w:rsidRDefault="007C23B8">
      <w:pPr>
        <w:pStyle w:val="TOC6"/>
        <w:tabs>
          <w:tab w:val="clear" w:pos="9360"/>
          <w:tab w:val="left" w:pos="-720"/>
          <w:tab w:val="left" w:pos="0"/>
        </w:tabs>
        <w:suppressAutoHyphens w:val="0"/>
        <w:spacing w:after="240"/>
        <w:ind w:left="0" w:firstLine="0"/>
        <w:jc w:val="both"/>
        <w:rPr>
          <w:rFonts w:ascii="Times New Roman" w:hAnsi="Times New Roman"/>
          <w:szCs w:val="24"/>
        </w:rPr>
      </w:pPr>
      <w:r>
        <w:rPr>
          <w:rFonts w:ascii="Times New Roman" w:hAnsi="Times New Roman"/>
          <w:i/>
        </w:rPr>
        <w:t>See</w:t>
      </w:r>
      <w:r>
        <w:rPr>
          <w:rFonts w:ascii="Times New Roman" w:hAnsi="Times New Roman"/>
        </w:rPr>
        <w:t xml:space="preserve"> respo</w:t>
      </w:r>
      <w:r>
        <w:rPr>
          <w:rFonts w:ascii="Times New Roman" w:hAnsi="Times New Roman"/>
        </w:rPr>
        <w:t xml:space="preserve">nse to question 8.  </w:t>
      </w:r>
      <w:r>
        <w:rPr>
          <w:rFonts w:ascii="Times New Roman" w:hAnsi="Times New Roman"/>
          <w:szCs w:val="24"/>
        </w:rPr>
        <w:t>The Commission is affirmatively seeking comment from the public and from other federal agencies on the information collection requirements of the proposed regulation.  The Commission has sought comment on the proposed regulation general</w:t>
      </w:r>
      <w:r>
        <w:rPr>
          <w:rFonts w:ascii="Times New Roman" w:hAnsi="Times New Roman"/>
          <w:szCs w:val="24"/>
        </w:rPr>
        <w:t xml:space="preserve">ly as well as on the specific variables used to calculate the hourly burdens associated with the information </w:t>
      </w:r>
      <w:r>
        <w:rPr>
          <w:rFonts w:ascii="Times New Roman" w:hAnsi="Times New Roman"/>
          <w:szCs w:val="24"/>
        </w:rPr>
        <w:lastRenderedPageBreak/>
        <w:t xml:space="preserve">collection.  A copy of the proposed regulation as it will appear in the </w:t>
      </w:r>
      <w:r>
        <w:rPr>
          <w:rFonts w:ascii="Times New Roman" w:hAnsi="Times New Roman"/>
          <w:i/>
          <w:szCs w:val="24"/>
        </w:rPr>
        <w:t>Federal Register</w:t>
      </w:r>
      <w:r>
        <w:rPr>
          <w:rFonts w:ascii="Times New Roman" w:hAnsi="Times New Roman"/>
          <w:szCs w:val="24"/>
        </w:rPr>
        <w:t>, including the explicit solicitation of comment, is attach</w:t>
      </w:r>
      <w:r>
        <w:rPr>
          <w:rFonts w:ascii="Times New Roman" w:hAnsi="Times New Roman"/>
          <w:szCs w:val="24"/>
        </w:rPr>
        <w:t xml:space="preserve">ed hereto.    </w:t>
      </w:r>
    </w:p>
    <w:p w:rsidR="00F80A48" w:rsidRDefault="007C23B8">
      <w:pPr>
        <w:tabs>
          <w:tab w:val="left" w:pos="-720"/>
        </w:tabs>
        <w:spacing w:after="240"/>
        <w:ind w:left="720"/>
        <w:jc w:val="both"/>
        <w:rPr>
          <w:rFonts w:ascii="Times New Roman" w:hAnsi="Times New Roman"/>
          <w:b/>
        </w:rPr>
      </w:pPr>
      <w:r>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w:t>
      </w:r>
      <w:r>
        <w:rPr>
          <w:rFonts w:ascii="Times New Roman" w:hAnsi="Times New Roman"/>
          <w:b/>
        </w:rPr>
        <w:t>There may be circumstances that may preclude consultation in a specific situation.  These circumstances should be explained.</w:t>
      </w:r>
    </w:p>
    <w:p w:rsidR="00F80A48" w:rsidRDefault="007C23B8">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F80A48" w:rsidRDefault="007C23B8">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 xml:space="preserve">Explain any decision to provide any payment or gift to respondents, other than </w:t>
      </w:r>
      <w:proofErr w:type="spellStart"/>
      <w:r>
        <w:rPr>
          <w:rFonts w:ascii="Times New Roman" w:hAnsi="Times New Roman"/>
          <w:b/>
        </w:rPr>
        <w:t>renumeration</w:t>
      </w:r>
      <w:proofErr w:type="spellEnd"/>
      <w:r>
        <w:rPr>
          <w:rFonts w:ascii="Times New Roman" w:hAnsi="Times New Roman"/>
          <w:b/>
        </w:rPr>
        <w:t xml:space="preserve"> of contractors or grantees.</w:t>
      </w:r>
    </w:p>
    <w:p w:rsidR="00F80A48" w:rsidRDefault="007C23B8">
      <w:pPr>
        <w:tabs>
          <w:tab w:val="left" w:pos="-720"/>
        </w:tabs>
        <w:spacing w:after="240"/>
        <w:jc w:val="both"/>
        <w:rPr>
          <w:rFonts w:ascii="Times New Roman" w:hAnsi="Times New Roman"/>
        </w:rPr>
      </w:pPr>
      <w:r>
        <w:rPr>
          <w:rFonts w:ascii="Times New Roman" w:hAnsi="Times New Roman"/>
        </w:rPr>
        <w:t>This question does not apply.  No decision to provide any payment or gift to respondents has been made.</w:t>
      </w:r>
    </w:p>
    <w:p w:rsidR="00F80A48" w:rsidRDefault="007C23B8">
      <w:pPr>
        <w:tabs>
          <w:tab w:val="left" w:pos="-720"/>
        </w:tabs>
        <w:spacing w:after="240"/>
        <w:ind w:left="720" w:hanging="720"/>
        <w:jc w:val="both"/>
        <w:rPr>
          <w:rFonts w:ascii="Times New Roman" w:hAnsi="Times New Roman"/>
          <w:b/>
        </w:rPr>
      </w:pPr>
      <w:proofErr w:type="gramStart"/>
      <w:r>
        <w:rPr>
          <w:rFonts w:ascii="Times New Roman" w:hAnsi="Times New Roman"/>
          <w:b/>
        </w:rPr>
        <w:t>10.</w:t>
      </w:r>
      <w:r>
        <w:rPr>
          <w:rFonts w:ascii="Times New Roman" w:hAnsi="Times New Roman"/>
          <w:b/>
        </w:rPr>
        <w:tab/>
        <w:t>Describe any assurance of confidentiality provided to respondents and the basis for the assurance in statut</w:t>
      </w:r>
      <w:r>
        <w:rPr>
          <w:rFonts w:ascii="Times New Roman" w:hAnsi="Times New Roman"/>
          <w:b/>
        </w:rPr>
        <w:t>e, regulations, or agency policy.</w:t>
      </w:r>
      <w:proofErr w:type="gramEnd"/>
    </w:p>
    <w:p w:rsidR="00C16775" w:rsidRDefault="00C16775" w:rsidP="00C16775">
      <w:pPr>
        <w:tabs>
          <w:tab w:val="left" w:pos="-720"/>
          <w:tab w:val="left" w:pos="0"/>
          <w:tab w:val="left" w:pos="720"/>
        </w:tabs>
        <w:spacing w:after="240"/>
        <w:jc w:val="both"/>
        <w:rPr>
          <w:rFonts w:eastAsia="Calibri"/>
        </w:rPr>
      </w:pPr>
      <w:r w:rsidRPr="00C16775">
        <w:rPr>
          <w:rFonts w:ascii="Times New Roman" w:eastAsia="Calibri" w:hAnsi="Times New Roman"/>
        </w:rPr>
        <w:t>The Commission does not provide respondents with an assurance of confidentiality, only to the extent permitted by law.  The Commission fully complies with section 8(a)(1) of the Commodity Exchange Act (CEA), which strictly prohibits the Commission, unless specifically authorized by the CEA, from making public “data and information that would separately disclose the business transactions or market positions of any person and trade secrets or names of customers</w:t>
      </w:r>
      <w:r>
        <w:rPr>
          <w:rFonts w:eastAsia="Calibri"/>
        </w:rPr>
        <w:t>”.</w:t>
      </w:r>
    </w:p>
    <w:p w:rsidR="00F80A48" w:rsidRDefault="007C23B8">
      <w:pPr>
        <w:tabs>
          <w:tab w:val="left" w:pos="-720"/>
        </w:tabs>
        <w:spacing w:after="240"/>
        <w:ind w:left="720" w:hanging="720"/>
        <w:jc w:val="both"/>
        <w:rPr>
          <w:rFonts w:ascii="Times New Roman" w:hAnsi="Times New Roman"/>
          <w:b/>
        </w:rPr>
      </w:pPr>
      <w:proofErr w:type="gramStart"/>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w:t>
      </w:r>
      <w:r>
        <w:rPr>
          <w:rFonts w:ascii="Times New Roman" w:hAnsi="Times New Roman"/>
          <w:b/>
        </w:rPr>
        <w:t>monly considered private.</w:t>
      </w:r>
      <w:proofErr w:type="gramEnd"/>
      <w:r>
        <w:rPr>
          <w:rFonts w:ascii="Times New Roman" w:hAnsi="Times New Roman"/>
          <w:b/>
        </w:rPr>
        <w:t xml:space="preserve">  This justification should include the reasons why the agency considers the questions necessary, the specific uses to be made of the information, the explanation to be given to persons from whom the information is requested, and a</w:t>
      </w:r>
      <w:r>
        <w:rPr>
          <w:rFonts w:ascii="Times New Roman" w:hAnsi="Times New Roman"/>
          <w:b/>
        </w:rPr>
        <w:t>ny steps to be taken to obtain their consent.</w:t>
      </w:r>
    </w:p>
    <w:p w:rsidR="00F80A48" w:rsidRDefault="007C23B8">
      <w:pPr>
        <w:tabs>
          <w:tab w:val="left" w:pos="-720"/>
        </w:tabs>
        <w:spacing w:after="240"/>
        <w:jc w:val="both"/>
        <w:rPr>
          <w:rFonts w:ascii="Times New Roman" w:hAnsi="Times New Roman"/>
        </w:rPr>
      </w:pPr>
      <w:r>
        <w:rPr>
          <w:rFonts w:ascii="Times New Roman" w:hAnsi="Times New Roman"/>
        </w:rPr>
        <w:t>This question does not apply.  The proposed regulations do not request nor require the provision of sensitive information, as that term is used in question 11.</w:t>
      </w:r>
    </w:p>
    <w:p w:rsidR="00F80A48" w:rsidRDefault="007C23B8">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w:t>
      </w:r>
      <w:r>
        <w:rPr>
          <w:rFonts w:ascii="Times New Roman" w:hAnsi="Times New Roman"/>
          <w:b/>
        </w:rPr>
        <w:t>llection of information.  The Statement should:</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w:t>
      </w:r>
      <w:r>
        <w:rPr>
          <w:rFonts w:ascii="Times New Roman" w:hAnsi="Times New Roman"/>
          <w:b/>
        </w:rPr>
        <w:t>in information on which to base hour burden estimates.  Consultation with a sample (fewer than ten) of potential respondents is desirable.  If the hour burden on respondents is expected to vary widely because of differences in activity, size or complexity,</w:t>
      </w:r>
      <w:r>
        <w:rPr>
          <w:rFonts w:ascii="Times New Roman" w:hAnsi="Times New Roman"/>
          <w:b/>
        </w:rPr>
        <w:t xml:space="preserve"> show the range of estimated hour burden, and explain the reasons for the variance.  Generally, estimates should not include burden hours for customary and usual business practices.</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If the request for approval covers more than one form, provide separate ho</w:t>
      </w:r>
      <w:r>
        <w:rPr>
          <w:rFonts w:ascii="Times New Roman" w:hAnsi="Times New Roman"/>
          <w:b/>
        </w:rPr>
        <w:t>ur burden estimates for each form and aggregate the hour burdens in Item 13 of OMB Form 83-I.</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Provide estimates of annualized cost to respondents for the hours burdens for collections of information, identifying and using appropriate wage rate categories. </w:t>
      </w:r>
      <w:r>
        <w:rPr>
          <w:rFonts w:ascii="Times New Roman" w:hAnsi="Times New Roman"/>
          <w:b/>
        </w:rPr>
        <w:t xml:space="preserve"> The cost of contracting out or paying outside parties for information collection activities should not be included here.  Instead, this cost should be included in Item 13.</w:t>
      </w:r>
    </w:p>
    <w:p w:rsidR="00F80A48" w:rsidRDefault="007C23B8">
      <w:pPr>
        <w:pStyle w:val="PlainText"/>
        <w:jc w:val="both"/>
        <w:rPr>
          <w:rFonts w:ascii="Times New Roman" w:hAnsi="Times New Roman"/>
          <w:color w:val="auto"/>
          <w:sz w:val="24"/>
          <w:szCs w:val="24"/>
        </w:rPr>
      </w:pPr>
      <w:r>
        <w:rPr>
          <w:rFonts w:ascii="Times New Roman" w:hAnsi="Times New Roman"/>
          <w:i/>
          <w:color w:val="auto"/>
          <w:sz w:val="24"/>
          <w:szCs w:val="24"/>
        </w:rPr>
        <w:t>See</w:t>
      </w:r>
      <w:r>
        <w:rPr>
          <w:rFonts w:ascii="Times New Roman" w:hAnsi="Times New Roman"/>
          <w:color w:val="auto"/>
          <w:sz w:val="24"/>
          <w:szCs w:val="24"/>
        </w:rPr>
        <w:t xml:space="preserve"> Attachment A.  The information collection burden associated with the proposed r</w:t>
      </w:r>
      <w:r>
        <w:rPr>
          <w:rFonts w:ascii="Times New Roman" w:hAnsi="Times New Roman"/>
          <w:color w:val="auto"/>
          <w:sz w:val="24"/>
          <w:szCs w:val="24"/>
        </w:rPr>
        <w:t>egulations is estimated to be 6,168 hours per year, at an initial annual cost of $684,300 for each swap dealer and major swap participant. The aggregate information collection burden is estimated to be 1,850,400 hours per year, at an initial annual aggrega</w:t>
      </w:r>
      <w:r>
        <w:rPr>
          <w:rFonts w:ascii="Times New Roman" w:hAnsi="Times New Roman"/>
          <w:color w:val="auto"/>
          <w:sz w:val="24"/>
          <w:szCs w:val="24"/>
        </w:rPr>
        <w:t>te cost of $205,290,000.  The Commission has characterized the annual costs as initial costs as the Commission anticipates that the cost burdens would be reduced dramatically over time as the agreements and other records required by the proposed regulation</w:t>
      </w:r>
      <w:r>
        <w:rPr>
          <w:rFonts w:ascii="Times New Roman" w:hAnsi="Times New Roman"/>
          <w:color w:val="auto"/>
          <w:sz w:val="24"/>
          <w:szCs w:val="24"/>
        </w:rPr>
        <w:t xml:space="preserve">s become increasingly standardized within the industry.   </w:t>
      </w:r>
    </w:p>
    <w:p w:rsidR="00F80A48" w:rsidRDefault="00F80A48">
      <w:pPr>
        <w:pStyle w:val="PlainText"/>
        <w:jc w:val="both"/>
        <w:rPr>
          <w:rFonts w:ascii="Times New Roman" w:hAnsi="Times New Roman"/>
          <w:color w:val="auto"/>
          <w:sz w:val="24"/>
          <w:szCs w:val="24"/>
        </w:rPr>
      </w:pPr>
    </w:p>
    <w:p w:rsidR="00F80A48" w:rsidRDefault="007C23B8">
      <w:pPr>
        <w:widowControl w:val="0"/>
        <w:jc w:val="both"/>
        <w:rPr>
          <w:rFonts w:ascii="Times New Roman" w:hAnsi="Times New Roman"/>
        </w:rPr>
      </w:pPr>
      <w:r>
        <w:rPr>
          <w:rFonts w:ascii="Times New Roman" w:hAnsi="Times New Roman"/>
        </w:rPr>
        <w:t>The Commission anticipates that the majority of the information collection burden would arise from the recordkeeping obligations contained in proposed regulation 23.504(b).  Proposed regulation 23</w:t>
      </w:r>
      <w:r>
        <w:rPr>
          <w:rFonts w:ascii="Times New Roman" w:hAnsi="Times New Roman"/>
        </w:rPr>
        <w:t>.504(b) would require each swap dealer and major swap participant to create and maintain written trading relationship documentation that contains the parties’ agreement with respect to all of the terms of the parties’ trading relationship; the parties’ cre</w:t>
      </w:r>
      <w:r>
        <w:rPr>
          <w:rFonts w:ascii="Times New Roman" w:hAnsi="Times New Roman"/>
        </w:rPr>
        <w:t xml:space="preserve">dit support arrangements; and the parties’ agreement with respect to the particular procedures and inputs that will be used to determine the value of their swaps.  </w:t>
      </w:r>
    </w:p>
    <w:p w:rsidR="00F80A48" w:rsidRDefault="00F80A48">
      <w:pPr>
        <w:widowControl w:val="0"/>
        <w:jc w:val="both"/>
        <w:rPr>
          <w:rFonts w:ascii="Times New Roman" w:hAnsi="Times New Roman"/>
        </w:rPr>
      </w:pPr>
    </w:p>
    <w:p w:rsidR="00F80A48" w:rsidRDefault="007C23B8">
      <w:pPr>
        <w:widowControl w:val="0"/>
        <w:jc w:val="both"/>
        <w:rPr>
          <w:rFonts w:ascii="Times New Roman" w:hAnsi="Times New Roman"/>
        </w:rPr>
      </w:pPr>
      <w:r>
        <w:rPr>
          <w:rFonts w:ascii="Times New Roman" w:hAnsi="Times New Roman"/>
        </w:rPr>
        <w:t>Maintenance of written credit support arrangements and other trading relationship document</w:t>
      </w:r>
      <w:r>
        <w:rPr>
          <w:rFonts w:ascii="Times New Roman" w:hAnsi="Times New Roman"/>
        </w:rPr>
        <w:t>ation that contain the terms required to be memorialized by proposed regulations 23.504(b</w:t>
      </w:r>
      <w:proofErr w:type="gramStart"/>
      <w:r>
        <w:rPr>
          <w:rFonts w:ascii="Times New Roman" w:hAnsi="Times New Roman"/>
        </w:rPr>
        <w:t>)(</w:t>
      </w:r>
      <w:proofErr w:type="gramEnd"/>
      <w:r>
        <w:rPr>
          <w:rFonts w:ascii="Times New Roman" w:hAnsi="Times New Roman"/>
        </w:rPr>
        <w:t>1) and (3) is prudent business practice and the Commission anticipates that swap dealers and major swap participants already maintain some form of this documentation</w:t>
      </w:r>
      <w:r>
        <w:rPr>
          <w:rFonts w:ascii="Times New Roman" w:hAnsi="Times New Roman"/>
        </w:rPr>
        <w:t xml:space="preserve"> with each of their counterparties in the ordinary course of their businesses.  Moreover, proposed regulation 23.504(b)(2) provides that the swap transaction confirmations described under previously proposed regulation 23.501 would be considered part of th</w:t>
      </w:r>
      <w:r>
        <w:rPr>
          <w:rFonts w:ascii="Times New Roman" w:hAnsi="Times New Roman"/>
        </w:rPr>
        <w:t>e parties’ trading relationship documentation and thus, pre-existing swap confirmations that include the terms required by proposed regulation 23.504 would obviate the need for the parties to develop new documentation with respect to those terms.</w:t>
      </w:r>
      <w:r>
        <w:rPr>
          <w:rStyle w:val="FootnoteReference"/>
          <w:rFonts w:ascii="Times New Roman" w:hAnsi="Times New Roman"/>
        </w:rPr>
        <w:footnoteReference w:id="1"/>
      </w:r>
      <w:r>
        <w:rPr>
          <w:rFonts w:ascii="Times New Roman" w:hAnsi="Times New Roman"/>
        </w:rPr>
        <w:t xml:space="preserve">  Accordingly, any additional expenditure related to regulations 23.504(b)(1) and (3) likely would be limited to the time initially required to review and, as needed, to re-negotiate and amend, existing documentation to ensure that it encompasses all of th</w:t>
      </w:r>
      <w:r>
        <w:rPr>
          <w:rFonts w:ascii="Times New Roman" w:hAnsi="Times New Roman"/>
        </w:rPr>
        <w:t xml:space="preserve">e required terms and to develop a system for maintaining any newly created records.  Moreover, many of the amended provisions are likely to apply to multiple counterparties, thereby further reducing the per counterparty hour burden.  </w:t>
      </w:r>
    </w:p>
    <w:p w:rsidR="00F80A48" w:rsidRDefault="00F80A48">
      <w:pPr>
        <w:widowControl w:val="0"/>
        <w:jc w:val="both"/>
        <w:rPr>
          <w:rFonts w:ascii="Times New Roman" w:hAnsi="Times New Roman"/>
        </w:rPr>
      </w:pPr>
    </w:p>
    <w:p w:rsidR="00F80A48" w:rsidRDefault="007C23B8">
      <w:pPr>
        <w:widowControl w:val="0"/>
        <w:jc w:val="both"/>
        <w:rPr>
          <w:rFonts w:ascii="Times New Roman" w:hAnsi="Times New Roman"/>
        </w:rPr>
      </w:pPr>
      <w:r>
        <w:rPr>
          <w:rFonts w:ascii="Times New Roman" w:hAnsi="Times New Roman"/>
        </w:rPr>
        <w:t xml:space="preserve">With respect to the </w:t>
      </w:r>
      <w:r>
        <w:rPr>
          <w:rFonts w:ascii="Times New Roman" w:hAnsi="Times New Roman"/>
        </w:rPr>
        <w:t xml:space="preserve">valuation agreement requirement established by proposed </w:t>
      </w:r>
      <w:r>
        <w:rPr>
          <w:rFonts w:ascii="Times New Roman" w:hAnsi="Times New Roman"/>
        </w:rPr>
        <w:lastRenderedPageBreak/>
        <w:t xml:space="preserve">regulation 23.504(b)(4), the Commission believes that swap dealers and major swap participants are likely to have existing, internal mechanisms for valuing their swaps transactions and thus, the hour </w:t>
      </w:r>
      <w:r>
        <w:rPr>
          <w:rFonts w:ascii="Times New Roman" w:hAnsi="Times New Roman"/>
        </w:rPr>
        <w:t xml:space="preserve">burden associated with this obligation would be limited to the time needed to negotiate agreements with counterparties on mutually acceptable valuation methods (should their individual valuation procedures differ) and to commit the agreement to writing as </w:t>
      </w:r>
      <w:r>
        <w:rPr>
          <w:rFonts w:ascii="Times New Roman" w:hAnsi="Times New Roman"/>
        </w:rPr>
        <w:t>part of the parties’ swap trading relationship documentation.  The need for new valuation agreements may be limited further to instances of complex or highly customized swaps transactions, as the valuation methods for “plain vanilla” swaps are likely to be</w:t>
      </w:r>
      <w:r>
        <w:rPr>
          <w:rFonts w:ascii="Times New Roman" w:hAnsi="Times New Roman"/>
        </w:rPr>
        <w:t xml:space="preserve"> somewhat standardized.  </w:t>
      </w:r>
    </w:p>
    <w:p w:rsidR="00F80A48" w:rsidRDefault="00F80A48">
      <w:pPr>
        <w:widowControl w:val="0"/>
        <w:jc w:val="both"/>
        <w:rPr>
          <w:rFonts w:ascii="Times New Roman" w:hAnsi="Times New Roman"/>
        </w:rPr>
      </w:pPr>
    </w:p>
    <w:p w:rsidR="00F80A48" w:rsidRDefault="007C23B8">
      <w:pPr>
        <w:widowControl w:val="0"/>
        <w:jc w:val="both"/>
        <w:rPr>
          <w:rFonts w:ascii="Times New Roman" w:hAnsi="Times New Roman"/>
        </w:rPr>
      </w:pPr>
      <w:r>
        <w:rPr>
          <w:rFonts w:ascii="Times New Roman" w:hAnsi="Times New Roman"/>
        </w:rPr>
        <w:t>The Commission estimates the initial, annual hour burden associated with negotiating, drafting, and maintaining the swap trading relationship documentation required by proposed regulation 23.504(b) (excluding the cleared swap rec</w:t>
      </w:r>
      <w:r>
        <w:rPr>
          <w:rFonts w:ascii="Times New Roman" w:hAnsi="Times New Roman"/>
        </w:rPr>
        <w:t xml:space="preserve">ords that would be required regulation 23.504(b)(6)), to be 10 hours per counterparty, or an average of 5,400 hours per swap dealer or major swap participant.  As stated above, the Commission expects that this annual per registrant burden would be reduced </w:t>
      </w:r>
      <w:r>
        <w:rPr>
          <w:rFonts w:ascii="Times New Roman" w:hAnsi="Times New Roman"/>
        </w:rPr>
        <w:t>considerably over time as there would be little need to modify the swap trading relationship documentation on an ongoing basis.  Once a swap dealer or major swap participant modifies its pre-existing documentation with each of its counterparties, the annua</w:t>
      </w:r>
      <w:r>
        <w:rPr>
          <w:rFonts w:ascii="Times New Roman" w:hAnsi="Times New Roman"/>
        </w:rPr>
        <w:t xml:space="preserve">l burden associated with the swap trading relationship documentation would be minimal.  In addition, because all swap dealers and major swap participants would be required to maintain the swap trading relationship documentation established by the proposed </w:t>
      </w:r>
      <w:r>
        <w:rPr>
          <w:rFonts w:ascii="Times New Roman" w:hAnsi="Times New Roman"/>
        </w:rPr>
        <w:t>regulation, the Commission believes that it is likely that many of the terms of such documentation would become progressively more standardized within the industry, further reducing the bilateral negotiation and drafting responsibilities associated with th</w:t>
      </w:r>
      <w:r>
        <w:rPr>
          <w:rFonts w:ascii="Times New Roman" w:hAnsi="Times New Roman"/>
        </w:rPr>
        <w:t xml:space="preserve">e regulation. </w:t>
      </w:r>
    </w:p>
    <w:p w:rsidR="00F80A48" w:rsidRDefault="00F80A48">
      <w:pPr>
        <w:widowControl w:val="0"/>
        <w:jc w:val="both"/>
        <w:rPr>
          <w:rFonts w:ascii="Times New Roman" w:hAnsi="Times New Roman"/>
        </w:rPr>
      </w:pPr>
    </w:p>
    <w:p w:rsidR="00F80A48" w:rsidRDefault="007C23B8">
      <w:pPr>
        <w:widowControl w:val="0"/>
        <w:jc w:val="both"/>
        <w:rPr>
          <w:rFonts w:ascii="Times New Roman" w:hAnsi="Times New Roman"/>
        </w:rPr>
      </w:pPr>
      <w:r>
        <w:rPr>
          <w:rFonts w:ascii="Times New Roman" w:hAnsi="Times New Roman"/>
        </w:rPr>
        <w:t>The proposed regulations also would require swap dealers and major swap participants to make and maintain records of cleared swaps containing the data contained in proposed regulation 23.504(b)(6).  With respect to these records, the Commission estimates t</w:t>
      </w:r>
      <w:r>
        <w:rPr>
          <w:rFonts w:ascii="Times New Roman" w:hAnsi="Times New Roman"/>
        </w:rPr>
        <w:t>hat swap dealers and major swap participants would spend an average of 2 hours per trading day (or 504 hours per year) maintaining the required data.  The Commission notes that the specific information required for each transaction is limited and is of the</w:t>
      </w:r>
      <w:r>
        <w:rPr>
          <w:rFonts w:ascii="Times New Roman" w:hAnsi="Times New Roman"/>
        </w:rPr>
        <w:t xml:space="preserve"> type that would be maintained in a prudent market participant’s ordinary course of business.  The Commission also notes that the statement required to be preserved for each cleared swap likely would become common to each derivatives clearing organization.</w:t>
      </w:r>
    </w:p>
    <w:p w:rsidR="00F80A48" w:rsidRDefault="007C23B8">
      <w:pPr>
        <w:widowControl w:val="0"/>
        <w:jc w:val="both"/>
        <w:rPr>
          <w:rFonts w:ascii="Times New Roman" w:hAnsi="Times New Roman"/>
        </w:rPr>
      </w:pPr>
      <w:r>
        <w:rPr>
          <w:rFonts w:ascii="Times New Roman" w:hAnsi="Times New Roman"/>
        </w:rPr>
        <w:t xml:space="preserve">   </w:t>
      </w:r>
    </w:p>
    <w:p w:rsidR="00F80A48" w:rsidRDefault="007C23B8">
      <w:pPr>
        <w:widowControl w:val="0"/>
        <w:jc w:val="both"/>
        <w:rPr>
          <w:rFonts w:ascii="Times New Roman" w:hAnsi="Times New Roman"/>
        </w:rPr>
      </w:pPr>
      <w:r>
        <w:rPr>
          <w:rFonts w:ascii="Times New Roman" w:hAnsi="Times New Roman"/>
        </w:rPr>
        <w:t>In addition to the above, the Commission anticipates that swap dealers and major swap participants would spend an average of 16 hours per year drafting and, as needed, updating the written policies and procedures required by proposed regulation 23.504</w:t>
      </w:r>
      <w:r>
        <w:rPr>
          <w:rFonts w:ascii="Times New Roman" w:hAnsi="Times New Roman"/>
        </w:rPr>
        <w:t xml:space="preserve">(a); 4 hours per year maintaining records of the results of the annual documentation compliance audits mandated by proposed regulation 23.504(c); and 220 hours per year (or 1 hour per end user) maintaining records of the documentation required by proposed </w:t>
      </w:r>
      <w:r>
        <w:rPr>
          <w:rFonts w:ascii="Times New Roman" w:hAnsi="Times New Roman"/>
        </w:rPr>
        <w:t>regulation 23.505.</w:t>
      </w:r>
    </w:p>
    <w:p w:rsidR="00F80A48" w:rsidRDefault="00F80A48">
      <w:pPr>
        <w:widowControl w:val="0"/>
        <w:jc w:val="both"/>
        <w:rPr>
          <w:rFonts w:ascii="Times New Roman" w:hAnsi="Times New Roman"/>
        </w:rPr>
      </w:pPr>
    </w:p>
    <w:p w:rsidR="00F80A48" w:rsidRDefault="007C23B8">
      <w:pPr>
        <w:widowControl w:val="0"/>
        <w:jc w:val="both"/>
        <w:rPr>
          <w:rFonts w:ascii="Times New Roman" w:hAnsi="Times New Roman"/>
        </w:rPr>
      </w:pPr>
      <w:r>
        <w:rPr>
          <w:rFonts w:ascii="Times New Roman" w:hAnsi="Times New Roman"/>
        </w:rPr>
        <w:t>The only reporting requirement contained in the proposed rules is the obligation of swap dealers and major swap participants to report swap valuation disputes that are not resolved between the participants within designated time periods</w:t>
      </w:r>
      <w:r>
        <w:rPr>
          <w:rFonts w:ascii="Times New Roman" w:hAnsi="Times New Roman"/>
        </w:rPr>
        <w:t>.  The Commission expects that swap dealers and major swap participants will spend an average of 24 hours per year satisfying this requirement.</w:t>
      </w:r>
    </w:p>
    <w:p w:rsidR="00F80A48" w:rsidRDefault="00F80A48">
      <w:pPr>
        <w:widowControl w:val="0"/>
        <w:jc w:val="both"/>
        <w:rPr>
          <w:rFonts w:ascii="Times New Roman" w:hAnsi="Times New Roman"/>
        </w:rPr>
      </w:pPr>
    </w:p>
    <w:p w:rsidR="00F80A48" w:rsidRDefault="007C23B8">
      <w:pPr>
        <w:widowControl w:val="0"/>
        <w:jc w:val="both"/>
        <w:rPr>
          <w:rFonts w:ascii="Times New Roman" w:hAnsi="Times New Roman"/>
        </w:rPr>
      </w:pPr>
      <w:r>
        <w:rPr>
          <w:rFonts w:ascii="Times New Roman" w:hAnsi="Times New Roman"/>
        </w:rPr>
        <w:lastRenderedPageBreak/>
        <w:t>The hour burden calculations associated with the proposed regulations are based upon a number of variables such</w:t>
      </w:r>
      <w:r>
        <w:rPr>
          <w:rFonts w:ascii="Times New Roman" w:hAnsi="Times New Roman"/>
        </w:rPr>
        <w:t xml:space="preserve"> as the number of swap dealers and major swap participants in the marketplace, the average number of counterparties of each of these registrants, and the average hourly wage of the employees of these registrants that would be responsible for satisfying the</w:t>
      </w:r>
      <w:r>
        <w:rPr>
          <w:rFonts w:ascii="Times New Roman" w:hAnsi="Times New Roman"/>
        </w:rPr>
        <w:t xml:space="preserve"> obligations established by the proposed regulation.  Swap dealers and major swap participants are new categories of registrants.  Accordingly, it is not currently known how many swap dealers and major swap participants will become subject to these rules, </w:t>
      </w:r>
      <w:r>
        <w:rPr>
          <w:rFonts w:ascii="Times New Roman" w:hAnsi="Times New Roman"/>
        </w:rPr>
        <w:t>and this will not be known to the Commission until the registration requirements for these entities become effective after July 16, 2011, the date on which the Dodd-Frank Act becomes effective.  While the Commission believes there will be approximately 200</w:t>
      </w:r>
      <w:r>
        <w:rPr>
          <w:rFonts w:ascii="Times New Roman" w:hAnsi="Times New Roman"/>
        </w:rPr>
        <w:t xml:space="preserve"> swap dealers and 50 major swap participants, it has taken a conservative approach, for PRA purposes, in estimating that there will be a combined number of 300 swap dealers and major swap participants who will be required to comply with the recordkeeping r</w:t>
      </w:r>
      <w:r>
        <w:rPr>
          <w:rFonts w:ascii="Times New Roman" w:hAnsi="Times New Roman"/>
        </w:rPr>
        <w:t>equirements of the proposed rules.  The Commission estimated the number of affected entities based on industry data.</w:t>
      </w:r>
    </w:p>
    <w:p w:rsidR="00F80A48" w:rsidRDefault="00F80A48">
      <w:pPr>
        <w:widowControl w:val="0"/>
        <w:jc w:val="both"/>
        <w:rPr>
          <w:rFonts w:ascii="Times New Roman" w:hAnsi="Times New Roman"/>
        </w:rPr>
      </w:pPr>
    </w:p>
    <w:p w:rsidR="00F80A48" w:rsidRDefault="007C23B8">
      <w:pPr>
        <w:widowControl w:val="0"/>
        <w:jc w:val="both"/>
        <w:rPr>
          <w:rFonts w:ascii="Times New Roman" w:hAnsi="Times New Roman"/>
        </w:rPr>
      </w:pPr>
      <w:r>
        <w:rPr>
          <w:rFonts w:ascii="Times New Roman" w:hAnsi="Times New Roman"/>
        </w:rPr>
        <w:t>Similarly, due to the absence of prior experience in regulating swap dealers and major swap participants and with regulations similar to t</w:t>
      </w:r>
      <w:r>
        <w:rPr>
          <w:rFonts w:ascii="Times New Roman" w:hAnsi="Times New Roman"/>
        </w:rPr>
        <w:t>he proposed rules, the actual, average number of counterparties that a swap dealer or major swap participant is likely to have and the average size of its portfolio with particular counterparties is uncertain.  Consistent with other proposed rulemakings, t</w:t>
      </w:r>
      <w:r>
        <w:rPr>
          <w:rFonts w:ascii="Times New Roman" w:hAnsi="Times New Roman"/>
        </w:rPr>
        <w:t>he Commission has estimated that each of the 14 major swap dealers has an average 7,500 counterparties and the other 286 swap dealers and major swap participants have an average of 200 counterparties per year, for an average of 540 total counterparties per</w:t>
      </w:r>
      <w:r>
        <w:rPr>
          <w:rFonts w:ascii="Times New Roman" w:hAnsi="Times New Roman"/>
        </w:rPr>
        <w:t xml:space="preserve"> registrant.  </w:t>
      </w:r>
    </w:p>
    <w:p w:rsidR="00F80A48" w:rsidRDefault="00F8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F80A48" w:rsidRDefault="007C2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The Commission anticipates that the written policies and procedures required by the proposed regulations, along with the recordkeeping and reporting requirements, typically would be drafted and maintained by in-house counsel and financial o</w:t>
      </w:r>
      <w:r>
        <w:rPr>
          <w:rFonts w:ascii="Times New Roman" w:hAnsi="Times New Roman"/>
        </w:rPr>
        <w:t>r operational managers within the firm.</w:t>
      </w:r>
      <w:r>
        <w:rPr>
          <w:rStyle w:val="FootnoteReference"/>
          <w:rFonts w:ascii="Times New Roman" w:hAnsi="Times New Roman"/>
        </w:rPr>
        <w:footnoteReference w:id="2"/>
      </w:r>
      <w:r>
        <w:rPr>
          <w:rFonts w:ascii="Times New Roman" w:hAnsi="Times New Roman"/>
        </w:rPr>
        <w:t xml:space="preserve">  According to Bureau of Labor Statistics findings, the mean hourly wage of an employee under occupation code 23-1011, “Lawyers,” that is employed by the “Securities and Commodity Contracts Intermediation and Brokera</w:t>
      </w:r>
      <w:r>
        <w:rPr>
          <w:rFonts w:ascii="Times New Roman" w:hAnsi="Times New Roman"/>
        </w:rPr>
        <w:t>ge Industry” is $82.22.</w:t>
      </w:r>
      <w:r>
        <w:rPr>
          <w:rStyle w:val="FootnoteReference"/>
          <w:rFonts w:ascii="Times New Roman" w:hAnsi="Times New Roman"/>
        </w:rPr>
        <w:footnoteReference w:id="3"/>
      </w:r>
      <w:r>
        <w:rPr>
          <w:rFonts w:ascii="Times New Roman" w:hAnsi="Times New Roman"/>
        </w:rPr>
        <w:t xml:space="preserve">  The mean hourly wage of an employee under occupation code 11-3031, “Financial Managers,” (which includes operations managers) in the same industry is $74.41.</w:t>
      </w:r>
      <w:r>
        <w:rPr>
          <w:rStyle w:val="FootnoteReference"/>
          <w:rFonts w:ascii="Times New Roman" w:hAnsi="Times New Roman"/>
        </w:rPr>
        <w:footnoteReference w:id="4"/>
      </w:r>
      <w:r>
        <w:rPr>
          <w:rFonts w:ascii="Times New Roman" w:hAnsi="Times New Roman"/>
        </w:rPr>
        <w:t xml:space="preserve">  Because swap dealers and major swap participants include large financi</w:t>
      </w:r>
      <w:r>
        <w:rPr>
          <w:rFonts w:ascii="Times New Roman" w:hAnsi="Times New Roman"/>
        </w:rPr>
        <w:t>al institutions whose employees’ salaries may exceed the mean wage provided, however, the Commission generally has estimated the cost burden of the proposed regulations based upon an average salary of $100 per hour.  To account for the possibility that the</w:t>
      </w:r>
      <w:r>
        <w:rPr>
          <w:rFonts w:ascii="Times New Roman" w:hAnsi="Times New Roman"/>
        </w:rPr>
        <w:t xml:space="preserve"> services of outside counsel may be required to satisfy the requirements associated with negotiating, drafting, and maintaining the required trading relationship documentation (except the cleared swap records), the Commission has used an average salary of </w:t>
      </w:r>
      <w:r>
        <w:rPr>
          <w:rFonts w:ascii="Times New Roman" w:hAnsi="Times New Roman"/>
        </w:rPr>
        <w:t>$125 per hour to calculate this burden for one half of the necessary hours.</w:t>
      </w:r>
    </w:p>
    <w:p w:rsidR="00F80A48" w:rsidRDefault="00F8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F80A48" w:rsidRDefault="007C2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lastRenderedPageBreak/>
        <w:t>Based upon the above, the estimated hour burden was calculated as follows:</w:t>
      </w:r>
    </w:p>
    <w:p w:rsidR="00F80A48" w:rsidRDefault="00F80A48">
      <w:pPr>
        <w:jc w:val="both"/>
        <w:rPr>
          <w:rFonts w:ascii="Times New Roman" w:hAnsi="Times New Roman"/>
          <w:u w:val="single"/>
        </w:rPr>
      </w:pPr>
    </w:p>
    <w:p w:rsidR="00F80A48" w:rsidRDefault="007C23B8">
      <w:pPr>
        <w:jc w:val="both"/>
        <w:rPr>
          <w:rFonts w:ascii="Times New Roman" w:hAnsi="Times New Roman"/>
        </w:rPr>
      </w:pPr>
      <w:proofErr w:type="gramStart"/>
      <w:r>
        <w:rPr>
          <w:rFonts w:ascii="Times New Roman" w:hAnsi="Times New Roman"/>
          <w:u w:val="single"/>
        </w:rPr>
        <w:t>Drafting and Updating Policies and Procedures</w:t>
      </w:r>
      <w:r>
        <w:rPr>
          <w:rFonts w:ascii="Times New Roman" w:hAnsi="Times New Roman"/>
        </w:rPr>
        <w:t>.</w:t>
      </w:r>
      <w:proofErr w:type="gramEnd"/>
      <w:r>
        <w:rPr>
          <w:rFonts w:ascii="Times New Roman" w:hAnsi="Times New Roman"/>
        </w:rPr>
        <w:t xml:space="preserve">  This hour burden arises from the time necessary to deve</w:t>
      </w:r>
      <w:r>
        <w:rPr>
          <w:rFonts w:ascii="Times New Roman" w:hAnsi="Times New Roman"/>
        </w:rPr>
        <w:t>lop and periodically update the policies and procedures required by the proposed regulations.</w:t>
      </w:r>
    </w:p>
    <w:p w:rsidR="00F80A48" w:rsidRDefault="00F80A48">
      <w:pPr>
        <w:jc w:val="both"/>
        <w:rPr>
          <w:rFonts w:ascii="Times New Roman" w:hAnsi="Times New Roman"/>
        </w:rPr>
      </w:pPr>
    </w:p>
    <w:p w:rsidR="00F80A48" w:rsidRDefault="007C23B8">
      <w:pPr>
        <w:jc w:val="both"/>
        <w:rPr>
          <w:rFonts w:ascii="Times New Roman" w:hAnsi="Times New Roman"/>
        </w:rPr>
      </w:pPr>
      <w:r>
        <w:rPr>
          <w:rFonts w:ascii="Times New Roman" w:hAnsi="Times New Roman"/>
        </w:rPr>
        <w:t>Number of registrants:   300</w:t>
      </w:r>
    </w:p>
    <w:p w:rsidR="00F80A48" w:rsidRDefault="007C23B8">
      <w:pPr>
        <w:jc w:val="both"/>
        <w:rPr>
          <w:rFonts w:ascii="Times New Roman" w:hAnsi="Times New Roman"/>
        </w:rPr>
      </w:pPr>
      <w:r>
        <w:rPr>
          <w:rFonts w:ascii="Times New Roman" w:hAnsi="Times New Roman"/>
        </w:rPr>
        <w:t>Frequency of collection:  Initial drafting, updating as needed</w:t>
      </w:r>
    </w:p>
    <w:p w:rsidR="00F80A48" w:rsidRDefault="007C23B8">
      <w:pPr>
        <w:jc w:val="both"/>
        <w:rPr>
          <w:rFonts w:ascii="Times New Roman" w:hAnsi="Times New Roman"/>
        </w:rPr>
      </w:pPr>
      <w:r>
        <w:rPr>
          <w:rFonts w:ascii="Times New Roman" w:hAnsi="Times New Roman"/>
        </w:rPr>
        <w:t>Estimated number of annual responses per registrant: 1</w:t>
      </w:r>
    </w:p>
    <w:p w:rsidR="00F80A48" w:rsidRDefault="007C23B8">
      <w:pPr>
        <w:jc w:val="both"/>
        <w:rPr>
          <w:rFonts w:ascii="Times New Roman" w:hAnsi="Times New Roman"/>
        </w:rPr>
      </w:pPr>
      <w:r>
        <w:rPr>
          <w:rFonts w:ascii="Times New Roman" w:hAnsi="Times New Roman"/>
        </w:rPr>
        <w:t>Estimated aggr</w:t>
      </w:r>
      <w:r>
        <w:rPr>
          <w:rFonts w:ascii="Times New Roman" w:hAnsi="Times New Roman"/>
        </w:rPr>
        <w:t>egate number of annual responses:  300</w:t>
      </w:r>
    </w:p>
    <w:p w:rsidR="00F80A48" w:rsidRDefault="007C23B8">
      <w:pPr>
        <w:jc w:val="both"/>
        <w:rPr>
          <w:rFonts w:ascii="Times New Roman" w:hAnsi="Times New Roman"/>
        </w:rPr>
      </w:pPr>
      <w:r>
        <w:rPr>
          <w:rFonts w:ascii="Times New Roman" w:hAnsi="Times New Roman"/>
        </w:rPr>
        <w:t>Estimated annual hour burden per registrant:  16 hours</w:t>
      </w:r>
    </w:p>
    <w:p w:rsidR="00F80A48" w:rsidRDefault="007C23B8">
      <w:pPr>
        <w:jc w:val="both"/>
        <w:rPr>
          <w:rFonts w:ascii="Times New Roman" w:hAnsi="Times New Roman"/>
        </w:rPr>
      </w:pPr>
      <w:r>
        <w:rPr>
          <w:rFonts w:ascii="Times New Roman" w:hAnsi="Times New Roman"/>
        </w:rPr>
        <w:t>Estimated aggregate annual hour burden:  4,800 burden hours [300 registrants x 16 hours per registrant]</w:t>
      </w:r>
    </w:p>
    <w:p w:rsidR="00F80A48" w:rsidRDefault="00F80A48">
      <w:pPr>
        <w:jc w:val="both"/>
        <w:rPr>
          <w:rFonts w:ascii="Times New Roman" w:hAnsi="Times New Roman"/>
          <w:u w:val="single"/>
        </w:rPr>
      </w:pPr>
    </w:p>
    <w:p w:rsidR="00F80A48" w:rsidRDefault="007C23B8">
      <w:pPr>
        <w:jc w:val="both"/>
        <w:rPr>
          <w:rFonts w:ascii="Times New Roman" w:hAnsi="Times New Roman"/>
        </w:rPr>
      </w:pPr>
      <w:r>
        <w:rPr>
          <w:rFonts w:ascii="Times New Roman" w:hAnsi="Times New Roman"/>
          <w:u w:val="single"/>
        </w:rPr>
        <w:t xml:space="preserve">Swap Trading Relationship Documentation (excluding </w:t>
      </w:r>
      <w:r>
        <w:rPr>
          <w:rFonts w:ascii="Times New Roman" w:hAnsi="Times New Roman"/>
          <w:u w:val="single"/>
        </w:rPr>
        <w:t>cleared swaps records)</w:t>
      </w:r>
      <w:r>
        <w:rPr>
          <w:rFonts w:ascii="Times New Roman" w:hAnsi="Times New Roman"/>
        </w:rPr>
        <w:t>.  This hour burden arises from the proposed obligation that swap dealers and major swap participants execute and maintain swap trading relationship documentation.</w:t>
      </w:r>
    </w:p>
    <w:p w:rsidR="00F80A48" w:rsidRDefault="00F80A48">
      <w:pPr>
        <w:jc w:val="both"/>
        <w:rPr>
          <w:rFonts w:ascii="Times New Roman" w:hAnsi="Times New Roman"/>
        </w:rPr>
      </w:pPr>
    </w:p>
    <w:p w:rsidR="00F80A48" w:rsidRDefault="007C23B8">
      <w:pPr>
        <w:jc w:val="both"/>
        <w:rPr>
          <w:rFonts w:ascii="Times New Roman" w:hAnsi="Times New Roman"/>
        </w:rPr>
      </w:pPr>
      <w:r>
        <w:rPr>
          <w:rFonts w:ascii="Times New Roman" w:hAnsi="Times New Roman"/>
        </w:rPr>
        <w:t>Number of registrants:   300</w:t>
      </w:r>
    </w:p>
    <w:p w:rsidR="00F80A48" w:rsidRDefault="007C23B8">
      <w:pPr>
        <w:jc w:val="both"/>
        <w:rPr>
          <w:rFonts w:ascii="Times New Roman" w:hAnsi="Times New Roman"/>
        </w:rPr>
      </w:pPr>
      <w:r>
        <w:rPr>
          <w:rFonts w:ascii="Times New Roman" w:hAnsi="Times New Roman"/>
        </w:rPr>
        <w:t xml:space="preserve">Frequency of collection:  At least once </w:t>
      </w:r>
      <w:r>
        <w:rPr>
          <w:rFonts w:ascii="Times New Roman" w:hAnsi="Times New Roman"/>
        </w:rPr>
        <w:t>per counterparty</w:t>
      </w:r>
    </w:p>
    <w:p w:rsidR="00F80A48" w:rsidRDefault="007C23B8">
      <w:pPr>
        <w:jc w:val="both"/>
        <w:rPr>
          <w:rFonts w:ascii="Times New Roman" w:hAnsi="Times New Roman"/>
        </w:rPr>
      </w:pPr>
      <w:r>
        <w:rPr>
          <w:rFonts w:ascii="Times New Roman" w:hAnsi="Times New Roman"/>
        </w:rPr>
        <w:t>Estimated number of annual responses per registrant:   540 [one set of agreements per counterparty]</w:t>
      </w:r>
    </w:p>
    <w:p w:rsidR="00F80A48" w:rsidRDefault="007C23B8">
      <w:pPr>
        <w:jc w:val="both"/>
        <w:rPr>
          <w:rFonts w:ascii="Times New Roman" w:hAnsi="Times New Roman"/>
        </w:rPr>
      </w:pPr>
      <w:r>
        <w:rPr>
          <w:rFonts w:ascii="Times New Roman" w:hAnsi="Times New Roman"/>
        </w:rPr>
        <w:t>Estimated aggregate number of annual responses:  162,000 [300 registrants x 540 counterparties]</w:t>
      </w:r>
    </w:p>
    <w:p w:rsidR="00F80A48" w:rsidRDefault="007C23B8">
      <w:pPr>
        <w:jc w:val="both"/>
        <w:rPr>
          <w:rFonts w:ascii="Times New Roman" w:hAnsi="Times New Roman"/>
        </w:rPr>
      </w:pPr>
      <w:r>
        <w:rPr>
          <w:rFonts w:ascii="Times New Roman" w:hAnsi="Times New Roman"/>
        </w:rPr>
        <w:t>Estimated annual hour burden per registrant</w:t>
      </w:r>
      <w:r>
        <w:rPr>
          <w:rFonts w:ascii="Times New Roman" w:hAnsi="Times New Roman"/>
        </w:rPr>
        <w:t xml:space="preserve">: 5,400 [540 counterparties x 10 hours per counterparty]  </w:t>
      </w:r>
    </w:p>
    <w:p w:rsidR="00F80A48" w:rsidRDefault="007C23B8">
      <w:pPr>
        <w:jc w:val="both"/>
        <w:rPr>
          <w:rFonts w:ascii="Times New Roman" w:hAnsi="Times New Roman"/>
        </w:rPr>
      </w:pPr>
      <w:r>
        <w:rPr>
          <w:rFonts w:ascii="Times New Roman" w:hAnsi="Times New Roman"/>
        </w:rPr>
        <w:t>Estimated aggregate annual hour burden:  1,620,000 [300 registrants x 5,400 hours per registrant]</w:t>
      </w:r>
    </w:p>
    <w:p w:rsidR="00F80A48" w:rsidRDefault="00F80A48">
      <w:pPr>
        <w:jc w:val="both"/>
        <w:rPr>
          <w:rFonts w:ascii="Times New Roman" w:hAnsi="Times New Roman"/>
          <w:u w:val="single"/>
        </w:rPr>
      </w:pPr>
    </w:p>
    <w:p w:rsidR="00F80A48" w:rsidRDefault="007C23B8">
      <w:pPr>
        <w:jc w:val="both"/>
        <w:rPr>
          <w:rFonts w:ascii="Times New Roman" w:hAnsi="Times New Roman"/>
        </w:rPr>
      </w:pPr>
      <w:proofErr w:type="gramStart"/>
      <w:r>
        <w:rPr>
          <w:rFonts w:ascii="Times New Roman" w:hAnsi="Times New Roman"/>
          <w:u w:val="single"/>
        </w:rPr>
        <w:t>Cleared Swap Recordkeeping</w:t>
      </w:r>
      <w:r>
        <w:rPr>
          <w:rFonts w:ascii="Times New Roman" w:hAnsi="Times New Roman"/>
        </w:rPr>
        <w:t>.</w:t>
      </w:r>
      <w:proofErr w:type="gramEnd"/>
      <w:r>
        <w:rPr>
          <w:rFonts w:ascii="Times New Roman" w:hAnsi="Times New Roman"/>
        </w:rPr>
        <w:t xml:space="preserve">  This hour burden arises from the proposed requirement that swap deale</w:t>
      </w:r>
      <w:r>
        <w:rPr>
          <w:rFonts w:ascii="Times New Roman" w:hAnsi="Times New Roman"/>
        </w:rPr>
        <w:t>rs and major swap participants make and maintain records of specified information related to each swap accepted for clearing by a derivatives clearing organization.</w:t>
      </w:r>
    </w:p>
    <w:p w:rsidR="00F80A48" w:rsidRDefault="00F80A48">
      <w:pPr>
        <w:jc w:val="both"/>
        <w:rPr>
          <w:rFonts w:ascii="Times New Roman" w:hAnsi="Times New Roman"/>
          <w:u w:val="single"/>
        </w:rPr>
      </w:pPr>
    </w:p>
    <w:p w:rsidR="00F80A48" w:rsidRDefault="007C23B8">
      <w:pPr>
        <w:jc w:val="both"/>
        <w:rPr>
          <w:rFonts w:ascii="Times New Roman" w:hAnsi="Times New Roman"/>
        </w:rPr>
      </w:pPr>
      <w:r>
        <w:rPr>
          <w:rFonts w:ascii="Times New Roman" w:hAnsi="Times New Roman"/>
        </w:rPr>
        <w:t>Number of registrants:  300</w:t>
      </w:r>
    </w:p>
    <w:p w:rsidR="00F80A48" w:rsidRDefault="007C23B8">
      <w:pPr>
        <w:jc w:val="both"/>
        <w:rPr>
          <w:rFonts w:ascii="Times New Roman" w:hAnsi="Times New Roman"/>
        </w:rPr>
      </w:pPr>
      <w:r>
        <w:rPr>
          <w:rFonts w:ascii="Times New Roman" w:hAnsi="Times New Roman"/>
        </w:rPr>
        <w:t>Frequency of collection:  Daily</w:t>
      </w:r>
    </w:p>
    <w:p w:rsidR="00F80A48" w:rsidRDefault="007C23B8">
      <w:pPr>
        <w:jc w:val="both"/>
        <w:rPr>
          <w:rFonts w:ascii="Times New Roman" w:hAnsi="Times New Roman"/>
        </w:rPr>
      </w:pPr>
      <w:r>
        <w:rPr>
          <w:rFonts w:ascii="Times New Roman" w:hAnsi="Times New Roman"/>
        </w:rPr>
        <w:t>Estimated number of annual res</w:t>
      </w:r>
      <w:r>
        <w:rPr>
          <w:rFonts w:ascii="Times New Roman" w:hAnsi="Times New Roman"/>
        </w:rPr>
        <w:t>ponses per registrant:  252 [252 trading days per year]</w:t>
      </w:r>
      <w:r>
        <w:rPr>
          <w:rStyle w:val="FootnoteReference"/>
          <w:rFonts w:ascii="Times New Roman" w:hAnsi="Times New Roman"/>
        </w:rPr>
        <w:footnoteReference w:id="5"/>
      </w:r>
    </w:p>
    <w:p w:rsidR="00F80A48" w:rsidRDefault="007C23B8">
      <w:pPr>
        <w:jc w:val="both"/>
        <w:rPr>
          <w:rFonts w:ascii="Times New Roman" w:hAnsi="Times New Roman"/>
        </w:rPr>
      </w:pPr>
      <w:r>
        <w:rPr>
          <w:rFonts w:ascii="Times New Roman" w:hAnsi="Times New Roman"/>
        </w:rPr>
        <w:t xml:space="preserve">Estimated aggregate number of annual responses:  75,600 [300 registrants x 252 trading days] </w:t>
      </w:r>
    </w:p>
    <w:p w:rsidR="00F80A48" w:rsidRDefault="007C23B8">
      <w:pPr>
        <w:jc w:val="both"/>
        <w:rPr>
          <w:rFonts w:ascii="Times New Roman" w:hAnsi="Times New Roman"/>
        </w:rPr>
      </w:pPr>
      <w:r>
        <w:rPr>
          <w:rFonts w:ascii="Times New Roman" w:hAnsi="Times New Roman"/>
        </w:rPr>
        <w:t>Estimated annual hour burden per registrant: 504 [252 trading days x 2 hours per trading day]</w:t>
      </w:r>
    </w:p>
    <w:p w:rsidR="00F80A48" w:rsidRDefault="007C23B8">
      <w:pPr>
        <w:jc w:val="both"/>
        <w:rPr>
          <w:rFonts w:ascii="Times New Roman" w:hAnsi="Times New Roman"/>
        </w:rPr>
      </w:pPr>
      <w:r>
        <w:rPr>
          <w:rFonts w:ascii="Times New Roman" w:hAnsi="Times New Roman"/>
        </w:rPr>
        <w:t>Estimated a</w:t>
      </w:r>
      <w:r>
        <w:rPr>
          <w:rFonts w:ascii="Times New Roman" w:hAnsi="Times New Roman"/>
        </w:rPr>
        <w:t>ggregate hour burden: 151,200 [300 registrants x 504 hours]</w:t>
      </w:r>
    </w:p>
    <w:p w:rsidR="00F80A48" w:rsidRDefault="00F80A48">
      <w:pPr>
        <w:jc w:val="both"/>
        <w:rPr>
          <w:rFonts w:ascii="Times New Roman" w:hAnsi="Times New Roman"/>
          <w:u w:val="single"/>
        </w:rPr>
      </w:pPr>
    </w:p>
    <w:p w:rsidR="00F80A48" w:rsidRDefault="007C23B8">
      <w:pPr>
        <w:jc w:val="both"/>
        <w:rPr>
          <w:rFonts w:ascii="Times New Roman" w:hAnsi="Times New Roman"/>
        </w:rPr>
      </w:pPr>
      <w:r>
        <w:rPr>
          <w:rFonts w:ascii="Times New Roman" w:hAnsi="Times New Roman"/>
          <w:u w:val="single"/>
        </w:rPr>
        <w:lastRenderedPageBreak/>
        <w:t>Audit Recordkeeping</w:t>
      </w:r>
      <w:r>
        <w:rPr>
          <w:rFonts w:ascii="Times New Roman" w:hAnsi="Times New Roman"/>
        </w:rPr>
        <w:t>.  This hour burden arises from the proposed requirement that swap dealers and major swap participants make and maintain records of the results of their annual audits to examin</w:t>
      </w:r>
      <w:r>
        <w:rPr>
          <w:rFonts w:ascii="Times New Roman" w:hAnsi="Times New Roman"/>
        </w:rPr>
        <w:t>e for compliance with the requirements of the proposed regulations.</w:t>
      </w:r>
    </w:p>
    <w:p w:rsidR="00F80A48" w:rsidRDefault="00F80A48">
      <w:pPr>
        <w:jc w:val="both"/>
        <w:rPr>
          <w:rFonts w:ascii="Times New Roman" w:hAnsi="Times New Roman"/>
        </w:rPr>
      </w:pPr>
    </w:p>
    <w:p w:rsidR="00F80A48" w:rsidRDefault="007C23B8">
      <w:pPr>
        <w:jc w:val="both"/>
        <w:rPr>
          <w:rFonts w:ascii="Times New Roman" w:hAnsi="Times New Roman"/>
        </w:rPr>
      </w:pPr>
      <w:r>
        <w:rPr>
          <w:rFonts w:ascii="Times New Roman" w:hAnsi="Times New Roman"/>
        </w:rPr>
        <w:t>Number of registrants:  300</w:t>
      </w:r>
    </w:p>
    <w:p w:rsidR="00F80A48" w:rsidRDefault="007C23B8">
      <w:pPr>
        <w:jc w:val="both"/>
        <w:rPr>
          <w:rFonts w:ascii="Times New Roman" w:hAnsi="Times New Roman"/>
        </w:rPr>
      </w:pPr>
      <w:r>
        <w:rPr>
          <w:rFonts w:ascii="Times New Roman" w:hAnsi="Times New Roman"/>
        </w:rPr>
        <w:t>Frequency of collection:  Annually</w:t>
      </w:r>
    </w:p>
    <w:p w:rsidR="00F80A48" w:rsidRDefault="007C23B8">
      <w:pPr>
        <w:jc w:val="both"/>
        <w:rPr>
          <w:rFonts w:ascii="Times New Roman" w:hAnsi="Times New Roman"/>
        </w:rPr>
      </w:pPr>
      <w:r>
        <w:rPr>
          <w:rFonts w:ascii="Times New Roman" w:hAnsi="Times New Roman"/>
        </w:rPr>
        <w:t>Estimated number of annual responses per registrant:  1</w:t>
      </w:r>
    </w:p>
    <w:p w:rsidR="00F80A48" w:rsidRDefault="007C23B8">
      <w:pPr>
        <w:jc w:val="both"/>
        <w:rPr>
          <w:rFonts w:ascii="Times New Roman" w:hAnsi="Times New Roman"/>
        </w:rPr>
      </w:pPr>
      <w:r>
        <w:rPr>
          <w:rFonts w:ascii="Times New Roman" w:hAnsi="Times New Roman"/>
        </w:rPr>
        <w:t xml:space="preserve">Estimated aggregate number of annual responses:  300 [300 </w:t>
      </w:r>
      <w:r>
        <w:rPr>
          <w:rFonts w:ascii="Times New Roman" w:hAnsi="Times New Roman"/>
        </w:rPr>
        <w:t>registrants x 1]</w:t>
      </w:r>
    </w:p>
    <w:p w:rsidR="00F80A48" w:rsidRDefault="007C23B8">
      <w:pPr>
        <w:jc w:val="both"/>
        <w:rPr>
          <w:rFonts w:ascii="Times New Roman" w:hAnsi="Times New Roman"/>
        </w:rPr>
      </w:pPr>
      <w:r>
        <w:rPr>
          <w:rFonts w:ascii="Times New Roman" w:hAnsi="Times New Roman"/>
        </w:rPr>
        <w:t>Estimated annual hour burden per registrant:  4</w:t>
      </w:r>
    </w:p>
    <w:p w:rsidR="00F80A48" w:rsidRDefault="007C23B8">
      <w:pPr>
        <w:jc w:val="both"/>
        <w:rPr>
          <w:rFonts w:ascii="Times New Roman" w:hAnsi="Times New Roman"/>
        </w:rPr>
      </w:pPr>
      <w:r>
        <w:rPr>
          <w:rFonts w:ascii="Times New Roman" w:hAnsi="Times New Roman"/>
        </w:rPr>
        <w:t>Estimated aggregate annual hour burden:  1,200 [300 registrants x 4 hours]</w:t>
      </w:r>
    </w:p>
    <w:p w:rsidR="00F80A48" w:rsidRDefault="00F80A48">
      <w:pPr>
        <w:jc w:val="both"/>
        <w:rPr>
          <w:rFonts w:ascii="Times New Roman" w:hAnsi="Times New Roman"/>
          <w:u w:val="single"/>
        </w:rPr>
      </w:pPr>
    </w:p>
    <w:p w:rsidR="00F80A48" w:rsidRDefault="007C23B8">
      <w:pPr>
        <w:jc w:val="both"/>
        <w:rPr>
          <w:rFonts w:ascii="Times New Roman" w:hAnsi="Times New Roman"/>
        </w:rPr>
      </w:pPr>
      <w:r>
        <w:rPr>
          <w:rFonts w:ascii="Times New Roman" w:hAnsi="Times New Roman"/>
          <w:u w:val="single"/>
        </w:rPr>
        <w:t>Valuation Dispute Reporting</w:t>
      </w:r>
      <w:r>
        <w:rPr>
          <w:rFonts w:ascii="Times New Roman" w:hAnsi="Times New Roman"/>
        </w:rPr>
        <w:t>.  This hour burden arises from the proposed requirement that swap dealers and major swa</w:t>
      </w:r>
      <w:r>
        <w:rPr>
          <w:rFonts w:ascii="Times New Roman" w:hAnsi="Times New Roman"/>
        </w:rPr>
        <w:t>p participants submit reports of certain unresolved valuation disputes.</w:t>
      </w:r>
    </w:p>
    <w:p w:rsidR="00F80A48" w:rsidRDefault="00F80A48">
      <w:pPr>
        <w:jc w:val="both"/>
        <w:rPr>
          <w:rFonts w:ascii="Times New Roman" w:hAnsi="Times New Roman"/>
        </w:rPr>
      </w:pPr>
    </w:p>
    <w:p w:rsidR="00F80A48" w:rsidRDefault="007C23B8">
      <w:pPr>
        <w:jc w:val="both"/>
        <w:rPr>
          <w:rFonts w:ascii="Times New Roman" w:hAnsi="Times New Roman"/>
        </w:rPr>
      </w:pPr>
      <w:r>
        <w:rPr>
          <w:rFonts w:ascii="Times New Roman" w:hAnsi="Times New Roman"/>
        </w:rPr>
        <w:t>Number of registrants:  300</w:t>
      </w:r>
    </w:p>
    <w:p w:rsidR="00F80A48" w:rsidRDefault="007C23B8">
      <w:pPr>
        <w:jc w:val="both"/>
        <w:rPr>
          <w:rFonts w:ascii="Times New Roman" w:hAnsi="Times New Roman"/>
        </w:rPr>
      </w:pPr>
      <w:r>
        <w:rPr>
          <w:rFonts w:ascii="Times New Roman" w:hAnsi="Times New Roman"/>
        </w:rPr>
        <w:t>Frequency of collection:  As applicable</w:t>
      </w:r>
    </w:p>
    <w:p w:rsidR="00F80A48" w:rsidRDefault="007C23B8">
      <w:pPr>
        <w:jc w:val="both"/>
        <w:rPr>
          <w:rFonts w:ascii="Times New Roman" w:hAnsi="Times New Roman"/>
        </w:rPr>
      </w:pPr>
      <w:r>
        <w:rPr>
          <w:rFonts w:ascii="Times New Roman" w:hAnsi="Times New Roman"/>
        </w:rPr>
        <w:t>Estimated number of annual responses per registrant:  240</w:t>
      </w:r>
    </w:p>
    <w:p w:rsidR="00F80A48" w:rsidRDefault="007C23B8">
      <w:pPr>
        <w:jc w:val="both"/>
        <w:rPr>
          <w:rFonts w:ascii="Times New Roman" w:hAnsi="Times New Roman"/>
        </w:rPr>
      </w:pPr>
      <w:r>
        <w:rPr>
          <w:rFonts w:ascii="Times New Roman" w:hAnsi="Times New Roman"/>
        </w:rPr>
        <w:t xml:space="preserve">Estimated aggregate number of annual responses:  72,000 </w:t>
      </w:r>
      <w:r>
        <w:rPr>
          <w:rFonts w:ascii="Times New Roman" w:hAnsi="Times New Roman"/>
        </w:rPr>
        <w:t>[300 registrants x 240 responses]</w:t>
      </w:r>
    </w:p>
    <w:p w:rsidR="00F80A48" w:rsidRDefault="007C23B8">
      <w:pPr>
        <w:jc w:val="both"/>
        <w:rPr>
          <w:rFonts w:ascii="Times New Roman" w:hAnsi="Times New Roman"/>
        </w:rPr>
      </w:pPr>
      <w:r>
        <w:rPr>
          <w:rFonts w:ascii="Times New Roman" w:hAnsi="Times New Roman"/>
        </w:rPr>
        <w:t xml:space="preserve">Estimated annual hour burden per registrant: 24 </w:t>
      </w:r>
    </w:p>
    <w:p w:rsidR="00F80A48" w:rsidRDefault="007C23B8">
      <w:pPr>
        <w:jc w:val="both"/>
        <w:rPr>
          <w:rFonts w:ascii="Times New Roman" w:hAnsi="Times New Roman"/>
        </w:rPr>
      </w:pPr>
      <w:r>
        <w:rPr>
          <w:rFonts w:ascii="Times New Roman" w:hAnsi="Times New Roman"/>
        </w:rPr>
        <w:t>Estimated aggregate annual hour burden:  7,200 [300 registrants x 24 hours]</w:t>
      </w:r>
    </w:p>
    <w:p w:rsidR="00F80A48" w:rsidRDefault="00F80A48">
      <w:pPr>
        <w:jc w:val="both"/>
        <w:rPr>
          <w:rFonts w:ascii="Times New Roman" w:hAnsi="Times New Roman"/>
          <w:u w:val="single"/>
        </w:rPr>
      </w:pPr>
    </w:p>
    <w:p w:rsidR="00F80A48" w:rsidRDefault="007C23B8">
      <w:pPr>
        <w:jc w:val="both"/>
        <w:rPr>
          <w:rFonts w:ascii="Times New Roman" w:hAnsi="Times New Roman"/>
        </w:rPr>
      </w:pPr>
      <w:proofErr w:type="gramStart"/>
      <w:r>
        <w:rPr>
          <w:rFonts w:ascii="Times New Roman" w:hAnsi="Times New Roman"/>
          <w:u w:val="single"/>
        </w:rPr>
        <w:t>End user Exception Documentation Recordkeeping</w:t>
      </w:r>
      <w:r>
        <w:rPr>
          <w:rFonts w:ascii="Times New Roman" w:hAnsi="Times New Roman"/>
        </w:rPr>
        <w:t>.</w:t>
      </w:r>
      <w:proofErr w:type="gramEnd"/>
      <w:r>
        <w:rPr>
          <w:rFonts w:ascii="Times New Roman" w:hAnsi="Times New Roman"/>
        </w:rPr>
        <w:t xml:space="preserve">  This hourly burden arises from the proposed req</w:t>
      </w:r>
      <w:r>
        <w:rPr>
          <w:rFonts w:ascii="Times New Roman" w:hAnsi="Times New Roman"/>
        </w:rPr>
        <w:t>uirement that swap dealers and major swap participants make and maintain records of their end user exception documentation.</w:t>
      </w:r>
    </w:p>
    <w:p w:rsidR="00F80A48" w:rsidRDefault="00F80A48">
      <w:pPr>
        <w:jc w:val="both"/>
        <w:rPr>
          <w:rFonts w:ascii="Times New Roman" w:hAnsi="Times New Roman"/>
        </w:rPr>
      </w:pPr>
    </w:p>
    <w:p w:rsidR="00F80A48" w:rsidRDefault="007C23B8">
      <w:pPr>
        <w:jc w:val="both"/>
        <w:rPr>
          <w:rFonts w:ascii="Times New Roman" w:hAnsi="Times New Roman"/>
        </w:rPr>
      </w:pPr>
      <w:r>
        <w:rPr>
          <w:rFonts w:ascii="Times New Roman" w:hAnsi="Times New Roman"/>
        </w:rPr>
        <w:t>Number of registrants:   300</w:t>
      </w:r>
    </w:p>
    <w:p w:rsidR="00F80A48" w:rsidRDefault="007C23B8">
      <w:pPr>
        <w:jc w:val="both"/>
        <w:rPr>
          <w:rFonts w:ascii="Times New Roman" w:hAnsi="Times New Roman"/>
        </w:rPr>
      </w:pPr>
      <w:r>
        <w:rPr>
          <w:rFonts w:ascii="Times New Roman" w:hAnsi="Times New Roman"/>
        </w:rPr>
        <w:t xml:space="preserve">Frequency of collection:  once per applicable counterparty </w:t>
      </w:r>
    </w:p>
    <w:p w:rsidR="00F80A48" w:rsidRDefault="007C23B8">
      <w:pPr>
        <w:jc w:val="both"/>
        <w:rPr>
          <w:rFonts w:ascii="Times New Roman" w:hAnsi="Times New Roman"/>
        </w:rPr>
      </w:pPr>
      <w:r>
        <w:rPr>
          <w:rFonts w:ascii="Times New Roman" w:hAnsi="Times New Roman"/>
        </w:rPr>
        <w:t>Estimated number of annual responses per r</w:t>
      </w:r>
      <w:r>
        <w:rPr>
          <w:rFonts w:ascii="Times New Roman" w:hAnsi="Times New Roman"/>
        </w:rPr>
        <w:t>egistrant:   220</w:t>
      </w:r>
      <w:r>
        <w:rPr>
          <w:rStyle w:val="FootnoteReference"/>
          <w:rFonts w:ascii="Times New Roman" w:hAnsi="Times New Roman"/>
        </w:rPr>
        <w:footnoteReference w:id="6"/>
      </w:r>
      <w:r>
        <w:rPr>
          <w:rFonts w:ascii="Times New Roman" w:hAnsi="Times New Roman"/>
        </w:rPr>
        <w:t xml:space="preserve"> </w:t>
      </w:r>
    </w:p>
    <w:p w:rsidR="00F80A48" w:rsidRDefault="007C23B8">
      <w:pPr>
        <w:jc w:val="both"/>
        <w:rPr>
          <w:rFonts w:ascii="Times New Roman" w:hAnsi="Times New Roman"/>
        </w:rPr>
      </w:pPr>
      <w:r>
        <w:rPr>
          <w:rFonts w:ascii="Times New Roman" w:hAnsi="Times New Roman"/>
        </w:rPr>
        <w:t>Estimated aggregate number of annual responses:  66,000 [300 registrants x 220 responses]</w:t>
      </w:r>
    </w:p>
    <w:p w:rsidR="00F80A48" w:rsidRDefault="007C23B8">
      <w:pPr>
        <w:jc w:val="both"/>
        <w:rPr>
          <w:rFonts w:ascii="Times New Roman" w:hAnsi="Times New Roman"/>
        </w:rPr>
      </w:pPr>
      <w:r>
        <w:rPr>
          <w:rFonts w:ascii="Times New Roman" w:hAnsi="Times New Roman"/>
        </w:rPr>
        <w:t>Estimated annual hour burden per registrant:  220 [220 responses x 1 hour per response]</w:t>
      </w:r>
    </w:p>
    <w:p w:rsidR="00F80A48" w:rsidRDefault="007C23B8">
      <w:pPr>
        <w:jc w:val="both"/>
        <w:rPr>
          <w:rFonts w:ascii="Times New Roman" w:hAnsi="Times New Roman"/>
        </w:rPr>
      </w:pPr>
      <w:r>
        <w:rPr>
          <w:rFonts w:ascii="Times New Roman" w:hAnsi="Times New Roman"/>
        </w:rPr>
        <w:t>Estimated aggregate annual hour burden:  66,000 [300 regist</w:t>
      </w:r>
      <w:r>
        <w:rPr>
          <w:rFonts w:ascii="Times New Roman" w:hAnsi="Times New Roman"/>
        </w:rPr>
        <w:t>rants x 220 responses]</w:t>
      </w:r>
    </w:p>
    <w:p w:rsidR="00F80A48" w:rsidRDefault="00F8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F80A48" w:rsidRDefault="007C23B8">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 xml:space="preserve">Provide an estimate of the total annual cost burden to respondents or </w:t>
      </w:r>
      <w:proofErr w:type="spellStart"/>
      <w:r>
        <w:rPr>
          <w:rFonts w:ascii="Times New Roman" w:hAnsi="Times New Roman"/>
          <w:b/>
        </w:rPr>
        <w:t>recordkeepers</w:t>
      </w:r>
      <w:proofErr w:type="spellEnd"/>
      <w:r>
        <w:rPr>
          <w:rFonts w:ascii="Times New Roman" w:hAnsi="Times New Roman"/>
          <w:b/>
        </w:rPr>
        <w:t xml:space="preserve"> resulting from the collection of information.  (Do not include the cost of any hour burden shown in Items 12 and 14).</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w:t>
      </w:r>
      <w:r>
        <w:rPr>
          <w:rFonts w:ascii="Times New Roman" w:hAnsi="Times New Roman"/>
          <w:b/>
        </w:rPr>
        <w:t>e split into two components; (a) a total capital and start-up cost component (annualized over its expected useful life) and (b) a total operation and maintenance and purchase of services component.  The estimates should take into account costs associated w</w:t>
      </w:r>
      <w:r>
        <w:rPr>
          <w:rFonts w:ascii="Times New Roman" w:hAnsi="Times New Roman"/>
          <w:b/>
        </w:rPr>
        <w:t>ith generating, maintaining, and disclosing or providing the information.  Include descriptions of methods used to estimate major costs factors including system and technology acquisition, expected useful life of capital equipment, the discount rate(s), an</w:t>
      </w:r>
      <w:r>
        <w:rPr>
          <w:rFonts w:ascii="Times New Roman" w:hAnsi="Times New Roman"/>
          <w:b/>
        </w:rPr>
        <w:t xml:space="preserve">d the time </w:t>
      </w:r>
      <w:r>
        <w:rPr>
          <w:rFonts w:ascii="Times New Roman" w:hAnsi="Times New Roman"/>
          <w:b/>
        </w:rPr>
        <w:lastRenderedPageBreak/>
        <w:t>period over which costs will be incurred.  Capital and start-up costs include, among other items, preparations for collecting information such as purchasing computers and software, monitoring, sampling, drilling and testing equipment, and record</w:t>
      </w:r>
      <w:r>
        <w:rPr>
          <w:rFonts w:ascii="Times New Roman" w:hAnsi="Times New Roman"/>
          <w:b/>
        </w:rPr>
        <w:t xml:space="preserve"> storage facilities.</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w:t>
      </w:r>
      <w:r>
        <w:rPr>
          <w:rFonts w:ascii="Times New Roman" w:hAnsi="Times New Roman"/>
          <w:b/>
        </w:rPr>
        <w:t xml:space="preserve"> cost burden estimate, agencies may consult with a sample of respondents (fewer than ten), utilize the 60-day pre-OMB submission public comment process and use existing economic or regulatory impact analysis associated with the rulemaking containing the in</w:t>
      </w:r>
      <w:r>
        <w:rPr>
          <w:rFonts w:ascii="Times New Roman" w:hAnsi="Times New Roman"/>
          <w:b/>
        </w:rPr>
        <w:t>formation collection, as appropriate.</w:t>
      </w:r>
    </w:p>
    <w:p w:rsidR="00F80A48" w:rsidRDefault="007C23B8">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w:t>
      </w:r>
      <w:r>
        <w:rPr>
          <w:rFonts w:ascii="Times New Roman" w:hAnsi="Times New Roman"/>
          <w:b/>
        </w:rPr>
        <w:t>ation collection, (3) for reasons other than to provide information or keep records for the government, or (4) as part of customary and usual business or private practices.</w:t>
      </w:r>
    </w:p>
    <w:p w:rsidR="00F80A48" w:rsidRDefault="007C23B8">
      <w:pPr>
        <w:jc w:val="both"/>
        <w:rPr>
          <w:rFonts w:ascii="Times New Roman" w:hAnsi="Times New Roman"/>
        </w:rPr>
      </w:pPr>
      <w:r>
        <w:rPr>
          <w:rFonts w:ascii="Times New Roman" w:hAnsi="Times New Roman"/>
        </w:rPr>
        <w:t>In addition to the per hour burden discussed above, the Commission anticipates that swap dealers and major swap participants may incur certain start-up costs in connection with the proposed recordkeeping obligations.  Such costs would include the expenditu</w:t>
      </w:r>
      <w:r>
        <w:rPr>
          <w:rFonts w:ascii="Times New Roman" w:hAnsi="Times New Roman"/>
        </w:rPr>
        <w:t>res related to developing and installing new recordkeeping technology or re-programming or updating existing recordkeeping technology and systems to enable the swap dealer or major swap participant to collect, maintain, and re-produce any newly required re</w:t>
      </w:r>
      <w:r>
        <w:rPr>
          <w:rFonts w:ascii="Times New Roman" w:hAnsi="Times New Roman"/>
        </w:rPr>
        <w:t>cords.  The Commission believes that swap dealers and major swap participants generally could adapt their current infrastructure to accommodate the new or amended technology and thus, no significant infrastructure expenditures would be needed. The Commissi</w:t>
      </w:r>
      <w:r>
        <w:rPr>
          <w:rFonts w:ascii="Times New Roman" w:hAnsi="Times New Roman"/>
        </w:rPr>
        <w:t xml:space="preserve">on estimates the programming burden hours associated with technology improvements to be 40 hours.  </w:t>
      </w:r>
    </w:p>
    <w:p w:rsidR="00F80A48" w:rsidRDefault="00F80A48">
      <w:pPr>
        <w:jc w:val="both"/>
        <w:rPr>
          <w:rFonts w:ascii="Times New Roman" w:hAnsi="Times New Roman"/>
        </w:rPr>
      </w:pPr>
    </w:p>
    <w:p w:rsidR="00F80A48" w:rsidRDefault="007C23B8">
      <w:pPr>
        <w:jc w:val="both"/>
        <w:rPr>
          <w:rFonts w:ascii="Times New Roman" w:hAnsi="Times New Roman"/>
        </w:rPr>
      </w:pPr>
      <w:r>
        <w:rPr>
          <w:rFonts w:ascii="Times New Roman" w:hAnsi="Times New Roman"/>
        </w:rPr>
        <w:t xml:space="preserve">According to recent Bureau of Labor Statistics findings, the mean hourly wages of computer programmers under occupation code 15-1021 and computer software </w:t>
      </w:r>
      <w:r>
        <w:rPr>
          <w:rFonts w:ascii="Times New Roman" w:hAnsi="Times New Roman"/>
        </w:rPr>
        <w:t>engineers under program codes 15-1031 and 1032 are between $34.10 and $44.94.</w:t>
      </w:r>
      <w:r>
        <w:rPr>
          <w:rStyle w:val="FootnoteReference"/>
          <w:rFonts w:ascii="Times New Roman" w:hAnsi="Times New Roman"/>
        </w:rPr>
        <w:footnoteReference w:id="7"/>
      </w:r>
      <w:r>
        <w:rPr>
          <w:rFonts w:ascii="Times New Roman" w:hAnsi="Times New Roman"/>
        </w:rPr>
        <w:t xml:space="preserve">  Because swap dealers and major swap participants generally will be large entities that may engage employees with wages above the mean, the Commission has conservatively chosen </w:t>
      </w:r>
      <w:r>
        <w:rPr>
          <w:rFonts w:ascii="Times New Roman" w:hAnsi="Times New Roman"/>
        </w:rPr>
        <w:t>to use a mean hourly programming wage of $60 per hour.  Accordingly, the start-up burden associated with the required technological improvements would be $2,400 [$60 x 40 hours per affected registrant] or $720,000 in the aggregate.</w:t>
      </w:r>
    </w:p>
    <w:p w:rsidR="00F80A48" w:rsidRDefault="00F80A48">
      <w:pPr>
        <w:jc w:val="both"/>
        <w:rPr>
          <w:rFonts w:ascii="Times New Roman" w:hAnsi="Times New Roman"/>
        </w:rPr>
      </w:pPr>
    </w:p>
    <w:p w:rsidR="00F80A48" w:rsidRDefault="007C23B8">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Provide estimates o</w:t>
      </w:r>
      <w:r>
        <w:rPr>
          <w:rFonts w:ascii="Times New Roman" w:hAnsi="Times New Roman"/>
          <w:b/>
        </w:rPr>
        <w:t>f the annualized costs to the Federal Government.  Also provide a description of the method used to estimate cost, which should include quantification of hours, operational expenses (such as equipment, overhead, printing and support staff), and any other e</w:t>
      </w:r>
      <w:r>
        <w:rPr>
          <w:rFonts w:ascii="Times New Roman" w:hAnsi="Times New Roman"/>
          <w:b/>
        </w:rPr>
        <w:t xml:space="preserve">xpense that would not have been </w:t>
      </w:r>
      <w:r>
        <w:rPr>
          <w:rFonts w:ascii="Times New Roman" w:hAnsi="Times New Roman"/>
          <w:b/>
        </w:rPr>
        <w:lastRenderedPageBreak/>
        <w:t xml:space="preserve">incurred without this collection of information.  Agencies may also aggregate cost estimates from Items 12, 13, and 14 in a single table.  </w:t>
      </w:r>
    </w:p>
    <w:p w:rsidR="00F80A48" w:rsidRDefault="007C23B8">
      <w:pPr>
        <w:tabs>
          <w:tab w:val="left" w:pos="-720"/>
        </w:tabs>
        <w:spacing w:after="240"/>
        <w:jc w:val="both"/>
        <w:rPr>
          <w:rFonts w:ascii="Times New Roman" w:hAnsi="Times New Roman"/>
        </w:rPr>
      </w:pPr>
      <w:r>
        <w:rPr>
          <w:rFonts w:ascii="Times New Roman" w:hAnsi="Times New Roman"/>
        </w:rPr>
        <w:t>It is not anticipated that the proposed regulations would impose any additional cost</w:t>
      </w:r>
      <w:r>
        <w:rPr>
          <w:rFonts w:ascii="Times New Roman" w:hAnsi="Times New Roman"/>
        </w:rPr>
        <w:t>s to the Federal Government.</w:t>
      </w:r>
    </w:p>
    <w:p w:rsidR="00F80A48" w:rsidRDefault="007C23B8">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F80A48" w:rsidRDefault="007C23B8">
      <w:pPr>
        <w:tabs>
          <w:tab w:val="left" w:pos="-720"/>
        </w:tabs>
        <w:spacing w:after="240"/>
        <w:jc w:val="both"/>
        <w:rPr>
          <w:rFonts w:ascii="Times New Roman" w:hAnsi="Times New Roman"/>
        </w:rPr>
      </w:pPr>
      <w:r>
        <w:rPr>
          <w:rFonts w:ascii="Times New Roman" w:hAnsi="Times New Roman"/>
        </w:rPr>
        <w:t xml:space="preserve">The program changes or adjustments are required by the Dodd-Frank Act, which established a new regulatory scheme.  </w:t>
      </w:r>
    </w:p>
    <w:p w:rsidR="00F80A48" w:rsidRDefault="007C23B8">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r>
      <w:proofErr w:type="gramStart"/>
      <w:r>
        <w:rPr>
          <w:rFonts w:ascii="Times New Roman" w:hAnsi="Times New Roman"/>
          <w:b/>
        </w:rPr>
        <w:t>For</w:t>
      </w:r>
      <w:proofErr w:type="gramEnd"/>
      <w:r>
        <w:rPr>
          <w:rFonts w:ascii="Times New Roman" w:hAnsi="Times New Roman"/>
          <w:b/>
        </w:rPr>
        <w:t xml:space="preserve"> collection of information whose results are planned to be published for statistical use, outline plans for tabulation, statistical analysis, and publication.  Provide the time schedule for the entire project, including beginning and ending dates o</w:t>
      </w:r>
      <w:r>
        <w:rPr>
          <w:rFonts w:ascii="Times New Roman" w:hAnsi="Times New Roman"/>
          <w:b/>
        </w:rPr>
        <w:t>f the collection of information, completion of report, publication dates, and other actions.</w:t>
      </w:r>
    </w:p>
    <w:p w:rsidR="00F80A48" w:rsidRDefault="007C23B8">
      <w:pPr>
        <w:tabs>
          <w:tab w:val="left" w:pos="-720"/>
        </w:tabs>
        <w:spacing w:after="240"/>
        <w:jc w:val="both"/>
        <w:rPr>
          <w:rFonts w:ascii="Times New Roman" w:hAnsi="Times New Roman"/>
        </w:rPr>
      </w:pPr>
      <w:r>
        <w:rPr>
          <w:rFonts w:ascii="Times New Roman" w:hAnsi="Times New Roman"/>
        </w:rPr>
        <w:t>This question does not apply.</w:t>
      </w:r>
    </w:p>
    <w:p w:rsidR="00F80A48" w:rsidRDefault="007C23B8">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r>
      <w:proofErr w:type="gramStart"/>
      <w:r>
        <w:rPr>
          <w:rFonts w:ascii="Times New Roman" w:hAnsi="Times New Roman"/>
          <w:b/>
        </w:rPr>
        <w:t>If</w:t>
      </w:r>
      <w:proofErr w:type="gramEnd"/>
      <w:r>
        <w:rPr>
          <w:rFonts w:ascii="Times New Roman" w:hAnsi="Times New Roman"/>
          <w:b/>
        </w:rPr>
        <w:t xml:space="preserve"> seeking approval to not display the expiration date for OMB approval of the information collection, explain the reasons that d</w:t>
      </w:r>
      <w:r>
        <w:rPr>
          <w:rFonts w:ascii="Times New Roman" w:hAnsi="Times New Roman"/>
          <w:b/>
        </w:rPr>
        <w:t>isplay would be inappropriate.</w:t>
      </w:r>
    </w:p>
    <w:p w:rsidR="00F80A48" w:rsidRDefault="007C23B8">
      <w:pPr>
        <w:tabs>
          <w:tab w:val="left" w:pos="-720"/>
        </w:tabs>
        <w:spacing w:after="240"/>
        <w:jc w:val="both"/>
        <w:rPr>
          <w:rFonts w:ascii="Times New Roman" w:hAnsi="Times New Roman"/>
        </w:rPr>
      </w:pPr>
      <w:r>
        <w:rPr>
          <w:rFonts w:ascii="Times New Roman" w:hAnsi="Times New Roman"/>
        </w:rPr>
        <w:t>This question does not apply.</w:t>
      </w:r>
    </w:p>
    <w:p w:rsidR="00F80A48" w:rsidRDefault="007C23B8">
      <w:pPr>
        <w:keepNext/>
        <w:tabs>
          <w:tab w:val="left" w:pos="-720"/>
        </w:tabs>
        <w:spacing w:after="240"/>
        <w:ind w:left="720" w:hanging="720"/>
        <w:jc w:val="both"/>
        <w:rPr>
          <w:rFonts w:ascii="Times New Roman" w:hAnsi="Times New Roman"/>
          <w:b/>
        </w:rPr>
      </w:pPr>
      <w:proofErr w:type="gramStart"/>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roofErr w:type="gramEnd"/>
    </w:p>
    <w:p w:rsidR="00F80A48" w:rsidRDefault="007C23B8">
      <w:pPr>
        <w:tabs>
          <w:tab w:val="left" w:pos="-720"/>
        </w:tabs>
        <w:spacing w:after="240"/>
        <w:jc w:val="both"/>
        <w:rPr>
          <w:rFonts w:ascii="Times New Roman" w:hAnsi="Times New Roman"/>
        </w:rPr>
      </w:pPr>
      <w:r>
        <w:rPr>
          <w:rFonts w:ascii="Times New Roman" w:hAnsi="Times New Roman"/>
        </w:rPr>
        <w:t>This question does not apply.</w:t>
      </w:r>
    </w:p>
    <w:p w:rsidR="00F80A48" w:rsidRDefault="007C23B8">
      <w:pPr>
        <w:rPr>
          <w:rFonts w:ascii="Times New Roman" w:hAnsi="Times New Roman"/>
          <w:b/>
        </w:rPr>
      </w:pPr>
      <w:r>
        <w:br w:type="page"/>
      </w:r>
    </w:p>
    <w:p w:rsidR="00F80A48" w:rsidRDefault="007C23B8">
      <w:pPr>
        <w:pStyle w:val="Title"/>
        <w:spacing w:after="240"/>
        <w:rPr>
          <w:sz w:val="24"/>
          <w:szCs w:val="24"/>
        </w:rPr>
      </w:pPr>
      <w:r>
        <w:rPr>
          <w:sz w:val="24"/>
          <w:szCs w:val="24"/>
        </w:rPr>
        <w:lastRenderedPageBreak/>
        <w:t>Attachment A</w:t>
      </w:r>
    </w:p>
    <w:p w:rsidR="00F80A48" w:rsidRDefault="007C23B8">
      <w:pPr>
        <w:pStyle w:val="Title"/>
        <w:spacing w:after="240"/>
        <w:rPr>
          <w:sz w:val="24"/>
          <w:szCs w:val="24"/>
        </w:rPr>
      </w:pPr>
      <w:r>
        <w:rPr>
          <w:sz w:val="24"/>
          <w:szCs w:val="24"/>
        </w:rPr>
        <w:t>Part 23 – Swap Trading Relationship Documentation Requirements for Swap Dealers and Major Swap Participants</w:t>
      </w:r>
    </w:p>
    <w:p w:rsidR="00F80A48" w:rsidRDefault="007C23B8">
      <w:pPr>
        <w:pStyle w:val="Title"/>
        <w:spacing w:after="240"/>
        <w:rPr>
          <w:sz w:val="24"/>
          <w:szCs w:val="24"/>
        </w:rPr>
      </w:pPr>
      <w:r>
        <w:rPr>
          <w:sz w:val="24"/>
          <w:szCs w:val="24"/>
        </w:rPr>
        <w:t>OMB Collection File 3038-</w:t>
      </w:r>
    </w:p>
    <w:p w:rsidR="00F80A48" w:rsidRDefault="007C23B8">
      <w:pPr>
        <w:pStyle w:val="Title"/>
        <w:spacing w:line="360" w:lineRule="auto"/>
        <w:jc w:val="left"/>
        <w:rPr>
          <w:sz w:val="24"/>
          <w:szCs w:val="24"/>
        </w:rPr>
      </w:pPr>
      <w:r>
        <w:rPr>
          <w:b w:val="0"/>
          <w:sz w:val="24"/>
          <w:szCs w:val="24"/>
        </w:rPr>
        <w:t>Number of Registrants:  300</w:t>
      </w:r>
    </w:p>
    <w:p w:rsidR="00F80A48" w:rsidRDefault="007C23B8">
      <w:pPr>
        <w:pStyle w:val="Title"/>
        <w:tabs>
          <w:tab w:val="center" w:pos="7200"/>
        </w:tabs>
        <w:spacing w:line="360" w:lineRule="auto"/>
        <w:jc w:val="left"/>
        <w:rPr>
          <w:b w:val="0"/>
          <w:sz w:val="24"/>
          <w:szCs w:val="24"/>
        </w:rPr>
      </w:pPr>
      <w:r>
        <w:rPr>
          <w:b w:val="0"/>
          <w:sz w:val="24"/>
          <w:szCs w:val="24"/>
        </w:rPr>
        <w:t xml:space="preserve">Frequency of Recordkeeping/Reporting: </w:t>
      </w:r>
      <w:r>
        <w:rPr>
          <w:b w:val="0"/>
          <w:i/>
          <w:sz w:val="24"/>
          <w:szCs w:val="24"/>
        </w:rPr>
        <w:t>See</w:t>
      </w:r>
      <w:r>
        <w:rPr>
          <w:b w:val="0"/>
          <w:sz w:val="24"/>
          <w:szCs w:val="24"/>
        </w:rPr>
        <w:t xml:space="preserve"> table below (daily, annually, or as nee</w:t>
      </w:r>
      <w:r>
        <w:rPr>
          <w:b w:val="0"/>
          <w:sz w:val="24"/>
          <w:szCs w:val="24"/>
        </w:rPr>
        <w:t>ded)</w:t>
      </w:r>
    </w:p>
    <w:p w:rsidR="00F80A48" w:rsidRDefault="007C23B8">
      <w:pPr>
        <w:pStyle w:val="Title"/>
        <w:tabs>
          <w:tab w:val="center" w:pos="7200"/>
        </w:tabs>
        <w:spacing w:line="360" w:lineRule="auto"/>
        <w:jc w:val="left"/>
        <w:rPr>
          <w:b w:val="0"/>
          <w:sz w:val="24"/>
          <w:szCs w:val="24"/>
        </w:rPr>
      </w:pPr>
      <w:r>
        <w:rPr>
          <w:b w:val="0"/>
          <w:sz w:val="24"/>
          <w:szCs w:val="24"/>
        </w:rPr>
        <w:t xml:space="preserve">Start-up Cost </w:t>
      </w:r>
      <w:proofErr w:type="gramStart"/>
      <w:r>
        <w:rPr>
          <w:b w:val="0"/>
          <w:sz w:val="24"/>
          <w:szCs w:val="24"/>
        </w:rPr>
        <w:t>Per</w:t>
      </w:r>
      <w:proofErr w:type="gramEnd"/>
      <w:r>
        <w:rPr>
          <w:b w:val="0"/>
          <w:sz w:val="24"/>
          <w:szCs w:val="24"/>
        </w:rPr>
        <w:t xml:space="preserve"> Registrant:  $2,400</w:t>
      </w:r>
    </w:p>
    <w:p w:rsidR="00F80A48" w:rsidRDefault="007C23B8">
      <w:pPr>
        <w:spacing w:line="360" w:lineRule="auto"/>
        <w:jc w:val="both"/>
        <w:rPr>
          <w:rFonts w:ascii="Times New Roman" w:hAnsi="Times New Roman"/>
        </w:rPr>
      </w:pPr>
      <w:r>
        <w:rPr>
          <w:rFonts w:ascii="Times New Roman" w:hAnsi="Times New Roman"/>
        </w:rPr>
        <w:t>Aggregate Start-Up Cost:  $720,000</w:t>
      </w:r>
    </w:p>
    <w:p w:rsidR="00F80A48" w:rsidRDefault="007C23B8">
      <w:pPr>
        <w:spacing w:line="360" w:lineRule="auto"/>
        <w:jc w:val="both"/>
        <w:rPr>
          <w:rFonts w:ascii="Times New Roman" w:hAnsi="Times New Roman"/>
        </w:rPr>
      </w:pPr>
      <w:r>
        <w:rPr>
          <w:rFonts w:ascii="Times New Roman" w:hAnsi="Times New Roman"/>
        </w:rPr>
        <w:t xml:space="preserve">Estimated Average Burden Hours </w:t>
      </w:r>
      <w:proofErr w:type="gramStart"/>
      <w:r>
        <w:rPr>
          <w:rFonts w:ascii="Times New Roman" w:hAnsi="Times New Roman"/>
        </w:rPr>
        <w:t>Per</w:t>
      </w:r>
      <w:proofErr w:type="gramEnd"/>
      <w:r>
        <w:rPr>
          <w:rFonts w:ascii="Times New Roman" w:hAnsi="Times New Roman"/>
        </w:rPr>
        <w:t xml:space="preserve"> Registrant: 6,168</w:t>
      </w:r>
    </w:p>
    <w:p w:rsidR="00F80A48" w:rsidRDefault="007C23B8">
      <w:pPr>
        <w:spacing w:line="360" w:lineRule="auto"/>
        <w:jc w:val="both"/>
        <w:rPr>
          <w:rFonts w:ascii="Times New Roman" w:hAnsi="Times New Roman"/>
        </w:rPr>
      </w:pPr>
      <w:r>
        <w:rPr>
          <w:rFonts w:ascii="Times New Roman" w:hAnsi="Times New Roman"/>
        </w:rPr>
        <w:t>Estimated Aggregate Burden Hours:  1,850,400</w:t>
      </w:r>
    </w:p>
    <w:p w:rsidR="00F80A48" w:rsidRDefault="007C23B8">
      <w:pPr>
        <w:spacing w:line="360" w:lineRule="auto"/>
        <w:jc w:val="both"/>
        <w:rPr>
          <w:rFonts w:ascii="Times New Roman" w:hAnsi="Times New Roman"/>
        </w:rPr>
      </w:pPr>
      <w:r>
        <w:rPr>
          <w:rFonts w:ascii="Times New Roman" w:hAnsi="Times New Roman"/>
        </w:rPr>
        <w:t xml:space="preserve">Estimated Annual Cost </w:t>
      </w:r>
      <w:proofErr w:type="gramStart"/>
      <w:r>
        <w:rPr>
          <w:rFonts w:ascii="Times New Roman" w:hAnsi="Times New Roman"/>
        </w:rPr>
        <w:t>Per</w:t>
      </w:r>
      <w:proofErr w:type="gramEnd"/>
      <w:r>
        <w:rPr>
          <w:rFonts w:ascii="Times New Roman" w:hAnsi="Times New Roman"/>
        </w:rPr>
        <w:t xml:space="preserve"> Registrant:   $684,300</w:t>
      </w:r>
    </w:p>
    <w:p w:rsidR="00F80A48" w:rsidRDefault="007C23B8">
      <w:pPr>
        <w:spacing w:line="360" w:lineRule="auto"/>
        <w:jc w:val="both"/>
        <w:rPr>
          <w:rFonts w:ascii="Times New Roman" w:hAnsi="Times New Roman"/>
        </w:rPr>
      </w:pPr>
      <w:r>
        <w:rPr>
          <w:rFonts w:ascii="Times New Roman" w:hAnsi="Times New Roman"/>
        </w:rPr>
        <w:t xml:space="preserve">Estimated Aggregate Annual </w:t>
      </w:r>
      <w:r>
        <w:rPr>
          <w:rFonts w:ascii="Times New Roman" w:hAnsi="Times New Roman"/>
        </w:rPr>
        <w:t>Cost:   $205,290,000</w:t>
      </w:r>
    </w:p>
    <w:p w:rsidR="00F80A48" w:rsidRDefault="007C23B8">
      <w:pPr>
        <w:spacing w:line="360" w:lineRule="auto"/>
        <w:jc w:val="both"/>
        <w:rPr>
          <w:rFonts w:ascii="Times New Roman" w:hAnsi="Times New Roman"/>
        </w:rPr>
      </w:pPr>
      <w:r>
        <w:rPr>
          <w:rFonts w:ascii="Times New Roman" w:hAnsi="Times New Roman"/>
        </w:rPr>
        <w:t>% of Responses Collected Electronically:  100%</w:t>
      </w:r>
      <w:r>
        <w:rPr>
          <w:rFonts w:ascii="Times New Roman" w:hAnsi="Times New Roman"/>
        </w:rPr>
        <w:tab/>
      </w: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2"/>
        <w:gridCol w:w="1116"/>
        <w:gridCol w:w="1227"/>
        <w:gridCol w:w="1061"/>
        <w:gridCol w:w="1061"/>
        <w:gridCol w:w="1016"/>
        <w:gridCol w:w="1039"/>
        <w:gridCol w:w="1049"/>
        <w:gridCol w:w="15"/>
        <w:gridCol w:w="1024"/>
        <w:gridCol w:w="1216"/>
      </w:tblGrid>
      <w:tr w:rsidR="00F80A48">
        <w:trPr>
          <w:jc w:val="center"/>
        </w:trPr>
        <w:tc>
          <w:tcPr>
            <w:tcW w:w="1572" w:type="dxa"/>
          </w:tcPr>
          <w:p w:rsidR="00F80A48" w:rsidRDefault="007C23B8">
            <w:pPr>
              <w:jc w:val="center"/>
              <w:rPr>
                <w:rFonts w:ascii="Times New Roman" w:hAnsi="Times New Roman"/>
                <w:sz w:val="20"/>
                <w:szCs w:val="20"/>
              </w:rPr>
            </w:pPr>
            <w:r>
              <w:rPr>
                <w:rFonts w:ascii="Times New Roman" w:hAnsi="Times New Roman"/>
                <w:sz w:val="20"/>
                <w:szCs w:val="20"/>
              </w:rPr>
              <w:t>Requirement</w:t>
            </w:r>
          </w:p>
        </w:tc>
        <w:tc>
          <w:tcPr>
            <w:tcW w:w="1116" w:type="dxa"/>
          </w:tcPr>
          <w:p w:rsidR="00F80A48" w:rsidRDefault="007C23B8">
            <w:pPr>
              <w:jc w:val="center"/>
              <w:rPr>
                <w:rFonts w:ascii="Times New Roman" w:hAnsi="Times New Roman"/>
                <w:sz w:val="20"/>
                <w:szCs w:val="20"/>
              </w:rPr>
            </w:pPr>
            <w:r>
              <w:rPr>
                <w:rFonts w:ascii="Times New Roman" w:hAnsi="Times New Roman"/>
                <w:sz w:val="20"/>
                <w:szCs w:val="20"/>
              </w:rPr>
              <w:t>Estimated Number of Registrants Per Year</w:t>
            </w:r>
          </w:p>
        </w:tc>
        <w:tc>
          <w:tcPr>
            <w:tcW w:w="1227" w:type="dxa"/>
          </w:tcPr>
          <w:p w:rsidR="00F80A48" w:rsidRDefault="007C23B8">
            <w:pPr>
              <w:jc w:val="center"/>
              <w:rPr>
                <w:rFonts w:ascii="Times New Roman" w:hAnsi="Times New Roman"/>
                <w:sz w:val="20"/>
                <w:szCs w:val="20"/>
              </w:rPr>
            </w:pPr>
            <w:r>
              <w:rPr>
                <w:rFonts w:ascii="Times New Roman" w:hAnsi="Times New Roman"/>
                <w:sz w:val="20"/>
                <w:szCs w:val="20"/>
              </w:rPr>
              <w:t>Frequency of Response</w:t>
            </w:r>
          </w:p>
        </w:tc>
        <w:tc>
          <w:tcPr>
            <w:tcW w:w="1061" w:type="dxa"/>
          </w:tcPr>
          <w:p w:rsidR="00F80A48" w:rsidRDefault="007C23B8">
            <w:pPr>
              <w:jc w:val="center"/>
              <w:rPr>
                <w:rFonts w:ascii="Times New Roman" w:hAnsi="Times New Roman"/>
                <w:sz w:val="20"/>
                <w:szCs w:val="20"/>
              </w:rPr>
            </w:pPr>
            <w:r>
              <w:rPr>
                <w:rFonts w:ascii="Times New Roman" w:hAnsi="Times New Roman"/>
                <w:sz w:val="20"/>
                <w:szCs w:val="20"/>
              </w:rPr>
              <w:t>Number of Responses Per Registrant</w:t>
            </w:r>
          </w:p>
          <w:p w:rsidR="00F80A48" w:rsidRDefault="007C23B8">
            <w:pPr>
              <w:jc w:val="center"/>
              <w:rPr>
                <w:rFonts w:ascii="Times New Roman" w:hAnsi="Times New Roman"/>
                <w:sz w:val="20"/>
                <w:szCs w:val="20"/>
              </w:rPr>
            </w:pPr>
            <w:r>
              <w:rPr>
                <w:rFonts w:ascii="Times New Roman" w:hAnsi="Times New Roman"/>
                <w:sz w:val="20"/>
                <w:szCs w:val="20"/>
              </w:rPr>
              <w:t>Annually</w:t>
            </w:r>
          </w:p>
        </w:tc>
        <w:tc>
          <w:tcPr>
            <w:tcW w:w="1061" w:type="dxa"/>
          </w:tcPr>
          <w:p w:rsidR="00F80A48" w:rsidRDefault="007C23B8">
            <w:pPr>
              <w:jc w:val="center"/>
              <w:rPr>
                <w:rFonts w:ascii="Times New Roman" w:hAnsi="Times New Roman"/>
                <w:sz w:val="20"/>
                <w:szCs w:val="20"/>
              </w:rPr>
            </w:pPr>
            <w:r>
              <w:rPr>
                <w:rFonts w:ascii="Times New Roman" w:hAnsi="Times New Roman"/>
                <w:sz w:val="20"/>
                <w:szCs w:val="20"/>
              </w:rPr>
              <w:t>Aggregate</w:t>
            </w:r>
          </w:p>
          <w:p w:rsidR="00F80A48" w:rsidRDefault="007C23B8">
            <w:pPr>
              <w:jc w:val="center"/>
              <w:rPr>
                <w:rFonts w:ascii="Times New Roman" w:hAnsi="Times New Roman"/>
                <w:sz w:val="20"/>
                <w:szCs w:val="20"/>
              </w:rPr>
            </w:pPr>
            <w:r>
              <w:rPr>
                <w:rFonts w:ascii="Times New Roman" w:hAnsi="Times New Roman"/>
                <w:sz w:val="20"/>
                <w:szCs w:val="20"/>
              </w:rPr>
              <w:t>Number of  Responses</w:t>
            </w:r>
          </w:p>
          <w:p w:rsidR="00F80A48" w:rsidRDefault="007C23B8">
            <w:pPr>
              <w:jc w:val="center"/>
              <w:rPr>
                <w:rFonts w:ascii="Times New Roman" w:hAnsi="Times New Roman"/>
                <w:sz w:val="20"/>
                <w:szCs w:val="20"/>
              </w:rPr>
            </w:pPr>
            <w:r>
              <w:rPr>
                <w:rFonts w:ascii="Times New Roman" w:hAnsi="Times New Roman"/>
                <w:sz w:val="20"/>
                <w:szCs w:val="20"/>
              </w:rPr>
              <w:t>Annually</w:t>
            </w:r>
          </w:p>
          <w:p w:rsidR="00F80A48" w:rsidRDefault="00F80A48">
            <w:pPr>
              <w:jc w:val="center"/>
              <w:rPr>
                <w:rFonts w:ascii="Times New Roman" w:hAnsi="Times New Roman"/>
                <w:sz w:val="20"/>
                <w:szCs w:val="20"/>
              </w:rPr>
            </w:pPr>
          </w:p>
        </w:tc>
        <w:tc>
          <w:tcPr>
            <w:tcW w:w="1016" w:type="dxa"/>
          </w:tcPr>
          <w:p w:rsidR="00F80A48" w:rsidRDefault="007C23B8">
            <w:pPr>
              <w:jc w:val="center"/>
              <w:rPr>
                <w:rFonts w:ascii="Times New Roman" w:hAnsi="Times New Roman"/>
                <w:sz w:val="20"/>
                <w:szCs w:val="20"/>
              </w:rPr>
            </w:pPr>
            <w:r>
              <w:rPr>
                <w:rFonts w:ascii="Times New Roman" w:hAnsi="Times New Roman"/>
                <w:sz w:val="20"/>
                <w:szCs w:val="20"/>
              </w:rPr>
              <w:t>Estimated Average Number of</w:t>
            </w:r>
            <w:r>
              <w:rPr>
                <w:rFonts w:ascii="Times New Roman" w:hAnsi="Times New Roman"/>
                <w:sz w:val="20"/>
                <w:szCs w:val="20"/>
              </w:rPr>
              <w:t xml:space="preserve"> Hours Per Response</w:t>
            </w:r>
          </w:p>
          <w:p w:rsidR="00F80A48" w:rsidRDefault="00F80A48">
            <w:pPr>
              <w:jc w:val="center"/>
              <w:rPr>
                <w:rFonts w:ascii="Times New Roman" w:hAnsi="Times New Roman"/>
                <w:sz w:val="20"/>
                <w:szCs w:val="20"/>
              </w:rPr>
            </w:pPr>
          </w:p>
        </w:tc>
        <w:tc>
          <w:tcPr>
            <w:tcW w:w="1039" w:type="dxa"/>
          </w:tcPr>
          <w:p w:rsidR="00F80A48" w:rsidRDefault="007C23B8">
            <w:pPr>
              <w:jc w:val="center"/>
              <w:rPr>
                <w:rFonts w:ascii="Times New Roman" w:hAnsi="Times New Roman"/>
                <w:sz w:val="20"/>
                <w:szCs w:val="20"/>
              </w:rPr>
            </w:pPr>
            <w:r>
              <w:rPr>
                <w:rFonts w:ascii="Times New Roman" w:hAnsi="Times New Roman"/>
                <w:sz w:val="20"/>
                <w:szCs w:val="20"/>
              </w:rPr>
              <w:t>Estimated Annual Hour Burden Per Registrant</w:t>
            </w:r>
          </w:p>
          <w:p w:rsidR="00F80A48" w:rsidRDefault="00F80A48">
            <w:pPr>
              <w:jc w:val="center"/>
              <w:rPr>
                <w:rFonts w:ascii="Times New Roman" w:hAnsi="Times New Roman"/>
                <w:sz w:val="20"/>
                <w:szCs w:val="20"/>
              </w:rPr>
            </w:pPr>
          </w:p>
        </w:tc>
        <w:tc>
          <w:tcPr>
            <w:tcW w:w="1049" w:type="dxa"/>
          </w:tcPr>
          <w:p w:rsidR="00F80A48" w:rsidRDefault="007C23B8">
            <w:pPr>
              <w:jc w:val="center"/>
              <w:rPr>
                <w:rFonts w:ascii="Times New Roman" w:hAnsi="Times New Roman"/>
                <w:sz w:val="20"/>
                <w:szCs w:val="20"/>
              </w:rPr>
            </w:pPr>
            <w:r>
              <w:rPr>
                <w:rFonts w:ascii="Times New Roman" w:hAnsi="Times New Roman"/>
                <w:sz w:val="20"/>
                <w:szCs w:val="20"/>
              </w:rPr>
              <w:t>Estimated Aggregate Hour Burden</w:t>
            </w:r>
          </w:p>
        </w:tc>
        <w:tc>
          <w:tcPr>
            <w:tcW w:w="1039" w:type="dxa"/>
            <w:gridSpan w:val="2"/>
          </w:tcPr>
          <w:p w:rsidR="00F80A48" w:rsidRDefault="007C23B8">
            <w:pPr>
              <w:jc w:val="center"/>
              <w:rPr>
                <w:rFonts w:ascii="Times New Roman" w:hAnsi="Times New Roman"/>
                <w:sz w:val="20"/>
                <w:szCs w:val="20"/>
              </w:rPr>
            </w:pPr>
            <w:r>
              <w:rPr>
                <w:rFonts w:ascii="Times New Roman" w:hAnsi="Times New Roman"/>
                <w:sz w:val="20"/>
                <w:szCs w:val="20"/>
              </w:rPr>
              <w:t>Estimated Annual Cost Per Registrant</w:t>
            </w:r>
          </w:p>
          <w:p w:rsidR="00F80A48" w:rsidRDefault="00F80A48">
            <w:pPr>
              <w:jc w:val="center"/>
              <w:rPr>
                <w:rFonts w:ascii="Times New Roman" w:hAnsi="Times New Roman"/>
                <w:sz w:val="20"/>
                <w:szCs w:val="20"/>
              </w:rPr>
            </w:pPr>
          </w:p>
        </w:tc>
        <w:tc>
          <w:tcPr>
            <w:tcW w:w="1216" w:type="dxa"/>
          </w:tcPr>
          <w:p w:rsidR="00F80A48" w:rsidRDefault="007C23B8">
            <w:pPr>
              <w:jc w:val="center"/>
              <w:rPr>
                <w:rFonts w:ascii="Times New Roman" w:hAnsi="Times New Roman"/>
                <w:sz w:val="20"/>
                <w:szCs w:val="20"/>
              </w:rPr>
            </w:pPr>
            <w:r>
              <w:rPr>
                <w:rFonts w:ascii="Times New Roman" w:hAnsi="Times New Roman"/>
                <w:sz w:val="20"/>
                <w:szCs w:val="20"/>
              </w:rPr>
              <w:t>Estimated Aggregate Annual Cost</w:t>
            </w:r>
          </w:p>
          <w:p w:rsidR="00F80A48" w:rsidRDefault="00F80A48">
            <w:pPr>
              <w:jc w:val="center"/>
              <w:rPr>
                <w:rFonts w:ascii="Times New Roman" w:hAnsi="Times New Roman"/>
                <w:sz w:val="20"/>
                <w:szCs w:val="20"/>
              </w:rPr>
            </w:pPr>
          </w:p>
        </w:tc>
      </w:tr>
      <w:tr w:rsidR="00F80A48">
        <w:trPr>
          <w:jc w:val="center"/>
        </w:trPr>
        <w:tc>
          <w:tcPr>
            <w:tcW w:w="1572" w:type="dxa"/>
          </w:tcPr>
          <w:p w:rsidR="00F80A48" w:rsidRDefault="007C23B8">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w:t>
            </w:r>
          </w:p>
          <w:p w:rsidR="00F80A48" w:rsidRDefault="007C23B8">
            <w:pPr>
              <w:rPr>
                <w:rFonts w:ascii="Times New Roman" w:hAnsi="Times New Roman"/>
                <w:b/>
                <w:sz w:val="20"/>
                <w:szCs w:val="20"/>
              </w:rPr>
            </w:pPr>
            <w:r>
              <w:rPr>
                <w:rFonts w:ascii="Times New Roman" w:hAnsi="Times New Roman"/>
                <w:b/>
                <w:sz w:val="20"/>
                <w:szCs w:val="20"/>
              </w:rPr>
              <w:t>Drafting and Updating Policies and Procedures</w:t>
            </w:r>
          </w:p>
          <w:p w:rsidR="00F80A48" w:rsidRDefault="00F80A48">
            <w:pPr>
              <w:rPr>
                <w:rFonts w:ascii="Times New Roman" w:hAnsi="Times New Roman"/>
                <w:sz w:val="20"/>
                <w:szCs w:val="20"/>
              </w:rPr>
            </w:pPr>
          </w:p>
        </w:tc>
        <w:tc>
          <w:tcPr>
            <w:tcW w:w="1116" w:type="dxa"/>
          </w:tcPr>
          <w:p w:rsidR="00F80A48" w:rsidRDefault="007C23B8">
            <w:pPr>
              <w:rPr>
                <w:rFonts w:ascii="Times New Roman" w:hAnsi="Times New Roman"/>
                <w:sz w:val="20"/>
                <w:szCs w:val="20"/>
              </w:rPr>
            </w:pPr>
            <w:r>
              <w:rPr>
                <w:rFonts w:ascii="Times New Roman" w:hAnsi="Times New Roman"/>
                <w:sz w:val="20"/>
                <w:szCs w:val="20"/>
              </w:rPr>
              <w:t>300</w:t>
            </w:r>
          </w:p>
        </w:tc>
        <w:tc>
          <w:tcPr>
            <w:tcW w:w="1227" w:type="dxa"/>
          </w:tcPr>
          <w:p w:rsidR="00F80A48" w:rsidRDefault="007C23B8">
            <w:pPr>
              <w:rPr>
                <w:rFonts w:ascii="Times New Roman" w:hAnsi="Times New Roman"/>
                <w:sz w:val="20"/>
                <w:szCs w:val="20"/>
              </w:rPr>
            </w:pPr>
            <w:r>
              <w:rPr>
                <w:rFonts w:ascii="Times New Roman" w:hAnsi="Times New Roman"/>
                <w:sz w:val="20"/>
                <w:szCs w:val="20"/>
              </w:rPr>
              <w:t xml:space="preserve">Initial drafting, </w:t>
            </w:r>
            <w:r>
              <w:rPr>
                <w:rFonts w:ascii="Times New Roman" w:hAnsi="Times New Roman"/>
                <w:sz w:val="20"/>
                <w:szCs w:val="20"/>
              </w:rPr>
              <w:t>updating as needed</w:t>
            </w:r>
          </w:p>
        </w:tc>
        <w:tc>
          <w:tcPr>
            <w:tcW w:w="1061" w:type="dxa"/>
          </w:tcPr>
          <w:p w:rsidR="00F80A48" w:rsidRDefault="007C23B8">
            <w:pPr>
              <w:rPr>
                <w:rFonts w:ascii="Times New Roman" w:hAnsi="Times New Roman"/>
                <w:sz w:val="20"/>
                <w:szCs w:val="20"/>
              </w:rPr>
            </w:pPr>
            <w:r>
              <w:rPr>
                <w:rFonts w:ascii="Times New Roman" w:hAnsi="Times New Roman"/>
                <w:sz w:val="20"/>
                <w:szCs w:val="20"/>
              </w:rPr>
              <w:t>1</w:t>
            </w:r>
          </w:p>
        </w:tc>
        <w:tc>
          <w:tcPr>
            <w:tcW w:w="1061" w:type="dxa"/>
          </w:tcPr>
          <w:p w:rsidR="00F80A48" w:rsidRDefault="007C23B8">
            <w:pPr>
              <w:rPr>
                <w:rFonts w:ascii="Times New Roman" w:hAnsi="Times New Roman"/>
                <w:sz w:val="20"/>
                <w:szCs w:val="20"/>
              </w:rPr>
            </w:pPr>
            <w:r>
              <w:rPr>
                <w:rFonts w:ascii="Times New Roman" w:hAnsi="Times New Roman"/>
                <w:sz w:val="20"/>
                <w:szCs w:val="20"/>
              </w:rPr>
              <w:t>300</w:t>
            </w:r>
          </w:p>
        </w:tc>
        <w:tc>
          <w:tcPr>
            <w:tcW w:w="1016" w:type="dxa"/>
          </w:tcPr>
          <w:p w:rsidR="00F80A48" w:rsidRDefault="007C23B8">
            <w:pPr>
              <w:rPr>
                <w:rFonts w:ascii="Times New Roman" w:hAnsi="Times New Roman"/>
                <w:sz w:val="20"/>
                <w:szCs w:val="20"/>
              </w:rPr>
            </w:pPr>
            <w:r>
              <w:rPr>
                <w:rFonts w:ascii="Times New Roman" w:hAnsi="Times New Roman"/>
                <w:sz w:val="20"/>
                <w:szCs w:val="20"/>
              </w:rPr>
              <w:t>16</w:t>
            </w:r>
          </w:p>
        </w:tc>
        <w:tc>
          <w:tcPr>
            <w:tcW w:w="1039" w:type="dxa"/>
          </w:tcPr>
          <w:p w:rsidR="00F80A48" w:rsidRDefault="007C23B8">
            <w:pPr>
              <w:rPr>
                <w:rFonts w:ascii="Times New Roman" w:hAnsi="Times New Roman"/>
                <w:sz w:val="20"/>
                <w:szCs w:val="20"/>
              </w:rPr>
            </w:pPr>
            <w:r>
              <w:rPr>
                <w:rFonts w:ascii="Times New Roman" w:hAnsi="Times New Roman"/>
                <w:sz w:val="20"/>
                <w:szCs w:val="20"/>
              </w:rPr>
              <w:t xml:space="preserve"> 16 hours</w:t>
            </w:r>
          </w:p>
        </w:tc>
        <w:tc>
          <w:tcPr>
            <w:tcW w:w="1049" w:type="dxa"/>
          </w:tcPr>
          <w:p w:rsidR="00F80A48" w:rsidRDefault="007C23B8">
            <w:pPr>
              <w:rPr>
                <w:rFonts w:ascii="Times New Roman" w:hAnsi="Times New Roman"/>
                <w:sz w:val="20"/>
                <w:szCs w:val="20"/>
              </w:rPr>
            </w:pPr>
            <w:r>
              <w:rPr>
                <w:rFonts w:ascii="Times New Roman" w:hAnsi="Times New Roman"/>
                <w:sz w:val="20"/>
                <w:szCs w:val="20"/>
              </w:rPr>
              <w:t>4,800 hours</w:t>
            </w:r>
          </w:p>
        </w:tc>
        <w:tc>
          <w:tcPr>
            <w:tcW w:w="1039" w:type="dxa"/>
            <w:gridSpan w:val="2"/>
          </w:tcPr>
          <w:p w:rsidR="00F80A48" w:rsidRDefault="007C23B8">
            <w:pPr>
              <w:rPr>
                <w:rFonts w:ascii="Times New Roman" w:hAnsi="Times New Roman"/>
                <w:sz w:val="20"/>
                <w:szCs w:val="20"/>
              </w:rPr>
            </w:pPr>
            <w:r>
              <w:rPr>
                <w:rFonts w:ascii="Times New Roman" w:hAnsi="Times New Roman"/>
                <w:sz w:val="20"/>
                <w:szCs w:val="20"/>
              </w:rPr>
              <w:t>1,600</w:t>
            </w:r>
          </w:p>
        </w:tc>
        <w:tc>
          <w:tcPr>
            <w:tcW w:w="1216" w:type="dxa"/>
          </w:tcPr>
          <w:p w:rsidR="00F80A48" w:rsidRDefault="007C23B8">
            <w:pPr>
              <w:rPr>
                <w:rFonts w:ascii="Times New Roman" w:hAnsi="Times New Roman"/>
                <w:sz w:val="20"/>
                <w:szCs w:val="20"/>
              </w:rPr>
            </w:pPr>
            <w:r>
              <w:rPr>
                <w:rFonts w:ascii="Times New Roman" w:hAnsi="Times New Roman"/>
                <w:sz w:val="20"/>
                <w:szCs w:val="20"/>
              </w:rPr>
              <w:t>480,000</w:t>
            </w:r>
          </w:p>
        </w:tc>
      </w:tr>
      <w:tr w:rsidR="00F80A48">
        <w:trPr>
          <w:jc w:val="center"/>
        </w:trPr>
        <w:tc>
          <w:tcPr>
            <w:tcW w:w="1572" w:type="dxa"/>
          </w:tcPr>
          <w:p w:rsidR="00F80A48" w:rsidRDefault="007C23B8">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w:t>
            </w:r>
          </w:p>
          <w:p w:rsidR="00F80A48" w:rsidRDefault="007C23B8">
            <w:pPr>
              <w:rPr>
                <w:rFonts w:ascii="Times New Roman" w:hAnsi="Times New Roman"/>
                <w:b/>
                <w:sz w:val="20"/>
                <w:szCs w:val="20"/>
              </w:rPr>
            </w:pPr>
            <w:r>
              <w:rPr>
                <w:rFonts w:ascii="Times New Roman" w:hAnsi="Times New Roman"/>
                <w:b/>
                <w:sz w:val="20"/>
                <w:szCs w:val="20"/>
              </w:rPr>
              <w:t>Swap Trading Relationship Documentation (excluding cleared swap records)</w:t>
            </w:r>
          </w:p>
        </w:tc>
        <w:tc>
          <w:tcPr>
            <w:tcW w:w="1116" w:type="dxa"/>
          </w:tcPr>
          <w:p w:rsidR="00F80A48" w:rsidRDefault="007C23B8">
            <w:pPr>
              <w:rPr>
                <w:rFonts w:ascii="Times New Roman" w:hAnsi="Times New Roman"/>
                <w:sz w:val="20"/>
                <w:szCs w:val="20"/>
              </w:rPr>
            </w:pPr>
            <w:r>
              <w:rPr>
                <w:rFonts w:ascii="Times New Roman" w:hAnsi="Times New Roman"/>
                <w:sz w:val="20"/>
                <w:szCs w:val="20"/>
              </w:rPr>
              <w:t>300</w:t>
            </w:r>
          </w:p>
        </w:tc>
        <w:tc>
          <w:tcPr>
            <w:tcW w:w="1227" w:type="dxa"/>
          </w:tcPr>
          <w:p w:rsidR="00F80A48" w:rsidRDefault="007C23B8">
            <w:pPr>
              <w:rPr>
                <w:rFonts w:ascii="Times New Roman" w:hAnsi="Times New Roman"/>
                <w:sz w:val="20"/>
                <w:szCs w:val="20"/>
              </w:rPr>
            </w:pPr>
            <w:r>
              <w:rPr>
                <w:rFonts w:ascii="Times New Roman" w:hAnsi="Times New Roman"/>
                <w:sz w:val="20"/>
                <w:szCs w:val="20"/>
              </w:rPr>
              <w:t>At least once per counterparty</w:t>
            </w:r>
          </w:p>
        </w:tc>
        <w:tc>
          <w:tcPr>
            <w:tcW w:w="1061" w:type="dxa"/>
          </w:tcPr>
          <w:p w:rsidR="00F80A48" w:rsidRDefault="007C23B8">
            <w:pPr>
              <w:rPr>
                <w:rFonts w:ascii="Times New Roman" w:hAnsi="Times New Roman"/>
                <w:sz w:val="20"/>
                <w:szCs w:val="20"/>
              </w:rPr>
            </w:pPr>
            <w:r>
              <w:rPr>
                <w:rFonts w:ascii="Times New Roman" w:hAnsi="Times New Roman"/>
                <w:sz w:val="20"/>
                <w:szCs w:val="20"/>
              </w:rPr>
              <w:t>540</w:t>
            </w:r>
          </w:p>
        </w:tc>
        <w:tc>
          <w:tcPr>
            <w:tcW w:w="1061" w:type="dxa"/>
          </w:tcPr>
          <w:p w:rsidR="00F80A48" w:rsidRDefault="007C23B8">
            <w:pPr>
              <w:rPr>
                <w:rFonts w:ascii="Times New Roman" w:hAnsi="Times New Roman"/>
                <w:sz w:val="20"/>
                <w:szCs w:val="20"/>
              </w:rPr>
            </w:pPr>
            <w:r>
              <w:rPr>
                <w:rFonts w:ascii="Times New Roman" w:hAnsi="Times New Roman"/>
                <w:sz w:val="20"/>
                <w:szCs w:val="20"/>
              </w:rPr>
              <w:t>162,000</w:t>
            </w:r>
          </w:p>
        </w:tc>
        <w:tc>
          <w:tcPr>
            <w:tcW w:w="1016" w:type="dxa"/>
          </w:tcPr>
          <w:p w:rsidR="00F80A48" w:rsidRDefault="007C23B8">
            <w:pPr>
              <w:rPr>
                <w:rFonts w:ascii="Times New Roman" w:hAnsi="Times New Roman"/>
                <w:sz w:val="20"/>
                <w:szCs w:val="20"/>
              </w:rPr>
            </w:pPr>
            <w:r>
              <w:rPr>
                <w:rFonts w:ascii="Times New Roman" w:hAnsi="Times New Roman"/>
                <w:sz w:val="20"/>
                <w:szCs w:val="20"/>
              </w:rPr>
              <w:t>10</w:t>
            </w:r>
          </w:p>
        </w:tc>
        <w:tc>
          <w:tcPr>
            <w:tcW w:w="1039" w:type="dxa"/>
          </w:tcPr>
          <w:p w:rsidR="00F80A48" w:rsidRDefault="007C23B8">
            <w:pPr>
              <w:rPr>
                <w:rFonts w:ascii="Times New Roman" w:hAnsi="Times New Roman"/>
                <w:sz w:val="20"/>
                <w:szCs w:val="20"/>
              </w:rPr>
            </w:pPr>
            <w:r>
              <w:rPr>
                <w:rFonts w:ascii="Times New Roman" w:hAnsi="Times New Roman"/>
                <w:sz w:val="20"/>
                <w:szCs w:val="20"/>
              </w:rPr>
              <w:t>5,400 hours</w:t>
            </w:r>
          </w:p>
        </w:tc>
        <w:tc>
          <w:tcPr>
            <w:tcW w:w="1064" w:type="dxa"/>
            <w:gridSpan w:val="2"/>
          </w:tcPr>
          <w:p w:rsidR="00F80A48" w:rsidRDefault="007C23B8">
            <w:pPr>
              <w:rPr>
                <w:rFonts w:ascii="Times New Roman" w:hAnsi="Times New Roman"/>
                <w:sz w:val="20"/>
                <w:szCs w:val="20"/>
              </w:rPr>
            </w:pPr>
            <w:r>
              <w:rPr>
                <w:rFonts w:ascii="Times New Roman" w:hAnsi="Times New Roman"/>
                <w:sz w:val="20"/>
                <w:szCs w:val="20"/>
              </w:rPr>
              <w:t>1,620,000 hours</w:t>
            </w:r>
          </w:p>
        </w:tc>
        <w:tc>
          <w:tcPr>
            <w:tcW w:w="1024" w:type="dxa"/>
          </w:tcPr>
          <w:p w:rsidR="00F80A48" w:rsidRDefault="007C23B8">
            <w:pPr>
              <w:rPr>
                <w:rFonts w:ascii="Times New Roman" w:hAnsi="Times New Roman"/>
                <w:sz w:val="20"/>
                <w:szCs w:val="20"/>
              </w:rPr>
            </w:pPr>
            <w:r>
              <w:rPr>
                <w:rFonts w:ascii="Times New Roman" w:hAnsi="Times New Roman"/>
                <w:sz w:val="20"/>
                <w:szCs w:val="20"/>
              </w:rPr>
              <w:t>607,500</w:t>
            </w:r>
          </w:p>
        </w:tc>
        <w:tc>
          <w:tcPr>
            <w:tcW w:w="1216" w:type="dxa"/>
          </w:tcPr>
          <w:p w:rsidR="00F80A48" w:rsidRDefault="007C23B8">
            <w:pPr>
              <w:rPr>
                <w:rFonts w:ascii="Times New Roman" w:hAnsi="Times New Roman"/>
                <w:sz w:val="20"/>
                <w:szCs w:val="20"/>
              </w:rPr>
            </w:pPr>
            <w:r>
              <w:rPr>
                <w:rFonts w:ascii="Times New Roman" w:hAnsi="Times New Roman"/>
                <w:sz w:val="20"/>
                <w:szCs w:val="20"/>
              </w:rPr>
              <w:t>182,250,000</w:t>
            </w:r>
          </w:p>
        </w:tc>
      </w:tr>
      <w:tr w:rsidR="00F80A48">
        <w:trPr>
          <w:jc w:val="center"/>
        </w:trPr>
        <w:tc>
          <w:tcPr>
            <w:tcW w:w="1572" w:type="dxa"/>
          </w:tcPr>
          <w:p w:rsidR="00F80A48" w:rsidRDefault="007C23B8">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w:t>
            </w:r>
          </w:p>
          <w:p w:rsidR="00F80A48" w:rsidRDefault="007C23B8">
            <w:pPr>
              <w:rPr>
                <w:rFonts w:ascii="Times New Roman" w:hAnsi="Times New Roman"/>
                <w:b/>
                <w:sz w:val="20"/>
                <w:szCs w:val="20"/>
              </w:rPr>
            </w:pPr>
            <w:r>
              <w:rPr>
                <w:rFonts w:ascii="Times New Roman" w:hAnsi="Times New Roman"/>
                <w:b/>
                <w:sz w:val="20"/>
                <w:szCs w:val="20"/>
              </w:rPr>
              <w:t>Cleared Swaps</w:t>
            </w:r>
          </w:p>
        </w:tc>
        <w:tc>
          <w:tcPr>
            <w:tcW w:w="1116" w:type="dxa"/>
          </w:tcPr>
          <w:p w:rsidR="00F80A48" w:rsidRDefault="007C23B8">
            <w:pPr>
              <w:rPr>
                <w:rFonts w:ascii="Times New Roman" w:hAnsi="Times New Roman"/>
                <w:sz w:val="20"/>
                <w:szCs w:val="20"/>
              </w:rPr>
            </w:pPr>
            <w:r>
              <w:rPr>
                <w:rFonts w:ascii="Times New Roman" w:hAnsi="Times New Roman"/>
                <w:sz w:val="20"/>
                <w:szCs w:val="20"/>
              </w:rPr>
              <w:t>300</w:t>
            </w:r>
          </w:p>
        </w:tc>
        <w:tc>
          <w:tcPr>
            <w:tcW w:w="1227" w:type="dxa"/>
          </w:tcPr>
          <w:p w:rsidR="00F80A48" w:rsidRDefault="007C23B8">
            <w:pPr>
              <w:rPr>
                <w:rFonts w:ascii="Times New Roman" w:hAnsi="Times New Roman"/>
                <w:sz w:val="20"/>
                <w:szCs w:val="20"/>
              </w:rPr>
            </w:pPr>
            <w:r>
              <w:rPr>
                <w:rFonts w:ascii="Times New Roman" w:hAnsi="Times New Roman"/>
                <w:sz w:val="20"/>
                <w:szCs w:val="20"/>
              </w:rPr>
              <w:t xml:space="preserve">Daily </w:t>
            </w:r>
          </w:p>
        </w:tc>
        <w:tc>
          <w:tcPr>
            <w:tcW w:w="1061" w:type="dxa"/>
          </w:tcPr>
          <w:p w:rsidR="00F80A48" w:rsidRDefault="007C23B8">
            <w:pPr>
              <w:rPr>
                <w:rFonts w:ascii="Times New Roman" w:hAnsi="Times New Roman"/>
                <w:sz w:val="20"/>
                <w:szCs w:val="20"/>
              </w:rPr>
            </w:pPr>
            <w:r>
              <w:rPr>
                <w:rFonts w:ascii="Times New Roman" w:hAnsi="Times New Roman"/>
                <w:sz w:val="20"/>
                <w:szCs w:val="20"/>
              </w:rPr>
              <w:t>252</w:t>
            </w:r>
          </w:p>
        </w:tc>
        <w:tc>
          <w:tcPr>
            <w:tcW w:w="1061" w:type="dxa"/>
          </w:tcPr>
          <w:p w:rsidR="00F80A48" w:rsidRDefault="007C23B8">
            <w:pPr>
              <w:rPr>
                <w:rFonts w:ascii="Times New Roman" w:hAnsi="Times New Roman"/>
                <w:sz w:val="20"/>
                <w:szCs w:val="20"/>
              </w:rPr>
            </w:pPr>
            <w:r>
              <w:rPr>
                <w:rFonts w:ascii="Times New Roman" w:hAnsi="Times New Roman"/>
                <w:sz w:val="20"/>
                <w:szCs w:val="20"/>
              </w:rPr>
              <w:t>75,600</w:t>
            </w:r>
          </w:p>
        </w:tc>
        <w:tc>
          <w:tcPr>
            <w:tcW w:w="1016" w:type="dxa"/>
          </w:tcPr>
          <w:p w:rsidR="00F80A48" w:rsidRDefault="007C23B8">
            <w:pPr>
              <w:rPr>
                <w:rFonts w:ascii="Times New Roman" w:hAnsi="Times New Roman"/>
                <w:sz w:val="20"/>
                <w:szCs w:val="20"/>
              </w:rPr>
            </w:pPr>
            <w:r>
              <w:rPr>
                <w:rFonts w:ascii="Times New Roman" w:hAnsi="Times New Roman"/>
                <w:sz w:val="20"/>
                <w:szCs w:val="20"/>
              </w:rPr>
              <w:t>2</w:t>
            </w:r>
          </w:p>
        </w:tc>
        <w:tc>
          <w:tcPr>
            <w:tcW w:w="1039" w:type="dxa"/>
          </w:tcPr>
          <w:p w:rsidR="00F80A48" w:rsidRDefault="007C23B8">
            <w:pPr>
              <w:rPr>
                <w:rFonts w:ascii="Times New Roman" w:hAnsi="Times New Roman"/>
                <w:sz w:val="20"/>
                <w:szCs w:val="20"/>
              </w:rPr>
            </w:pPr>
            <w:r>
              <w:rPr>
                <w:rFonts w:ascii="Times New Roman" w:hAnsi="Times New Roman"/>
                <w:sz w:val="20"/>
                <w:szCs w:val="20"/>
              </w:rPr>
              <w:t>504 hours</w:t>
            </w:r>
          </w:p>
        </w:tc>
        <w:tc>
          <w:tcPr>
            <w:tcW w:w="1064" w:type="dxa"/>
            <w:gridSpan w:val="2"/>
          </w:tcPr>
          <w:p w:rsidR="00F80A48" w:rsidRDefault="007C23B8">
            <w:pPr>
              <w:rPr>
                <w:rFonts w:ascii="Times New Roman" w:hAnsi="Times New Roman"/>
                <w:sz w:val="20"/>
                <w:szCs w:val="20"/>
              </w:rPr>
            </w:pPr>
            <w:r>
              <w:rPr>
                <w:rFonts w:ascii="Times New Roman" w:hAnsi="Times New Roman"/>
                <w:sz w:val="20"/>
                <w:szCs w:val="20"/>
              </w:rPr>
              <w:t>151,200 hours</w:t>
            </w:r>
          </w:p>
        </w:tc>
        <w:tc>
          <w:tcPr>
            <w:tcW w:w="1024" w:type="dxa"/>
          </w:tcPr>
          <w:p w:rsidR="00F80A48" w:rsidRDefault="007C23B8">
            <w:pPr>
              <w:rPr>
                <w:rFonts w:ascii="Times New Roman" w:hAnsi="Times New Roman"/>
                <w:sz w:val="20"/>
                <w:szCs w:val="20"/>
              </w:rPr>
            </w:pPr>
            <w:r>
              <w:rPr>
                <w:rFonts w:ascii="Times New Roman" w:hAnsi="Times New Roman"/>
                <w:sz w:val="20"/>
                <w:szCs w:val="20"/>
              </w:rPr>
              <w:t>50,400</w:t>
            </w:r>
          </w:p>
        </w:tc>
        <w:tc>
          <w:tcPr>
            <w:tcW w:w="1216" w:type="dxa"/>
          </w:tcPr>
          <w:p w:rsidR="00F80A48" w:rsidRDefault="007C23B8">
            <w:pPr>
              <w:rPr>
                <w:rFonts w:ascii="Times New Roman" w:hAnsi="Times New Roman"/>
                <w:sz w:val="20"/>
                <w:szCs w:val="20"/>
              </w:rPr>
            </w:pPr>
            <w:r>
              <w:rPr>
                <w:rFonts w:ascii="Times New Roman" w:hAnsi="Times New Roman"/>
                <w:sz w:val="20"/>
                <w:szCs w:val="20"/>
              </w:rPr>
              <w:t>15,120,000</w:t>
            </w:r>
          </w:p>
        </w:tc>
      </w:tr>
      <w:tr w:rsidR="00F80A48">
        <w:trPr>
          <w:trHeight w:val="341"/>
          <w:jc w:val="center"/>
        </w:trPr>
        <w:tc>
          <w:tcPr>
            <w:tcW w:w="1572" w:type="dxa"/>
          </w:tcPr>
          <w:p w:rsidR="00F80A48" w:rsidRDefault="007C23B8">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 Audit</w:t>
            </w:r>
          </w:p>
        </w:tc>
        <w:tc>
          <w:tcPr>
            <w:tcW w:w="1116" w:type="dxa"/>
          </w:tcPr>
          <w:p w:rsidR="00F80A48" w:rsidRDefault="007C23B8">
            <w:pPr>
              <w:rPr>
                <w:rFonts w:ascii="Times New Roman" w:hAnsi="Times New Roman"/>
                <w:sz w:val="20"/>
                <w:szCs w:val="20"/>
              </w:rPr>
            </w:pPr>
            <w:r>
              <w:rPr>
                <w:rFonts w:ascii="Times New Roman" w:hAnsi="Times New Roman"/>
                <w:sz w:val="20"/>
                <w:szCs w:val="20"/>
              </w:rPr>
              <w:t>300</w:t>
            </w:r>
          </w:p>
        </w:tc>
        <w:tc>
          <w:tcPr>
            <w:tcW w:w="1227" w:type="dxa"/>
          </w:tcPr>
          <w:p w:rsidR="00F80A48" w:rsidRDefault="007C23B8">
            <w:pPr>
              <w:rPr>
                <w:rFonts w:ascii="Times New Roman" w:hAnsi="Times New Roman"/>
                <w:sz w:val="20"/>
                <w:szCs w:val="20"/>
              </w:rPr>
            </w:pPr>
            <w:r>
              <w:rPr>
                <w:rFonts w:ascii="Times New Roman" w:hAnsi="Times New Roman"/>
                <w:sz w:val="20"/>
                <w:szCs w:val="20"/>
              </w:rPr>
              <w:t>Annually</w:t>
            </w:r>
          </w:p>
        </w:tc>
        <w:tc>
          <w:tcPr>
            <w:tcW w:w="1061" w:type="dxa"/>
          </w:tcPr>
          <w:p w:rsidR="00F80A48" w:rsidRDefault="007C23B8">
            <w:pPr>
              <w:rPr>
                <w:rFonts w:ascii="Times New Roman" w:hAnsi="Times New Roman"/>
                <w:sz w:val="20"/>
                <w:szCs w:val="20"/>
              </w:rPr>
            </w:pPr>
            <w:r>
              <w:rPr>
                <w:rFonts w:ascii="Times New Roman" w:hAnsi="Times New Roman"/>
                <w:sz w:val="20"/>
                <w:szCs w:val="20"/>
              </w:rPr>
              <w:t>1</w:t>
            </w:r>
          </w:p>
        </w:tc>
        <w:tc>
          <w:tcPr>
            <w:tcW w:w="1061" w:type="dxa"/>
          </w:tcPr>
          <w:p w:rsidR="00F80A48" w:rsidRDefault="007C23B8">
            <w:pPr>
              <w:rPr>
                <w:rFonts w:ascii="Times New Roman" w:hAnsi="Times New Roman"/>
                <w:sz w:val="20"/>
                <w:szCs w:val="20"/>
              </w:rPr>
            </w:pPr>
            <w:r>
              <w:rPr>
                <w:rFonts w:ascii="Times New Roman" w:hAnsi="Times New Roman"/>
                <w:sz w:val="20"/>
                <w:szCs w:val="20"/>
              </w:rPr>
              <w:t>300</w:t>
            </w:r>
          </w:p>
        </w:tc>
        <w:tc>
          <w:tcPr>
            <w:tcW w:w="1016" w:type="dxa"/>
          </w:tcPr>
          <w:p w:rsidR="00F80A48" w:rsidRDefault="007C23B8">
            <w:pPr>
              <w:rPr>
                <w:rFonts w:ascii="Times New Roman" w:hAnsi="Times New Roman"/>
                <w:sz w:val="20"/>
                <w:szCs w:val="20"/>
              </w:rPr>
            </w:pPr>
            <w:r>
              <w:rPr>
                <w:rFonts w:ascii="Times New Roman" w:hAnsi="Times New Roman"/>
                <w:sz w:val="20"/>
                <w:szCs w:val="20"/>
              </w:rPr>
              <w:t>4</w:t>
            </w:r>
          </w:p>
        </w:tc>
        <w:tc>
          <w:tcPr>
            <w:tcW w:w="1039" w:type="dxa"/>
          </w:tcPr>
          <w:p w:rsidR="00F80A48" w:rsidRDefault="007C23B8">
            <w:pPr>
              <w:rPr>
                <w:rFonts w:ascii="Times New Roman" w:hAnsi="Times New Roman"/>
                <w:sz w:val="20"/>
                <w:szCs w:val="20"/>
              </w:rPr>
            </w:pPr>
            <w:r>
              <w:rPr>
                <w:rFonts w:ascii="Times New Roman" w:hAnsi="Times New Roman"/>
                <w:sz w:val="20"/>
                <w:szCs w:val="20"/>
              </w:rPr>
              <w:t>4 hours</w:t>
            </w:r>
          </w:p>
        </w:tc>
        <w:tc>
          <w:tcPr>
            <w:tcW w:w="1064" w:type="dxa"/>
            <w:gridSpan w:val="2"/>
          </w:tcPr>
          <w:p w:rsidR="00F80A48" w:rsidRDefault="007C23B8">
            <w:pPr>
              <w:rPr>
                <w:rFonts w:ascii="Times New Roman" w:hAnsi="Times New Roman"/>
                <w:sz w:val="20"/>
                <w:szCs w:val="20"/>
              </w:rPr>
            </w:pPr>
            <w:r>
              <w:rPr>
                <w:rFonts w:ascii="Times New Roman" w:hAnsi="Times New Roman"/>
                <w:sz w:val="20"/>
                <w:szCs w:val="20"/>
              </w:rPr>
              <w:t xml:space="preserve"> 1,200 hours</w:t>
            </w:r>
          </w:p>
        </w:tc>
        <w:tc>
          <w:tcPr>
            <w:tcW w:w="1024" w:type="dxa"/>
          </w:tcPr>
          <w:p w:rsidR="00F80A48" w:rsidRDefault="007C23B8">
            <w:pPr>
              <w:rPr>
                <w:rFonts w:ascii="Times New Roman" w:hAnsi="Times New Roman"/>
                <w:sz w:val="20"/>
                <w:szCs w:val="20"/>
              </w:rPr>
            </w:pPr>
            <w:r>
              <w:rPr>
                <w:rFonts w:ascii="Times New Roman" w:hAnsi="Times New Roman"/>
                <w:sz w:val="20"/>
                <w:szCs w:val="20"/>
              </w:rPr>
              <w:t>400</w:t>
            </w:r>
          </w:p>
        </w:tc>
        <w:tc>
          <w:tcPr>
            <w:tcW w:w="1216" w:type="dxa"/>
          </w:tcPr>
          <w:p w:rsidR="00F80A48" w:rsidRDefault="007C23B8">
            <w:pPr>
              <w:rPr>
                <w:rFonts w:ascii="Times New Roman" w:hAnsi="Times New Roman"/>
                <w:sz w:val="20"/>
                <w:szCs w:val="20"/>
              </w:rPr>
            </w:pPr>
            <w:r>
              <w:rPr>
                <w:rFonts w:ascii="Times New Roman" w:hAnsi="Times New Roman"/>
                <w:sz w:val="20"/>
                <w:szCs w:val="20"/>
              </w:rPr>
              <w:t>120,000</w:t>
            </w:r>
          </w:p>
        </w:tc>
      </w:tr>
      <w:tr w:rsidR="00F80A48">
        <w:trPr>
          <w:trHeight w:val="341"/>
          <w:jc w:val="center"/>
        </w:trPr>
        <w:tc>
          <w:tcPr>
            <w:tcW w:w="1572" w:type="dxa"/>
          </w:tcPr>
          <w:p w:rsidR="00F80A48" w:rsidRDefault="007C23B8">
            <w:pPr>
              <w:rPr>
                <w:rFonts w:ascii="Times New Roman" w:hAnsi="Times New Roman"/>
                <w:b/>
                <w:sz w:val="20"/>
                <w:szCs w:val="20"/>
              </w:rPr>
            </w:pPr>
            <w:r>
              <w:rPr>
                <w:rFonts w:ascii="Times New Roman" w:hAnsi="Times New Roman"/>
                <w:b/>
                <w:sz w:val="20"/>
                <w:szCs w:val="20"/>
                <w:u w:val="single"/>
              </w:rPr>
              <w:t>Recordkeeping</w:t>
            </w:r>
            <w:r>
              <w:rPr>
                <w:rFonts w:ascii="Times New Roman" w:hAnsi="Times New Roman"/>
                <w:b/>
                <w:sz w:val="20"/>
                <w:szCs w:val="20"/>
              </w:rPr>
              <w:t>:</w:t>
            </w:r>
          </w:p>
          <w:p w:rsidR="00F80A48" w:rsidRDefault="007C23B8">
            <w:pPr>
              <w:rPr>
                <w:rFonts w:ascii="Times New Roman" w:hAnsi="Times New Roman"/>
                <w:b/>
                <w:sz w:val="20"/>
                <w:szCs w:val="20"/>
              </w:rPr>
            </w:pPr>
            <w:r>
              <w:rPr>
                <w:rFonts w:ascii="Times New Roman" w:hAnsi="Times New Roman"/>
                <w:b/>
                <w:sz w:val="20"/>
                <w:szCs w:val="20"/>
              </w:rPr>
              <w:t>End User Exception</w:t>
            </w:r>
          </w:p>
        </w:tc>
        <w:tc>
          <w:tcPr>
            <w:tcW w:w="1116" w:type="dxa"/>
          </w:tcPr>
          <w:p w:rsidR="00F80A48" w:rsidRDefault="007C23B8">
            <w:pPr>
              <w:rPr>
                <w:rFonts w:ascii="Times New Roman" w:hAnsi="Times New Roman"/>
                <w:sz w:val="20"/>
                <w:szCs w:val="20"/>
              </w:rPr>
            </w:pPr>
            <w:r>
              <w:rPr>
                <w:rFonts w:ascii="Times New Roman" w:hAnsi="Times New Roman"/>
                <w:sz w:val="20"/>
                <w:szCs w:val="20"/>
              </w:rPr>
              <w:t>300</w:t>
            </w:r>
          </w:p>
        </w:tc>
        <w:tc>
          <w:tcPr>
            <w:tcW w:w="1227" w:type="dxa"/>
          </w:tcPr>
          <w:p w:rsidR="00F80A48" w:rsidRDefault="007C23B8">
            <w:pPr>
              <w:rPr>
                <w:rFonts w:ascii="Times New Roman" w:hAnsi="Times New Roman"/>
                <w:sz w:val="20"/>
                <w:szCs w:val="20"/>
              </w:rPr>
            </w:pPr>
            <w:r>
              <w:rPr>
                <w:rFonts w:ascii="Times New Roman" w:hAnsi="Times New Roman"/>
                <w:sz w:val="20"/>
                <w:szCs w:val="20"/>
              </w:rPr>
              <w:t>Once per applicable counterparty</w:t>
            </w:r>
          </w:p>
        </w:tc>
        <w:tc>
          <w:tcPr>
            <w:tcW w:w="1061" w:type="dxa"/>
          </w:tcPr>
          <w:p w:rsidR="00F80A48" w:rsidRDefault="007C23B8">
            <w:pPr>
              <w:rPr>
                <w:rFonts w:ascii="Times New Roman" w:hAnsi="Times New Roman"/>
                <w:sz w:val="20"/>
                <w:szCs w:val="20"/>
              </w:rPr>
            </w:pPr>
            <w:r>
              <w:rPr>
                <w:rFonts w:ascii="Times New Roman" w:hAnsi="Times New Roman"/>
                <w:sz w:val="20"/>
                <w:szCs w:val="20"/>
              </w:rPr>
              <w:t>220</w:t>
            </w:r>
          </w:p>
        </w:tc>
        <w:tc>
          <w:tcPr>
            <w:tcW w:w="1061" w:type="dxa"/>
          </w:tcPr>
          <w:p w:rsidR="00F80A48" w:rsidRDefault="007C23B8">
            <w:pPr>
              <w:rPr>
                <w:rFonts w:ascii="Times New Roman" w:hAnsi="Times New Roman"/>
                <w:sz w:val="20"/>
                <w:szCs w:val="20"/>
              </w:rPr>
            </w:pPr>
            <w:r>
              <w:rPr>
                <w:rFonts w:ascii="Times New Roman" w:hAnsi="Times New Roman"/>
                <w:sz w:val="20"/>
                <w:szCs w:val="20"/>
              </w:rPr>
              <w:t>66,000</w:t>
            </w:r>
          </w:p>
        </w:tc>
        <w:tc>
          <w:tcPr>
            <w:tcW w:w="1016" w:type="dxa"/>
          </w:tcPr>
          <w:p w:rsidR="00F80A48" w:rsidRDefault="007C23B8">
            <w:pPr>
              <w:rPr>
                <w:rFonts w:ascii="Times New Roman" w:hAnsi="Times New Roman"/>
                <w:sz w:val="20"/>
                <w:szCs w:val="20"/>
              </w:rPr>
            </w:pPr>
            <w:r>
              <w:rPr>
                <w:rFonts w:ascii="Times New Roman" w:hAnsi="Times New Roman"/>
                <w:sz w:val="20"/>
                <w:szCs w:val="20"/>
              </w:rPr>
              <w:t>1</w:t>
            </w:r>
          </w:p>
        </w:tc>
        <w:tc>
          <w:tcPr>
            <w:tcW w:w="1039" w:type="dxa"/>
          </w:tcPr>
          <w:p w:rsidR="00F80A48" w:rsidRDefault="007C23B8">
            <w:pPr>
              <w:rPr>
                <w:rFonts w:ascii="Times New Roman" w:hAnsi="Times New Roman"/>
                <w:sz w:val="20"/>
                <w:szCs w:val="20"/>
              </w:rPr>
            </w:pPr>
            <w:r>
              <w:rPr>
                <w:rFonts w:ascii="Times New Roman" w:hAnsi="Times New Roman"/>
                <w:sz w:val="20"/>
                <w:szCs w:val="20"/>
              </w:rPr>
              <w:t>220 hours</w:t>
            </w:r>
          </w:p>
        </w:tc>
        <w:tc>
          <w:tcPr>
            <w:tcW w:w="1064" w:type="dxa"/>
            <w:gridSpan w:val="2"/>
          </w:tcPr>
          <w:p w:rsidR="00F80A48" w:rsidRDefault="007C23B8">
            <w:pPr>
              <w:rPr>
                <w:rFonts w:ascii="Times New Roman" w:hAnsi="Times New Roman"/>
                <w:sz w:val="20"/>
                <w:szCs w:val="20"/>
              </w:rPr>
            </w:pPr>
            <w:r>
              <w:rPr>
                <w:rFonts w:ascii="Times New Roman" w:hAnsi="Times New Roman"/>
                <w:sz w:val="20"/>
                <w:szCs w:val="20"/>
              </w:rPr>
              <w:t xml:space="preserve"> 66,000 hours</w:t>
            </w:r>
          </w:p>
        </w:tc>
        <w:tc>
          <w:tcPr>
            <w:tcW w:w="1024" w:type="dxa"/>
          </w:tcPr>
          <w:p w:rsidR="00F80A48" w:rsidRDefault="007C23B8">
            <w:pPr>
              <w:rPr>
                <w:rFonts w:ascii="Times New Roman" w:hAnsi="Times New Roman"/>
                <w:sz w:val="20"/>
                <w:szCs w:val="20"/>
              </w:rPr>
            </w:pPr>
            <w:r>
              <w:rPr>
                <w:rFonts w:ascii="Times New Roman" w:hAnsi="Times New Roman"/>
                <w:sz w:val="20"/>
                <w:szCs w:val="20"/>
              </w:rPr>
              <w:t>22,000</w:t>
            </w:r>
          </w:p>
        </w:tc>
        <w:tc>
          <w:tcPr>
            <w:tcW w:w="1216" w:type="dxa"/>
          </w:tcPr>
          <w:p w:rsidR="00F80A48" w:rsidRDefault="007C23B8">
            <w:pPr>
              <w:rPr>
                <w:rFonts w:ascii="Times New Roman" w:hAnsi="Times New Roman"/>
                <w:sz w:val="20"/>
                <w:szCs w:val="20"/>
              </w:rPr>
            </w:pPr>
            <w:r>
              <w:rPr>
                <w:rFonts w:ascii="Times New Roman" w:hAnsi="Times New Roman"/>
                <w:sz w:val="20"/>
                <w:szCs w:val="20"/>
              </w:rPr>
              <w:t>6,600,000</w:t>
            </w:r>
          </w:p>
        </w:tc>
      </w:tr>
      <w:tr w:rsidR="00F80A48">
        <w:trPr>
          <w:trHeight w:val="341"/>
          <w:jc w:val="center"/>
        </w:trPr>
        <w:tc>
          <w:tcPr>
            <w:tcW w:w="1572" w:type="dxa"/>
          </w:tcPr>
          <w:p w:rsidR="00F80A48" w:rsidRDefault="007C23B8">
            <w:pPr>
              <w:rPr>
                <w:rFonts w:ascii="Times New Roman" w:hAnsi="Times New Roman"/>
                <w:b/>
                <w:sz w:val="20"/>
                <w:szCs w:val="20"/>
              </w:rPr>
            </w:pPr>
            <w:r>
              <w:rPr>
                <w:rFonts w:ascii="Times New Roman" w:hAnsi="Times New Roman"/>
                <w:b/>
                <w:sz w:val="20"/>
                <w:szCs w:val="20"/>
                <w:u w:val="single"/>
              </w:rPr>
              <w:t>Reporting</w:t>
            </w:r>
            <w:r>
              <w:rPr>
                <w:rFonts w:ascii="Times New Roman" w:hAnsi="Times New Roman"/>
                <w:b/>
                <w:sz w:val="20"/>
                <w:szCs w:val="20"/>
              </w:rPr>
              <w:t>:</w:t>
            </w:r>
          </w:p>
          <w:p w:rsidR="00F80A48" w:rsidRDefault="007C23B8">
            <w:pPr>
              <w:rPr>
                <w:rFonts w:ascii="Times New Roman" w:hAnsi="Times New Roman"/>
                <w:b/>
                <w:sz w:val="20"/>
                <w:szCs w:val="20"/>
              </w:rPr>
            </w:pPr>
            <w:r>
              <w:rPr>
                <w:rFonts w:ascii="Times New Roman" w:hAnsi="Times New Roman"/>
                <w:b/>
                <w:sz w:val="20"/>
                <w:szCs w:val="20"/>
              </w:rPr>
              <w:t>Valuation Disputes</w:t>
            </w:r>
          </w:p>
        </w:tc>
        <w:tc>
          <w:tcPr>
            <w:tcW w:w="1116" w:type="dxa"/>
          </w:tcPr>
          <w:p w:rsidR="00F80A48" w:rsidRDefault="007C23B8">
            <w:pPr>
              <w:rPr>
                <w:rFonts w:ascii="Times New Roman" w:hAnsi="Times New Roman"/>
                <w:sz w:val="20"/>
                <w:szCs w:val="20"/>
              </w:rPr>
            </w:pPr>
            <w:r>
              <w:rPr>
                <w:rFonts w:ascii="Times New Roman" w:hAnsi="Times New Roman"/>
                <w:sz w:val="20"/>
                <w:szCs w:val="20"/>
              </w:rPr>
              <w:t>300</w:t>
            </w:r>
          </w:p>
        </w:tc>
        <w:tc>
          <w:tcPr>
            <w:tcW w:w="1227" w:type="dxa"/>
          </w:tcPr>
          <w:p w:rsidR="00F80A48" w:rsidRDefault="007C23B8">
            <w:pPr>
              <w:rPr>
                <w:rFonts w:ascii="Times New Roman" w:hAnsi="Times New Roman"/>
                <w:sz w:val="20"/>
                <w:szCs w:val="20"/>
              </w:rPr>
            </w:pPr>
            <w:r>
              <w:rPr>
                <w:rFonts w:ascii="Times New Roman" w:hAnsi="Times New Roman"/>
                <w:sz w:val="20"/>
                <w:szCs w:val="20"/>
              </w:rPr>
              <w:t>As applicable</w:t>
            </w:r>
          </w:p>
        </w:tc>
        <w:tc>
          <w:tcPr>
            <w:tcW w:w="1061" w:type="dxa"/>
          </w:tcPr>
          <w:p w:rsidR="00F80A48" w:rsidRDefault="007C23B8">
            <w:pPr>
              <w:rPr>
                <w:rFonts w:ascii="Times New Roman" w:hAnsi="Times New Roman"/>
                <w:sz w:val="20"/>
                <w:szCs w:val="20"/>
              </w:rPr>
            </w:pPr>
            <w:r>
              <w:rPr>
                <w:rFonts w:ascii="Times New Roman" w:hAnsi="Times New Roman"/>
                <w:sz w:val="20"/>
                <w:szCs w:val="20"/>
              </w:rPr>
              <w:t>240</w:t>
            </w:r>
          </w:p>
        </w:tc>
        <w:tc>
          <w:tcPr>
            <w:tcW w:w="1061" w:type="dxa"/>
          </w:tcPr>
          <w:p w:rsidR="00F80A48" w:rsidRDefault="007C23B8">
            <w:pPr>
              <w:rPr>
                <w:rFonts w:ascii="Times New Roman" w:hAnsi="Times New Roman"/>
                <w:sz w:val="20"/>
                <w:szCs w:val="20"/>
              </w:rPr>
            </w:pPr>
            <w:r>
              <w:rPr>
                <w:rFonts w:ascii="Times New Roman" w:hAnsi="Times New Roman"/>
                <w:sz w:val="20"/>
                <w:szCs w:val="20"/>
              </w:rPr>
              <w:t>72,000</w:t>
            </w:r>
          </w:p>
        </w:tc>
        <w:tc>
          <w:tcPr>
            <w:tcW w:w="1016" w:type="dxa"/>
          </w:tcPr>
          <w:p w:rsidR="00F80A48" w:rsidRDefault="007C23B8">
            <w:pPr>
              <w:rPr>
                <w:rFonts w:ascii="Times New Roman" w:hAnsi="Times New Roman"/>
                <w:sz w:val="20"/>
                <w:szCs w:val="20"/>
              </w:rPr>
            </w:pPr>
            <w:r>
              <w:rPr>
                <w:rFonts w:ascii="Times New Roman" w:hAnsi="Times New Roman"/>
                <w:sz w:val="20"/>
                <w:szCs w:val="20"/>
              </w:rPr>
              <w:t>.10</w:t>
            </w:r>
          </w:p>
        </w:tc>
        <w:tc>
          <w:tcPr>
            <w:tcW w:w="1039" w:type="dxa"/>
          </w:tcPr>
          <w:p w:rsidR="00F80A48" w:rsidRDefault="007C23B8">
            <w:pPr>
              <w:rPr>
                <w:rFonts w:ascii="Times New Roman" w:hAnsi="Times New Roman"/>
                <w:sz w:val="20"/>
                <w:szCs w:val="20"/>
              </w:rPr>
            </w:pPr>
            <w:r>
              <w:rPr>
                <w:rFonts w:ascii="Times New Roman" w:hAnsi="Times New Roman"/>
                <w:sz w:val="20"/>
                <w:szCs w:val="20"/>
              </w:rPr>
              <w:t>24 hours</w:t>
            </w:r>
          </w:p>
        </w:tc>
        <w:tc>
          <w:tcPr>
            <w:tcW w:w="1064" w:type="dxa"/>
            <w:gridSpan w:val="2"/>
          </w:tcPr>
          <w:p w:rsidR="00F80A48" w:rsidRDefault="007C23B8">
            <w:pPr>
              <w:rPr>
                <w:rFonts w:ascii="Times New Roman" w:hAnsi="Times New Roman"/>
                <w:sz w:val="20"/>
                <w:szCs w:val="20"/>
              </w:rPr>
            </w:pPr>
            <w:r>
              <w:rPr>
                <w:rFonts w:ascii="Times New Roman" w:hAnsi="Times New Roman"/>
                <w:sz w:val="20"/>
                <w:szCs w:val="20"/>
              </w:rPr>
              <w:t xml:space="preserve"> 7,200 hours</w:t>
            </w:r>
          </w:p>
        </w:tc>
        <w:tc>
          <w:tcPr>
            <w:tcW w:w="1024" w:type="dxa"/>
          </w:tcPr>
          <w:p w:rsidR="00F80A48" w:rsidRDefault="007C23B8">
            <w:pPr>
              <w:rPr>
                <w:rFonts w:ascii="Times New Roman" w:hAnsi="Times New Roman"/>
                <w:sz w:val="20"/>
                <w:szCs w:val="20"/>
              </w:rPr>
            </w:pPr>
            <w:r>
              <w:rPr>
                <w:rFonts w:ascii="Times New Roman" w:hAnsi="Times New Roman"/>
                <w:sz w:val="20"/>
                <w:szCs w:val="20"/>
              </w:rPr>
              <w:t>2,400</w:t>
            </w:r>
          </w:p>
        </w:tc>
        <w:tc>
          <w:tcPr>
            <w:tcW w:w="1216" w:type="dxa"/>
          </w:tcPr>
          <w:p w:rsidR="00F80A48" w:rsidRDefault="007C23B8">
            <w:pPr>
              <w:rPr>
                <w:rFonts w:ascii="Times New Roman" w:hAnsi="Times New Roman"/>
                <w:sz w:val="20"/>
                <w:szCs w:val="20"/>
              </w:rPr>
            </w:pPr>
            <w:r>
              <w:rPr>
                <w:rFonts w:ascii="Times New Roman" w:hAnsi="Times New Roman"/>
                <w:sz w:val="20"/>
                <w:szCs w:val="20"/>
              </w:rPr>
              <w:t>720,000</w:t>
            </w:r>
          </w:p>
        </w:tc>
      </w:tr>
    </w:tbl>
    <w:p w:rsidR="00F80A48" w:rsidRDefault="00F80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R="00F80A48" w:rsidSect="00F80A48">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A48" w:rsidRDefault="007C23B8">
      <w:r>
        <w:separator/>
      </w:r>
    </w:p>
  </w:endnote>
  <w:endnote w:type="continuationSeparator" w:id="0">
    <w:p w:rsidR="00F80A48" w:rsidRDefault="007C23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ptimum">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A48" w:rsidRDefault="00F80A48">
    <w:pPr>
      <w:pStyle w:val="Footer"/>
      <w:jc w:val="center"/>
      <w:rPr>
        <w:rFonts w:ascii="Times New Roman" w:hAnsi="Times New Roman"/>
        <w:sz w:val="20"/>
        <w:szCs w:val="20"/>
      </w:rPr>
    </w:pPr>
    <w:r>
      <w:rPr>
        <w:rFonts w:ascii="Times New Roman" w:hAnsi="Times New Roman"/>
        <w:sz w:val="20"/>
        <w:szCs w:val="20"/>
      </w:rPr>
      <w:fldChar w:fldCharType="begin"/>
    </w:r>
    <w:r w:rsidR="007C23B8">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C16775">
      <w:rPr>
        <w:rFonts w:ascii="Times New Roman" w:hAnsi="Times New Roman"/>
        <w:noProof/>
        <w:sz w:val="20"/>
        <w:szCs w:val="20"/>
      </w:rPr>
      <w:t>12</w:t>
    </w:r>
    <w:r>
      <w:rPr>
        <w:rFonts w:ascii="Times New Roman" w:hAnsi="Times New Roman"/>
        <w:sz w:val="20"/>
        <w:szCs w:val="20"/>
      </w:rPr>
      <w:fldChar w:fldCharType="end"/>
    </w:r>
  </w:p>
  <w:p w:rsidR="00F80A48" w:rsidRDefault="00F80A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A48" w:rsidRDefault="007C23B8">
      <w:r>
        <w:separator/>
      </w:r>
    </w:p>
  </w:footnote>
  <w:footnote w:type="continuationSeparator" w:id="0">
    <w:p w:rsidR="00F80A48" w:rsidRDefault="007C23B8">
      <w:r>
        <w:continuationSeparator/>
      </w:r>
    </w:p>
  </w:footnote>
  <w:footnote w:id="1">
    <w:p w:rsidR="00F80A48" w:rsidRDefault="007C23B8">
      <w:pPr>
        <w:pStyle w:val="FootnoteText"/>
        <w:rPr>
          <w:sz w:val="20"/>
        </w:rPr>
      </w:pPr>
      <w:r>
        <w:rPr>
          <w:rStyle w:val="FootnoteReference"/>
          <w:sz w:val="20"/>
        </w:rPr>
        <w:footnoteRef/>
      </w:r>
      <w:r>
        <w:rPr>
          <w:sz w:val="20"/>
        </w:rPr>
        <w:t xml:space="preserve">  The information collection burden associated with the maintenance of confirmations of swaps transactions was calculated and accounted for in previously proposed regulations.  </w:t>
      </w:r>
      <w:r>
        <w:rPr>
          <w:i/>
          <w:sz w:val="20"/>
        </w:rPr>
        <w:t>See</w:t>
      </w:r>
      <w:r>
        <w:rPr>
          <w:sz w:val="20"/>
        </w:rPr>
        <w:t xml:space="preserve"> Confirmation, Portfolio Reconciliation, and Portfolio Compression Requireme</w:t>
      </w:r>
      <w:r>
        <w:rPr>
          <w:sz w:val="20"/>
        </w:rPr>
        <w:t>nts for Swap Dealers and Major Swap Participants, 75 FR 81519, Dec. 28, 2010.</w:t>
      </w:r>
    </w:p>
  </w:footnote>
  <w:footnote w:id="2">
    <w:p w:rsidR="00F80A48" w:rsidRDefault="007C23B8">
      <w:pPr>
        <w:pStyle w:val="FootnoteText"/>
        <w:jc w:val="both"/>
        <w:rPr>
          <w:sz w:val="20"/>
        </w:rPr>
      </w:pPr>
      <w:r>
        <w:rPr>
          <w:rStyle w:val="FootnoteReference"/>
          <w:sz w:val="20"/>
        </w:rPr>
        <w:footnoteRef/>
      </w:r>
      <w:r>
        <w:rPr>
          <w:sz w:val="20"/>
        </w:rPr>
        <w:t xml:space="preserve"> The written policies and procedures also may be drafted and maintained by the chief compliance officer of the swap dealer or major swap participant.  According to recent Bureau</w:t>
      </w:r>
      <w:r>
        <w:rPr>
          <w:sz w:val="20"/>
        </w:rPr>
        <w:t xml:space="preserve"> of Labor Statistics findings, the mean hourly wage of an employee under occupation code 13-1401, “Compliance Officers, Except Agriculture, Construction, Health and Safety, and Transportation,” that is employed by the “Securities and Commodity Contracts In</w:t>
      </w:r>
      <w:r>
        <w:rPr>
          <w:sz w:val="20"/>
        </w:rPr>
        <w:t xml:space="preserve">termediation and Brokerage Industry” is $38.77. </w:t>
      </w:r>
      <w:r>
        <w:rPr>
          <w:sz w:val="20"/>
          <w:u w:val="single"/>
        </w:rPr>
        <w:t>http:/www.bls.gov/oes/current/oes131041.htm</w:t>
      </w:r>
      <w:r>
        <w:rPr>
          <w:sz w:val="20"/>
        </w:rPr>
        <w:t>.</w:t>
      </w:r>
    </w:p>
    <w:p w:rsidR="00F80A48" w:rsidRDefault="00F80A48">
      <w:pPr>
        <w:pStyle w:val="FootnoteText"/>
        <w:jc w:val="both"/>
        <w:rPr>
          <w:sz w:val="20"/>
        </w:rPr>
      </w:pPr>
    </w:p>
  </w:footnote>
  <w:footnote w:id="3">
    <w:p w:rsidR="00F80A48" w:rsidRDefault="007C23B8">
      <w:pPr>
        <w:pStyle w:val="FootnoteText"/>
        <w:rPr>
          <w:sz w:val="20"/>
        </w:rPr>
      </w:pPr>
      <w:r>
        <w:rPr>
          <w:rStyle w:val="FootnoteReference"/>
          <w:sz w:val="20"/>
        </w:rPr>
        <w:footnoteRef/>
      </w:r>
      <w:r>
        <w:rPr>
          <w:sz w:val="20"/>
        </w:rPr>
        <w:t xml:space="preserve"> </w:t>
      </w:r>
      <w:r>
        <w:rPr>
          <w:sz w:val="20"/>
          <w:u w:val="single"/>
        </w:rPr>
        <w:t>http.www.bls.gov/</w:t>
      </w:r>
      <w:proofErr w:type="spellStart"/>
      <w:r>
        <w:rPr>
          <w:sz w:val="20"/>
          <w:u w:val="single"/>
        </w:rPr>
        <w:t>oes</w:t>
      </w:r>
      <w:proofErr w:type="spellEnd"/>
      <w:r>
        <w:rPr>
          <w:sz w:val="20"/>
          <w:u w:val="single"/>
        </w:rPr>
        <w:t>/2099/mayowe23.1011.htm</w:t>
      </w:r>
      <w:r>
        <w:rPr>
          <w:sz w:val="20"/>
        </w:rPr>
        <w:t>.</w:t>
      </w:r>
    </w:p>
  </w:footnote>
  <w:footnote w:id="4">
    <w:p w:rsidR="00F80A48" w:rsidRDefault="007C23B8">
      <w:pPr>
        <w:pStyle w:val="FootnoteText"/>
        <w:jc w:val="both"/>
        <w:rPr>
          <w:sz w:val="20"/>
        </w:rPr>
      </w:pPr>
      <w:r>
        <w:rPr>
          <w:rStyle w:val="FootnoteReference"/>
          <w:sz w:val="20"/>
        </w:rPr>
        <w:footnoteRef/>
      </w:r>
      <w:r>
        <w:rPr>
          <w:sz w:val="20"/>
        </w:rPr>
        <w:t xml:space="preserve"> </w:t>
      </w:r>
      <w:r>
        <w:rPr>
          <w:sz w:val="20"/>
          <w:u w:val="single"/>
        </w:rPr>
        <w:t>http://www.bls.gov/oes/current/oes113031.htm</w:t>
      </w:r>
      <w:r>
        <w:rPr>
          <w:sz w:val="20"/>
        </w:rPr>
        <w:t>.</w:t>
      </w:r>
    </w:p>
  </w:footnote>
  <w:footnote w:id="5">
    <w:p w:rsidR="00F80A48" w:rsidRDefault="007C23B8">
      <w:pPr>
        <w:pStyle w:val="FootnoteText"/>
        <w:jc w:val="both"/>
        <w:rPr>
          <w:sz w:val="20"/>
        </w:rPr>
      </w:pPr>
      <w:r>
        <w:rPr>
          <w:rStyle w:val="FootnoteReference"/>
          <w:sz w:val="20"/>
        </w:rPr>
        <w:footnoteRef/>
      </w:r>
      <w:r>
        <w:rPr>
          <w:sz w:val="20"/>
        </w:rPr>
        <w:t xml:space="preserve"> Consistent with the Commission’s proposed regulations that would </w:t>
      </w:r>
      <w:r>
        <w:rPr>
          <w:sz w:val="20"/>
        </w:rPr>
        <w:t>require swap dealers and major swap participants to compile and maintain certain transaction records (including daily trading records), the Commission has estimated the hour burden associated with the cleared swap recordkeeping requirement by approximating</w:t>
      </w:r>
      <w:r>
        <w:rPr>
          <w:sz w:val="20"/>
        </w:rPr>
        <w:t xml:space="preserve"> the number of hours per trading day that an employee of a swap dealer or major swap participant likely would spend compiling and retaining the relevant records.  </w:t>
      </w:r>
      <w:r>
        <w:rPr>
          <w:i/>
          <w:sz w:val="20"/>
        </w:rPr>
        <w:t>See</w:t>
      </w:r>
      <w:r>
        <w:rPr>
          <w:sz w:val="20"/>
        </w:rPr>
        <w:t xml:space="preserve"> Reporting, Recordkeeping, and Daily Trading Record Requirements for Swap Dealers and Majo</w:t>
      </w:r>
      <w:r>
        <w:rPr>
          <w:sz w:val="20"/>
        </w:rPr>
        <w:t>r Swap Participants, 75 FR 76666, Dec. 9, 2010.</w:t>
      </w:r>
    </w:p>
  </w:footnote>
  <w:footnote w:id="6">
    <w:p w:rsidR="00F80A48" w:rsidRDefault="007C23B8">
      <w:pPr>
        <w:pStyle w:val="FootnoteText"/>
        <w:rPr>
          <w:sz w:val="20"/>
        </w:rPr>
      </w:pPr>
      <w:r>
        <w:rPr>
          <w:rStyle w:val="FootnoteReference"/>
          <w:sz w:val="20"/>
        </w:rPr>
        <w:footnoteRef/>
      </w:r>
      <w:r>
        <w:rPr>
          <w:sz w:val="20"/>
        </w:rPr>
        <w:t xml:space="preserve"> The Commission estimates that half of the counterparties that are not swap dealers or major swap participants may claim the end user exception on an annual basis.</w:t>
      </w:r>
    </w:p>
    <w:p w:rsidR="00F80A48" w:rsidRDefault="00F80A48">
      <w:pPr>
        <w:pStyle w:val="FootnoteText"/>
        <w:rPr>
          <w:sz w:val="20"/>
        </w:rPr>
      </w:pPr>
    </w:p>
  </w:footnote>
  <w:footnote w:id="7">
    <w:p w:rsidR="00F80A48" w:rsidRDefault="007C23B8">
      <w:pPr>
        <w:pStyle w:val="FootnoteText"/>
        <w:jc w:val="both"/>
        <w:rPr>
          <w:sz w:val="20"/>
        </w:rPr>
      </w:pPr>
      <w:r>
        <w:rPr>
          <w:rStyle w:val="FootnoteReference"/>
          <w:sz w:val="20"/>
        </w:rPr>
        <w:footnoteRef/>
      </w:r>
      <w:r>
        <w:rPr>
          <w:sz w:val="20"/>
        </w:rPr>
        <w:t xml:space="preserve"> </w:t>
      </w:r>
      <w:r>
        <w:rPr>
          <w:sz w:val="20"/>
          <w:u w:val="single"/>
        </w:rPr>
        <w:t>http://www.bls.gov/oes/current/oes113031</w:t>
      </w:r>
      <w:r>
        <w:rPr>
          <w:sz w:val="20"/>
          <w:u w:val="single"/>
        </w:rPr>
        <w:t>.htm</w:t>
      </w:r>
      <w:r>
        <w:rPr>
          <w:sz w:val="20"/>
        </w:rPr>
        <w:t>.</w:t>
      </w:r>
    </w:p>
    <w:p w:rsidR="00F80A48" w:rsidRDefault="00F80A48">
      <w:pPr>
        <w:pStyle w:val="FootnoteText"/>
        <w:jc w:val="both"/>
        <w:rPr>
          <w:sz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F80A48"/>
    <w:rsid w:val="007C23B8"/>
    <w:rsid w:val="00C16775"/>
    <w:rsid w:val="00F80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A48"/>
    <w:rPr>
      <w:rFonts w:ascii="Arial" w:hAnsi="Arial"/>
      <w:sz w:val="24"/>
      <w:szCs w:val="24"/>
    </w:rPr>
  </w:style>
  <w:style w:type="paragraph" w:styleId="Heading1">
    <w:name w:val="heading 1"/>
    <w:basedOn w:val="Normal"/>
    <w:next w:val="Normal"/>
    <w:qFormat/>
    <w:rsid w:val="00F80A4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80A48"/>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F80A48"/>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F80A4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F80A48"/>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F80A48"/>
    <w:rPr>
      <w:sz w:val="24"/>
    </w:rPr>
  </w:style>
  <w:style w:type="paragraph" w:customStyle="1" w:styleId="Default">
    <w:name w:val="Default"/>
    <w:rsid w:val="00F80A48"/>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F80A48"/>
    <w:pPr>
      <w:tabs>
        <w:tab w:val="center" w:pos="4680"/>
        <w:tab w:val="right" w:pos="9360"/>
      </w:tabs>
    </w:pPr>
  </w:style>
  <w:style w:type="character" w:customStyle="1" w:styleId="HeaderChar">
    <w:name w:val="Header Char"/>
    <w:basedOn w:val="DefaultParagraphFont"/>
    <w:link w:val="Header"/>
    <w:rsid w:val="00F80A48"/>
    <w:rPr>
      <w:rFonts w:ascii="Arial" w:hAnsi="Arial"/>
      <w:sz w:val="24"/>
      <w:szCs w:val="24"/>
    </w:rPr>
  </w:style>
  <w:style w:type="paragraph" w:styleId="Footer">
    <w:name w:val="footer"/>
    <w:basedOn w:val="Normal"/>
    <w:link w:val="FooterChar"/>
    <w:uiPriority w:val="99"/>
    <w:rsid w:val="00F80A48"/>
    <w:pPr>
      <w:tabs>
        <w:tab w:val="center" w:pos="4680"/>
        <w:tab w:val="right" w:pos="9360"/>
      </w:tabs>
    </w:pPr>
  </w:style>
  <w:style w:type="character" w:customStyle="1" w:styleId="FooterChar">
    <w:name w:val="Footer Char"/>
    <w:basedOn w:val="DefaultParagraphFont"/>
    <w:link w:val="Footer"/>
    <w:uiPriority w:val="99"/>
    <w:rsid w:val="00F80A48"/>
    <w:rPr>
      <w:rFonts w:ascii="Arial" w:hAnsi="Arial"/>
      <w:sz w:val="24"/>
      <w:szCs w:val="24"/>
    </w:rPr>
  </w:style>
  <w:style w:type="paragraph" w:styleId="PlainText">
    <w:name w:val="Plain Text"/>
    <w:basedOn w:val="Normal"/>
    <w:link w:val="PlainTextChar"/>
    <w:uiPriority w:val="99"/>
    <w:unhideWhenUsed/>
    <w:rsid w:val="00F80A48"/>
    <w:rPr>
      <w:rFonts w:ascii="Calibri" w:hAnsi="Calibri"/>
      <w:color w:val="1F497D"/>
      <w:sz w:val="22"/>
      <w:szCs w:val="21"/>
    </w:rPr>
  </w:style>
  <w:style w:type="character" w:customStyle="1" w:styleId="PlainTextChar">
    <w:name w:val="Plain Text Char"/>
    <w:basedOn w:val="DefaultParagraphFont"/>
    <w:link w:val="PlainText"/>
    <w:uiPriority w:val="99"/>
    <w:rsid w:val="00F80A48"/>
    <w:rPr>
      <w:rFonts w:ascii="Calibri" w:hAnsi="Calibri"/>
      <w:color w:val="1F497D"/>
      <w:sz w:val="22"/>
      <w:szCs w:val="21"/>
    </w:rPr>
  </w:style>
  <w:style w:type="paragraph" w:customStyle="1" w:styleId="CM3">
    <w:name w:val="CM3"/>
    <w:basedOn w:val="Default"/>
    <w:next w:val="Default"/>
    <w:uiPriority w:val="99"/>
    <w:rsid w:val="00F80A48"/>
    <w:pPr>
      <w:spacing w:line="268" w:lineRule="atLeast"/>
    </w:pPr>
    <w:rPr>
      <w:rFonts w:cs="Times New Roman"/>
      <w:color w:val="auto"/>
    </w:rPr>
  </w:style>
  <w:style w:type="paragraph" w:styleId="Title">
    <w:name w:val="Title"/>
    <w:basedOn w:val="Normal"/>
    <w:link w:val="TitleChar"/>
    <w:qFormat/>
    <w:rsid w:val="00F80A48"/>
    <w:pPr>
      <w:jc w:val="center"/>
    </w:pPr>
    <w:rPr>
      <w:rFonts w:ascii="Times New Roman" w:hAnsi="Times New Roman"/>
      <w:b/>
      <w:sz w:val="40"/>
      <w:szCs w:val="20"/>
    </w:rPr>
  </w:style>
  <w:style w:type="character" w:customStyle="1" w:styleId="TitleChar">
    <w:name w:val="Title Char"/>
    <w:basedOn w:val="DefaultParagraphFont"/>
    <w:link w:val="Title"/>
    <w:rsid w:val="00F80A48"/>
    <w:rPr>
      <w:b/>
      <w:sz w:val="40"/>
    </w:rPr>
  </w:style>
  <w:style w:type="paragraph" w:styleId="ListParagraph">
    <w:name w:val="List Paragraph"/>
    <w:basedOn w:val="Normal"/>
    <w:uiPriority w:val="34"/>
    <w:qFormat/>
    <w:rsid w:val="00F80A48"/>
    <w:pPr>
      <w:ind w:left="720"/>
      <w:contextualSpacing/>
    </w:pPr>
  </w:style>
</w:styles>
</file>

<file path=word/webSettings.xml><?xml version="1.0" encoding="utf-8"?>
<w:webSettings xmlns:r="http://schemas.openxmlformats.org/officeDocument/2006/relationships" xmlns:w="http://schemas.openxmlformats.org/wordprocessingml/2006/main">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8C32F-4497-46E1-A37F-E2B9ECCF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5040</Words>
  <Characters>29509</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34481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WMcobb</cp:lastModifiedBy>
  <cp:revision>2</cp:revision>
  <cp:lastPrinted>2011-01-25T17:22:00Z</cp:lastPrinted>
  <dcterms:created xsi:type="dcterms:W3CDTF">2011-01-28T16:07:00Z</dcterms:created>
  <dcterms:modified xsi:type="dcterms:W3CDTF">2011-01-28T16:07:00Z</dcterms:modified>
</cp:coreProperties>
</file>