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28" w:rsidRDefault="006204D8">
      <w:pPr>
        <w:suppressAutoHyphens/>
        <w:jc w:val="center"/>
        <w:rPr>
          <w:rFonts w:ascii="Times New Roman" w:hAnsi="Times New Roman"/>
          <w:b/>
        </w:rPr>
      </w:pPr>
      <w:r>
        <w:rPr>
          <w:rFonts w:ascii="Times New Roman" w:hAnsi="Times New Roman"/>
          <w:b/>
        </w:rPr>
        <w:t>SUPPORTING STATEMENT FOR NEW AND</w:t>
      </w:r>
    </w:p>
    <w:p w:rsidR="00432528" w:rsidRDefault="006204D8">
      <w:pPr>
        <w:suppressAutoHyphens/>
        <w:spacing w:after="240"/>
        <w:jc w:val="center"/>
        <w:rPr>
          <w:rFonts w:ascii="Times New Roman" w:hAnsi="Times New Roman"/>
          <w:b/>
        </w:rPr>
      </w:pPr>
      <w:r>
        <w:rPr>
          <w:rFonts w:ascii="Times New Roman" w:hAnsi="Times New Roman"/>
          <w:b/>
        </w:rPr>
        <w:t>REVISED INFORMATION COLLECTIONS</w:t>
      </w:r>
    </w:p>
    <w:p w:rsidR="00432528" w:rsidRDefault="006204D8">
      <w:pPr>
        <w:tabs>
          <w:tab w:val="center" w:pos="4680"/>
        </w:tabs>
        <w:suppressAutoHyphens/>
        <w:spacing w:after="240"/>
        <w:jc w:val="center"/>
        <w:rPr>
          <w:rFonts w:ascii="Times New Roman" w:hAnsi="Times New Roman"/>
          <w:b/>
        </w:rPr>
      </w:pPr>
      <w:r>
        <w:rPr>
          <w:rFonts w:ascii="Times New Roman" w:hAnsi="Times New Roman"/>
          <w:b/>
        </w:rPr>
        <w:t>OMB CONTROL NUMBER 3038-____</w:t>
      </w:r>
    </w:p>
    <w:p w:rsidR="00432528" w:rsidRDefault="006204D8">
      <w:pPr>
        <w:pStyle w:val="Heading1"/>
        <w:keepNext w:val="0"/>
        <w:rPr>
          <w:rFonts w:ascii="Times New Roman" w:hAnsi="Times New Roman"/>
          <w:szCs w:val="24"/>
        </w:rPr>
      </w:pPr>
      <w:r>
        <w:rPr>
          <w:rFonts w:ascii="Times New Roman" w:hAnsi="Times New Roman"/>
          <w:szCs w:val="24"/>
        </w:rPr>
        <w:t>Justification</w:t>
      </w:r>
    </w:p>
    <w:p w:rsidR="00432528" w:rsidRDefault="00432528">
      <w:pPr>
        <w:jc w:val="both"/>
      </w:pPr>
    </w:p>
    <w:p w:rsidR="00432528" w:rsidRDefault="006204D8">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 xml:space="preserve">Explain the circumstances that make the collection of information necessary.  Identify any legal or administrative requirements that </w:t>
      </w:r>
      <w:r>
        <w:rPr>
          <w:rFonts w:ascii="Times New Roman" w:hAnsi="Times New Roman"/>
          <w:b/>
        </w:rPr>
        <w:t>necessitate the collection.  Attach a copy of the appropriate section of each statute and regulation mandating or authorizing the collection of information.</w:t>
      </w:r>
    </w:p>
    <w:p w:rsidR="00432528" w:rsidRDefault="00432528">
      <w:pPr>
        <w:pStyle w:val="Default"/>
        <w:jc w:val="both"/>
        <w:rPr>
          <w:rFonts w:ascii="Times New Roman" w:hAnsi="Times New Roman" w:cs="Times New Roman"/>
        </w:rPr>
      </w:pPr>
    </w:p>
    <w:p w:rsidR="00432528" w:rsidRDefault="006204D8">
      <w:pPr>
        <w:pStyle w:val="Default"/>
        <w:jc w:val="both"/>
        <w:rPr>
          <w:rFonts w:ascii="Times New Roman" w:hAnsi="Times New Roman" w:cs="Times New Roman"/>
        </w:rPr>
      </w:pPr>
      <w:r>
        <w:rPr>
          <w:rFonts w:ascii="Times New Roman" w:hAnsi="Times New Roman" w:cs="Times New Roman"/>
        </w:rPr>
        <w:t>Section 731 of Title VII of the Dodd-Frank Wall Street Reform and Consumer Protection Act (Dodd-Fr</w:t>
      </w:r>
      <w:r>
        <w:rPr>
          <w:rFonts w:ascii="Times New Roman" w:hAnsi="Times New Roman" w:cs="Times New Roman"/>
        </w:rPr>
        <w:t xml:space="preserve">ank Act, Pub L. No. 111-203, 124 Stat. 1376 (2010)) amended the Commodity Exchange Act (CEA) to add new section </w:t>
      </w:r>
      <w:proofErr w:type="gramStart"/>
      <w:r>
        <w:rPr>
          <w:rFonts w:ascii="Times New Roman" w:hAnsi="Times New Roman" w:cs="Times New Roman"/>
        </w:rPr>
        <w:t>4s(</w:t>
      </w:r>
      <w:proofErr w:type="spellStart"/>
      <w:proofErr w:type="gramEnd"/>
      <w:r>
        <w:rPr>
          <w:rFonts w:ascii="Times New Roman" w:hAnsi="Times New Roman" w:cs="Times New Roman"/>
        </w:rPr>
        <w:t>i</w:t>
      </w:r>
      <w:proofErr w:type="spellEnd"/>
      <w:r>
        <w:rPr>
          <w:rFonts w:ascii="Times New Roman" w:hAnsi="Times New Roman" w:cs="Times New Roman"/>
        </w:rPr>
        <w:t>), which requires the Commission to prescribe standards for swap dealers and major swap participants related to the timely and accurate conf</w:t>
      </w:r>
      <w:r>
        <w:rPr>
          <w:rFonts w:ascii="Times New Roman" w:hAnsi="Times New Roman" w:cs="Times New Roman"/>
        </w:rPr>
        <w:t>irmation, processing, netting, documentation, and valuation of swaps.  Proposed regulation 23.504(b</w:t>
      </w:r>
      <w:proofErr w:type="gramStart"/>
      <w:r>
        <w:rPr>
          <w:rFonts w:ascii="Times New Roman" w:hAnsi="Times New Roman" w:cs="Times New Roman"/>
        </w:rPr>
        <w:t>)(</w:t>
      </w:r>
      <w:proofErr w:type="gramEnd"/>
      <w:r>
        <w:rPr>
          <w:rFonts w:ascii="Times New Roman" w:hAnsi="Times New Roman" w:cs="Times New Roman"/>
        </w:rPr>
        <w:t>5) supplements previously proposed regulations that would establish trading relationship documentation requirements for swap dealers and major swap partici</w:t>
      </w:r>
      <w:r>
        <w:rPr>
          <w:rFonts w:ascii="Times New Roman" w:hAnsi="Times New Roman" w:cs="Times New Roman"/>
        </w:rPr>
        <w:t>pants.  Specifically, the proposed regulation would require swap dealers and major swap participants to include in the trading relationship documentation that they execute with their counterparties a written agreement about events that will transpire if th</w:t>
      </w:r>
      <w:r>
        <w:rPr>
          <w:rFonts w:ascii="Times New Roman" w:hAnsi="Times New Roman" w:cs="Times New Roman"/>
        </w:rPr>
        <w:t>e FDIC is appointed as a receiver under Title II of the Dodd-Frank Act or the Federal Deposit Insurance Act (FDIA).</w:t>
      </w:r>
    </w:p>
    <w:p w:rsidR="00432528" w:rsidRDefault="00432528">
      <w:pPr>
        <w:pStyle w:val="Default"/>
        <w:jc w:val="both"/>
        <w:rPr>
          <w:rFonts w:ascii="Times New Roman" w:hAnsi="Times New Roman" w:cs="Times New Roman"/>
        </w:rPr>
      </w:pPr>
    </w:p>
    <w:p w:rsidR="00432528" w:rsidRDefault="006204D8">
      <w:pPr>
        <w:jc w:val="both"/>
        <w:rPr>
          <w:rFonts w:ascii="Times New Roman" w:hAnsi="Times New Roman"/>
        </w:rPr>
      </w:pPr>
      <w:r>
        <w:rPr>
          <w:rFonts w:ascii="Times New Roman" w:hAnsi="Times New Roman"/>
        </w:rPr>
        <w:t>The documentation required to be executed and maintained pursuant to the proposed regulation is necessary to implement section 4s(</w:t>
      </w:r>
      <w:proofErr w:type="spellStart"/>
      <w:r>
        <w:rPr>
          <w:rFonts w:ascii="Times New Roman" w:hAnsi="Times New Roman"/>
        </w:rPr>
        <w:t>i</w:t>
      </w:r>
      <w:proofErr w:type="spellEnd"/>
      <w:r>
        <w:rPr>
          <w:rFonts w:ascii="Times New Roman" w:hAnsi="Times New Roman"/>
        </w:rPr>
        <w:t>) of the</w:t>
      </w:r>
      <w:r>
        <w:rPr>
          <w:rFonts w:ascii="Times New Roman" w:hAnsi="Times New Roman"/>
        </w:rPr>
        <w:t xml:space="preserve"> CEA and would be an important part of the Commission’s regulatory program for swap dealers and major swap participants.  Specifically, the required recordkeeping is essential to ensuring that swap dealers and major swap participants include in their tradi</w:t>
      </w:r>
      <w:r>
        <w:rPr>
          <w:rFonts w:ascii="Times New Roman" w:hAnsi="Times New Roman"/>
        </w:rPr>
        <w:t xml:space="preserve">ng relationship documentation certain agreements that are designed to enhance the consistent treatment of swaps in the event the FDIC is appointed receiver under Title II of the Dodd-Frank Act or the FDIA.  </w:t>
      </w:r>
    </w:p>
    <w:p w:rsidR="00432528" w:rsidRDefault="00432528">
      <w:pPr>
        <w:pStyle w:val="Default"/>
        <w:jc w:val="both"/>
        <w:rPr>
          <w:rFonts w:ascii="Times New Roman" w:hAnsi="Times New Roman" w:cs="Times New Roman"/>
        </w:rPr>
      </w:pPr>
    </w:p>
    <w:p w:rsidR="00432528" w:rsidRDefault="006204D8">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 xml:space="preserve">Indicate how, by whom, and for what purpose </w:t>
      </w:r>
      <w:r>
        <w:rPr>
          <w:rFonts w:ascii="Times New Roman" w:hAnsi="Times New Roman"/>
          <w:b/>
        </w:rPr>
        <w:t>the data would be used.  Except for a new collection, indicate the actual use the agency has made of the information received from the current collection.</w:t>
      </w:r>
    </w:p>
    <w:p w:rsidR="00432528" w:rsidRDefault="00432528">
      <w:pPr>
        <w:jc w:val="both"/>
        <w:rPr>
          <w:rFonts w:ascii="Times New Roman" w:hAnsi="Times New Roman"/>
        </w:rPr>
      </w:pPr>
    </w:p>
    <w:p w:rsidR="00432528" w:rsidRDefault="006204D8">
      <w:pPr>
        <w:pStyle w:val="Default"/>
        <w:jc w:val="both"/>
        <w:rPr>
          <w:rFonts w:ascii="Times New Roman" w:hAnsi="Times New Roman" w:cs="Times New Roman"/>
        </w:rPr>
      </w:pPr>
      <w:r>
        <w:rPr>
          <w:rFonts w:ascii="Times New Roman" w:hAnsi="Times New Roman"/>
        </w:rPr>
        <w:t xml:space="preserve">The information required to be preserved would be used by representatives of the Commission and any </w:t>
      </w:r>
      <w:r>
        <w:rPr>
          <w:rFonts w:ascii="Times New Roman" w:hAnsi="Times New Roman"/>
        </w:rPr>
        <w:t>examining authority responsible for reviewing the activities of the swap dealer or major swap participant to ensure compliance with the CEA and applicable Commission regulations.</w:t>
      </w:r>
      <w:r>
        <w:rPr>
          <w:rFonts w:ascii="Times New Roman" w:hAnsi="Times New Roman" w:cs="Times New Roman"/>
        </w:rPr>
        <w:t xml:space="preserve"> </w:t>
      </w:r>
    </w:p>
    <w:p w:rsidR="00432528" w:rsidRDefault="006204D8">
      <w:pPr>
        <w:keepNext/>
        <w:tabs>
          <w:tab w:val="left" w:pos="-720"/>
        </w:tabs>
        <w:spacing w:after="240"/>
        <w:ind w:left="720" w:hanging="720"/>
        <w:jc w:val="both"/>
        <w:rPr>
          <w:rFonts w:ascii="Times New Roman" w:hAnsi="Times New Roman"/>
          <w:b/>
        </w:rPr>
      </w:pPr>
      <w:r>
        <w:rPr>
          <w:rFonts w:ascii="Times New Roman" w:hAnsi="Times New Roman"/>
          <w:b/>
        </w:rPr>
        <w:lastRenderedPageBreak/>
        <w:t>3.</w:t>
      </w:r>
      <w:r>
        <w:rPr>
          <w:rFonts w:ascii="Times New Roman" w:hAnsi="Times New Roman"/>
          <w:b/>
        </w:rPr>
        <w:tab/>
        <w:t>Describe whether, and to what extent, the collection of information invol</w:t>
      </w:r>
      <w:r>
        <w:rPr>
          <w:rFonts w:ascii="Times New Roman" w:hAnsi="Times New Roman"/>
          <w:b/>
        </w:rPr>
        <w:t>ves the use of automated, electronic, mechanical, or other technological collection techniques or other forms of information technology, e.g. permitting electronic submission of responses, and the basis for the decision for adopting this means of collectio</w:t>
      </w:r>
      <w:r>
        <w:rPr>
          <w:rFonts w:ascii="Times New Roman" w:hAnsi="Times New Roman"/>
          <w:b/>
        </w:rPr>
        <w:t>n.  Also describe any consideration of using information technology to reduce burden.</w:t>
      </w:r>
    </w:p>
    <w:p w:rsidR="00432528" w:rsidRDefault="006204D8">
      <w:pPr>
        <w:tabs>
          <w:tab w:val="left" w:pos="-720"/>
          <w:tab w:val="left" w:pos="0"/>
        </w:tabs>
        <w:spacing w:after="240"/>
        <w:jc w:val="both"/>
        <w:rPr>
          <w:rFonts w:ascii="Times New Roman" w:hAnsi="Times New Roman"/>
        </w:rPr>
      </w:pPr>
      <w:r>
        <w:rPr>
          <w:rFonts w:ascii="Times New Roman" w:hAnsi="Times New Roman"/>
        </w:rPr>
        <w:t>Pursuant to previously proposed regulation 23.504(d), the recordkeeping would be required to be performed in accordance with Commission regulation 1.31, which permits the</w:t>
      </w:r>
      <w:r>
        <w:rPr>
          <w:rFonts w:ascii="Times New Roman" w:hAnsi="Times New Roman"/>
        </w:rPr>
        <w:t xml:space="preserve"> use of electronic storage media.</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432528" w:rsidRDefault="006204D8">
      <w:pPr>
        <w:tabs>
          <w:tab w:val="left" w:pos="-720"/>
        </w:tabs>
        <w:spacing w:after="240"/>
        <w:jc w:val="both"/>
        <w:rPr>
          <w:rFonts w:ascii="Times New Roman" w:hAnsi="Times New Roman"/>
        </w:rPr>
      </w:pPr>
      <w:r>
        <w:rPr>
          <w:rFonts w:ascii="Times New Roman" w:hAnsi="Times New Roman"/>
        </w:rPr>
        <w:t>Swap dealers and major swap participants are new categories of registrants under the Dodd-Frank Act.  Accordingly, the required information is not already collected by the Commission for any other purpose.  It also is not collected by any other agency or a</w:t>
      </w:r>
      <w:r>
        <w:rPr>
          <w:rFonts w:ascii="Times New Roman" w:hAnsi="Times New Roman"/>
        </w:rPr>
        <w:t xml:space="preserve">vailable for public disclosure through any other source. </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432528" w:rsidRDefault="006204D8">
      <w:pPr>
        <w:tabs>
          <w:tab w:val="left" w:pos="-720"/>
        </w:tabs>
        <w:spacing w:after="240"/>
        <w:jc w:val="both"/>
        <w:rPr>
          <w:rFonts w:ascii="Times New Roman" w:hAnsi="Times New Roman"/>
        </w:rPr>
      </w:pPr>
      <w:r>
        <w:rPr>
          <w:rFonts w:ascii="Times New Roman" w:hAnsi="Times New Roman"/>
        </w:rPr>
        <w:t>The collection of the required informatio</w:t>
      </w:r>
      <w:r>
        <w:rPr>
          <w:rFonts w:ascii="Times New Roman" w:hAnsi="Times New Roman"/>
        </w:rPr>
        <w:t xml:space="preserve">n does not involve any small businesses or small entities. </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432528" w:rsidRDefault="006204D8">
      <w:pPr>
        <w:pStyle w:val="Default"/>
        <w:jc w:val="both"/>
        <w:rPr>
          <w:rFonts w:ascii="Times New Roman" w:hAnsi="Times New Roman" w:cs="Times New Roman"/>
        </w:rPr>
      </w:pPr>
      <w:r>
        <w:rPr>
          <w:rFonts w:ascii="Times New Roman" w:hAnsi="Times New Roman" w:cs="Times New Roman"/>
        </w:rPr>
        <w:t xml:space="preserve">Failure to </w:t>
      </w:r>
      <w:r>
        <w:rPr>
          <w:rFonts w:ascii="Times New Roman" w:hAnsi="Times New Roman" w:cs="Times New Roman"/>
        </w:rPr>
        <w:t>execute and maintain the agreement required by the proposed regulations would adversely affect the Commission’s ability to ensure that swap dealers and major swap participants comply with their documentation obligations under the CEA and Commission regulat</w:t>
      </w:r>
      <w:r>
        <w:rPr>
          <w:rFonts w:ascii="Times New Roman" w:hAnsi="Times New Roman" w:cs="Times New Roman"/>
        </w:rPr>
        <w:t xml:space="preserve">ions and to ensure consistent treatment of swaps in the event that the FDIC is appointed receiver under Title II of the Dodd-Frank Act or the FDIA. </w:t>
      </w:r>
    </w:p>
    <w:p w:rsidR="00432528" w:rsidRDefault="00432528">
      <w:pPr>
        <w:pStyle w:val="Default"/>
        <w:jc w:val="both"/>
        <w:rPr>
          <w:rFonts w:ascii="Times New Roman" w:hAnsi="Times New Roman" w:cs="Times New Roman"/>
        </w:rPr>
      </w:pPr>
    </w:p>
    <w:p w:rsidR="00432528" w:rsidRDefault="006204D8">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w:t>
      </w:r>
      <w:r>
        <w:rPr>
          <w:rFonts w:ascii="Times New Roman" w:hAnsi="Times New Roman"/>
          <w:b/>
        </w:rPr>
        <w:t>spondents to report information to the agency more often than quarterly;</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proposed regulation does not contain any reporting requirements. </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w:t>
      </w:r>
      <w:r>
        <w:rPr>
          <w:rFonts w:ascii="Times New Roman" w:hAnsi="Times New Roman"/>
          <w:b/>
        </w:rPr>
        <w:t xml:space="preserve"> in fewer than 30 days after receipt of it:</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respondents to submit more that an original and two copies of any document;</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any requirement that woul</w:t>
      </w:r>
      <w:r>
        <w:rPr>
          <w:rFonts w:ascii="Times New Roman" w:hAnsi="Times New Roman"/>
        </w:rPr>
        <w:t>d obligate a respondent to submit more than an original and two copies of any document.</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 xml:space="preserve">Commission regulation </w:t>
      </w:r>
      <w:r>
        <w:rPr>
          <w:rFonts w:ascii="Times New Roman" w:hAnsi="Times New Roman"/>
        </w:rPr>
        <w:t>1.31 expressly requires that:</w:t>
      </w:r>
    </w:p>
    <w:p w:rsidR="00432528" w:rsidRDefault="006204D8">
      <w:pPr>
        <w:tabs>
          <w:tab w:val="left" w:pos="-720"/>
          <w:tab w:val="left" w:pos="0"/>
          <w:tab w:val="left" w:pos="720"/>
        </w:tabs>
        <w:spacing w:after="240"/>
        <w:ind w:left="720" w:right="720"/>
        <w:jc w:val="both"/>
        <w:rPr>
          <w:rFonts w:ascii="Times New Roman" w:hAnsi="Times New Roman"/>
        </w:rPr>
      </w:pPr>
      <w:r>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w:t>
      </w:r>
      <w:r>
        <w:rPr>
          <w:rFonts w:ascii="Times New Roman" w:hAnsi="Times New Roman"/>
        </w:rPr>
        <w:t>iod.  All such books and records shall be open to inspection by any representative of the commission or the United States Department of Justice.</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w:t>
      </w:r>
      <w:r>
        <w:rPr>
          <w:rFonts w:ascii="Times New Roman" w:hAnsi="Times New Roman"/>
        </w:rPr>
        <w:t>ys.</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w:t>
      </w:r>
      <w:r>
        <w:rPr>
          <w:rFonts w:ascii="Times New Roman" w:hAnsi="Times New Roman"/>
          <w:b/>
        </w:rPr>
        <w:t>edge of confidentiality that is not supported by authority established in statue or regulation, that is not supported by disclosure and data security policies that are consistent with the pledge, or which unnecessarily impedes sharing of data with other ag</w:t>
      </w:r>
      <w:r>
        <w:rPr>
          <w:rFonts w:ascii="Times New Roman" w:hAnsi="Times New Roman"/>
          <w:b/>
        </w:rPr>
        <w:t>encies for compatible confidential use; or</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w:t>
      </w:r>
      <w:r>
        <w:rPr>
          <w:rFonts w:ascii="Times New Roman" w:hAnsi="Times New Roman"/>
          <w:b/>
        </w:rPr>
        <w:t>an demonstrate that it has instituted procedures to protect the information's confidentiality to the extent permitted by law.</w:t>
      </w:r>
    </w:p>
    <w:p w:rsidR="00432528" w:rsidRDefault="006204D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r>
      <w:r w:rsidR="000D3A81">
        <w:rPr>
          <w:rFonts w:ascii="Times New Roman" w:hAnsi="Times New Roman"/>
        </w:rPr>
        <w:t xml:space="preserve">The Commission is affirmatively seeking comment from the public and federal agencies on the proposed information collection.  A copy of the proposed regulation as it appears in the </w:t>
      </w:r>
      <w:r w:rsidR="000D3A81">
        <w:rPr>
          <w:rFonts w:ascii="Times New Roman" w:hAnsi="Times New Roman"/>
          <w:i/>
        </w:rPr>
        <w:t xml:space="preserve">Federal Register </w:t>
      </w:r>
      <w:r w:rsidR="000D3A81">
        <w:rPr>
          <w:rFonts w:ascii="Times New Roman" w:hAnsi="Times New Roman"/>
        </w:rPr>
        <w:t xml:space="preserve">(75 FR 80572 December 22, </w:t>
      </w:r>
      <w:proofErr w:type="gramStart"/>
      <w:r w:rsidR="000D3A81">
        <w:rPr>
          <w:rFonts w:ascii="Times New Roman" w:hAnsi="Times New Roman"/>
        </w:rPr>
        <w:t>2010 )</w:t>
      </w:r>
      <w:proofErr w:type="gramEnd"/>
      <w:r w:rsidR="000D3A81">
        <w:rPr>
          <w:rFonts w:ascii="Times New Roman" w:hAnsi="Times New Roman"/>
        </w:rPr>
        <w:t xml:space="preserve">, including the explicit </w:t>
      </w:r>
      <w:r w:rsidR="000D3A81">
        <w:rPr>
          <w:rFonts w:ascii="Times New Roman" w:hAnsi="Times New Roman"/>
        </w:rPr>
        <w:lastRenderedPageBreak/>
        <w:t>solicitation of comment on all aspects of the reporting and recordkeeping burdens imposed, is accompanied with this submission</w:t>
      </w:r>
    </w:p>
    <w:p w:rsidR="00432528" w:rsidRDefault="006204D8">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The Commission is affirmatively seeking comment from the public and from other federal agencies on all aspec</w:t>
      </w:r>
      <w:r>
        <w:rPr>
          <w:rFonts w:ascii="Times New Roman" w:hAnsi="Times New Roman"/>
          <w:szCs w:val="24"/>
        </w:rPr>
        <w:t xml:space="preserve">ts of the recordkeeping burden imposed by the proposed regulation.  A copy of the proposed rule as it will appear in the </w:t>
      </w:r>
      <w:r>
        <w:rPr>
          <w:rFonts w:ascii="Times New Roman" w:hAnsi="Times New Roman"/>
          <w:i/>
          <w:szCs w:val="24"/>
        </w:rPr>
        <w:t>Federal Register</w:t>
      </w:r>
      <w:r>
        <w:rPr>
          <w:rFonts w:ascii="Times New Roman" w:hAnsi="Times New Roman"/>
          <w:szCs w:val="24"/>
        </w:rPr>
        <w:t xml:space="preserve">, including the explicit solicitation of comment, is attached hereto.    </w:t>
      </w:r>
    </w:p>
    <w:p w:rsidR="00432528" w:rsidRDefault="006204D8">
      <w:pPr>
        <w:tabs>
          <w:tab w:val="left" w:pos="-720"/>
        </w:tabs>
        <w:spacing w:after="240"/>
        <w:ind w:left="720"/>
        <w:jc w:val="both"/>
        <w:rPr>
          <w:rFonts w:ascii="Times New Roman" w:hAnsi="Times New Roman"/>
          <w:b/>
        </w:rPr>
      </w:pPr>
      <w:r>
        <w:rPr>
          <w:rFonts w:ascii="Times New Roman" w:hAnsi="Times New Roman"/>
          <w:b/>
        </w:rPr>
        <w:t>Describe efforts to consult with persons outs</w:t>
      </w:r>
      <w:r>
        <w:rPr>
          <w:rFonts w:ascii="Times New Roman" w:hAnsi="Times New Roman"/>
          <w:b/>
        </w:rPr>
        <w:t>ide the agency to obtain their views on the availability of data, frequency of collection, the clarity of instructions and recordkeeping disclosure, or reporting format (if any, and on the data elements to be recorded, disclosed, or reported).</w:t>
      </w:r>
    </w:p>
    <w:p w:rsidR="00432528" w:rsidRDefault="006204D8">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The Commissi</w:t>
      </w:r>
      <w:r>
        <w:rPr>
          <w:rFonts w:ascii="Times New Roman" w:hAnsi="Times New Roman"/>
          <w:szCs w:val="24"/>
        </w:rPr>
        <w:t xml:space="preserve">on is affirmatively seeking comment from the public and from other federal agencies on all aspects of the recordkeeping burden imposed by the proposed regulation.  A copy of the proposed rule as it will appear in the </w:t>
      </w:r>
      <w:r>
        <w:rPr>
          <w:rFonts w:ascii="Times New Roman" w:hAnsi="Times New Roman"/>
          <w:i/>
          <w:szCs w:val="24"/>
        </w:rPr>
        <w:t>Federal Register</w:t>
      </w:r>
      <w:r>
        <w:rPr>
          <w:rFonts w:ascii="Times New Roman" w:hAnsi="Times New Roman"/>
          <w:szCs w:val="24"/>
        </w:rPr>
        <w:t>, including the explici</w:t>
      </w:r>
      <w:r>
        <w:rPr>
          <w:rFonts w:ascii="Times New Roman" w:hAnsi="Times New Roman"/>
          <w:szCs w:val="24"/>
        </w:rPr>
        <w:t xml:space="preserve">t solicitation of comment, is attached hereto.    </w:t>
      </w:r>
    </w:p>
    <w:p w:rsidR="00432528" w:rsidRDefault="006204D8">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w:t>
      </w:r>
      <w:r>
        <w:rPr>
          <w:rFonts w:ascii="Times New Roman" w:hAnsi="Times New Roman"/>
          <w:b/>
        </w:rPr>
        <w:t>y is the same as in prior periods.  There may be circumstances that may preclude consultation in a specific situation.  These circumstances should be explained.</w:t>
      </w:r>
    </w:p>
    <w:p w:rsidR="00432528" w:rsidRDefault="006204D8">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w:t>
      </w:r>
      <w:r>
        <w:rPr>
          <w:rFonts w:ascii="Times New Roman" w:hAnsi="Times New Roman"/>
          <w:b/>
        </w:rPr>
        <w:t xml:space="preserve"> to respondents, other than </w:t>
      </w:r>
      <w:proofErr w:type="spellStart"/>
      <w:r>
        <w:rPr>
          <w:rFonts w:ascii="Times New Roman" w:hAnsi="Times New Roman"/>
          <w:b/>
        </w:rPr>
        <w:t>renumeration</w:t>
      </w:r>
      <w:proofErr w:type="spellEnd"/>
      <w:r>
        <w:rPr>
          <w:rFonts w:ascii="Times New Roman" w:hAnsi="Times New Roman"/>
          <w:b/>
        </w:rPr>
        <w:t xml:space="preserve"> of contractors or grantees.</w:t>
      </w:r>
    </w:p>
    <w:p w:rsidR="00432528" w:rsidRDefault="006204D8">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432528" w:rsidRDefault="006204D8">
      <w:pPr>
        <w:tabs>
          <w:tab w:val="left" w:pos="-720"/>
        </w:tabs>
        <w:spacing w:after="240"/>
        <w:ind w:left="720" w:hanging="720"/>
        <w:jc w:val="both"/>
        <w:rPr>
          <w:rFonts w:ascii="Times New Roman" w:hAnsi="Times New Roman"/>
          <w:b/>
        </w:rPr>
      </w:pPr>
      <w:proofErr w:type="gramStart"/>
      <w:r>
        <w:rPr>
          <w:rFonts w:ascii="Times New Roman" w:hAnsi="Times New Roman"/>
          <w:b/>
        </w:rPr>
        <w:t>10.</w:t>
      </w:r>
      <w:r>
        <w:rPr>
          <w:rFonts w:ascii="Times New Roman" w:hAnsi="Times New Roman"/>
          <w:b/>
        </w:rPr>
        <w:tab/>
        <w:t>Describe any assurance of confidentiality provided to respondents and the basis</w:t>
      </w:r>
      <w:r>
        <w:rPr>
          <w:rFonts w:ascii="Times New Roman" w:hAnsi="Times New Roman"/>
          <w:b/>
        </w:rPr>
        <w:t xml:space="preserve"> for the assurance in statute, regulations, or agency policy.</w:t>
      </w:r>
      <w:proofErr w:type="gramEnd"/>
    </w:p>
    <w:p w:rsidR="000D3A81" w:rsidRPr="000D3A81" w:rsidRDefault="000D3A81" w:rsidP="000D3A81">
      <w:pPr>
        <w:tabs>
          <w:tab w:val="left" w:pos="-720"/>
          <w:tab w:val="left" w:pos="0"/>
          <w:tab w:val="left" w:pos="720"/>
        </w:tabs>
        <w:spacing w:after="240"/>
        <w:jc w:val="both"/>
        <w:rPr>
          <w:rFonts w:ascii="Times New Roman" w:eastAsia="Calibri" w:hAnsi="Times New Roman"/>
        </w:rPr>
      </w:pPr>
      <w:r w:rsidRPr="000D3A81">
        <w:rPr>
          <w:rFonts w:ascii="Times New Roman" w:eastAsia="Calibri" w:hAnsi="Times New Roman"/>
        </w:rPr>
        <w:t>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w:t>
      </w:r>
    </w:p>
    <w:p w:rsidR="00432528" w:rsidRDefault="006204D8">
      <w:pPr>
        <w:tabs>
          <w:tab w:val="left" w:pos="-720"/>
        </w:tabs>
        <w:spacing w:after="240"/>
        <w:ind w:left="720" w:hanging="720"/>
        <w:jc w:val="both"/>
        <w:rPr>
          <w:rFonts w:ascii="Times New Roman" w:hAnsi="Times New Roman"/>
          <w:b/>
        </w:rPr>
      </w:pPr>
      <w:proofErr w:type="gramStart"/>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w:t>
      </w:r>
      <w:r>
        <w:rPr>
          <w:rFonts w:ascii="Times New Roman" w:hAnsi="Times New Roman"/>
          <w:b/>
        </w:rPr>
        <w:t>d other matters that are commonly considered private.</w:t>
      </w:r>
      <w:proofErr w:type="gramEnd"/>
      <w:r>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w:t>
      </w:r>
      <w:r>
        <w:rPr>
          <w:rFonts w:ascii="Times New Roman" w:hAnsi="Times New Roman"/>
          <w:b/>
        </w:rPr>
        <w:t>ormation is requested, and any steps to be taken to obtain their consent.</w:t>
      </w:r>
    </w:p>
    <w:p w:rsidR="00432528" w:rsidRDefault="006204D8">
      <w:pPr>
        <w:tabs>
          <w:tab w:val="left" w:pos="-720"/>
        </w:tabs>
        <w:spacing w:after="240"/>
        <w:jc w:val="both"/>
        <w:rPr>
          <w:rFonts w:ascii="Times New Roman" w:hAnsi="Times New Roman"/>
        </w:rPr>
      </w:pPr>
      <w:r>
        <w:rPr>
          <w:rFonts w:ascii="Times New Roman" w:hAnsi="Times New Roman"/>
        </w:rPr>
        <w:lastRenderedPageBreak/>
        <w:t>This question does not apply.  The proposed regulations do not request nor require the provision of sensitive information, as that term is used in question 11.</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 xml:space="preserve">Provide estimates </w:t>
      </w:r>
      <w:r>
        <w:rPr>
          <w:rFonts w:ascii="Times New Roman" w:hAnsi="Times New Roman"/>
          <w:b/>
        </w:rPr>
        <w:t>of the hour burden of the collection of information.  The Statement should:</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w:t>
      </w:r>
      <w:r>
        <w:rPr>
          <w:rFonts w:ascii="Times New Roman" w:hAnsi="Times New Roman"/>
          <w:b/>
        </w:rPr>
        <w:t>duct special surveys to obtain information on which to base hour burden estimates.  Consultation with a sample (fewer than ten) of potential respondents is desirable.  If the hour burden on respondents is expected to vary widely because of differences in a</w:t>
      </w:r>
      <w:r>
        <w:rPr>
          <w:rFonts w:ascii="Times New Roman" w:hAnsi="Times New Roman"/>
          <w:b/>
        </w:rPr>
        <w:t>ctivity, size or complexity, show the range of estimated hour burden, and explain the reasons for the variance.  Generally, estimates should not include burden hours for customary and usual business practices.</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w:t>
      </w:r>
      <w:r>
        <w:rPr>
          <w:rFonts w:ascii="Times New Roman" w:hAnsi="Times New Roman"/>
          <w:b/>
        </w:rPr>
        <w:t>ne form, provide separate hour burden estimates for each form and aggregate the hour burdens in Item 13 of OMB Form 83-I.</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w:t>
      </w:r>
      <w:r>
        <w:rPr>
          <w:rFonts w:ascii="Times New Roman" w:hAnsi="Times New Roman"/>
          <w:b/>
        </w:rPr>
        <w:t>riate wage rate categories.  The cost of contracting out or paying outside parties for information collection activities should not be included here.  Instead, this cost should be included in Item 13.</w:t>
      </w:r>
    </w:p>
    <w:p w:rsidR="00432528" w:rsidRDefault="006204D8">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The information collection burden as</w:t>
      </w:r>
      <w:r>
        <w:rPr>
          <w:rFonts w:ascii="Times New Roman" w:hAnsi="Times New Roman"/>
          <w:color w:val="auto"/>
          <w:sz w:val="24"/>
          <w:szCs w:val="24"/>
        </w:rPr>
        <w:t>sociated with drafting and maintaining the agreements required by the proposed regulation is estimated to be 270 hours per year, at an initial annual cost of $27,000 for each swap dealer and major swap participant. The aggregate information collection burd</w:t>
      </w:r>
      <w:r>
        <w:rPr>
          <w:rFonts w:ascii="Times New Roman" w:hAnsi="Times New Roman"/>
          <w:color w:val="auto"/>
          <w:sz w:val="24"/>
          <w:szCs w:val="24"/>
        </w:rPr>
        <w:t>en is estimated to be 81,000 hours per year, at an initial annual aggregate cost of $8,100,000.  The Commission has characterized the annual cost as an initial cost as the Commission anticipates that the agreement required by the proposed regulation genera</w:t>
      </w:r>
      <w:r>
        <w:rPr>
          <w:rFonts w:ascii="Times New Roman" w:hAnsi="Times New Roman"/>
          <w:color w:val="auto"/>
          <w:sz w:val="24"/>
          <w:szCs w:val="24"/>
        </w:rPr>
        <w:t>lly would not require significant bilateral negotiation and, therefore, is likely to become standardized within the industry rather rapidly.  Moreover, the Commission expects that there would be little need to modify the agreement on an ongoing basis.  Acc</w:t>
      </w:r>
      <w:r>
        <w:rPr>
          <w:rFonts w:ascii="Times New Roman" w:hAnsi="Times New Roman"/>
          <w:color w:val="auto"/>
          <w:sz w:val="24"/>
          <w:szCs w:val="24"/>
        </w:rPr>
        <w:t>ordingly, once a swap dealer or major swap participant has drafted the required agreement and incorporated it into its swaps trading documentation, the annual burden associated with the proposed regulation would be quite minimal.</w:t>
      </w:r>
      <w:r>
        <w:rPr>
          <w:rStyle w:val="FootnoteReference"/>
          <w:rFonts w:ascii="Times New Roman" w:hAnsi="Times New Roman"/>
          <w:color w:val="auto"/>
          <w:sz w:val="24"/>
          <w:szCs w:val="24"/>
        </w:rPr>
        <w:footnoteReference w:id="1"/>
      </w:r>
      <w:r>
        <w:rPr>
          <w:rFonts w:ascii="Times New Roman" w:hAnsi="Times New Roman"/>
          <w:color w:val="auto"/>
          <w:sz w:val="24"/>
          <w:szCs w:val="24"/>
        </w:rPr>
        <w:t xml:space="preserve"> </w:t>
      </w:r>
    </w:p>
    <w:p w:rsidR="00432528" w:rsidRDefault="006204D8">
      <w:pPr>
        <w:pStyle w:val="PlainText"/>
        <w:jc w:val="both"/>
        <w:rPr>
          <w:rFonts w:ascii="Times New Roman" w:hAnsi="Times New Roman"/>
          <w:color w:val="auto"/>
          <w:sz w:val="24"/>
          <w:szCs w:val="24"/>
        </w:rPr>
      </w:pPr>
      <w:r>
        <w:rPr>
          <w:rFonts w:ascii="Times New Roman" w:hAnsi="Times New Roman"/>
          <w:color w:val="auto"/>
          <w:sz w:val="24"/>
          <w:szCs w:val="24"/>
        </w:rPr>
        <w:t xml:space="preserve"> </w:t>
      </w:r>
    </w:p>
    <w:p w:rsidR="00432528" w:rsidRDefault="006204D8">
      <w:pPr>
        <w:widowControl w:val="0"/>
        <w:jc w:val="both"/>
        <w:rPr>
          <w:rFonts w:ascii="Times New Roman" w:hAnsi="Times New Roman"/>
        </w:rPr>
      </w:pPr>
      <w:r>
        <w:rPr>
          <w:rFonts w:ascii="Times New Roman" w:hAnsi="Times New Roman"/>
        </w:rPr>
        <w:t>The hour burden calcul</w:t>
      </w:r>
      <w:r>
        <w:rPr>
          <w:rFonts w:ascii="Times New Roman" w:hAnsi="Times New Roman"/>
        </w:rPr>
        <w:t>ation applicable to the proposed regulation is based upon certain variables such as the number of swap dealers and major swap participants in the marketplace, the average number of counterparties of each of these registrants, and the average hourly wage of</w:t>
      </w:r>
      <w:r>
        <w:rPr>
          <w:rFonts w:ascii="Times New Roman" w:hAnsi="Times New Roman"/>
        </w:rPr>
        <w:t xml:space="preserve"> the employees that would be responsible for satisfying the obligation established by the proposed </w:t>
      </w:r>
      <w:r>
        <w:rPr>
          <w:rFonts w:ascii="Times New Roman" w:hAnsi="Times New Roman"/>
        </w:rPr>
        <w:lastRenderedPageBreak/>
        <w:t>regulation.  Swap dealers and major swap participants are new categories of registrants.  Accordingly, it is not currently known how many swap dealers and ma</w:t>
      </w:r>
      <w:r>
        <w:rPr>
          <w:rFonts w:ascii="Times New Roman" w:hAnsi="Times New Roman"/>
        </w:rPr>
        <w:t>jor swap participants will become subject to these rules, and this will not be known to the Commission until the registration requirements for these entities become effective after July 16, 2011, the date on which the Dodd-Frank Act becomes effective.  Whi</w:t>
      </w:r>
      <w:r>
        <w:rPr>
          <w:rFonts w:ascii="Times New Roman" w:hAnsi="Times New Roman"/>
        </w:rPr>
        <w:t>le the Commission believes that there will be approximately 200 swap dealers and 50 major swap participants, it has taken a conservative approach, for PRA purposes, in estimating that there will be a combined number of 300 swap dealers and major swap parti</w:t>
      </w:r>
      <w:r>
        <w:rPr>
          <w:rFonts w:ascii="Times New Roman" w:hAnsi="Times New Roman"/>
        </w:rPr>
        <w:t>cipants who will be required to comply with the recordkeeping requirements of the proposed rules.  The Commission estimated the number of affected entities based on industry data.</w:t>
      </w:r>
    </w:p>
    <w:p w:rsidR="00432528" w:rsidRDefault="00432528">
      <w:pPr>
        <w:widowControl w:val="0"/>
        <w:jc w:val="both"/>
        <w:rPr>
          <w:rFonts w:ascii="Times New Roman" w:hAnsi="Times New Roman"/>
        </w:rPr>
      </w:pPr>
    </w:p>
    <w:p w:rsidR="00432528" w:rsidRDefault="006204D8">
      <w:pPr>
        <w:widowControl w:val="0"/>
        <w:jc w:val="both"/>
        <w:rPr>
          <w:rFonts w:ascii="Times New Roman" w:hAnsi="Times New Roman"/>
        </w:rPr>
      </w:pPr>
      <w:r>
        <w:rPr>
          <w:rFonts w:ascii="Times New Roman" w:hAnsi="Times New Roman"/>
        </w:rPr>
        <w:t>Similarly, due to the absence of prior experience in regulating swap dealer</w:t>
      </w:r>
      <w:r>
        <w:rPr>
          <w:rFonts w:ascii="Times New Roman" w:hAnsi="Times New Roman"/>
        </w:rPr>
        <w:t>s and major swap participants and with regulations similar to the proposed rules, the actual, average number of counterparties that a swap dealer or major swap participant is likely to have is uncertain.  Consistent with other proposed rulemakings, the Com</w:t>
      </w:r>
      <w:r>
        <w:rPr>
          <w:rFonts w:ascii="Times New Roman" w:hAnsi="Times New Roman"/>
        </w:rPr>
        <w:t>mission has estimated that each of the 14 major swap dealers has an average 7,500 counterparties and the other 286 swap dealers and major swap participants have an average of 200 counterparties per year, for an average of 540 total counterparties per regis</w:t>
      </w:r>
      <w:r>
        <w:rPr>
          <w:rFonts w:ascii="Times New Roman" w:hAnsi="Times New Roman"/>
        </w:rPr>
        <w:t xml:space="preserve">trant.  </w:t>
      </w:r>
    </w:p>
    <w:p w:rsidR="00432528" w:rsidRDefault="00432528">
      <w:pPr>
        <w:widowControl w:val="0"/>
        <w:jc w:val="both"/>
        <w:rPr>
          <w:rFonts w:ascii="Times New Roman" w:hAnsi="Times New Roman"/>
        </w:rPr>
      </w:pPr>
    </w:p>
    <w:p w:rsidR="00432528" w:rsidRDefault="0062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The Commission anticipates that agreement required by the proposed regulations typically would be drafted and maintained by a swap dealer or major swap participant’s in-house counsel or by financial or operational managers within the firm.  Accor</w:t>
      </w:r>
      <w:r>
        <w:rPr>
          <w:rFonts w:ascii="Times New Roman" w:hAnsi="Times New Roman"/>
        </w:rPr>
        <w:t>ding to the Bureau of Labor Statistics findings, the mean hourly wage of an employee under occupation code 23-1011, “Lawyers,” that is employed by the “Securities and Commodity Contracts Intermediation and Brokerage Industry” is $82.22.</w:t>
      </w:r>
      <w:r>
        <w:rPr>
          <w:rStyle w:val="FootnoteReference"/>
          <w:rFonts w:ascii="Times New Roman" w:hAnsi="Times New Roman"/>
        </w:rPr>
        <w:footnoteReference w:id="2"/>
      </w:r>
      <w:r>
        <w:rPr>
          <w:rFonts w:ascii="Times New Roman" w:hAnsi="Times New Roman"/>
        </w:rPr>
        <w:t xml:space="preserve">  The mean hourly wage of an employee under occupation code 11-3031, “Financial Managers,” (which includes operations managers) in the same industry is $74.41.</w:t>
      </w:r>
      <w:r>
        <w:rPr>
          <w:rStyle w:val="FootnoteReference"/>
          <w:rFonts w:ascii="Times New Roman" w:hAnsi="Times New Roman"/>
        </w:rPr>
        <w:footnoteReference w:id="3"/>
      </w:r>
      <w:r>
        <w:rPr>
          <w:rFonts w:ascii="Times New Roman" w:hAnsi="Times New Roman"/>
        </w:rPr>
        <w:t xml:space="preserve">  Because swap dealers and major swap participants include large financial institutions whose em</w:t>
      </w:r>
      <w:r>
        <w:rPr>
          <w:rFonts w:ascii="Times New Roman" w:hAnsi="Times New Roman"/>
        </w:rPr>
        <w:t xml:space="preserve">ployees’ salaries may exceed the mean wage, however, the Commission has estimated the cost burden of the proposed regulations based upon an average salary of $100 per hour.  </w:t>
      </w:r>
    </w:p>
    <w:p w:rsidR="00432528" w:rsidRDefault="0043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32528" w:rsidRDefault="0062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Based upon the above, the estimated hour burden was calculated as follows:</w:t>
      </w:r>
    </w:p>
    <w:p w:rsidR="00432528" w:rsidRDefault="00432528">
      <w:pPr>
        <w:jc w:val="both"/>
        <w:rPr>
          <w:rFonts w:ascii="Times New Roman" w:hAnsi="Times New Roman"/>
          <w:u w:val="single"/>
        </w:rPr>
      </w:pPr>
    </w:p>
    <w:p w:rsidR="00432528" w:rsidRDefault="006204D8">
      <w:pPr>
        <w:jc w:val="both"/>
        <w:rPr>
          <w:rFonts w:ascii="Times New Roman" w:hAnsi="Times New Roman"/>
        </w:rPr>
      </w:pPr>
      <w:proofErr w:type="gramStart"/>
      <w:r>
        <w:rPr>
          <w:rFonts w:ascii="Times New Roman" w:hAnsi="Times New Roman"/>
          <w:u w:val="single"/>
        </w:rPr>
        <w:t>Agreement to Orderly Liquidation Termination Provision</w:t>
      </w:r>
      <w:r>
        <w:rPr>
          <w:rFonts w:ascii="Times New Roman" w:hAnsi="Times New Roman"/>
        </w:rPr>
        <w:t>.</w:t>
      </w:r>
      <w:proofErr w:type="gramEnd"/>
      <w:r>
        <w:rPr>
          <w:rFonts w:ascii="Times New Roman" w:hAnsi="Times New Roman"/>
        </w:rPr>
        <w:t xml:space="preserve">  </w:t>
      </w:r>
    </w:p>
    <w:p w:rsidR="00432528" w:rsidRDefault="00432528">
      <w:pPr>
        <w:jc w:val="both"/>
        <w:rPr>
          <w:rFonts w:ascii="Times New Roman" w:hAnsi="Times New Roman"/>
        </w:rPr>
      </w:pPr>
    </w:p>
    <w:p w:rsidR="00432528" w:rsidRDefault="006204D8">
      <w:pPr>
        <w:jc w:val="both"/>
        <w:rPr>
          <w:rFonts w:ascii="Times New Roman" w:hAnsi="Times New Roman"/>
        </w:rPr>
      </w:pPr>
      <w:r>
        <w:rPr>
          <w:rFonts w:ascii="Times New Roman" w:hAnsi="Times New Roman"/>
        </w:rPr>
        <w:t>Number of registrants:   300</w:t>
      </w:r>
    </w:p>
    <w:p w:rsidR="00432528" w:rsidRDefault="006204D8">
      <w:pPr>
        <w:jc w:val="both"/>
        <w:rPr>
          <w:rFonts w:ascii="Times New Roman" w:hAnsi="Times New Roman"/>
        </w:rPr>
      </w:pPr>
      <w:r>
        <w:rPr>
          <w:rFonts w:ascii="Times New Roman" w:hAnsi="Times New Roman"/>
        </w:rPr>
        <w:t>Frequency of collection:  At least once per counterparty</w:t>
      </w:r>
    </w:p>
    <w:p w:rsidR="00432528" w:rsidRDefault="006204D8">
      <w:pPr>
        <w:jc w:val="both"/>
        <w:rPr>
          <w:rFonts w:ascii="Times New Roman" w:hAnsi="Times New Roman"/>
        </w:rPr>
      </w:pPr>
      <w:r>
        <w:rPr>
          <w:rFonts w:ascii="Times New Roman" w:hAnsi="Times New Roman"/>
        </w:rPr>
        <w:t>Estimated number of annual responses per registrant:   540 [one per counterparty]</w:t>
      </w:r>
    </w:p>
    <w:p w:rsidR="00432528" w:rsidRDefault="006204D8">
      <w:pPr>
        <w:jc w:val="both"/>
        <w:rPr>
          <w:rFonts w:ascii="Times New Roman" w:hAnsi="Times New Roman"/>
        </w:rPr>
      </w:pPr>
      <w:r>
        <w:rPr>
          <w:rFonts w:ascii="Times New Roman" w:hAnsi="Times New Roman"/>
        </w:rPr>
        <w:t>Estimated aggregate number of</w:t>
      </w:r>
      <w:r>
        <w:rPr>
          <w:rFonts w:ascii="Times New Roman" w:hAnsi="Times New Roman"/>
        </w:rPr>
        <w:t xml:space="preserve"> annual responses:  162,000 [300 registrants x 540 counterparties]</w:t>
      </w:r>
    </w:p>
    <w:p w:rsidR="00432528" w:rsidRDefault="006204D8">
      <w:pPr>
        <w:jc w:val="both"/>
        <w:rPr>
          <w:rFonts w:ascii="Times New Roman" w:hAnsi="Times New Roman"/>
        </w:rPr>
      </w:pPr>
      <w:r>
        <w:rPr>
          <w:rFonts w:ascii="Times New Roman" w:hAnsi="Times New Roman"/>
        </w:rPr>
        <w:t xml:space="preserve">Estimated annual hour burden per registrant: 270 [540 counterparties x .5 hours per counterparty]  </w:t>
      </w:r>
    </w:p>
    <w:p w:rsidR="00432528" w:rsidRDefault="006204D8">
      <w:pPr>
        <w:jc w:val="both"/>
        <w:rPr>
          <w:rFonts w:ascii="Times New Roman" w:hAnsi="Times New Roman"/>
        </w:rPr>
      </w:pPr>
      <w:r>
        <w:rPr>
          <w:rFonts w:ascii="Times New Roman" w:hAnsi="Times New Roman"/>
        </w:rPr>
        <w:t>Estimated aggregate annual hour burden:  81,000 [300 registrants x 270 hours per registra</w:t>
      </w:r>
      <w:r>
        <w:rPr>
          <w:rFonts w:ascii="Times New Roman" w:hAnsi="Times New Roman"/>
        </w:rPr>
        <w:t>nt]</w:t>
      </w:r>
    </w:p>
    <w:p w:rsidR="00432528" w:rsidRDefault="0043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432528" w:rsidRDefault="006204D8">
      <w:pPr>
        <w:keepNext/>
        <w:tabs>
          <w:tab w:val="left" w:pos="-720"/>
          <w:tab w:val="left" w:pos="0"/>
        </w:tabs>
        <w:spacing w:after="240"/>
        <w:jc w:val="both"/>
        <w:rPr>
          <w:rFonts w:ascii="Times New Roman" w:hAnsi="Times New Roman"/>
          <w:b/>
        </w:rPr>
      </w:pPr>
      <w:r>
        <w:rPr>
          <w:rFonts w:ascii="Times New Roman" w:hAnsi="Times New Roman"/>
          <w:b/>
        </w:rPr>
        <w:lastRenderedPageBreak/>
        <w:t>13.</w:t>
      </w:r>
      <w:r>
        <w:rPr>
          <w:rFonts w:ascii="Times New Roman" w:hAnsi="Times New Roman"/>
          <w:b/>
        </w:rPr>
        <w:tab/>
        <w:t xml:space="preserve">Provide an estimate of the total annual cost burden to respondents or </w:t>
      </w: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w:t>
      </w:r>
      <w:r>
        <w:rPr>
          <w:rFonts w:ascii="Times New Roman" w:hAnsi="Times New Roman"/>
          <w:b/>
        </w:rPr>
        <w:t>mponents; (a) a total capital and start-up cost component (annualized over its expected useful life) and (b) a total operation and maintenance and purchase of services component.  The estimates should take into account costs associated with generating, mai</w:t>
      </w:r>
      <w:r>
        <w:rPr>
          <w:rFonts w:ascii="Times New Roman" w:hAnsi="Times New Roman"/>
          <w:b/>
        </w:rPr>
        <w:t>ntaining, and disclosing or providing the information.  Include descriptions of methods used to estimate major costs factors including system and technology acquisition, expected useful life of capital equipment, the discount rate(s), and the time period o</w:t>
      </w:r>
      <w:r>
        <w:rPr>
          <w:rFonts w:ascii="Times New Roman" w:hAnsi="Times New Roman"/>
          <w:b/>
        </w:rPr>
        <w:t>ver which costs will be incurred.  Capital and start-up costs include, among other items, preparations for collecting information such as purchasing computers and software, monitoring, sampling, drilling and testing equipment, and record storage facilities</w:t>
      </w:r>
      <w:r>
        <w:rPr>
          <w:rFonts w:ascii="Times New Roman" w:hAnsi="Times New Roman"/>
          <w:b/>
        </w:rPr>
        <w:t>.</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w:t>
      </w:r>
      <w:r>
        <w:rPr>
          <w:rFonts w:ascii="Times New Roman" w:hAnsi="Times New Roman"/>
          <w:b/>
        </w:rPr>
        <w:t>te, agencies may consult with a sample of respondents (fewer than ten), utilize the 60-day pre-OMB submission public comment process and use existing economic or regulatory impact analysis associated with the rulemaking containing the information collectio</w:t>
      </w:r>
      <w:r>
        <w:rPr>
          <w:rFonts w:ascii="Times New Roman" w:hAnsi="Times New Roman"/>
          <w:b/>
        </w:rPr>
        <w:t>n, as appropriate.</w:t>
      </w:r>
    </w:p>
    <w:p w:rsidR="00432528" w:rsidRDefault="006204D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w:t>
      </w:r>
      <w:r>
        <w:rPr>
          <w:rFonts w:ascii="Times New Roman" w:hAnsi="Times New Roman"/>
          <w:b/>
        </w:rPr>
        <w:t>3) for reasons other than to provide information or keep records for the government, or (4) as part of customary and usual business or private practices.</w:t>
      </w:r>
    </w:p>
    <w:p w:rsidR="00432528" w:rsidRDefault="00432528">
      <w:pPr>
        <w:jc w:val="both"/>
        <w:rPr>
          <w:rFonts w:ascii="Times New Roman" w:hAnsi="Times New Roman"/>
        </w:rPr>
      </w:pPr>
    </w:p>
    <w:p w:rsidR="00432528" w:rsidRDefault="006204D8">
      <w:pPr>
        <w:jc w:val="both"/>
        <w:rPr>
          <w:rFonts w:ascii="Times New Roman" w:hAnsi="Times New Roman"/>
        </w:rPr>
      </w:pPr>
      <w:r>
        <w:rPr>
          <w:rFonts w:ascii="Times New Roman" w:hAnsi="Times New Roman"/>
        </w:rPr>
        <w:t>As stated above, the agreement required by proposed regulation 23.504(b</w:t>
      </w:r>
      <w:proofErr w:type="gramStart"/>
      <w:r>
        <w:rPr>
          <w:rFonts w:ascii="Times New Roman" w:hAnsi="Times New Roman"/>
        </w:rPr>
        <w:t>)(</w:t>
      </w:r>
      <w:proofErr w:type="gramEnd"/>
      <w:r>
        <w:rPr>
          <w:rFonts w:ascii="Times New Roman" w:hAnsi="Times New Roman"/>
        </w:rPr>
        <w:t>5) would be required to be i</w:t>
      </w:r>
      <w:r>
        <w:rPr>
          <w:rFonts w:ascii="Times New Roman" w:hAnsi="Times New Roman"/>
        </w:rPr>
        <w:t>ncorporated into the swaps trading relationship documentation established by previously proposed subsections of regulation 23.504(b).  The Commission does not anticipate that swap dealers and major swap participants would incur any start-up costs in connec</w:t>
      </w:r>
      <w:r>
        <w:rPr>
          <w:rFonts w:ascii="Times New Roman" w:hAnsi="Times New Roman"/>
        </w:rPr>
        <w:t xml:space="preserve">tion with the proposed recordkeeping obligations, other than those previously noted and accounted for in the prior proposal.  </w:t>
      </w:r>
    </w:p>
    <w:p w:rsidR="00432528" w:rsidRDefault="00432528">
      <w:pPr>
        <w:jc w:val="both"/>
        <w:rPr>
          <w:rFonts w:ascii="Times New Roman" w:hAnsi="Times New Roman"/>
        </w:rPr>
      </w:pP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r>
      <w:r>
        <w:rPr>
          <w:rFonts w:ascii="Times New Roman" w:hAnsi="Times New Roman"/>
          <w:b/>
        </w:rPr>
        <w:t>Provide estimates of the annualized costs to the Federal Government.  Also provide a description of the method used to estimate cost, which should include quantification of hours, operational expenses (such as equipment, overhead, printing and support staf</w:t>
      </w:r>
      <w:r>
        <w:rPr>
          <w:rFonts w:ascii="Times New Roman" w:hAnsi="Times New Roman"/>
          <w:b/>
        </w:rPr>
        <w:t xml:space="preserve">f), and any other expense that would not have been incurred without this collection of information.  Agencies may also aggregate cost estimates from Items 12, 13, and 14 in a single table.  </w:t>
      </w:r>
    </w:p>
    <w:p w:rsidR="00432528" w:rsidRDefault="006204D8">
      <w:pPr>
        <w:tabs>
          <w:tab w:val="left" w:pos="-720"/>
        </w:tabs>
        <w:spacing w:after="240"/>
        <w:jc w:val="both"/>
        <w:rPr>
          <w:rFonts w:ascii="Times New Roman" w:hAnsi="Times New Roman"/>
        </w:rPr>
      </w:pPr>
      <w:r>
        <w:rPr>
          <w:rFonts w:ascii="Times New Roman" w:hAnsi="Times New Roman"/>
        </w:rPr>
        <w:t xml:space="preserve">It is not anticipated that the proposed regulations would impose </w:t>
      </w:r>
      <w:r>
        <w:rPr>
          <w:rFonts w:ascii="Times New Roman" w:hAnsi="Times New Roman"/>
        </w:rPr>
        <w:t>any additional costs to the Federal Government.</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lastRenderedPageBreak/>
        <w:t>15.</w:t>
      </w:r>
      <w:r>
        <w:rPr>
          <w:rFonts w:ascii="Times New Roman" w:hAnsi="Times New Roman"/>
          <w:b/>
        </w:rPr>
        <w:tab/>
        <w:t>Explain the reasons for any program changes or adjustments reported in Items 13 or 14 of the OMB Form 83-I.</w:t>
      </w:r>
    </w:p>
    <w:p w:rsidR="00432528" w:rsidRDefault="006204D8">
      <w:pPr>
        <w:tabs>
          <w:tab w:val="left" w:pos="-720"/>
        </w:tabs>
        <w:spacing w:after="240"/>
        <w:jc w:val="both"/>
        <w:rPr>
          <w:rFonts w:ascii="Times New Roman" w:hAnsi="Times New Roman"/>
        </w:rPr>
      </w:pPr>
      <w:r>
        <w:rPr>
          <w:rFonts w:ascii="Times New Roman" w:hAnsi="Times New Roman"/>
        </w:rPr>
        <w:t>The program changes or adjustments are required by the Dodd-Frank Act, which established a new r</w:t>
      </w:r>
      <w:r>
        <w:rPr>
          <w:rFonts w:ascii="Times New Roman" w:hAnsi="Times New Roman"/>
        </w:rPr>
        <w:t xml:space="preserve">egulatory scheme.  </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r>
      <w:proofErr w:type="gramStart"/>
      <w:r>
        <w:rPr>
          <w:rFonts w:ascii="Times New Roman" w:hAnsi="Times New Roman"/>
          <w:b/>
        </w:rPr>
        <w:t>For</w:t>
      </w:r>
      <w:proofErr w:type="gramEnd"/>
      <w:r>
        <w:rPr>
          <w:rFonts w:ascii="Times New Roman" w:hAnsi="Times New Roman"/>
          <w:b/>
        </w:rPr>
        <w:t xml:space="preserve"> collection of information whose results are planned to be published for statistical use, outline plans for tabulation, statistical analysis, and publication.  Provide the time schedule for the entire project, including beginning</w:t>
      </w:r>
      <w:r>
        <w:rPr>
          <w:rFonts w:ascii="Times New Roman" w:hAnsi="Times New Roman"/>
          <w:b/>
        </w:rPr>
        <w:t xml:space="preserve"> and ending dates of the collection of information, completion of report, publication dates, and other actions.</w:t>
      </w:r>
    </w:p>
    <w:p w:rsidR="00432528" w:rsidRDefault="006204D8">
      <w:pPr>
        <w:tabs>
          <w:tab w:val="left" w:pos="-720"/>
        </w:tabs>
        <w:spacing w:after="240"/>
        <w:jc w:val="both"/>
        <w:rPr>
          <w:rFonts w:ascii="Times New Roman" w:hAnsi="Times New Roman"/>
        </w:rPr>
      </w:pPr>
      <w:r>
        <w:rPr>
          <w:rFonts w:ascii="Times New Roman" w:hAnsi="Times New Roman"/>
        </w:rPr>
        <w:t>This question does not apply.</w:t>
      </w:r>
    </w:p>
    <w:p w:rsidR="00432528" w:rsidRDefault="006204D8">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r>
      <w:proofErr w:type="gramStart"/>
      <w:r>
        <w:rPr>
          <w:rFonts w:ascii="Times New Roman" w:hAnsi="Times New Roman"/>
          <w:b/>
        </w:rPr>
        <w:t>If</w:t>
      </w:r>
      <w:proofErr w:type="gramEnd"/>
      <w:r>
        <w:rPr>
          <w:rFonts w:ascii="Times New Roman" w:hAnsi="Times New Roman"/>
          <w:b/>
        </w:rPr>
        <w:t xml:space="preserve"> seeking approval to not display the expiration date for OMB approval of the information collection, explain</w:t>
      </w:r>
      <w:r>
        <w:rPr>
          <w:rFonts w:ascii="Times New Roman" w:hAnsi="Times New Roman"/>
          <w:b/>
        </w:rPr>
        <w:t xml:space="preserve"> the reasons that display would be inappropriate.</w:t>
      </w:r>
    </w:p>
    <w:p w:rsidR="00432528" w:rsidRDefault="006204D8">
      <w:pPr>
        <w:tabs>
          <w:tab w:val="left" w:pos="-720"/>
        </w:tabs>
        <w:spacing w:after="240"/>
        <w:jc w:val="both"/>
        <w:rPr>
          <w:rFonts w:ascii="Times New Roman" w:hAnsi="Times New Roman"/>
        </w:rPr>
      </w:pPr>
      <w:r>
        <w:rPr>
          <w:rFonts w:ascii="Times New Roman" w:hAnsi="Times New Roman"/>
        </w:rPr>
        <w:t>This question does not apply.</w:t>
      </w:r>
    </w:p>
    <w:p w:rsidR="00432528" w:rsidRDefault="006204D8">
      <w:pPr>
        <w:keepNext/>
        <w:tabs>
          <w:tab w:val="left" w:pos="-720"/>
        </w:tabs>
        <w:spacing w:after="240"/>
        <w:ind w:left="720" w:hanging="720"/>
        <w:jc w:val="both"/>
        <w:rPr>
          <w:rFonts w:ascii="Times New Roman" w:hAnsi="Times New Roman"/>
          <w:b/>
        </w:rPr>
      </w:pPr>
      <w:proofErr w:type="gramStart"/>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roofErr w:type="gramEnd"/>
    </w:p>
    <w:p w:rsidR="00432528" w:rsidRDefault="006204D8">
      <w:pPr>
        <w:tabs>
          <w:tab w:val="left" w:pos="-720"/>
        </w:tabs>
        <w:spacing w:after="240"/>
        <w:jc w:val="both"/>
        <w:rPr>
          <w:rFonts w:ascii="Times New Roman" w:hAnsi="Times New Roman"/>
        </w:rPr>
      </w:pPr>
      <w:r>
        <w:rPr>
          <w:rFonts w:ascii="Times New Roman" w:hAnsi="Times New Roman"/>
        </w:rPr>
        <w:t>This question does n</w:t>
      </w:r>
      <w:r>
        <w:rPr>
          <w:rFonts w:ascii="Times New Roman" w:hAnsi="Times New Roman"/>
        </w:rPr>
        <w:t>ot apply.</w:t>
      </w:r>
    </w:p>
    <w:p w:rsidR="00432528" w:rsidRDefault="006204D8">
      <w:pPr>
        <w:rPr>
          <w:rFonts w:ascii="Times New Roman" w:hAnsi="Times New Roman"/>
          <w:b/>
        </w:rPr>
      </w:pPr>
      <w:r>
        <w:br w:type="page"/>
      </w:r>
    </w:p>
    <w:p w:rsidR="00432528" w:rsidRDefault="006204D8">
      <w:pPr>
        <w:pStyle w:val="Title"/>
        <w:spacing w:after="240"/>
        <w:rPr>
          <w:sz w:val="24"/>
          <w:szCs w:val="24"/>
        </w:rPr>
      </w:pPr>
      <w:r>
        <w:rPr>
          <w:sz w:val="24"/>
          <w:szCs w:val="24"/>
        </w:rPr>
        <w:lastRenderedPageBreak/>
        <w:t>Attachment A</w:t>
      </w:r>
    </w:p>
    <w:p w:rsidR="00432528" w:rsidRDefault="006204D8">
      <w:pPr>
        <w:pStyle w:val="Title"/>
        <w:spacing w:after="240"/>
        <w:rPr>
          <w:sz w:val="24"/>
          <w:szCs w:val="24"/>
        </w:rPr>
      </w:pPr>
      <w:r>
        <w:rPr>
          <w:sz w:val="24"/>
          <w:szCs w:val="24"/>
        </w:rPr>
        <w:t>Part 23 – Orderly Termination Provision in Swap Trading Relationship Documentation for Swap Dealers and Major Swap Participants</w:t>
      </w:r>
    </w:p>
    <w:p w:rsidR="00432528" w:rsidRDefault="006204D8">
      <w:pPr>
        <w:pStyle w:val="Title"/>
        <w:spacing w:after="240"/>
        <w:rPr>
          <w:sz w:val="24"/>
          <w:szCs w:val="24"/>
        </w:rPr>
      </w:pPr>
      <w:r>
        <w:rPr>
          <w:sz w:val="24"/>
          <w:szCs w:val="24"/>
        </w:rPr>
        <w:t>OMB Collection File 3038-</w:t>
      </w:r>
    </w:p>
    <w:p w:rsidR="00432528" w:rsidRDefault="006204D8">
      <w:pPr>
        <w:pStyle w:val="Title"/>
        <w:spacing w:line="360" w:lineRule="auto"/>
        <w:jc w:val="left"/>
        <w:rPr>
          <w:sz w:val="24"/>
          <w:szCs w:val="24"/>
        </w:rPr>
      </w:pPr>
      <w:r>
        <w:rPr>
          <w:b w:val="0"/>
          <w:sz w:val="24"/>
          <w:szCs w:val="24"/>
        </w:rPr>
        <w:t>Number of Registrants:  300</w:t>
      </w:r>
    </w:p>
    <w:p w:rsidR="00432528" w:rsidRDefault="006204D8">
      <w:pPr>
        <w:pStyle w:val="Title"/>
        <w:tabs>
          <w:tab w:val="center" w:pos="7200"/>
        </w:tabs>
        <w:spacing w:line="360" w:lineRule="auto"/>
        <w:jc w:val="left"/>
        <w:rPr>
          <w:b w:val="0"/>
          <w:sz w:val="24"/>
          <w:szCs w:val="24"/>
        </w:rPr>
      </w:pPr>
      <w:r>
        <w:rPr>
          <w:b w:val="0"/>
          <w:sz w:val="24"/>
          <w:szCs w:val="24"/>
        </w:rPr>
        <w:t>Frequency of Collection: At least once per counte</w:t>
      </w:r>
      <w:r>
        <w:rPr>
          <w:b w:val="0"/>
          <w:sz w:val="24"/>
          <w:szCs w:val="24"/>
        </w:rPr>
        <w:t>rparty</w:t>
      </w:r>
    </w:p>
    <w:p w:rsidR="00432528" w:rsidRDefault="006204D8">
      <w:pPr>
        <w:pStyle w:val="Title"/>
        <w:tabs>
          <w:tab w:val="center" w:pos="7200"/>
        </w:tabs>
        <w:spacing w:line="360" w:lineRule="auto"/>
        <w:jc w:val="left"/>
        <w:rPr>
          <w:b w:val="0"/>
          <w:sz w:val="24"/>
          <w:szCs w:val="24"/>
        </w:rPr>
      </w:pPr>
      <w:r>
        <w:rPr>
          <w:b w:val="0"/>
          <w:sz w:val="24"/>
          <w:szCs w:val="24"/>
        </w:rPr>
        <w:t xml:space="preserve">Start-up Cost </w:t>
      </w:r>
      <w:proofErr w:type="gramStart"/>
      <w:r>
        <w:rPr>
          <w:b w:val="0"/>
          <w:sz w:val="24"/>
          <w:szCs w:val="24"/>
        </w:rPr>
        <w:t>Per</w:t>
      </w:r>
      <w:proofErr w:type="gramEnd"/>
      <w:r>
        <w:rPr>
          <w:b w:val="0"/>
          <w:sz w:val="24"/>
          <w:szCs w:val="24"/>
        </w:rPr>
        <w:t xml:space="preserve"> Registrant:  $0</w:t>
      </w:r>
    </w:p>
    <w:p w:rsidR="00432528" w:rsidRDefault="006204D8">
      <w:pPr>
        <w:spacing w:line="360" w:lineRule="auto"/>
        <w:jc w:val="both"/>
        <w:rPr>
          <w:rFonts w:ascii="Times New Roman" w:hAnsi="Times New Roman"/>
        </w:rPr>
      </w:pPr>
      <w:r>
        <w:rPr>
          <w:rFonts w:ascii="Times New Roman" w:hAnsi="Times New Roman"/>
        </w:rPr>
        <w:t>Aggregate Start-Up Cost:  $0</w:t>
      </w:r>
    </w:p>
    <w:p w:rsidR="00432528" w:rsidRDefault="006204D8">
      <w:pPr>
        <w:spacing w:line="360" w:lineRule="auto"/>
        <w:jc w:val="both"/>
        <w:rPr>
          <w:rFonts w:ascii="Times New Roman" w:hAnsi="Times New Roman"/>
        </w:rPr>
      </w:pPr>
      <w:r>
        <w:rPr>
          <w:rFonts w:ascii="Times New Roman" w:hAnsi="Times New Roman"/>
        </w:rPr>
        <w:t xml:space="preserve">Estimated Average Annual Burden Hours </w:t>
      </w:r>
      <w:proofErr w:type="gramStart"/>
      <w:r>
        <w:rPr>
          <w:rFonts w:ascii="Times New Roman" w:hAnsi="Times New Roman"/>
        </w:rPr>
        <w:t>Per</w:t>
      </w:r>
      <w:proofErr w:type="gramEnd"/>
      <w:r>
        <w:rPr>
          <w:rFonts w:ascii="Times New Roman" w:hAnsi="Times New Roman"/>
        </w:rPr>
        <w:t xml:space="preserve"> Registrant: 270</w:t>
      </w:r>
    </w:p>
    <w:p w:rsidR="00432528" w:rsidRDefault="006204D8">
      <w:pPr>
        <w:spacing w:line="360" w:lineRule="auto"/>
        <w:jc w:val="both"/>
        <w:rPr>
          <w:rFonts w:ascii="Times New Roman" w:hAnsi="Times New Roman"/>
        </w:rPr>
      </w:pPr>
      <w:r>
        <w:rPr>
          <w:rFonts w:ascii="Times New Roman" w:hAnsi="Times New Roman"/>
        </w:rPr>
        <w:t>Estimated Aggregate Annual Burden Hours:  81,000</w:t>
      </w:r>
    </w:p>
    <w:p w:rsidR="00432528" w:rsidRDefault="006204D8">
      <w:pPr>
        <w:spacing w:line="360" w:lineRule="auto"/>
        <w:jc w:val="both"/>
        <w:rPr>
          <w:rFonts w:ascii="Times New Roman" w:hAnsi="Times New Roman"/>
        </w:rPr>
      </w:pPr>
      <w:r>
        <w:rPr>
          <w:rFonts w:ascii="Times New Roman" w:hAnsi="Times New Roman"/>
        </w:rPr>
        <w:t xml:space="preserve">Estimated Annual Cost </w:t>
      </w:r>
      <w:proofErr w:type="gramStart"/>
      <w:r>
        <w:rPr>
          <w:rFonts w:ascii="Times New Roman" w:hAnsi="Times New Roman"/>
        </w:rPr>
        <w:t>Per</w:t>
      </w:r>
      <w:proofErr w:type="gramEnd"/>
      <w:r>
        <w:rPr>
          <w:rFonts w:ascii="Times New Roman" w:hAnsi="Times New Roman"/>
        </w:rPr>
        <w:t xml:space="preserve"> Registrant:   $27,000</w:t>
      </w:r>
    </w:p>
    <w:p w:rsidR="00432528" w:rsidRDefault="006204D8">
      <w:pPr>
        <w:spacing w:line="360" w:lineRule="auto"/>
        <w:jc w:val="both"/>
        <w:rPr>
          <w:rFonts w:ascii="Times New Roman" w:hAnsi="Times New Roman"/>
        </w:rPr>
      </w:pPr>
      <w:r>
        <w:rPr>
          <w:rFonts w:ascii="Times New Roman" w:hAnsi="Times New Roman"/>
        </w:rPr>
        <w:t xml:space="preserve">Estimated Aggregate Annual </w:t>
      </w:r>
      <w:r>
        <w:rPr>
          <w:rFonts w:ascii="Times New Roman" w:hAnsi="Times New Roman"/>
        </w:rPr>
        <w:t>Cost:   $8,100,000</w:t>
      </w:r>
    </w:p>
    <w:p w:rsidR="00432528" w:rsidRDefault="006204D8">
      <w:pPr>
        <w:spacing w:line="360" w:lineRule="auto"/>
        <w:jc w:val="both"/>
        <w:rPr>
          <w:rFonts w:ascii="Times New Roman" w:hAnsi="Times New Roman"/>
        </w:rPr>
      </w:pPr>
      <w:r>
        <w:rPr>
          <w:rFonts w:ascii="Times New Roman" w:hAnsi="Times New Roman"/>
        </w:rPr>
        <w:t>% of Responses Collected Electronically:  100%</w:t>
      </w:r>
      <w:r>
        <w:rPr>
          <w:rFonts w:ascii="Times New Roman" w:hAnsi="Times New Roman"/>
        </w:rPr>
        <w:tab/>
      </w:r>
    </w:p>
    <w:p w:rsidR="00432528" w:rsidRDefault="00432528">
      <w:pPr>
        <w:spacing w:line="360" w:lineRule="auto"/>
        <w:jc w:val="both"/>
        <w:rPr>
          <w:rFonts w:ascii="Times New Roman" w:hAnsi="Times New Roman"/>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1116"/>
        <w:gridCol w:w="1227"/>
        <w:gridCol w:w="1061"/>
        <w:gridCol w:w="1061"/>
        <w:gridCol w:w="1016"/>
        <w:gridCol w:w="1039"/>
        <w:gridCol w:w="1049"/>
        <w:gridCol w:w="1039"/>
        <w:gridCol w:w="1216"/>
      </w:tblGrid>
      <w:tr w:rsidR="00432528">
        <w:trPr>
          <w:jc w:val="center"/>
        </w:trPr>
        <w:tc>
          <w:tcPr>
            <w:tcW w:w="1572" w:type="dxa"/>
          </w:tcPr>
          <w:p w:rsidR="00432528" w:rsidRDefault="006204D8">
            <w:pPr>
              <w:jc w:val="center"/>
              <w:rPr>
                <w:rFonts w:ascii="Times New Roman" w:hAnsi="Times New Roman"/>
                <w:sz w:val="20"/>
                <w:szCs w:val="20"/>
              </w:rPr>
            </w:pPr>
            <w:r>
              <w:rPr>
                <w:rFonts w:ascii="Times New Roman" w:hAnsi="Times New Roman"/>
                <w:sz w:val="20"/>
                <w:szCs w:val="20"/>
              </w:rPr>
              <w:t>Requirement</w:t>
            </w:r>
          </w:p>
        </w:tc>
        <w:tc>
          <w:tcPr>
            <w:tcW w:w="1116" w:type="dxa"/>
          </w:tcPr>
          <w:p w:rsidR="00432528" w:rsidRDefault="006204D8">
            <w:pPr>
              <w:jc w:val="center"/>
              <w:rPr>
                <w:rFonts w:ascii="Times New Roman" w:hAnsi="Times New Roman"/>
                <w:sz w:val="20"/>
                <w:szCs w:val="20"/>
              </w:rPr>
            </w:pPr>
            <w:r>
              <w:rPr>
                <w:rFonts w:ascii="Times New Roman" w:hAnsi="Times New Roman"/>
                <w:sz w:val="20"/>
                <w:szCs w:val="20"/>
              </w:rPr>
              <w:t>Estimated Number of Registrants Per Year</w:t>
            </w:r>
          </w:p>
        </w:tc>
        <w:tc>
          <w:tcPr>
            <w:tcW w:w="1227" w:type="dxa"/>
          </w:tcPr>
          <w:p w:rsidR="00432528" w:rsidRDefault="006204D8">
            <w:pPr>
              <w:jc w:val="center"/>
              <w:rPr>
                <w:rFonts w:ascii="Times New Roman" w:hAnsi="Times New Roman"/>
                <w:sz w:val="20"/>
                <w:szCs w:val="20"/>
              </w:rPr>
            </w:pPr>
            <w:r>
              <w:rPr>
                <w:rFonts w:ascii="Times New Roman" w:hAnsi="Times New Roman"/>
                <w:sz w:val="20"/>
                <w:szCs w:val="20"/>
              </w:rPr>
              <w:t>Frequency of Collection</w:t>
            </w:r>
          </w:p>
        </w:tc>
        <w:tc>
          <w:tcPr>
            <w:tcW w:w="1061" w:type="dxa"/>
          </w:tcPr>
          <w:p w:rsidR="00432528" w:rsidRDefault="006204D8">
            <w:pPr>
              <w:jc w:val="center"/>
              <w:rPr>
                <w:rFonts w:ascii="Times New Roman" w:hAnsi="Times New Roman"/>
                <w:sz w:val="20"/>
                <w:szCs w:val="20"/>
              </w:rPr>
            </w:pPr>
            <w:r>
              <w:rPr>
                <w:rFonts w:ascii="Times New Roman" w:hAnsi="Times New Roman"/>
                <w:sz w:val="20"/>
                <w:szCs w:val="20"/>
              </w:rPr>
              <w:t>Number of Responses Per Registrant</w:t>
            </w:r>
          </w:p>
          <w:p w:rsidR="00432528" w:rsidRDefault="006204D8">
            <w:pPr>
              <w:jc w:val="center"/>
              <w:rPr>
                <w:rFonts w:ascii="Times New Roman" w:hAnsi="Times New Roman"/>
                <w:sz w:val="20"/>
                <w:szCs w:val="20"/>
              </w:rPr>
            </w:pPr>
            <w:r>
              <w:rPr>
                <w:rFonts w:ascii="Times New Roman" w:hAnsi="Times New Roman"/>
                <w:sz w:val="20"/>
                <w:szCs w:val="20"/>
              </w:rPr>
              <w:t>Annually</w:t>
            </w:r>
          </w:p>
        </w:tc>
        <w:tc>
          <w:tcPr>
            <w:tcW w:w="1061" w:type="dxa"/>
          </w:tcPr>
          <w:p w:rsidR="00432528" w:rsidRDefault="006204D8">
            <w:pPr>
              <w:jc w:val="center"/>
              <w:rPr>
                <w:rFonts w:ascii="Times New Roman" w:hAnsi="Times New Roman"/>
                <w:sz w:val="20"/>
                <w:szCs w:val="20"/>
              </w:rPr>
            </w:pPr>
            <w:r>
              <w:rPr>
                <w:rFonts w:ascii="Times New Roman" w:hAnsi="Times New Roman"/>
                <w:sz w:val="20"/>
                <w:szCs w:val="20"/>
              </w:rPr>
              <w:t>Aggregate</w:t>
            </w:r>
          </w:p>
          <w:p w:rsidR="00432528" w:rsidRDefault="006204D8">
            <w:pPr>
              <w:jc w:val="center"/>
              <w:rPr>
                <w:rFonts w:ascii="Times New Roman" w:hAnsi="Times New Roman"/>
                <w:sz w:val="20"/>
                <w:szCs w:val="20"/>
              </w:rPr>
            </w:pPr>
            <w:r>
              <w:rPr>
                <w:rFonts w:ascii="Times New Roman" w:hAnsi="Times New Roman"/>
                <w:sz w:val="20"/>
                <w:szCs w:val="20"/>
              </w:rPr>
              <w:t>Number of  Responses</w:t>
            </w:r>
          </w:p>
          <w:p w:rsidR="00432528" w:rsidRDefault="006204D8">
            <w:pPr>
              <w:jc w:val="center"/>
              <w:rPr>
                <w:rFonts w:ascii="Times New Roman" w:hAnsi="Times New Roman"/>
                <w:sz w:val="20"/>
                <w:szCs w:val="20"/>
              </w:rPr>
            </w:pPr>
            <w:r>
              <w:rPr>
                <w:rFonts w:ascii="Times New Roman" w:hAnsi="Times New Roman"/>
                <w:sz w:val="20"/>
                <w:szCs w:val="20"/>
              </w:rPr>
              <w:t>Annually</w:t>
            </w:r>
          </w:p>
          <w:p w:rsidR="00432528" w:rsidRDefault="00432528">
            <w:pPr>
              <w:jc w:val="center"/>
              <w:rPr>
                <w:rFonts w:ascii="Times New Roman" w:hAnsi="Times New Roman"/>
                <w:sz w:val="20"/>
                <w:szCs w:val="20"/>
              </w:rPr>
            </w:pPr>
          </w:p>
        </w:tc>
        <w:tc>
          <w:tcPr>
            <w:tcW w:w="1016" w:type="dxa"/>
          </w:tcPr>
          <w:p w:rsidR="00432528" w:rsidRDefault="006204D8">
            <w:pPr>
              <w:jc w:val="center"/>
              <w:rPr>
                <w:rFonts w:ascii="Times New Roman" w:hAnsi="Times New Roman"/>
                <w:sz w:val="20"/>
                <w:szCs w:val="20"/>
              </w:rPr>
            </w:pPr>
            <w:r>
              <w:rPr>
                <w:rFonts w:ascii="Times New Roman" w:hAnsi="Times New Roman"/>
                <w:sz w:val="20"/>
                <w:szCs w:val="20"/>
              </w:rPr>
              <w:t>Estimated Average Number o</w:t>
            </w:r>
            <w:r>
              <w:rPr>
                <w:rFonts w:ascii="Times New Roman" w:hAnsi="Times New Roman"/>
                <w:sz w:val="20"/>
                <w:szCs w:val="20"/>
              </w:rPr>
              <w:t>f Hours Per Response</w:t>
            </w:r>
          </w:p>
          <w:p w:rsidR="00432528" w:rsidRDefault="00432528">
            <w:pPr>
              <w:jc w:val="center"/>
              <w:rPr>
                <w:rFonts w:ascii="Times New Roman" w:hAnsi="Times New Roman"/>
                <w:sz w:val="20"/>
                <w:szCs w:val="20"/>
              </w:rPr>
            </w:pPr>
          </w:p>
        </w:tc>
        <w:tc>
          <w:tcPr>
            <w:tcW w:w="1039" w:type="dxa"/>
          </w:tcPr>
          <w:p w:rsidR="00432528" w:rsidRDefault="006204D8">
            <w:pPr>
              <w:jc w:val="center"/>
              <w:rPr>
                <w:rFonts w:ascii="Times New Roman" w:hAnsi="Times New Roman"/>
                <w:sz w:val="20"/>
                <w:szCs w:val="20"/>
              </w:rPr>
            </w:pPr>
            <w:r>
              <w:rPr>
                <w:rFonts w:ascii="Times New Roman" w:hAnsi="Times New Roman"/>
                <w:sz w:val="20"/>
                <w:szCs w:val="20"/>
              </w:rPr>
              <w:t>Estimated Annual Hour Burden Per Registrant</w:t>
            </w:r>
          </w:p>
          <w:p w:rsidR="00432528" w:rsidRDefault="00432528">
            <w:pPr>
              <w:jc w:val="center"/>
              <w:rPr>
                <w:rFonts w:ascii="Times New Roman" w:hAnsi="Times New Roman"/>
                <w:sz w:val="20"/>
                <w:szCs w:val="20"/>
              </w:rPr>
            </w:pPr>
          </w:p>
        </w:tc>
        <w:tc>
          <w:tcPr>
            <w:tcW w:w="1049" w:type="dxa"/>
          </w:tcPr>
          <w:p w:rsidR="00432528" w:rsidRDefault="006204D8">
            <w:pPr>
              <w:jc w:val="center"/>
              <w:rPr>
                <w:rFonts w:ascii="Times New Roman" w:hAnsi="Times New Roman"/>
                <w:sz w:val="20"/>
                <w:szCs w:val="20"/>
              </w:rPr>
            </w:pPr>
            <w:r>
              <w:rPr>
                <w:rFonts w:ascii="Times New Roman" w:hAnsi="Times New Roman"/>
                <w:sz w:val="20"/>
                <w:szCs w:val="20"/>
              </w:rPr>
              <w:t>Estimated Aggregate Hour Burden</w:t>
            </w:r>
          </w:p>
        </w:tc>
        <w:tc>
          <w:tcPr>
            <w:tcW w:w="1039" w:type="dxa"/>
          </w:tcPr>
          <w:p w:rsidR="00432528" w:rsidRDefault="006204D8">
            <w:pPr>
              <w:jc w:val="center"/>
              <w:rPr>
                <w:rFonts w:ascii="Times New Roman" w:hAnsi="Times New Roman"/>
                <w:sz w:val="20"/>
                <w:szCs w:val="20"/>
              </w:rPr>
            </w:pPr>
            <w:r>
              <w:rPr>
                <w:rFonts w:ascii="Times New Roman" w:hAnsi="Times New Roman"/>
                <w:sz w:val="20"/>
                <w:szCs w:val="20"/>
              </w:rPr>
              <w:t>Estimated Annual Cost Per Registrant</w:t>
            </w:r>
          </w:p>
          <w:p w:rsidR="00432528" w:rsidRDefault="00432528">
            <w:pPr>
              <w:jc w:val="center"/>
              <w:rPr>
                <w:rFonts w:ascii="Times New Roman" w:hAnsi="Times New Roman"/>
                <w:sz w:val="20"/>
                <w:szCs w:val="20"/>
              </w:rPr>
            </w:pPr>
          </w:p>
        </w:tc>
        <w:tc>
          <w:tcPr>
            <w:tcW w:w="1216" w:type="dxa"/>
          </w:tcPr>
          <w:p w:rsidR="00432528" w:rsidRDefault="006204D8">
            <w:pPr>
              <w:jc w:val="center"/>
              <w:rPr>
                <w:rFonts w:ascii="Times New Roman" w:hAnsi="Times New Roman"/>
                <w:sz w:val="20"/>
                <w:szCs w:val="20"/>
              </w:rPr>
            </w:pPr>
            <w:r>
              <w:rPr>
                <w:rFonts w:ascii="Times New Roman" w:hAnsi="Times New Roman"/>
                <w:sz w:val="20"/>
                <w:szCs w:val="20"/>
              </w:rPr>
              <w:t>Estimated Aggregate Annual Cost</w:t>
            </w:r>
          </w:p>
          <w:p w:rsidR="00432528" w:rsidRDefault="00432528">
            <w:pPr>
              <w:jc w:val="center"/>
              <w:rPr>
                <w:rFonts w:ascii="Times New Roman" w:hAnsi="Times New Roman"/>
                <w:sz w:val="20"/>
                <w:szCs w:val="20"/>
              </w:rPr>
            </w:pPr>
          </w:p>
        </w:tc>
      </w:tr>
      <w:tr w:rsidR="00432528">
        <w:trPr>
          <w:jc w:val="center"/>
        </w:trPr>
        <w:tc>
          <w:tcPr>
            <w:tcW w:w="1572" w:type="dxa"/>
          </w:tcPr>
          <w:p w:rsidR="00432528" w:rsidRDefault="006204D8">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432528" w:rsidRDefault="006204D8">
            <w:pPr>
              <w:rPr>
                <w:rFonts w:ascii="Times New Roman" w:hAnsi="Times New Roman"/>
                <w:b/>
                <w:sz w:val="20"/>
                <w:szCs w:val="20"/>
              </w:rPr>
            </w:pPr>
            <w:r>
              <w:rPr>
                <w:rFonts w:ascii="Times New Roman" w:hAnsi="Times New Roman"/>
                <w:b/>
                <w:sz w:val="20"/>
                <w:szCs w:val="20"/>
              </w:rPr>
              <w:t>Agreement to Orderly Liquidation Termination Provision</w:t>
            </w:r>
          </w:p>
          <w:p w:rsidR="00432528" w:rsidRDefault="00432528">
            <w:pPr>
              <w:rPr>
                <w:rFonts w:ascii="Times New Roman" w:hAnsi="Times New Roman"/>
                <w:sz w:val="20"/>
                <w:szCs w:val="20"/>
              </w:rPr>
            </w:pPr>
          </w:p>
        </w:tc>
        <w:tc>
          <w:tcPr>
            <w:tcW w:w="1116" w:type="dxa"/>
          </w:tcPr>
          <w:p w:rsidR="00432528" w:rsidRDefault="006204D8">
            <w:pPr>
              <w:rPr>
                <w:rFonts w:ascii="Times New Roman" w:hAnsi="Times New Roman"/>
                <w:sz w:val="20"/>
                <w:szCs w:val="20"/>
              </w:rPr>
            </w:pPr>
            <w:r>
              <w:rPr>
                <w:rFonts w:ascii="Times New Roman" w:hAnsi="Times New Roman"/>
                <w:sz w:val="20"/>
                <w:szCs w:val="20"/>
              </w:rPr>
              <w:t>300</w:t>
            </w:r>
          </w:p>
        </w:tc>
        <w:tc>
          <w:tcPr>
            <w:tcW w:w="1227" w:type="dxa"/>
          </w:tcPr>
          <w:p w:rsidR="00432528" w:rsidRDefault="006204D8">
            <w:pPr>
              <w:rPr>
                <w:rFonts w:ascii="Times New Roman" w:hAnsi="Times New Roman"/>
                <w:sz w:val="20"/>
                <w:szCs w:val="20"/>
              </w:rPr>
            </w:pPr>
            <w:r>
              <w:rPr>
                <w:rFonts w:ascii="Times New Roman" w:hAnsi="Times New Roman"/>
                <w:sz w:val="20"/>
                <w:szCs w:val="20"/>
              </w:rPr>
              <w:t xml:space="preserve">At least </w:t>
            </w:r>
            <w:r>
              <w:rPr>
                <w:rFonts w:ascii="Times New Roman" w:hAnsi="Times New Roman"/>
                <w:sz w:val="20"/>
                <w:szCs w:val="20"/>
              </w:rPr>
              <w:t>once per counterparty</w:t>
            </w:r>
          </w:p>
        </w:tc>
        <w:tc>
          <w:tcPr>
            <w:tcW w:w="1061" w:type="dxa"/>
          </w:tcPr>
          <w:p w:rsidR="00432528" w:rsidRDefault="006204D8">
            <w:pPr>
              <w:rPr>
                <w:rFonts w:ascii="Times New Roman" w:hAnsi="Times New Roman"/>
                <w:sz w:val="20"/>
                <w:szCs w:val="20"/>
              </w:rPr>
            </w:pPr>
            <w:r>
              <w:rPr>
                <w:rFonts w:ascii="Times New Roman" w:hAnsi="Times New Roman"/>
                <w:sz w:val="20"/>
                <w:szCs w:val="20"/>
              </w:rPr>
              <w:t>540</w:t>
            </w:r>
          </w:p>
        </w:tc>
        <w:tc>
          <w:tcPr>
            <w:tcW w:w="1061" w:type="dxa"/>
          </w:tcPr>
          <w:p w:rsidR="00432528" w:rsidRDefault="006204D8">
            <w:pPr>
              <w:rPr>
                <w:rFonts w:ascii="Times New Roman" w:hAnsi="Times New Roman"/>
                <w:sz w:val="20"/>
                <w:szCs w:val="20"/>
              </w:rPr>
            </w:pPr>
            <w:r>
              <w:rPr>
                <w:rFonts w:ascii="Times New Roman" w:hAnsi="Times New Roman"/>
                <w:sz w:val="20"/>
                <w:szCs w:val="20"/>
              </w:rPr>
              <w:t>162,000</w:t>
            </w:r>
          </w:p>
        </w:tc>
        <w:tc>
          <w:tcPr>
            <w:tcW w:w="1016" w:type="dxa"/>
          </w:tcPr>
          <w:p w:rsidR="00432528" w:rsidRDefault="006204D8">
            <w:pPr>
              <w:rPr>
                <w:rFonts w:ascii="Times New Roman" w:hAnsi="Times New Roman"/>
                <w:sz w:val="20"/>
                <w:szCs w:val="20"/>
              </w:rPr>
            </w:pPr>
            <w:r>
              <w:rPr>
                <w:rFonts w:ascii="Times New Roman" w:hAnsi="Times New Roman"/>
                <w:sz w:val="20"/>
                <w:szCs w:val="20"/>
              </w:rPr>
              <w:t xml:space="preserve">.5 </w:t>
            </w:r>
          </w:p>
        </w:tc>
        <w:tc>
          <w:tcPr>
            <w:tcW w:w="1039" w:type="dxa"/>
          </w:tcPr>
          <w:p w:rsidR="00432528" w:rsidRDefault="006204D8">
            <w:pPr>
              <w:rPr>
                <w:rFonts w:ascii="Times New Roman" w:hAnsi="Times New Roman"/>
                <w:sz w:val="20"/>
                <w:szCs w:val="20"/>
              </w:rPr>
            </w:pPr>
            <w:r>
              <w:rPr>
                <w:rFonts w:ascii="Times New Roman" w:hAnsi="Times New Roman"/>
                <w:sz w:val="20"/>
                <w:szCs w:val="20"/>
              </w:rPr>
              <w:t xml:space="preserve"> 270 hours</w:t>
            </w:r>
          </w:p>
        </w:tc>
        <w:tc>
          <w:tcPr>
            <w:tcW w:w="1049" w:type="dxa"/>
          </w:tcPr>
          <w:p w:rsidR="00432528" w:rsidRDefault="006204D8">
            <w:pPr>
              <w:rPr>
                <w:rFonts w:ascii="Times New Roman" w:hAnsi="Times New Roman"/>
                <w:sz w:val="20"/>
                <w:szCs w:val="20"/>
              </w:rPr>
            </w:pPr>
            <w:r>
              <w:rPr>
                <w:rFonts w:ascii="Times New Roman" w:hAnsi="Times New Roman"/>
                <w:sz w:val="20"/>
                <w:szCs w:val="20"/>
              </w:rPr>
              <w:t>81,000 hours</w:t>
            </w:r>
          </w:p>
        </w:tc>
        <w:tc>
          <w:tcPr>
            <w:tcW w:w="1039" w:type="dxa"/>
          </w:tcPr>
          <w:p w:rsidR="00432528" w:rsidRDefault="006204D8">
            <w:pPr>
              <w:rPr>
                <w:rFonts w:ascii="Times New Roman" w:hAnsi="Times New Roman"/>
                <w:sz w:val="20"/>
                <w:szCs w:val="20"/>
              </w:rPr>
            </w:pPr>
            <w:r>
              <w:rPr>
                <w:rFonts w:ascii="Times New Roman" w:hAnsi="Times New Roman"/>
                <w:sz w:val="20"/>
                <w:szCs w:val="20"/>
              </w:rPr>
              <w:t>$27,000</w:t>
            </w:r>
          </w:p>
        </w:tc>
        <w:tc>
          <w:tcPr>
            <w:tcW w:w="1216" w:type="dxa"/>
          </w:tcPr>
          <w:p w:rsidR="00432528" w:rsidRDefault="006204D8">
            <w:pPr>
              <w:rPr>
                <w:rFonts w:ascii="Times New Roman" w:hAnsi="Times New Roman"/>
                <w:sz w:val="20"/>
                <w:szCs w:val="20"/>
              </w:rPr>
            </w:pPr>
            <w:r>
              <w:rPr>
                <w:rFonts w:ascii="Times New Roman" w:hAnsi="Times New Roman"/>
                <w:sz w:val="20"/>
                <w:szCs w:val="20"/>
              </w:rPr>
              <w:t>$8,100,000</w:t>
            </w:r>
          </w:p>
        </w:tc>
      </w:tr>
    </w:tbl>
    <w:p w:rsidR="00432528" w:rsidRDefault="0043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432528" w:rsidSect="0043252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528" w:rsidRDefault="006204D8">
      <w:r>
        <w:separator/>
      </w:r>
    </w:p>
  </w:endnote>
  <w:endnote w:type="continuationSeparator" w:id="0">
    <w:p w:rsidR="00432528" w:rsidRDefault="00620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28" w:rsidRDefault="00432528">
    <w:pPr>
      <w:pStyle w:val="Footer"/>
      <w:jc w:val="center"/>
      <w:rPr>
        <w:rFonts w:ascii="Times New Roman" w:hAnsi="Times New Roman"/>
        <w:sz w:val="20"/>
        <w:szCs w:val="20"/>
      </w:rPr>
    </w:pPr>
    <w:r>
      <w:rPr>
        <w:rFonts w:ascii="Times New Roman" w:hAnsi="Times New Roman"/>
        <w:sz w:val="20"/>
        <w:szCs w:val="20"/>
      </w:rPr>
      <w:fldChar w:fldCharType="begin"/>
    </w:r>
    <w:r w:rsidR="006204D8">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0D3A81">
      <w:rPr>
        <w:rFonts w:ascii="Times New Roman" w:hAnsi="Times New Roman"/>
        <w:noProof/>
        <w:sz w:val="20"/>
        <w:szCs w:val="20"/>
      </w:rPr>
      <w:t>4</w:t>
    </w:r>
    <w:r>
      <w:rPr>
        <w:rFonts w:ascii="Times New Roman" w:hAnsi="Times New Roman"/>
        <w:sz w:val="20"/>
        <w:szCs w:val="20"/>
      </w:rPr>
      <w:fldChar w:fldCharType="end"/>
    </w:r>
  </w:p>
  <w:p w:rsidR="00432528" w:rsidRDefault="00432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528" w:rsidRDefault="006204D8">
      <w:r>
        <w:separator/>
      </w:r>
    </w:p>
  </w:footnote>
  <w:footnote w:type="continuationSeparator" w:id="0">
    <w:p w:rsidR="00432528" w:rsidRDefault="006204D8">
      <w:r>
        <w:continuationSeparator/>
      </w:r>
    </w:p>
  </w:footnote>
  <w:footnote w:id="1">
    <w:p w:rsidR="00432528" w:rsidRDefault="006204D8">
      <w:pPr>
        <w:pStyle w:val="FootnoteText"/>
        <w:jc w:val="both"/>
        <w:rPr>
          <w:sz w:val="20"/>
        </w:rPr>
      </w:pPr>
      <w:r>
        <w:rPr>
          <w:rStyle w:val="FootnoteReference"/>
          <w:sz w:val="20"/>
        </w:rPr>
        <w:footnoteRef/>
      </w:r>
      <w:r>
        <w:rPr>
          <w:sz w:val="20"/>
        </w:rPr>
        <w:t xml:space="preserve"> The Commission notes that swap dealers and major swap participants also would be required to develop written policies and procedures to maintain the obligatory agreement as part of their swaps trading relationship documentation.  The costs associated with</w:t>
      </w:r>
      <w:r>
        <w:rPr>
          <w:sz w:val="20"/>
        </w:rPr>
        <w:t xml:space="preserve"> these policies and procedures have been accounted for in the Commission’s prior proposal of the rest of regulation 23.504.</w:t>
      </w:r>
    </w:p>
  </w:footnote>
  <w:footnote w:id="2">
    <w:p w:rsidR="00432528" w:rsidRDefault="006204D8">
      <w:pPr>
        <w:pStyle w:val="FootnoteText"/>
        <w:rPr>
          <w:sz w:val="20"/>
        </w:rPr>
      </w:pPr>
      <w:r>
        <w:rPr>
          <w:rStyle w:val="FootnoteReference"/>
          <w:sz w:val="20"/>
        </w:rPr>
        <w:footnoteRef/>
      </w:r>
      <w:r>
        <w:rPr>
          <w:sz w:val="20"/>
        </w:rPr>
        <w:t xml:space="preserve"> </w:t>
      </w:r>
      <w:r>
        <w:rPr>
          <w:sz w:val="20"/>
          <w:u w:val="single"/>
        </w:rPr>
        <w:t>http.www.bls.gov/</w:t>
      </w:r>
      <w:proofErr w:type="spellStart"/>
      <w:r>
        <w:rPr>
          <w:sz w:val="20"/>
          <w:u w:val="single"/>
        </w:rPr>
        <w:t>oes</w:t>
      </w:r>
      <w:proofErr w:type="spellEnd"/>
      <w:r>
        <w:rPr>
          <w:sz w:val="20"/>
          <w:u w:val="single"/>
        </w:rPr>
        <w:t>/2099/mayowe23.1011.htm</w:t>
      </w:r>
      <w:r>
        <w:rPr>
          <w:sz w:val="20"/>
        </w:rPr>
        <w:t>.</w:t>
      </w:r>
    </w:p>
  </w:footnote>
  <w:footnote w:id="3">
    <w:p w:rsidR="00432528" w:rsidRDefault="00432528">
      <w:pPr>
        <w:pStyle w:val="FootnoteText"/>
        <w:jc w:val="both"/>
        <w:rPr>
          <w:sz w:val="20"/>
        </w:rPr>
      </w:pPr>
    </w:p>
    <w:p w:rsidR="00432528" w:rsidRDefault="006204D8">
      <w:pPr>
        <w:pStyle w:val="FootnoteText"/>
        <w:jc w:val="both"/>
        <w:rPr>
          <w:sz w:val="20"/>
        </w:rPr>
      </w:pPr>
      <w:r>
        <w:rPr>
          <w:rStyle w:val="FootnoteReference"/>
          <w:sz w:val="20"/>
        </w:rPr>
        <w:footnoteRef/>
      </w:r>
      <w:r>
        <w:rPr>
          <w:sz w:val="20"/>
        </w:rPr>
        <w:t xml:space="preserve"> </w:t>
      </w:r>
      <w:r>
        <w:rPr>
          <w:sz w:val="20"/>
          <w:u w:val="single"/>
        </w:rPr>
        <w:t>http://www.bls.gov/oes/current/oes113031.htm</w:t>
      </w:r>
      <w:r>
        <w:rPr>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432528"/>
    <w:rsid w:val="000D3A81"/>
    <w:rsid w:val="00432528"/>
    <w:rsid w:val="00620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528"/>
    <w:rPr>
      <w:rFonts w:ascii="Arial" w:hAnsi="Arial"/>
      <w:sz w:val="24"/>
      <w:szCs w:val="24"/>
    </w:rPr>
  </w:style>
  <w:style w:type="paragraph" w:styleId="Heading1">
    <w:name w:val="heading 1"/>
    <w:basedOn w:val="Normal"/>
    <w:next w:val="Normal"/>
    <w:qFormat/>
    <w:rsid w:val="0043252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2528"/>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432528"/>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43252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432528"/>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432528"/>
    <w:rPr>
      <w:sz w:val="24"/>
    </w:rPr>
  </w:style>
  <w:style w:type="paragraph" w:customStyle="1" w:styleId="Default">
    <w:name w:val="Default"/>
    <w:rsid w:val="00432528"/>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432528"/>
    <w:pPr>
      <w:tabs>
        <w:tab w:val="center" w:pos="4680"/>
        <w:tab w:val="right" w:pos="9360"/>
      </w:tabs>
    </w:pPr>
  </w:style>
  <w:style w:type="character" w:customStyle="1" w:styleId="HeaderChar">
    <w:name w:val="Header Char"/>
    <w:basedOn w:val="DefaultParagraphFont"/>
    <w:link w:val="Header"/>
    <w:rsid w:val="00432528"/>
    <w:rPr>
      <w:rFonts w:ascii="Arial" w:hAnsi="Arial"/>
      <w:sz w:val="24"/>
      <w:szCs w:val="24"/>
    </w:rPr>
  </w:style>
  <w:style w:type="paragraph" w:styleId="Footer">
    <w:name w:val="footer"/>
    <w:basedOn w:val="Normal"/>
    <w:link w:val="FooterChar"/>
    <w:uiPriority w:val="99"/>
    <w:rsid w:val="00432528"/>
    <w:pPr>
      <w:tabs>
        <w:tab w:val="center" w:pos="4680"/>
        <w:tab w:val="right" w:pos="9360"/>
      </w:tabs>
    </w:pPr>
  </w:style>
  <w:style w:type="character" w:customStyle="1" w:styleId="FooterChar">
    <w:name w:val="Footer Char"/>
    <w:basedOn w:val="DefaultParagraphFont"/>
    <w:link w:val="Footer"/>
    <w:uiPriority w:val="99"/>
    <w:rsid w:val="00432528"/>
    <w:rPr>
      <w:rFonts w:ascii="Arial" w:hAnsi="Arial"/>
      <w:sz w:val="24"/>
      <w:szCs w:val="24"/>
    </w:rPr>
  </w:style>
  <w:style w:type="paragraph" w:styleId="PlainText">
    <w:name w:val="Plain Text"/>
    <w:basedOn w:val="Normal"/>
    <w:link w:val="PlainTextChar"/>
    <w:uiPriority w:val="99"/>
    <w:unhideWhenUsed/>
    <w:rsid w:val="00432528"/>
    <w:rPr>
      <w:rFonts w:ascii="Calibri" w:hAnsi="Calibri"/>
      <w:color w:val="1F497D"/>
      <w:sz w:val="22"/>
      <w:szCs w:val="21"/>
    </w:rPr>
  </w:style>
  <w:style w:type="character" w:customStyle="1" w:styleId="PlainTextChar">
    <w:name w:val="Plain Text Char"/>
    <w:basedOn w:val="DefaultParagraphFont"/>
    <w:link w:val="PlainText"/>
    <w:uiPriority w:val="99"/>
    <w:rsid w:val="00432528"/>
    <w:rPr>
      <w:rFonts w:ascii="Calibri" w:hAnsi="Calibri"/>
      <w:color w:val="1F497D"/>
      <w:sz w:val="22"/>
      <w:szCs w:val="21"/>
    </w:rPr>
  </w:style>
  <w:style w:type="paragraph" w:customStyle="1" w:styleId="CM3">
    <w:name w:val="CM3"/>
    <w:basedOn w:val="Default"/>
    <w:next w:val="Default"/>
    <w:uiPriority w:val="99"/>
    <w:rsid w:val="00432528"/>
    <w:pPr>
      <w:spacing w:line="268" w:lineRule="atLeast"/>
    </w:pPr>
    <w:rPr>
      <w:rFonts w:cs="Times New Roman"/>
      <w:color w:val="auto"/>
    </w:rPr>
  </w:style>
  <w:style w:type="paragraph" w:styleId="Title">
    <w:name w:val="Title"/>
    <w:basedOn w:val="Normal"/>
    <w:link w:val="TitleChar"/>
    <w:qFormat/>
    <w:rsid w:val="00432528"/>
    <w:pPr>
      <w:jc w:val="center"/>
    </w:pPr>
    <w:rPr>
      <w:rFonts w:ascii="Times New Roman" w:hAnsi="Times New Roman"/>
      <w:b/>
      <w:sz w:val="40"/>
      <w:szCs w:val="20"/>
    </w:rPr>
  </w:style>
  <w:style w:type="character" w:customStyle="1" w:styleId="TitleChar">
    <w:name w:val="Title Char"/>
    <w:basedOn w:val="DefaultParagraphFont"/>
    <w:link w:val="Title"/>
    <w:rsid w:val="00432528"/>
    <w:rPr>
      <w:b/>
      <w:sz w:val="40"/>
    </w:rPr>
  </w:style>
  <w:style w:type="paragraph" w:styleId="ListParagraph">
    <w:name w:val="List Paragraph"/>
    <w:basedOn w:val="Normal"/>
    <w:uiPriority w:val="34"/>
    <w:qFormat/>
    <w:rsid w:val="00432528"/>
    <w:pPr>
      <w:ind w:left="720"/>
      <w:contextualSpacing/>
    </w:pPr>
  </w:style>
</w:styles>
</file>

<file path=word/webSettings.xml><?xml version="1.0" encoding="utf-8"?>
<w:webSettings xmlns:r="http://schemas.openxmlformats.org/officeDocument/2006/relationships" xmlns:w="http://schemas.openxmlformats.org/wordprocessingml/2006/main">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159C-65C5-46BB-8078-F98FE7EA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3145</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cp:lastPrinted>2011-01-25T18:22:00Z</cp:lastPrinted>
  <dcterms:created xsi:type="dcterms:W3CDTF">2011-01-28T15:54:00Z</dcterms:created>
  <dcterms:modified xsi:type="dcterms:W3CDTF">2011-01-28T15:54:00Z</dcterms:modified>
</cp:coreProperties>
</file>