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629"/>
        <w:gridCol w:w="1639"/>
        <w:gridCol w:w="2520"/>
        <w:gridCol w:w="2700"/>
        <w:gridCol w:w="3690"/>
      </w:tblGrid>
      <w:tr w:rsidR="00EB39FB" w:rsidRPr="00BB2B57" w:rsidTr="00EE5E6D">
        <w:tc>
          <w:tcPr>
            <w:tcW w:w="629" w:type="dxa"/>
          </w:tcPr>
          <w:p w:rsidR="00EB39FB" w:rsidRPr="00050E3B" w:rsidRDefault="00EB39FB" w:rsidP="00050E3B">
            <w:pPr>
              <w:jc w:val="center"/>
              <w:rPr>
                <w:rFonts w:ascii="Arial" w:hAnsi="Arial" w:cs="Arial"/>
                <w:b/>
                <w:sz w:val="20"/>
              </w:rPr>
            </w:pPr>
            <w:r w:rsidRPr="00050E3B">
              <w:rPr>
                <w:rFonts w:ascii="Arial" w:hAnsi="Arial" w:cs="Arial"/>
                <w:b/>
                <w:sz w:val="20"/>
              </w:rPr>
              <w:t>Item</w:t>
            </w:r>
          </w:p>
        </w:tc>
        <w:tc>
          <w:tcPr>
            <w:tcW w:w="1639" w:type="dxa"/>
          </w:tcPr>
          <w:p w:rsidR="00EB39FB" w:rsidRPr="00050E3B" w:rsidRDefault="00EB39FB" w:rsidP="00050E3B">
            <w:pPr>
              <w:jc w:val="center"/>
              <w:rPr>
                <w:rFonts w:ascii="Arial" w:hAnsi="Arial" w:cs="Arial"/>
                <w:b/>
                <w:sz w:val="20"/>
              </w:rPr>
            </w:pPr>
            <w:r w:rsidRPr="00050E3B">
              <w:rPr>
                <w:rFonts w:ascii="Arial" w:hAnsi="Arial" w:cs="Arial"/>
                <w:b/>
                <w:sz w:val="20"/>
              </w:rPr>
              <w:t>Document Location</w:t>
            </w:r>
          </w:p>
        </w:tc>
        <w:tc>
          <w:tcPr>
            <w:tcW w:w="2520" w:type="dxa"/>
          </w:tcPr>
          <w:p w:rsidR="00EB39FB" w:rsidRPr="00050E3B" w:rsidRDefault="00EB39FB" w:rsidP="00050E3B">
            <w:pPr>
              <w:jc w:val="center"/>
              <w:rPr>
                <w:rFonts w:ascii="Arial" w:hAnsi="Arial" w:cs="Arial"/>
                <w:b/>
                <w:sz w:val="20"/>
              </w:rPr>
            </w:pPr>
            <w:r w:rsidRPr="00050E3B">
              <w:rPr>
                <w:rFonts w:ascii="Arial" w:hAnsi="Arial" w:cs="Arial"/>
                <w:b/>
                <w:sz w:val="20"/>
              </w:rPr>
              <w:t>Original</w:t>
            </w:r>
          </w:p>
        </w:tc>
        <w:tc>
          <w:tcPr>
            <w:tcW w:w="2700" w:type="dxa"/>
          </w:tcPr>
          <w:p w:rsidR="00EB39FB" w:rsidRPr="00050E3B" w:rsidRDefault="00EB39FB" w:rsidP="00050E3B">
            <w:pPr>
              <w:jc w:val="center"/>
              <w:rPr>
                <w:rFonts w:ascii="Arial" w:hAnsi="Arial" w:cs="Arial"/>
                <w:b/>
                <w:sz w:val="20"/>
              </w:rPr>
            </w:pPr>
            <w:r w:rsidRPr="00050E3B">
              <w:rPr>
                <w:rFonts w:ascii="Arial" w:hAnsi="Arial" w:cs="Arial"/>
                <w:b/>
                <w:sz w:val="20"/>
              </w:rPr>
              <w:t>Comment</w:t>
            </w:r>
          </w:p>
        </w:tc>
        <w:tc>
          <w:tcPr>
            <w:tcW w:w="3690" w:type="dxa"/>
          </w:tcPr>
          <w:p w:rsidR="00EB39FB" w:rsidRPr="00050E3B" w:rsidRDefault="00EB39FB" w:rsidP="00050E3B">
            <w:pPr>
              <w:jc w:val="center"/>
              <w:rPr>
                <w:rFonts w:ascii="Arial" w:hAnsi="Arial" w:cs="Arial"/>
                <w:b/>
                <w:sz w:val="20"/>
              </w:rPr>
            </w:pPr>
            <w:r w:rsidRPr="00050E3B">
              <w:rPr>
                <w:rFonts w:ascii="Arial" w:hAnsi="Arial" w:cs="Arial"/>
                <w:b/>
                <w:sz w:val="20"/>
              </w:rPr>
              <w:t>Modifications Made</w:t>
            </w:r>
          </w:p>
        </w:tc>
      </w:tr>
      <w:tr w:rsidR="00EB39FB" w:rsidRPr="00BB2B57" w:rsidTr="00EE5E6D">
        <w:tc>
          <w:tcPr>
            <w:tcW w:w="629" w:type="dxa"/>
          </w:tcPr>
          <w:p w:rsidR="00EB39FB" w:rsidRPr="00BB2B57" w:rsidRDefault="00EB39FB" w:rsidP="0049211F">
            <w:pPr>
              <w:jc w:val="center"/>
              <w:rPr>
                <w:rFonts w:ascii="Arial" w:hAnsi="Arial" w:cs="Arial"/>
                <w:sz w:val="20"/>
              </w:rPr>
            </w:pPr>
            <w:r w:rsidRPr="00BB2B57">
              <w:rPr>
                <w:rFonts w:ascii="Arial" w:hAnsi="Arial" w:cs="Arial"/>
                <w:sz w:val="20"/>
              </w:rPr>
              <w:t>1</w:t>
            </w:r>
          </w:p>
        </w:tc>
        <w:tc>
          <w:tcPr>
            <w:tcW w:w="1639" w:type="dxa"/>
          </w:tcPr>
          <w:p w:rsidR="00EB39FB" w:rsidRPr="00BB2B57" w:rsidRDefault="00EB39FB">
            <w:pPr>
              <w:rPr>
                <w:rFonts w:ascii="Arial" w:hAnsi="Arial" w:cs="Arial"/>
                <w:sz w:val="20"/>
              </w:rPr>
            </w:pPr>
            <w:r w:rsidRPr="00BB2B57">
              <w:rPr>
                <w:rFonts w:ascii="Arial" w:hAnsi="Arial" w:cs="Arial"/>
                <w:sz w:val="20"/>
              </w:rPr>
              <w:t>ICQ, Section I “VHA Handbook 1200.17”, question 6</w:t>
            </w:r>
          </w:p>
        </w:tc>
        <w:tc>
          <w:tcPr>
            <w:tcW w:w="2520" w:type="dxa"/>
          </w:tcPr>
          <w:p w:rsidR="00EB39FB" w:rsidRPr="00BB2B57" w:rsidRDefault="00EB39FB">
            <w:pPr>
              <w:rPr>
                <w:rFonts w:ascii="Arial" w:hAnsi="Arial" w:cs="Arial"/>
                <w:sz w:val="20"/>
              </w:rPr>
            </w:pPr>
            <w:r w:rsidRPr="00BB2B57">
              <w:rPr>
                <w:rFonts w:ascii="Arial" w:hAnsi="Arial" w:cs="Arial"/>
                <w:sz w:val="20"/>
              </w:rPr>
              <w:t xml:space="preserve"> “Does the NPC maintain and follow VA procedures for record filing, retention, and disposition of original Research and Development documents, IRS rules for administrative files” </w:t>
            </w:r>
          </w:p>
        </w:tc>
        <w:tc>
          <w:tcPr>
            <w:tcW w:w="2700" w:type="dxa"/>
          </w:tcPr>
          <w:p w:rsidR="00EB39FB" w:rsidRPr="00BB2B57" w:rsidRDefault="00EB39FB">
            <w:pPr>
              <w:rPr>
                <w:rFonts w:ascii="Arial" w:hAnsi="Arial" w:cs="Arial"/>
                <w:sz w:val="20"/>
              </w:rPr>
            </w:pPr>
            <w:r w:rsidRPr="00BB2B57">
              <w:rPr>
                <w:rFonts w:ascii="Arial" w:hAnsi="Arial" w:cs="Arial"/>
                <w:sz w:val="20"/>
              </w:rPr>
              <w:t>Confusing as written.</w:t>
            </w:r>
          </w:p>
        </w:tc>
        <w:tc>
          <w:tcPr>
            <w:tcW w:w="3690" w:type="dxa"/>
          </w:tcPr>
          <w:p w:rsidR="00EB39FB" w:rsidRPr="00BB2B57" w:rsidRDefault="00EB39FB" w:rsidP="00A648A0">
            <w:pPr>
              <w:autoSpaceDE w:val="0"/>
              <w:autoSpaceDN w:val="0"/>
              <w:ind w:left="162"/>
              <w:rPr>
                <w:rFonts w:ascii="Arial" w:hAnsi="Arial" w:cs="Arial"/>
                <w:sz w:val="20"/>
              </w:rPr>
            </w:pPr>
            <w:r>
              <w:rPr>
                <w:rFonts w:ascii="Arial" w:hAnsi="Arial" w:cs="Arial"/>
                <w:sz w:val="20"/>
              </w:rPr>
              <w:t xml:space="preserve">7.  </w:t>
            </w:r>
            <w:r w:rsidRPr="00BB2B57">
              <w:rPr>
                <w:rFonts w:ascii="Arial" w:hAnsi="Arial" w:cs="Arial"/>
                <w:sz w:val="20"/>
              </w:rPr>
              <w:t>Does the NPC have a record retention policy that satisfies IRS requirements and standard practices for retaining and disposing of business records?</w:t>
            </w:r>
          </w:p>
          <w:p w:rsidR="00EB39FB" w:rsidRPr="00BB2B57" w:rsidRDefault="00EB39FB" w:rsidP="00A648A0">
            <w:pPr>
              <w:autoSpaceDE w:val="0"/>
              <w:autoSpaceDN w:val="0"/>
              <w:ind w:left="162"/>
              <w:rPr>
                <w:rFonts w:ascii="Arial" w:hAnsi="Arial" w:cs="Arial"/>
                <w:b/>
                <w:bCs/>
                <w:sz w:val="20"/>
              </w:rPr>
            </w:pPr>
          </w:p>
          <w:p w:rsidR="00EB39FB" w:rsidRPr="00BB2B57" w:rsidRDefault="00EB39FB" w:rsidP="00A648A0">
            <w:pPr>
              <w:autoSpaceDE w:val="0"/>
              <w:autoSpaceDN w:val="0"/>
              <w:ind w:left="162"/>
              <w:rPr>
                <w:rFonts w:ascii="Arial" w:hAnsi="Arial" w:cs="Arial"/>
                <w:sz w:val="20"/>
              </w:rPr>
            </w:pPr>
            <w:r>
              <w:rPr>
                <w:rFonts w:ascii="Arial" w:hAnsi="Arial" w:cs="Arial"/>
                <w:sz w:val="20"/>
              </w:rPr>
              <w:t>8.</w:t>
            </w:r>
            <w:r w:rsidRPr="00BB2B57">
              <w:rPr>
                <w:rFonts w:ascii="Arial" w:hAnsi="Arial" w:cs="Arial"/>
                <w:sz w:val="20"/>
              </w:rPr>
              <w:t xml:space="preserve"> If the NPC has in its custody documents that are subject to VA retention policies (e.g. completed case report forms or signed informed consent forms), does the NPC follow applicable VA requirements regarding storage, retention and disposition?</w:t>
            </w:r>
          </w:p>
          <w:p w:rsidR="00EB39FB" w:rsidRPr="00BB2B57" w:rsidRDefault="00EB39FB" w:rsidP="00780B12">
            <w:pPr>
              <w:autoSpaceDE w:val="0"/>
              <w:autoSpaceDN w:val="0"/>
              <w:ind w:left="162"/>
              <w:rPr>
                <w:rFonts w:ascii="Arial" w:hAnsi="Arial" w:cs="Arial"/>
                <w:sz w:val="20"/>
              </w:rPr>
            </w:pPr>
          </w:p>
        </w:tc>
      </w:tr>
      <w:tr w:rsidR="00EB39FB" w:rsidRPr="00BB2B57" w:rsidTr="00EE5E6D">
        <w:tc>
          <w:tcPr>
            <w:tcW w:w="629" w:type="dxa"/>
          </w:tcPr>
          <w:p w:rsidR="00EB39FB" w:rsidRPr="00BB2B57" w:rsidRDefault="00EB39FB" w:rsidP="0049211F">
            <w:pPr>
              <w:jc w:val="center"/>
              <w:rPr>
                <w:rFonts w:ascii="Arial" w:hAnsi="Arial" w:cs="Arial"/>
                <w:sz w:val="20"/>
              </w:rPr>
            </w:pPr>
            <w:r w:rsidRPr="00BB2B57">
              <w:rPr>
                <w:rFonts w:ascii="Arial" w:hAnsi="Arial" w:cs="Arial"/>
                <w:sz w:val="20"/>
              </w:rPr>
              <w:t>2</w:t>
            </w:r>
          </w:p>
        </w:tc>
        <w:tc>
          <w:tcPr>
            <w:tcW w:w="1639" w:type="dxa"/>
          </w:tcPr>
          <w:p w:rsidR="00EB39FB" w:rsidRPr="00BB2B57" w:rsidRDefault="00EB39FB" w:rsidP="00780B12">
            <w:pPr>
              <w:rPr>
                <w:rFonts w:ascii="Arial" w:hAnsi="Arial" w:cs="Arial"/>
                <w:sz w:val="20"/>
              </w:rPr>
            </w:pPr>
            <w:r w:rsidRPr="00BB2B57">
              <w:rPr>
                <w:rFonts w:ascii="Arial" w:hAnsi="Arial" w:cs="Arial"/>
                <w:sz w:val="20"/>
              </w:rPr>
              <w:t>ICQ, Section H “Computer Security”, question 7</w:t>
            </w:r>
          </w:p>
        </w:tc>
        <w:tc>
          <w:tcPr>
            <w:tcW w:w="2520" w:type="dxa"/>
          </w:tcPr>
          <w:p w:rsidR="00EB39FB" w:rsidRPr="00BB2B57" w:rsidRDefault="00EB39FB" w:rsidP="00780B12">
            <w:pPr>
              <w:autoSpaceDE w:val="0"/>
              <w:autoSpaceDN w:val="0"/>
              <w:rPr>
                <w:rFonts w:ascii="Arial" w:hAnsi="Arial" w:cs="Arial"/>
                <w:sz w:val="20"/>
              </w:rPr>
            </w:pPr>
            <w:r w:rsidRPr="00BB2B57">
              <w:rPr>
                <w:rFonts w:ascii="Arial" w:hAnsi="Arial" w:cs="Arial"/>
                <w:sz w:val="20"/>
              </w:rPr>
              <w:t xml:space="preserve"> “On at least a test basis, does management balance control totals generated during computer processing with those originally established and reconcile all discrepancies?”</w:t>
            </w:r>
          </w:p>
          <w:p w:rsidR="00EB39FB" w:rsidRPr="00BB2B57" w:rsidRDefault="00EB39FB">
            <w:pPr>
              <w:rPr>
                <w:rFonts w:ascii="Arial" w:hAnsi="Arial" w:cs="Arial"/>
                <w:sz w:val="20"/>
              </w:rPr>
            </w:pPr>
          </w:p>
        </w:tc>
        <w:tc>
          <w:tcPr>
            <w:tcW w:w="2700" w:type="dxa"/>
          </w:tcPr>
          <w:p w:rsidR="00EB39FB" w:rsidRPr="00BB2B57" w:rsidRDefault="00EB39FB">
            <w:pPr>
              <w:rPr>
                <w:rFonts w:ascii="Arial" w:hAnsi="Arial" w:cs="Arial"/>
                <w:sz w:val="20"/>
              </w:rPr>
            </w:pPr>
            <w:r w:rsidRPr="00BB2B57">
              <w:rPr>
                <w:rFonts w:ascii="Arial" w:hAnsi="Arial" w:cs="Arial"/>
                <w:sz w:val="20"/>
              </w:rPr>
              <w:t>Confusing as to what is being asked.</w:t>
            </w:r>
          </w:p>
        </w:tc>
        <w:tc>
          <w:tcPr>
            <w:tcW w:w="3690" w:type="dxa"/>
          </w:tcPr>
          <w:p w:rsidR="00EB39FB" w:rsidRPr="00BB2B57" w:rsidRDefault="00EB39FB">
            <w:pPr>
              <w:rPr>
                <w:rFonts w:ascii="Arial" w:hAnsi="Arial" w:cs="Arial"/>
                <w:i/>
                <w:sz w:val="20"/>
              </w:rPr>
            </w:pPr>
            <w:r>
              <w:rPr>
                <w:rFonts w:ascii="Arial" w:hAnsi="Arial" w:cs="Arial"/>
                <w:i/>
                <w:sz w:val="20"/>
              </w:rPr>
              <w:t>This question was deleted from the form.</w:t>
            </w:r>
          </w:p>
        </w:tc>
      </w:tr>
      <w:tr w:rsidR="00EB39FB" w:rsidRPr="00BB2B57" w:rsidTr="00EE5E6D">
        <w:tc>
          <w:tcPr>
            <w:tcW w:w="629" w:type="dxa"/>
          </w:tcPr>
          <w:p w:rsidR="00EB39FB" w:rsidRPr="00BB2B57" w:rsidRDefault="00EB39FB" w:rsidP="0049211F">
            <w:pPr>
              <w:jc w:val="center"/>
              <w:rPr>
                <w:rFonts w:ascii="Arial" w:hAnsi="Arial" w:cs="Arial"/>
                <w:sz w:val="20"/>
              </w:rPr>
            </w:pPr>
            <w:r w:rsidRPr="00BB2B57">
              <w:rPr>
                <w:rFonts w:ascii="Arial" w:hAnsi="Arial" w:cs="Arial"/>
                <w:sz w:val="20"/>
              </w:rPr>
              <w:t>3</w:t>
            </w:r>
          </w:p>
        </w:tc>
        <w:tc>
          <w:tcPr>
            <w:tcW w:w="1639" w:type="dxa"/>
          </w:tcPr>
          <w:p w:rsidR="00EB39FB" w:rsidRPr="00BB2B57" w:rsidRDefault="00EB39FB">
            <w:pPr>
              <w:rPr>
                <w:rFonts w:ascii="Arial" w:hAnsi="Arial" w:cs="Arial"/>
                <w:sz w:val="20"/>
              </w:rPr>
            </w:pPr>
            <w:r w:rsidRPr="00BB2B57">
              <w:rPr>
                <w:rFonts w:ascii="Arial" w:hAnsi="Arial" w:cs="Arial"/>
                <w:sz w:val="20"/>
              </w:rPr>
              <w:t>ICQ, Section H “Computer Security”, question 1</w:t>
            </w:r>
          </w:p>
        </w:tc>
        <w:tc>
          <w:tcPr>
            <w:tcW w:w="2520" w:type="dxa"/>
          </w:tcPr>
          <w:p w:rsidR="00EB39FB" w:rsidRPr="00BB2B57" w:rsidRDefault="00EB39FB" w:rsidP="00780B12">
            <w:pPr>
              <w:autoSpaceDE w:val="0"/>
              <w:autoSpaceDN w:val="0"/>
              <w:adjustRightInd w:val="0"/>
              <w:rPr>
                <w:rFonts w:ascii="Arial" w:hAnsi="Arial" w:cs="Arial"/>
                <w:sz w:val="20"/>
              </w:rPr>
            </w:pPr>
            <w:r w:rsidRPr="00BB2B57">
              <w:rPr>
                <w:rFonts w:ascii="Arial" w:hAnsi="Arial" w:cs="Arial"/>
                <w:sz w:val="20"/>
              </w:rPr>
              <w:t>“Is a formal security administration process in place to ensure that applications access,</w:t>
            </w:r>
          </w:p>
          <w:p w:rsidR="00EB39FB" w:rsidRPr="00BB2B57" w:rsidRDefault="00EB39FB" w:rsidP="00780B12">
            <w:pPr>
              <w:rPr>
                <w:rFonts w:ascii="Arial" w:hAnsi="Arial" w:cs="Arial"/>
                <w:sz w:val="20"/>
              </w:rPr>
            </w:pPr>
            <w:proofErr w:type="gramStart"/>
            <w:r w:rsidRPr="00BB2B57">
              <w:rPr>
                <w:rFonts w:ascii="Arial" w:hAnsi="Arial" w:cs="Arial"/>
                <w:sz w:val="20"/>
              </w:rPr>
              <w:t>including</w:t>
            </w:r>
            <w:proofErr w:type="gramEnd"/>
            <w:r w:rsidRPr="00BB2B57">
              <w:rPr>
                <w:rFonts w:ascii="Arial" w:hAnsi="Arial" w:cs="Arial"/>
                <w:sz w:val="20"/>
              </w:rPr>
              <w:t xml:space="preserve"> restricted access to financial applications, is approved?”</w:t>
            </w:r>
          </w:p>
        </w:tc>
        <w:tc>
          <w:tcPr>
            <w:tcW w:w="2700" w:type="dxa"/>
          </w:tcPr>
          <w:p w:rsidR="00EB39FB" w:rsidRPr="00BB2B57" w:rsidRDefault="00EB39FB">
            <w:pPr>
              <w:rPr>
                <w:rFonts w:ascii="Arial" w:hAnsi="Arial" w:cs="Arial"/>
                <w:sz w:val="20"/>
              </w:rPr>
            </w:pPr>
            <w:r w:rsidRPr="00BB2B57">
              <w:rPr>
                <w:rFonts w:ascii="Arial" w:hAnsi="Arial" w:cs="Arial"/>
                <w:sz w:val="20"/>
              </w:rPr>
              <w:t>Rewording for clarity</w:t>
            </w:r>
          </w:p>
        </w:tc>
        <w:tc>
          <w:tcPr>
            <w:tcW w:w="3690" w:type="dxa"/>
          </w:tcPr>
          <w:p w:rsidR="00EB39FB" w:rsidRDefault="00EB39FB" w:rsidP="0064709F">
            <w:pPr>
              <w:rPr>
                <w:rFonts w:ascii="Arial" w:hAnsi="Arial"/>
                <w:b/>
                <w:sz w:val="24"/>
                <w:szCs w:val="24"/>
              </w:rPr>
            </w:pPr>
            <w:r w:rsidRPr="0064709F">
              <w:rPr>
                <w:rFonts w:ascii="Arial" w:hAnsi="Arial" w:cs="Arial"/>
                <w:sz w:val="20"/>
                <w:szCs w:val="20"/>
              </w:rPr>
              <w:t>1. Is a formal documented security administration process in place to ensure that access to all applications, including restricted access to financial applications, is approved?</w:t>
            </w:r>
          </w:p>
          <w:p w:rsidR="00EB39FB" w:rsidRPr="00BB2B57" w:rsidRDefault="00EB39FB" w:rsidP="00780B12">
            <w:pPr>
              <w:autoSpaceDE w:val="0"/>
              <w:autoSpaceDN w:val="0"/>
              <w:adjustRightInd w:val="0"/>
              <w:rPr>
                <w:rFonts w:ascii="Arial" w:hAnsi="Arial" w:cs="Arial"/>
                <w:sz w:val="20"/>
              </w:rPr>
            </w:pPr>
          </w:p>
        </w:tc>
      </w:tr>
      <w:tr w:rsidR="00EB39FB" w:rsidRPr="00BB2B57" w:rsidTr="00EE5E6D">
        <w:tc>
          <w:tcPr>
            <w:tcW w:w="629" w:type="dxa"/>
          </w:tcPr>
          <w:p w:rsidR="00EB39FB" w:rsidRPr="00BB2B57" w:rsidRDefault="00EB39FB" w:rsidP="0049211F">
            <w:pPr>
              <w:jc w:val="center"/>
              <w:rPr>
                <w:rFonts w:ascii="Arial" w:hAnsi="Arial" w:cs="Arial"/>
                <w:sz w:val="20"/>
              </w:rPr>
            </w:pPr>
            <w:r w:rsidRPr="00BB2B57">
              <w:rPr>
                <w:rFonts w:ascii="Arial" w:hAnsi="Arial" w:cs="Arial"/>
                <w:sz w:val="20"/>
              </w:rPr>
              <w:t>4</w:t>
            </w:r>
          </w:p>
        </w:tc>
        <w:tc>
          <w:tcPr>
            <w:tcW w:w="1639" w:type="dxa"/>
          </w:tcPr>
          <w:p w:rsidR="00EB39FB" w:rsidRPr="00BB2B57" w:rsidRDefault="00EB39FB">
            <w:pPr>
              <w:rPr>
                <w:rFonts w:ascii="Arial" w:hAnsi="Arial" w:cs="Arial"/>
                <w:sz w:val="20"/>
              </w:rPr>
            </w:pPr>
            <w:r w:rsidRPr="00BB2B57">
              <w:rPr>
                <w:rFonts w:ascii="Arial" w:hAnsi="Arial" w:cs="Arial"/>
                <w:sz w:val="20"/>
              </w:rPr>
              <w:t>ICQ, Section H “Computer Security”, question 3</w:t>
            </w:r>
          </w:p>
        </w:tc>
        <w:tc>
          <w:tcPr>
            <w:tcW w:w="2520" w:type="dxa"/>
          </w:tcPr>
          <w:p w:rsidR="00EB39FB" w:rsidRPr="00BB2B57" w:rsidRDefault="00EB39FB" w:rsidP="0026323D">
            <w:pPr>
              <w:autoSpaceDE w:val="0"/>
              <w:autoSpaceDN w:val="0"/>
              <w:adjustRightInd w:val="0"/>
              <w:rPr>
                <w:rFonts w:ascii="Arial" w:hAnsi="Arial" w:cs="Arial"/>
                <w:sz w:val="20"/>
              </w:rPr>
            </w:pPr>
            <w:r w:rsidRPr="00BB2B57">
              <w:rPr>
                <w:rFonts w:ascii="Arial" w:hAnsi="Arial" w:cs="Arial"/>
                <w:sz w:val="20"/>
              </w:rPr>
              <w:t>“Do PCs under control of the NPC use a recognized anti-virus (A/V)</w:t>
            </w:r>
          </w:p>
          <w:p w:rsidR="00EB39FB" w:rsidRPr="00BB2B57" w:rsidRDefault="00EB39FB" w:rsidP="0026323D">
            <w:pPr>
              <w:rPr>
                <w:rFonts w:ascii="Arial" w:hAnsi="Arial" w:cs="Arial"/>
                <w:sz w:val="20"/>
              </w:rPr>
            </w:pPr>
            <w:proofErr w:type="gramStart"/>
            <w:r w:rsidRPr="00BB2B57">
              <w:rPr>
                <w:rFonts w:ascii="Arial" w:hAnsi="Arial" w:cs="Arial"/>
                <w:sz w:val="20"/>
              </w:rPr>
              <w:t>program</w:t>
            </w:r>
            <w:proofErr w:type="gramEnd"/>
            <w:r w:rsidRPr="00BB2B57">
              <w:rPr>
                <w:rFonts w:ascii="Arial" w:hAnsi="Arial" w:cs="Arial"/>
                <w:sz w:val="20"/>
              </w:rPr>
              <w:t xml:space="preserve">? Does the NPC run the A/V on a regular </w:t>
            </w:r>
            <w:r w:rsidRPr="00BB2B57">
              <w:rPr>
                <w:rFonts w:ascii="Arial" w:hAnsi="Arial" w:cs="Arial"/>
                <w:sz w:val="20"/>
              </w:rPr>
              <w:lastRenderedPageBreak/>
              <w:t>schedule?”</w:t>
            </w:r>
          </w:p>
        </w:tc>
        <w:tc>
          <w:tcPr>
            <w:tcW w:w="2700" w:type="dxa"/>
          </w:tcPr>
          <w:p w:rsidR="00EB39FB" w:rsidRPr="00BB2B57" w:rsidRDefault="00EB39FB" w:rsidP="00BB2B57">
            <w:pPr>
              <w:rPr>
                <w:rFonts w:ascii="Arial" w:hAnsi="Arial" w:cs="Arial"/>
                <w:sz w:val="20"/>
              </w:rPr>
            </w:pPr>
            <w:r w:rsidRPr="00BB2B57">
              <w:rPr>
                <w:rFonts w:ascii="Arial" w:hAnsi="Arial" w:cs="Arial"/>
                <w:sz w:val="20"/>
              </w:rPr>
              <w:lastRenderedPageBreak/>
              <w:t>Rewording for clarity</w:t>
            </w:r>
          </w:p>
        </w:tc>
        <w:tc>
          <w:tcPr>
            <w:tcW w:w="3690" w:type="dxa"/>
          </w:tcPr>
          <w:p w:rsidR="00EB39FB" w:rsidRPr="00186545" w:rsidRDefault="00EB39FB" w:rsidP="00186545">
            <w:pPr>
              <w:autoSpaceDE w:val="0"/>
              <w:autoSpaceDN w:val="0"/>
              <w:adjustRightInd w:val="0"/>
              <w:rPr>
                <w:rFonts w:ascii="Arial" w:hAnsi="Arial" w:cs="Arial"/>
                <w:color w:val="000000"/>
                <w:sz w:val="20"/>
                <w:szCs w:val="20"/>
              </w:rPr>
            </w:pPr>
            <w:r w:rsidRPr="00186545">
              <w:rPr>
                <w:rFonts w:ascii="Arial" w:hAnsi="Arial" w:cs="Arial"/>
                <w:sz w:val="20"/>
                <w:szCs w:val="20"/>
              </w:rPr>
              <w:t xml:space="preserve">Do personal computers under control of the NPC use a recognized anti-virus (A/V) program and is it ran on a regular schedule?  </w:t>
            </w:r>
          </w:p>
        </w:tc>
      </w:tr>
      <w:tr w:rsidR="00EB39FB" w:rsidRPr="00BB2B57" w:rsidTr="00EE5E6D">
        <w:tc>
          <w:tcPr>
            <w:tcW w:w="629" w:type="dxa"/>
          </w:tcPr>
          <w:p w:rsidR="00EB39FB" w:rsidRPr="00BB2B57" w:rsidRDefault="00EB39FB" w:rsidP="0049211F">
            <w:pPr>
              <w:jc w:val="center"/>
              <w:rPr>
                <w:rFonts w:ascii="Arial" w:hAnsi="Arial" w:cs="Arial"/>
                <w:sz w:val="20"/>
              </w:rPr>
            </w:pPr>
            <w:r w:rsidRPr="00BB2B57">
              <w:rPr>
                <w:rFonts w:ascii="Arial" w:hAnsi="Arial" w:cs="Arial"/>
                <w:sz w:val="20"/>
              </w:rPr>
              <w:lastRenderedPageBreak/>
              <w:t>5</w:t>
            </w:r>
          </w:p>
        </w:tc>
        <w:tc>
          <w:tcPr>
            <w:tcW w:w="1639" w:type="dxa"/>
          </w:tcPr>
          <w:p w:rsidR="00EB39FB" w:rsidRPr="00BB2B57" w:rsidRDefault="00EB39FB">
            <w:pPr>
              <w:rPr>
                <w:rFonts w:ascii="Arial" w:hAnsi="Arial" w:cs="Arial"/>
                <w:sz w:val="20"/>
              </w:rPr>
            </w:pPr>
            <w:r w:rsidRPr="00BB2B57">
              <w:rPr>
                <w:rFonts w:ascii="Arial" w:hAnsi="Arial" w:cs="Arial"/>
                <w:sz w:val="20"/>
              </w:rPr>
              <w:t>ICQ, Section H “Computer Security”, question 4</w:t>
            </w:r>
          </w:p>
        </w:tc>
        <w:tc>
          <w:tcPr>
            <w:tcW w:w="2520" w:type="dxa"/>
          </w:tcPr>
          <w:p w:rsidR="00EB39FB" w:rsidRPr="00BB2B57" w:rsidRDefault="00EB39FB" w:rsidP="0026323D">
            <w:pPr>
              <w:rPr>
                <w:rFonts w:ascii="Arial" w:hAnsi="Arial" w:cs="Arial"/>
                <w:sz w:val="20"/>
              </w:rPr>
            </w:pPr>
            <w:r w:rsidRPr="00BB2B57">
              <w:rPr>
                <w:rFonts w:ascii="Arial" w:hAnsi="Arial" w:cs="Arial"/>
                <w:sz w:val="20"/>
              </w:rPr>
              <w:t>“Does the NPC have a firewall established for their LAN or for individual workstations?”</w:t>
            </w:r>
          </w:p>
        </w:tc>
        <w:tc>
          <w:tcPr>
            <w:tcW w:w="2700" w:type="dxa"/>
          </w:tcPr>
          <w:p w:rsidR="00EB39FB" w:rsidRPr="00BB2B57" w:rsidRDefault="00EB39FB">
            <w:pPr>
              <w:rPr>
                <w:rFonts w:ascii="Arial" w:hAnsi="Arial" w:cs="Arial"/>
                <w:sz w:val="20"/>
              </w:rPr>
            </w:pPr>
            <w:r w:rsidRPr="00BB2B57">
              <w:rPr>
                <w:rFonts w:ascii="Arial" w:hAnsi="Arial" w:cs="Arial"/>
                <w:sz w:val="20"/>
              </w:rPr>
              <w:t>Rewording for clarity</w:t>
            </w:r>
          </w:p>
        </w:tc>
        <w:tc>
          <w:tcPr>
            <w:tcW w:w="3690" w:type="dxa"/>
          </w:tcPr>
          <w:p w:rsidR="00EB39FB" w:rsidRPr="00186545" w:rsidRDefault="00EB39FB" w:rsidP="00186545">
            <w:pPr>
              <w:rPr>
                <w:rFonts w:ascii="Arial" w:hAnsi="Arial" w:cs="Arial"/>
                <w:color w:val="000000"/>
                <w:sz w:val="20"/>
                <w:szCs w:val="20"/>
              </w:rPr>
            </w:pPr>
            <w:r w:rsidRPr="00186545">
              <w:rPr>
                <w:rFonts w:ascii="Arial" w:hAnsi="Arial" w:cs="Arial"/>
                <w:sz w:val="20"/>
                <w:szCs w:val="20"/>
              </w:rPr>
              <w:t>Does the NPC have a security firewall established for their LAN or for individual workstations?</w:t>
            </w:r>
          </w:p>
        </w:tc>
      </w:tr>
      <w:tr w:rsidR="00EB39FB" w:rsidRPr="00BB2B57" w:rsidTr="00EE5E6D">
        <w:tc>
          <w:tcPr>
            <w:tcW w:w="629" w:type="dxa"/>
          </w:tcPr>
          <w:p w:rsidR="00EB39FB" w:rsidRPr="00BB2B57" w:rsidRDefault="00EB39FB" w:rsidP="0049211F">
            <w:pPr>
              <w:jc w:val="center"/>
              <w:rPr>
                <w:rFonts w:ascii="Arial" w:hAnsi="Arial" w:cs="Arial"/>
                <w:sz w:val="20"/>
              </w:rPr>
            </w:pPr>
            <w:r w:rsidRPr="00BB2B57">
              <w:rPr>
                <w:rFonts w:ascii="Arial" w:hAnsi="Arial" w:cs="Arial"/>
                <w:sz w:val="20"/>
              </w:rPr>
              <w:t>6</w:t>
            </w:r>
          </w:p>
        </w:tc>
        <w:tc>
          <w:tcPr>
            <w:tcW w:w="1639" w:type="dxa"/>
          </w:tcPr>
          <w:p w:rsidR="00EB39FB" w:rsidRPr="00BB2B57" w:rsidRDefault="00EB39FB" w:rsidP="0026323D">
            <w:pPr>
              <w:rPr>
                <w:rFonts w:ascii="Arial" w:hAnsi="Arial" w:cs="Arial"/>
                <w:sz w:val="20"/>
              </w:rPr>
            </w:pPr>
            <w:r w:rsidRPr="00BB2B57">
              <w:rPr>
                <w:rFonts w:ascii="Arial" w:hAnsi="Arial" w:cs="Arial"/>
                <w:sz w:val="20"/>
              </w:rPr>
              <w:t>ICQ, Section H “Computer Security”, question 5</w:t>
            </w:r>
          </w:p>
        </w:tc>
        <w:tc>
          <w:tcPr>
            <w:tcW w:w="2520" w:type="dxa"/>
          </w:tcPr>
          <w:p w:rsidR="00EB39FB" w:rsidRPr="00BB2B57" w:rsidRDefault="00EB39FB" w:rsidP="0026323D">
            <w:pPr>
              <w:autoSpaceDE w:val="0"/>
              <w:autoSpaceDN w:val="0"/>
              <w:adjustRightInd w:val="0"/>
              <w:rPr>
                <w:rFonts w:ascii="Arial" w:hAnsi="Arial" w:cs="Arial"/>
                <w:sz w:val="20"/>
              </w:rPr>
            </w:pPr>
            <w:r w:rsidRPr="00BB2B57">
              <w:rPr>
                <w:rFonts w:ascii="Arial" w:hAnsi="Arial" w:cs="Arial"/>
                <w:sz w:val="20"/>
              </w:rPr>
              <w:t>“Has the NPC taken steps to prevent and minimize potential damage and interruption through the use of data and program procedures including off-site storage of</w:t>
            </w:r>
          </w:p>
          <w:p w:rsidR="00EB39FB" w:rsidRPr="00BB2B57" w:rsidRDefault="00EB39FB" w:rsidP="0026323D">
            <w:pPr>
              <w:rPr>
                <w:rFonts w:ascii="Arial" w:hAnsi="Arial" w:cs="Arial"/>
                <w:sz w:val="20"/>
              </w:rPr>
            </w:pPr>
            <w:proofErr w:type="gramStart"/>
            <w:r w:rsidRPr="00BB2B57">
              <w:rPr>
                <w:rFonts w:ascii="Arial" w:hAnsi="Arial" w:cs="Arial"/>
                <w:sz w:val="20"/>
              </w:rPr>
              <w:t>backup</w:t>
            </w:r>
            <w:proofErr w:type="gramEnd"/>
            <w:r w:rsidRPr="00BB2B57">
              <w:rPr>
                <w:rFonts w:ascii="Arial" w:hAnsi="Arial" w:cs="Arial"/>
                <w:sz w:val="20"/>
              </w:rPr>
              <w:t xml:space="preserve"> data as well as environmental….”</w:t>
            </w:r>
          </w:p>
        </w:tc>
        <w:tc>
          <w:tcPr>
            <w:tcW w:w="2700" w:type="dxa"/>
          </w:tcPr>
          <w:p w:rsidR="00EB39FB" w:rsidRPr="00BB2B57" w:rsidRDefault="00EB39FB">
            <w:pPr>
              <w:rPr>
                <w:rFonts w:ascii="Arial" w:hAnsi="Arial" w:cs="Arial"/>
                <w:sz w:val="20"/>
              </w:rPr>
            </w:pPr>
            <w:r w:rsidRPr="00BB2B57">
              <w:rPr>
                <w:rFonts w:ascii="Arial" w:hAnsi="Arial" w:cs="Arial"/>
                <w:sz w:val="20"/>
              </w:rPr>
              <w:t>Rewording for clarity</w:t>
            </w:r>
          </w:p>
        </w:tc>
        <w:tc>
          <w:tcPr>
            <w:tcW w:w="3690" w:type="dxa"/>
          </w:tcPr>
          <w:p w:rsidR="00EB39FB" w:rsidRPr="00186545" w:rsidRDefault="00EB39FB" w:rsidP="00186545">
            <w:pPr>
              <w:autoSpaceDE w:val="0"/>
              <w:autoSpaceDN w:val="0"/>
              <w:adjustRightInd w:val="0"/>
              <w:rPr>
                <w:rFonts w:ascii="Arial" w:hAnsi="Arial" w:cs="Arial"/>
                <w:sz w:val="20"/>
                <w:szCs w:val="20"/>
              </w:rPr>
            </w:pPr>
            <w:r w:rsidRPr="00186545">
              <w:rPr>
                <w:rFonts w:ascii="Arial" w:hAnsi="Arial" w:cs="Arial"/>
                <w:sz w:val="20"/>
                <w:szCs w:val="20"/>
              </w:rPr>
              <w:t>Has the NPC taken steps to prevent and minimize potential damage and interruption through the use of backups, including off- site storage of backup data as well as environmental controls, staff training, and hardware maintenance and management?</w:t>
            </w:r>
          </w:p>
        </w:tc>
      </w:tr>
      <w:tr w:rsidR="00EB39FB" w:rsidRPr="00BB2B57" w:rsidTr="00EE5E6D">
        <w:tc>
          <w:tcPr>
            <w:tcW w:w="629" w:type="dxa"/>
          </w:tcPr>
          <w:p w:rsidR="00EB39FB" w:rsidRPr="00BB2B57" w:rsidRDefault="00EB39FB" w:rsidP="0049211F">
            <w:pPr>
              <w:jc w:val="center"/>
              <w:rPr>
                <w:rFonts w:ascii="Arial" w:hAnsi="Arial" w:cs="Arial"/>
                <w:sz w:val="20"/>
              </w:rPr>
            </w:pPr>
            <w:r w:rsidRPr="00BB2B57">
              <w:rPr>
                <w:rFonts w:ascii="Arial" w:hAnsi="Arial" w:cs="Arial"/>
                <w:sz w:val="20"/>
              </w:rPr>
              <w:t>7</w:t>
            </w:r>
          </w:p>
        </w:tc>
        <w:tc>
          <w:tcPr>
            <w:tcW w:w="1639" w:type="dxa"/>
          </w:tcPr>
          <w:p w:rsidR="00EB39FB" w:rsidRPr="00BB2B57" w:rsidRDefault="00EB39FB" w:rsidP="0026323D">
            <w:pPr>
              <w:rPr>
                <w:rFonts w:ascii="Arial" w:hAnsi="Arial" w:cs="Arial"/>
                <w:sz w:val="20"/>
              </w:rPr>
            </w:pPr>
            <w:r w:rsidRPr="00BB2B57">
              <w:rPr>
                <w:rFonts w:ascii="Arial" w:hAnsi="Arial" w:cs="Arial"/>
                <w:sz w:val="20"/>
              </w:rPr>
              <w:t>ICQ, Section I “VHA Handbook 1200.17”, question 22</w:t>
            </w:r>
          </w:p>
        </w:tc>
        <w:tc>
          <w:tcPr>
            <w:tcW w:w="2520" w:type="dxa"/>
          </w:tcPr>
          <w:p w:rsidR="00EB39FB" w:rsidRPr="00BB2B57" w:rsidRDefault="00EB39FB" w:rsidP="0026323D">
            <w:pPr>
              <w:autoSpaceDE w:val="0"/>
              <w:autoSpaceDN w:val="0"/>
              <w:adjustRightInd w:val="0"/>
              <w:rPr>
                <w:rFonts w:ascii="Arial" w:hAnsi="Arial" w:cs="Arial"/>
                <w:sz w:val="20"/>
              </w:rPr>
            </w:pPr>
            <w:r w:rsidRPr="00BB2B57">
              <w:rPr>
                <w:rFonts w:ascii="Arial" w:hAnsi="Arial" w:cs="Arial"/>
                <w:sz w:val="20"/>
              </w:rPr>
              <w:t>“Are all investments in United States government securities?”</w:t>
            </w:r>
          </w:p>
        </w:tc>
        <w:tc>
          <w:tcPr>
            <w:tcW w:w="2700" w:type="dxa"/>
          </w:tcPr>
          <w:p w:rsidR="00EB39FB" w:rsidRPr="00BB2B57" w:rsidRDefault="00EB39FB" w:rsidP="0026323D">
            <w:pPr>
              <w:autoSpaceDE w:val="0"/>
              <w:autoSpaceDN w:val="0"/>
              <w:adjustRightInd w:val="0"/>
              <w:rPr>
                <w:rFonts w:ascii="Arial" w:hAnsi="Arial" w:cs="Arial"/>
                <w:sz w:val="20"/>
              </w:rPr>
            </w:pPr>
            <w:r w:rsidRPr="00BB2B57">
              <w:rPr>
                <w:rFonts w:ascii="Arial" w:hAnsi="Arial" w:cs="Arial"/>
                <w:sz w:val="20"/>
              </w:rPr>
              <w:t>The original wording does not accurately reflect Handbook 1200.17. 13. b. and implies that</w:t>
            </w:r>
          </w:p>
          <w:p w:rsidR="00EB39FB" w:rsidRPr="00BB2B57" w:rsidRDefault="00EB39FB" w:rsidP="0026323D">
            <w:pPr>
              <w:autoSpaceDE w:val="0"/>
              <w:autoSpaceDN w:val="0"/>
              <w:adjustRightInd w:val="0"/>
              <w:rPr>
                <w:rFonts w:ascii="Arial" w:hAnsi="Arial" w:cs="Arial"/>
                <w:sz w:val="20"/>
              </w:rPr>
            </w:pPr>
            <w:r w:rsidRPr="00BB2B57">
              <w:rPr>
                <w:rFonts w:ascii="Arial" w:hAnsi="Arial" w:cs="Arial"/>
                <w:sz w:val="20"/>
              </w:rPr>
              <w:t>NPCs may only invest in Treasuries. Handbook 1200.17. 13.b. states: “NPCs may use idle funds to</w:t>
            </w:r>
          </w:p>
          <w:p w:rsidR="00EB39FB" w:rsidRPr="00BB2B57" w:rsidRDefault="00EB39FB" w:rsidP="0026323D">
            <w:pPr>
              <w:autoSpaceDE w:val="0"/>
              <w:autoSpaceDN w:val="0"/>
              <w:adjustRightInd w:val="0"/>
              <w:rPr>
                <w:rFonts w:ascii="Arial" w:hAnsi="Arial" w:cs="Arial"/>
                <w:sz w:val="20"/>
              </w:rPr>
            </w:pPr>
            <w:r w:rsidRPr="00BB2B57">
              <w:rPr>
                <w:rFonts w:ascii="Arial" w:hAnsi="Arial" w:cs="Arial"/>
                <w:sz w:val="20"/>
              </w:rPr>
              <w:t>purchase instruments backed by the full faith and credit of the United States Government such as</w:t>
            </w:r>
          </w:p>
          <w:p w:rsidR="00EB39FB" w:rsidRPr="00BB2B57" w:rsidRDefault="00EB39FB" w:rsidP="0026323D">
            <w:pPr>
              <w:autoSpaceDE w:val="0"/>
              <w:autoSpaceDN w:val="0"/>
              <w:adjustRightInd w:val="0"/>
              <w:rPr>
                <w:rFonts w:ascii="Arial" w:hAnsi="Arial" w:cs="Arial"/>
                <w:sz w:val="20"/>
              </w:rPr>
            </w:pPr>
            <w:r w:rsidRPr="00BB2B57">
              <w:rPr>
                <w:rFonts w:ascii="Arial" w:hAnsi="Arial" w:cs="Arial"/>
                <w:sz w:val="20"/>
              </w:rPr>
              <w:t>Treasury bills, notes, and bank certificates of deposit.” The key criteria are full faith and credit of the US</w:t>
            </w:r>
          </w:p>
          <w:p w:rsidR="00EB39FB" w:rsidRPr="00BB2B57" w:rsidRDefault="00EB39FB" w:rsidP="0026323D">
            <w:pPr>
              <w:rPr>
                <w:rFonts w:ascii="Arial" w:hAnsi="Arial" w:cs="Arial"/>
                <w:sz w:val="20"/>
              </w:rPr>
            </w:pPr>
            <w:proofErr w:type="gramStart"/>
            <w:r w:rsidRPr="00BB2B57">
              <w:rPr>
                <w:rFonts w:ascii="Arial" w:hAnsi="Arial" w:cs="Arial"/>
                <w:sz w:val="20"/>
              </w:rPr>
              <w:t>government</w:t>
            </w:r>
            <w:proofErr w:type="gramEnd"/>
            <w:r w:rsidRPr="00BB2B57">
              <w:rPr>
                <w:rFonts w:ascii="Arial" w:hAnsi="Arial" w:cs="Arial"/>
                <w:sz w:val="20"/>
              </w:rPr>
              <w:t>, not the vehicle.</w:t>
            </w:r>
          </w:p>
        </w:tc>
        <w:tc>
          <w:tcPr>
            <w:tcW w:w="3690" w:type="dxa"/>
          </w:tcPr>
          <w:p w:rsidR="00EB39FB" w:rsidRPr="007A3EDF" w:rsidRDefault="00EB39FB" w:rsidP="0049211F">
            <w:pPr>
              <w:autoSpaceDE w:val="0"/>
              <w:autoSpaceDN w:val="0"/>
              <w:adjustRightInd w:val="0"/>
              <w:rPr>
                <w:rFonts w:ascii="Arial" w:hAnsi="Arial" w:cs="Arial"/>
                <w:sz w:val="20"/>
                <w:szCs w:val="20"/>
              </w:rPr>
            </w:pPr>
            <w:r w:rsidRPr="007A3EDF">
              <w:rPr>
                <w:rFonts w:ascii="Arial" w:hAnsi="Arial" w:cs="Arial"/>
                <w:sz w:val="20"/>
                <w:szCs w:val="20"/>
              </w:rPr>
              <w:t>Are all investments held in instruments backed by the full faith and credit of the United States government?</w:t>
            </w:r>
          </w:p>
        </w:tc>
      </w:tr>
      <w:tr w:rsidR="00EB39FB" w:rsidRPr="00BB2B57" w:rsidTr="00EE5E6D">
        <w:tc>
          <w:tcPr>
            <w:tcW w:w="629" w:type="dxa"/>
          </w:tcPr>
          <w:p w:rsidR="00EB39FB" w:rsidRPr="00BB2B57" w:rsidRDefault="00EB39FB" w:rsidP="0049211F">
            <w:pPr>
              <w:jc w:val="center"/>
              <w:rPr>
                <w:rFonts w:ascii="Arial" w:hAnsi="Arial" w:cs="Arial"/>
                <w:sz w:val="20"/>
              </w:rPr>
            </w:pPr>
            <w:r w:rsidRPr="00BB2B57">
              <w:rPr>
                <w:rFonts w:ascii="Arial" w:hAnsi="Arial" w:cs="Arial"/>
                <w:sz w:val="20"/>
              </w:rPr>
              <w:t>8</w:t>
            </w:r>
          </w:p>
        </w:tc>
        <w:tc>
          <w:tcPr>
            <w:tcW w:w="1639" w:type="dxa"/>
          </w:tcPr>
          <w:p w:rsidR="00EB39FB" w:rsidRPr="00BB2B57" w:rsidRDefault="00EB39FB" w:rsidP="0026323D">
            <w:pPr>
              <w:rPr>
                <w:rFonts w:ascii="Arial" w:hAnsi="Arial" w:cs="Arial"/>
                <w:sz w:val="20"/>
              </w:rPr>
            </w:pPr>
            <w:r w:rsidRPr="00BB2B57">
              <w:rPr>
                <w:rFonts w:ascii="Arial" w:hAnsi="Arial" w:cs="Arial"/>
                <w:sz w:val="20"/>
              </w:rPr>
              <w:t>ICQ, Section I “VHA Handbook 1200.17”, question 23</w:t>
            </w:r>
          </w:p>
        </w:tc>
        <w:tc>
          <w:tcPr>
            <w:tcW w:w="2520" w:type="dxa"/>
          </w:tcPr>
          <w:p w:rsidR="00EB39FB" w:rsidRPr="00BB2B57" w:rsidRDefault="00EB39FB" w:rsidP="0026323D">
            <w:pPr>
              <w:autoSpaceDE w:val="0"/>
              <w:autoSpaceDN w:val="0"/>
              <w:adjustRightInd w:val="0"/>
              <w:rPr>
                <w:rFonts w:ascii="Arial" w:hAnsi="Arial" w:cs="Arial"/>
                <w:sz w:val="20"/>
              </w:rPr>
            </w:pPr>
            <w:r w:rsidRPr="00BB2B57">
              <w:rPr>
                <w:rFonts w:ascii="Arial" w:hAnsi="Arial" w:cs="Arial"/>
                <w:sz w:val="20"/>
              </w:rPr>
              <w:t>Are there approved policies and procedures that document the purchase of investments and</w:t>
            </w:r>
          </w:p>
          <w:p w:rsidR="00EB39FB" w:rsidRPr="00BB2B57" w:rsidRDefault="00EB39FB" w:rsidP="0026323D">
            <w:pPr>
              <w:rPr>
                <w:rFonts w:ascii="Arial" w:hAnsi="Arial" w:cs="Arial"/>
                <w:sz w:val="20"/>
              </w:rPr>
            </w:pPr>
            <w:proofErr w:type="gramStart"/>
            <w:r w:rsidRPr="00BB2B57">
              <w:rPr>
                <w:rFonts w:ascii="Arial" w:hAnsi="Arial" w:cs="Arial"/>
                <w:sz w:val="20"/>
              </w:rPr>
              <w:lastRenderedPageBreak/>
              <w:t>that</w:t>
            </w:r>
            <w:proofErr w:type="gramEnd"/>
            <w:r w:rsidRPr="00BB2B57">
              <w:rPr>
                <w:rFonts w:ascii="Arial" w:hAnsi="Arial" w:cs="Arial"/>
                <w:sz w:val="20"/>
              </w:rPr>
              <w:t xml:space="preserve"> identify control procedures?</w:t>
            </w:r>
          </w:p>
        </w:tc>
        <w:tc>
          <w:tcPr>
            <w:tcW w:w="2700" w:type="dxa"/>
          </w:tcPr>
          <w:p w:rsidR="00EB39FB" w:rsidRPr="00BB2B57" w:rsidRDefault="00EB39FB">
            <w:pPr>
              <w:rPr>
                <w:rFonts w:ascii="Arial" w:hAnsi="Arial" w:cs="Arial"/>
                <w:sz w:val="20"/>
              </w:rPr>
            </w:pPr>
            <w:r w:rsidRPr="00BB2B57">
              <w:rPr>
                <w:rFonts w:ascii="Arial" w:hAnsi="Arial" w:cs="Arial"/>
                <w:sz w:val="20"/>
              </w:rPr>
              <w:lastRenderedPageBreak/>
              <w:t>Rewording for clarity</w:t>
            </w:r>
          </w:p>
        </w:tc>
        <w:tc>
          <w:tcPr>
            <w:tcW w:w="3690" w:type="dxa"/>
          </w:tcPr>
          <w:p w:rsidR="00EB39FB" w:rsidRPr="00BB2B57" w:rsidRDefault="00EB39FB" w:rsidP="007A3EDF">
            <w:pPr>
              <w:autoSpaceDE w:val="0"/>
              <w:autoSpaceDN w:val="0"/>
              <w:adjustRightInd w:val="0"/>
              <w:rPr>
                <w:rFonts w:ascii="Arial" w:hAnsi="Arial" w:cs="Arial"/>
                <w:sz w:val="20"/>
              </w:rPr>
            </w:pPr>
            <w:r w:rsidRPr="007A3EDF">
              <w:rPr>
                <w:rFonts w:ascii="Arial" w:hAnsi="Arial" w:cs="Arial"/>
                <w:sz w:val="20"/>
                <w:szCs w:val="20"/>
              </w:rPr>
              <w:t xml:space="preserve">Are there approved written policies and procedures that document the purchase of investments and identify control procedures for these </w:t>
            </w:r>
            <w:r>
              <w:rPr>
                <w:rFonts w:ascii="Arial" w:hAnsi="Arial" w:cs="Arial"/>
                <w:sz w:val="20"/>
                <w:szCs w:val="20"/>
              </w:rPr>
              <w:t>p</w:t>
            </w:r>
            <w:r w:rsidRPr="007A3EDF">
              <w:rPr>
                <w:rFonts w:ascii="Arial" w:hAnsi="Arial" w:cs="Arial"/>
                <w:sz w:val="20"/>
                <w:szCs w:val="20"/>
              </w:rPr>
              <w:t>urchases</w:t>
            </w:r>
            <w:r>
              <w:rPr>
                <w:rFonts w:ascii="Arial" w:hAnsi="Arial" w:cs="Arial"/>
                <w:sz w:val="24"/>
                <w:szCs w:val="24"/>
              </w:rPr>
              <w:t>?</w:t>
            </w:r>
          </w:p>
        </w:tc>
      </w:tr>
      <w:tr w:rsidR="00EB39FB" w:rsidRPr="00BB2B57" w:rsidTr="00EE5E6D">
        <w:tc>
          <w:tcPr>
            <w:tcW w:w="629" w:type="dxa"/>
          </w:tcPr>
          <w:p w:rsidR="00EB39FB" w:rsidRPr="00BB2B57" w:rsidRDefault="00EB39FB" w:rsidP="0049211F">
            <w:pPr>
              <w:jc w:val="center"/>
              <w:rPr>
                <w:rFonts w:ascii="Arial" w:hAnsi="Arial" w:cs="Arial"/>
                <w:sz w:val="20"/>
              </w:rPr>
            </w:pPr>
            <w:r w:rsidRPr="00BB2B57">
              <w:rPr>
                <w:rFonts w:ascii="Arial" w:hAnsi="Arial" w:cs="Arial"/>
                <w:sz w:val="20"/>
              </w:rPr>
              <w:lastRenderedPageBreak/>
              <w:t>9</w:t>
            </w:r>
          </w:p>
        </w:tc>
        <w:tc>
          <w:tcPr>
            <w:tcW w:w="1639" w:type="dxa"/>
          </w:tcPr>
          <w:p w:rsidR="00EB39FB" w:rsidRPr="00BB2B57" w:rsidRDefault="00EB39FB">
            <w:pPr>
              <w:rPr>
                <w:rFonts w:ascii="Arial" w:hAnsi="Arial" w:cs="Arial"/>
                <w:sz w:val="20"/>
              </w:rPr>
            </w:pPr>
            <w:r w:rsidRPr="00BB2B57">
              <w:rPr>
                <w:rFonts w:ascii="Arial" w:hAnsi="Arial" w:cs="Arial"/>
                <w:sz w:val="20"/>
              </w:rPr>
              <w:t>ICQ, Section A “Control environment” question 3</w:t>
            </w:r>
          </w:p>
        </w:tc>
        <w:tc>
          <w:tcPr>
            <w:tcW w:w="2520" w:type="dxa"/>
          </w:tcPr>
          <w:p w:rsidR="00EB39FB" w:rsidRPr="00BB2B57" w:rsidRDefault="00EB39FB" w:rsidP="00AC09FF">
            <w:pPr>
              <w:autoSpaceDE w:val="0"/>
              <w:autoSpaceDN w:val="0"/>
              <w:adjustRightInd w:val="0"/>
              <w:rPr>
                <w:rFonts w:ascii="Arial" w:hAnsi="Arial" w:cs="Arial"/>
                <w:sz w:val="20"/>
              </w:rPr>
            </w:pPr>
            <w:r w:rsidRPr="00BB2B57">
              <w:rPr>
                <w:rFonts w:ascii="Arial" w:hAnsi="Arial" w:cs="Arial"/>
                <w:sz w:val="20"/>
              </w:rPr>
              <w:t>Is there a written policy for managing real or perceived conflict of interest resulting</w:t>
            </w:r>
          </w:p>
          <w:p w:rsidR="00EB39FB" w:rsidRPr="00BB2B57" w:rsidRDefault="00EB39FB" w:rsidP="00AC09FF">
            <w:pPr>
              <w:rPr>
                <w:rFonts w:ascii="Arial" w:hAnsi="Arial" w:cs="Arial"/>
                <w:sz w:val="20"/>
              </w:rPr>
            </w:pPr>
            <w:proofErr w:type="gramStart"/>
            <w:r w:rsidRPr="00BB2B57">
              <w:rPr>
                <w:rFonts w:ascii="Arial" w:hAnsi="Arial" w:cs="Arial"/>
                <w:sz w:val="20"/>
              </w:rPr>
              <w:t>from</w:t>
            </w:r>
            <w:proofErr w:type="gramEnd"/>
            <w:r w:rsidRPr="00BB2B57">
              <w:rPr>
                <w:rFonts w:ascii="Arial" w:hAnsi="Arial" w:cs="Arial"/>
                <w:sz w:val="20"/>
              </w:rPr>
              <w:t xml:space="preserve"> the hiring of subordinates with a financial, social, familial or romantic relationship?</w:t>
            </w:r>
          </w:p>
        </w:tc>
        <w:tc>
          <w:tcPr>
            <w:tcW w:w="2700" w:type="dxa"/>
          </w:tcPr>
          <w:p w:rsidR="00EB39FB" w:rsidRPr="00BB2B57" w:rsidRDefault="00EB39FB">
            <w:pPr>
              <w:rPr>
                <w:rFonts w:ascii="Arial" w:hAnsi="Arial" w:cs="Arial"/>
                <w:sz w:val="20"/>
              </w:rPr>
            </w:pPr>
            <w:r w:rsidRPr="00BB2B57">
              <w:rPr>
                <w:rFonts w:ascii="Arial" w:hAnsi="Arial" w:cs="Arial"/>
                <w:sz w:val="20"/>
              </w:rPr>
              <w:t>Rewording for clarity</w:t>
            </w:r>
          </w:p>
        </w:tc>
        <w:tc>
          <w:tcPr>
            <w:tcW w:w="3690" w:type="dxa"/>
          </w:tcPr>
          <w:p w:rsidR="00EB39FB" w:rsidRPr="00BB2B57" w:rsidRDefault="00EB39FB" w:rsidP="007A3EDF">
            <w:pPr>
              <w:autoSpaceDE w:val="0"/>
              <w:autoSpaceDN w:val="0"/>
              <w:adjustRightInd w:val="0"/>
              <w:rPr>
                <w:rFonts w:ascii="Arial" w:hAnsi="Arial" w:cs="Arial"/>
                <w:sz w:val="20"/>
              </w:rPr>
            </w:pPr>
            <w:r w:rsidRPr="00BB2B57">
              <w:rPr>
                <w:rFonts w:ascii="Arial" w:hAnsi="Arial" w:cs="Arial"/>
                <w:sz w:val="20"/>
              </w:rPr>
              <w:t>Is there a written policy and procedure for managing real or perceived conflicts of interest resulting from the hiring of subordinates with a financial, social, familial or romantic relationship?</w:t>
            </w:r>
          </w:p>
        </w:tc>
      </w:tr>
      <w:tr w:rsidR="00EB39FB" w:rsidRPr="00BB2B57" w:rsidTr="00EE5E6D">
        <w:tc>
          <w:tcPr>
            <w:tcW w:w="629" w:type="dxa"/>
          </w:tcPr>
          <w:p w:rsidR="00EB39FB" w:rsidRPr="00BB2B57" w:rsidRDefault="00EB39FB" w:rsidP="0049211F">
            <w:pPr>
              <w:jc w:val="center"/>
              <w:rPr>
                <w:rFonts w:ascii="Arial" w:hAnsi="Arial" w:cs="Arial"/>
                <w:sz w:val="20"/>
              </w:rPr>
            </w:pPr>
            <w:r w:rsidRPr="00BB2B57">
              <w:rPr>
                <w:rFonts w:ascii="Arial" w:hAnsi="Arial" w:cs="Arial"/>
                <w:sz w:val="20"/>
              </w:rPr>
              <w:t>10</w:t>
            </w:r>
          </w:p>
        </w:tc>
        <w:tc>
          <w:tcPr>
            <w:tcW w:w="1639" w:type="dxa"/>
          </w:tcPr>
          <w:p w:rsidR="00EB39FB" w:rsidRPr="00BB2B57" w:rsidRDefault="00EB39FB" w:rsidP="00BB2B57">
            <w:pPr>
              <w:rPr>
                <w:rFonts w:ascii="Arial" w:hAnsi="Arial" w:cs="Arial"/>
                <w:sz w:val="20"/>
              </w:rPr>
            </w:pPr>
            <w:r w:rsidRPr="00BB2B57">
              <w:rPr>
                <w:rFonts w:ascii="Arial" w:hAnsi="Arial" w:cs="Arial"/>
                <w:sz w:val="20"/>
              </w:rPr>
              <w:t>ICQ, Section A “Control environment” question 33</w:t>
            </w:r>
          </w:p>
        </w:tc>
        <w:tc>
          <w:tcPr>
            <w:tcW w:w="2520" w:type="dxa"/>
          </w:tcPr>
          <w:p w:rsidR="00EB39FB" w:rsidRPr="00BB2B57" w:rsidRDefault="00EB39FB" w:rsidP="00AC09FF">
            <w:pPr>
              <w:autoSpaceDE w:val="0"/>
              <w:autoSpaceDN w:val="0"/>
              <w:adjustRightInd w:val="0"/>
              <w:rPr>
                <w:rFonts w:ascii="Arial" w:hAnsi="Arial" w:cs="Arial"/>
                <w:sz w:val="20"/>
              </w:rPr>
            </w:pPr>
            <w:r w:rsidRPr="00BB2B57">
              <w:rPr>
                <w:rFonts w:ascii="Arial" w:hAnsi="Arial" w:cs="Arial"/>
                <w:sz w:val="20"/>
              </w:rPr>
              <w:t>If any project accounts are overdrawn are they reported in the monthly financial statement?</w:t>
            </w:r>
          </w:p>
        </w:tc>
        <w:tc>
          <w:tcPr>
            <w:tcW w:w="2700" w:type="dxa"/>
          </w:tcPr>
          <w:p w:rsidR="00EB39FB" w:rsidRPr="00BB2B57" w:rsidRDefault="00EB39FB" w:rsidP="00AC09FF">
            <w:pPr>
              <w:pStyle w:val="ListParagraph"/>
              <w:numPr>
                <w:ilvl w:val="0"/>
                <w:numId w:val="1"/>
              </w:numPr>
              <w:autoSpaceDE w:val="0"/>
              <w:autoSpaceDN w:val="0"/>
              <w:adjustRightInd w:val="0"/>
              <w:ind w:left="0" w:firstLine="0"/>
              <w:rPr>
                <w:rFonts w:ascii="Arial" w:hAnsi="Arial" w:cs="Arial"/>
                <w:sz w:val="20"/>
              </w:rPr>
            </w:pPr>
            <w:r w:rsidRPr="00BB2B57">
              <w:rPr>
                <w:rFonts w:ascii="Arial" w:hAnsi="Arial" w:cs="Arial"/>
                <w:sz w:val="20"/>
              </w:rPr>
              <w:t>Clinical trials and NIH grants are typically funded in arrears so it is common – and usually</w:t>
            </w:r>
          </w:p>
          <w:p w:rsidR="00EB39FB" w:rsidRPr="00BB2B57" w:rsidRDefault="00EB39FB" w:rsidP="00AC09FF">
            <w:pPr>
              <w:autoSpaceDE w:val="0"/>
              <w:autoSpaceDN w:val="0"/>
              <w:adjustRightInd w:val="0"/>
              <w:rPr>
                <w:rFonts w:ascii="Arial" w:hAnsi="Arial" w:cs="Arial"/>
                <w:sz w:val="20"/>
              </w:rPr>
            </w:pPr>
            <w:proofErr w:type="gramStart"/>
            <w:r w:rsidRPr="00BB2B57">
              <w:rPr>
                <w:rFonts w:ascii="Arial" w:hAnsi="Arial" w:cs="Arial"/>
                <w:sz w:val="20"/>
              </w:rPr>
              <w:t>not</w:t>
            </w:r>
            <w:proofErr w:type="gramEnd"/>
            <w:r w:rsidRPr="00BB2B57">
              <w:rPr>
                <w:rFonts w:ascii="Arial" w:hAnsi="Arial" w:cs="Arial"/>
                <w:sz w:val="20"/>
              </w:rPr>
              <w:t xml:space="preserve"> problematic – for active project accounts to have a negative balance. This is only problematic when</w:t>
            </w:r>
          </w:p>
          <w:p w:rsidR="00EB39FB" w:rsidRPr="00BB2B57" w:rsidRDefault="00EB39FB" w:rsidP="00AC09FF">
            <w:pPr>
              <w:autoSpaceDE w:val="0"/>
              <w:autoSpaceDN w:val="0"/>
              <w:adjustRightInd w:val="0"/>
              <w:rPr>
                <w:rFonts w:ascii="Arial" w:hAnsi="Arial" w:cs="Arial"/>
                <w:sz w:val="20"/>
              </w:rPr>
            </w:pPr>
            <w:proofErr w:type="gramStart"/>
            <w:r w:rsidRPr="00BB2B57">
              <w:rPr>
                <w:rFonts w:ascii="Arial" w:hAnsi="Arial" w:cs="Arial"/>
                <w:sz w:val="20"/>
              </w:rPr>
              <w:t>a</w:t>
            </w:r>
            <w:proofErr w:type="gramEnd"/>
            <w:r w:rsidRPr="00BB2B57">
              <w:rPr>
                <w:rFonts w:ascii="Arial" w:hAnsi="Arial" w:cs="Arial"/>
                <w:sz w:val="20"/>
              </w:rPr>
              <w:t xml:space="preserve"> study is near to closeout and there is little prospect of it coming into balance. It is the EDs job to track</w:t>
            </w:r>
          </w:p>
          <w:p w:rsidR="00EB39FB" w:rsidRPr="00BB2B57" w:rsidRDefault="00EB39FB" w:rsidP="00AC09FF">
            <w:pPr>
              <w:autoSpaceDE w:val="0"/>
              <w:autoSpaceDN w:val="0"/>
              <w:adjustRightInd w:val="0"/>
              <w:rPr>
                <w:rFonts w:ascii="Arial" w:hAnsi="Arial" w:cs="Arial"/>
                <w:sz w:val="20"/>
              </w:rPr>
            </w:pPr>
            <w:r w:rsidRPr="00BB2B57">
              <w:rPr>
                <w:rFonts w:ascii="Arial" w:hAnsi="Arial" w:cs="Arial"/>
                <w:sz w:val="20"/>
              </w:rPr>
              <w:t>balances and anticipated revenues, and to notify PIs when steps must be taken to prevent a study from</w:t>
            </w:r>
          </w:p>
          <w:p w:rsidR="00EB39FB" w:rsidRPr="00BB2B57" w:rsidRDefault="00EB39FB" w:rsidP="00AC09FF">
            <w:pPr>
              <w:autoSpaceDE w:val="0"/>
              <w:autoSpaceDN w:val="0"/>
              <w:adjustRightInd w:val="0"/>
              <w:rPr>
                <w:rFonts w:ascii="Arial" w:hAnsi="Arial" w:cs="Arial"/>
                <w:sz w:val="20"/>
              </w:rPr>
            </w:pPr>
            <w:proofErr w:type="gramStart"/>
            <w:r w:rsidRPr="00BB2B57">
              <w:rPr>
                <w:rFonts w:ascii="Arial" w:hAnsi="Arial" w:cs="Arial"/>
                <w:sz w:val="20"/>
              </w:rPr>
              <w:t>ending</w:t>
            </w:r>
            <w:proofErr w:type="gramEnd"/>
            <w:r w:rsidRPr="00BB2B57">
              <w:rPr>
                <w:rFonts w:ascii="Arial" w:hAnsi="Arial" w:cs="Arial"/>
                <w:sz w:val="20"/>
              </w:rPr>
              <w:t xml:space="preserve"> in a deficit situation. If a study will end with a deficit balance, then the ED should notify the</w:t>
            </w:r>
          </w:p>
          <w:p w:rsidR="00EB39FB" w:rsidRPr="00BB2B57" w:rsidRDefault="00EB39FB" w:rsidP="00AC09FF">
            <w:pPr>
              <w:autoSpaceDE w:val="0"/>
              <w:autoSpaceDN w:val="0"/>
              <w:adjustRightInd w:val="0"/>
              <w:rPr>
                <w:rFonts w:ascii="Arial" w:hAnsi="Arial" w:cs="Arial"/>
                <w:sz w:val="20"/>
              </w:rPr>
            </w:pPr>
            <w:proofErr w:type="gramStart"/>
            <w:r w:rsidRPr="00BB2B57">
              <w:rPr>
                <w:rFonts w:ascii="Arial" w:hAnsi="Arial" w:cs="Arial"/>
                <w:sz w:val="20"/>
              </w:rPr>
              <w:t>board</w:t>
            </w:r>
            <w:proofErr w:type="gramEnd"/>
            <w:r w:rsidRPr="00BB2B57">
              <w:rPr>
                <w:rFonts w:ascii="Arial" w:hAnsi="Arial" w:cs="Arial"/>
                <w:sz w:val="20"/>
              </w:rPr>
              <w:t xml:space="preserve"> so it can decide how to manage the loss.</w:t>
            </w:r>
          </w:p>
          <w:p w:rsidR="00EB39FB" w:rsidRPr="00BB2B57" w:rsidRDefault="00EB39FB" w:rsidP="00AC09FF">
            <w:pPr>
              <w:autoSpaceDE w:val="0"/>
              <w:autoSpaceDN w:val="0"/>
              <w:adjustRightInd w:val="0"/>
              <w:rPr>
                <w:rFonts w:ascii="Arial" w:hAnsi="Arial" w:cs="Arial"/>
                <w:sz w:val="20"/>
              </w:rPr>
            </w:pPr>
          </w:p>
          <w:p w:rsidR="00EB39FB" w:rsidRPr="00BB2B57" w:rsidRDefault="00EB39FB" w:rsidP="00AC09FF">
            <w:pPr>
              <w:pStyle w:val="ListParagraph"/>
              <w:numPr>
                <w:ilvl w:val="0"/>
                <w:numId w:val="1"/>
              </w:numPr>
              <w:autoSpaceDE w:val="0"/>
              <w:autoSpaceDN w:val="0"/>
              <w:adjustRightInd w:val="0"/>
              <w:ind w:left="72" w:hanging="18"/>
              <w:rPr>
                <w:rFonts w:ascii="Arial" w:hAnsi="Arial" w:cs="Arial"/>
                <w:sz w:val="20"/>
              </w:rPr>
            </w:pPr>
            <w:r w:rsidRPr="00BB2B57">
              <w:rPr>
                <w:rFonts w:ascii="Arial" w:hAnsi="Arial" w:cs="Arial"/>
                <w:sz w:val="20"/>
              </w:rPr>
              <w:t xml:space="preserve">Use of “monthly” implies that NPCs create – or should create - monthly financial statements. This is not usual </w:t>
            </w:r>
            <w:proofErr w:type="gramStart"/>
            <w:r w:rsidRPr="00BB2B57">
              <w:rPr>
                <w:rFonts w:ascii="Arial" w:hAnsi="Arial" w:cs="Arial"/>
                <w:sz w:val="20"/>
              </w:rPr>
              <w:t>practice  nor</w:t>
            </w:r>
            <w:proofErr w:type="gramEnd"/>
            <w:r w:rsidRPr="00BB2B57">
              <w:rPr>
                <w:rFonts w:ascii="Arial" w:hAnsi="Arial" w:cs="Arial"/>
                <w:sz w:val="20"/>
              </w:rPr>
              <w:t xml:space="preserve"> is there a published requirement to this effect.</w:t>
            </w:r>
          </w:p>
        </w:tc>
        <w:tc>
          <w:tcPr>
            <w:tcW w:w="3690" w:type="dxa"/>
          </w:tcPr>
          <w:p w:rsidR="00EB39FB" w:rsidRPr="007A3EDF" w:rsidRDefault="00EB39FB" w:rsidP="007A3EDF">
            <w:pPr>
              <w:autoSpaceDE w:val="0"/>
              <w:autoSpaceDN w:val="0"/>
              <w:adjustRightInd w:val="0"/>
              <w:rPr>
                <w:rFonts w:ascii="Arial" w:hAnsi="Arial" w:cs="Arial"/>
                <w:sz w:val="20"/>
              </w:rPr>
            </w:pPr>
            <w:r>
              <w:rPr>
                <w:rFonts w:ascii="Arial" w:hAnsi="Arial" w:cs="Arial"/>
                <w:sz w:val="20"/>
              </w:rPr>
              <w:t>Is the Board aware when acc</w:t>
            </w:r>
            <w:r w:rsidRPr="007A3EDF">
              <w:rPr>
                <w:rFonts w:ascii="Arial" w:hAnsi="Arial" w:cs="Arial"/>
                <w:sz w:val="20"/>
              </w:rPr>
              <w:t xml:space="preserve">ounts are overdrawn with no anticipated revenues?  </w:t>
            </w:r>
          </w:p>
          <w:p w:rsidR="00EB39FB" w:rsidRPr="00BB2B57" w:rsidRDefault="00EB39FB" w:rsidP="007A3EDF">
            <w:pPr>
              <w:autoSpaceDE w:val="0"/>
              <w:autoSpaceDN w:val="0"/>
              <w:adjustRightInd w:val="0"/>
              <w:rPr>
                <w:rFonts w:ascii="Arial" w:hAnsi="Arial" w:cs="Arial"/>
                <w:sz w:val="20"/>
              </w:rPr>
            </w:pPr>
          </w:p>
        </w:tc>
      </w:tr>
      <w:tr w:rsidR="00EB39FB" w:rsidRPr="00BB2B57" w:rsidTr="00EE5E6D">
        <w:trPr>
          <w:trHeight w:val="440"/>
        </w:trPr>
        <w:tc>
          <w:tcPr>
            <w:tcW w:w="629" w:type="dxa"/>
          </w:tcPr>
          <w:p w:rsidR="00EB39FB" w:rsidRPr="00BB2B57" w:rsidRDefault="00EB39FB" w:rsidP="0049211F">
            <w:pPr>
              <w:jc w:val="center"/>
              <w:rPr>
                <w:rFonts w:ascii="Arial" w:hAnsi="Arial" w:cs="Arial"/>
                <w:sz w:val="20"/>
              </w:rPr>
            </w:pPr>
            <w:r w:rsidRPr="00BB2B57">
              <w:rPr>
                <w:rFonts w:ascii="Arial" w:hAnsi="Arial" w:cs="Arial"/>
                <w:sz w:val="20"/>
              </w:rPr>
              <w:lastRenderedPageBreak/>
              <w:t>11</w:t>
            </w:r>
          </w:p>
        </w:tc>
        <w:tc>
          <w:tcPr>
            <w:tcW w:w="1639" w:type="dxa"/>
          </w:tcPr>
          <w:p w:rsidR="00EB39FB" w:rsidRPr="00BB2B57" w:rsidRDefault="00EB39FB" w:rsidP="00BB2B57">
            <w:pPr>
              <w:rPr>
                <w:rFonts w:ascii="Arial" w:hAnsi="Arial" w:cs="Arial"/>
                <w:sz w:val="20"/>
              </w:rPr>
            </w:pPr>
            <w:r w:rsidRPr="00BB2B57">
              <w:rPr>
                <w:rFonts w:ascii="Arial" w:hAnsi="Arial" w:cs="Arial"/>
                <w:sz w:val="20"/>
              </w:rPr>
              <w:t>ICQ title page (version Sept 2011)</w:t>
            </w:r>
          </w:p>
        </w:tc>
        <w:tc>
          <w:tcPr>
            <w:tcW w:w="2520" w:type="dxa"/>
          </w:tcPr>
          <w:p w:rsidR="00EB39FB" w:rsidRPr="00BB2B57" w:rsidRDefault="00EB39FB" w:rsidP="00BB2B57">
            <w:pPr>
              <w:rPr>
                <w:rFonts w:ascii="Arial" w:hAnsi="Arial" w:cs="Arial"/>
                <w:sz w:val="20"/>
              </w:rPr>
            </w:pPr>
            <w:r w:rsidRPr="00BB2B57">
              <w:rPr>
                <w:rFonts w:ascii="Arial" w:hAnsi="Arial" w:cs="Arial"/>
                <w:sz w:val="20"/>
              </w:rPr>
              <w:t>Abbreviated “ICF”</w:t>
            </w:r>
          </w:p>
        </w:tc>
        <w:tc>
          <w:tcPr>
            <w:tcW w:w="2700" w:type="dxa"/>
          </w:tcPr>
          <w:p w:rsidR="00EB39FB" w:rsidRPr="00BB2B57" w:rsidRDefault="00EB39FB" w:rsidP="00BB2B57">
            <w:pPr>
              <w:rPr>
                <w:rFonts w:ascii="Arial" w:hAnsi="Arial" w:cs="Arial"/>
                <w:sz w:val="20"/>
              </w:rPr>
            </w:pPr>
            <w:r w:rsidRPr="00BB2B57">
              <w:rPr>
                <w:rFonts w:ascii="Arial" w:hAnsi="Arial" w:cs="Arial"/>
                <w:sz w:val="20"/>
              </w:rPr>
              <w:t>Typo</w:t>
            </w:r>
          </w:p>
        </w:tc>
        <w:tc>
          <w:tcPr>
            <w:tcW w:w="3690" w:type="dxa"/>
          </w:tcPr>
          <w:p w:rsidR="00EB39FB" w:rsidRPr="00BB2B57" w:rsidRDefault="00EB39FB" w:rsidP="00BB2B57">
            <w:pPr>
              <w:rPr>
                <w:rFonts w:ascii="Arial" w:hAnsi="Arial" w:cs="Arial"/>
                <w:sz w:val="20"/>
              </w:rPr>
            </w:pPr>
            <w:r>
              <w:rPr>
                <w:rFonts w:ascii="Arial" w:hAnsi="Arial" w:cs="Arial"/>
                <w:sz w:val="20"/>
              </w:rPr>
              <w:t>This change has been made throughout the document.</w:t>
            </w:r>
          </w:p>
        </w:tc>
      </w:tr>
      <w:tr w:rsidR="00EB39FB" w:rsidRPr="00BB2B57" w:rsidTr="00EE5E6D">
        <w:tc>
          <w:tcPr>
            <w:tcW w:w="629" w:type="dxa"/>
            <w:shd w:val="clear" w:color="auto" w:fill="auto"/>
          </w:tcPr>
          <w:p w:rsidR="00EB39FB" w:rsidRPr="00BB2B57" w:rsidRDefault="00EB39FB" w:rsidP="0049211F">
            <w:pPr>
              <w:jc w:val="center"/>
              <w:rPr>
                <w:rFonts w:ascii="Arial" w:hAnsi="Arial" w:cs="Arial"/>
                <w:sz w:val="20"/>
              </w:rPr>
            </w:pPr>
            <w:r w:rsidRPr="00BB2B57">
              <w:rPr>
                <w:rFonts w:ascii="Arial" w:hAnsi="Arial" w:cs="Arial"/>
                <w:sz w:val="20"/>
              </w:rPr>
              <w:t>12</w:t>
            </w:r>
          </w:p>
        </w:tc>
        <w:tc>
          <w:tcPr>
            <w:tcW w:w="1639" w:type="dxa"/>
            <w:shd w:val="clear" w:color="auto" w:fill="auto"/>
          </w:tcPr>
          <w:p w:rsidR="00EB39FB" w:rsidRPr="00BB2B57" w:rsidRDefault="00EB39FB" w:rsidP="00175815">
            <w:pPr>
              <w:rPr>
                <w:rFonts w:ascii="Arial" w:hAnsi="Arial" w:cs="Arial"/>
                <w:sz w:val="20"/>
              </w:rPr>
            </w:pPr>
            <w:r w:rsidRPr="00BB2B57">
              <w:rPr>
                <w:rFonts w:ascii="Arial" w:hAnsi="Arial" w:cs="Arial"/>
                <w:sz w:val="20"/>
              </w:rPr>
              <w:t>ICQ, Section I “VHA Handbook 1200.17” question 3</w:t>
            </w:r>
          </w:p>
        </w:tc>
        <w:tc>
          <w:tcPr>
            <w:tcW w:w="2520" w:type="dxa"/>
            <w:shd w:val="clear" w:color="auto" w:fill="auto"/>
          </w:tcPr>
          <w:p w:rsidR="00EB39FB" w:rsidRPr="00BB2B57" w:rsidRDefault="00EB39FB" w:rsidP="00AC09FF">
            <w:pPr>
              <w:autoSpaceDE w:val="0"/>
              <w:autoSpaceDN w:val="0"/>
              <w:adjustRightInd w:val="0"/>
              <w:rPr>
                <w:rFonts w:ascii="Arial" w:hAnsi="Arial" w:cs="Arial"/>
                <w:sz w:val="20"/>
              </w:rPr>
            </w:pPr>
            <w:r w:rsidRPr="00BB2B57">
              <w:rPr>
                <w:rFonts w:ascii="Arial" w:hAnsi="Arial" w:cs="Arial"/>
                <w:sz w:val="20"/>
              </w:rPr>
              <w:t>“Has the Medical Center Director concurred in the appointment of the Executive Director in writing?”</w:t>
            </w:r>
          </w:p>
        </w:tc>
        <w:tc>
          <w:tcPr>
            <w:tcW w:w="2700" w:type="dxa"/>
            <w:shd w:val="clear" w:color="auto" w:fill="auto"/>
          </w:tcPr>
          <w:p w:rsidR="00EB39FB" w:rsidRPr="00BB2B57" w:rsidRDefault="00EB39FB" w:rsidP="004C4146">
            <w:pPr>
              <w:autoSpaceDE w:val="0"/>
              <w:autoSpaceDN w:val="0"/>
              <w:adjustRightInd w:val="0"/>
              <w:rPr>
                <w:rFonts w:ascii="Arial" w:hAnsi="Arial" w:cs="Arial"/>
                <w:sz w:val="20"/>
              </w:rPr>
            </w:pPr>
            <w:r w:rsidRPr="00BB2B57">
              <w:rPr>
                <w:rFonts w:ascii="Arial" w:hAnsi="Arial" w:cs="Arial"/>
                <w:sz w:val="20"/>
              </w:rPr>
              <w:t>This requirement is not in the Handbook</w:t>
            </w:r>
          </w:p>
        </w:tc>
        <w:tc>
          <w:tcPr>
            <w:tcW w:w="3690" w:type="dxa"/>
          </w:tcPr>
          <w:p w:rsidR="00EB39FB" w:rsidRPr="00BB2B57" w:rsidRDefault="00EB39FB" w:rsidP="004C4146">
            <w:pPr>
              <w:autoSpaceDE w:val="0"/>
              <w:autoSpaceDN w:val="0"/>
              <w:adjustRightInd w:val="0"/>
              <w:rPr>
                <w:rFonts w:ascii="Arial" w:hAnsi="Arial" w:cs="Arial"/>
                <w:sz w:val="20"/>
              </w:rPr>
            </w:pPr>
          </w:p>
        </w:tc>
      </w:tr>
      <w:tr w:rsidR="00EB39FB" w:rsidRPr="00BB2B57" w:rsidTr="00EE5E6D">
        <w:tc>
          <w:tcPr>
            <w:tcW w:w="629" w:type="dxa"/>
            <w:shd w:val="clear" w:color="auto" w:fill="D9D9D9" w:themeFill="background1" w:themeFillShade="D9"/>
          </w:tcPr>
          <w:p w:rsidR="00EB39FB" w:rsidRPr="00BB2B57" w:rsidRDefault="00EB39FB" w:rsidP="0049211F">
            <w:pPr>
              <w:jc w:val="center"/>
              <w:rPr>
                <w:rFonts w:ascii="Arial" w:hAnsi="Arial" w:cs="Arial"/>
                <w:sz w:val="20"/>
              </w:rPr>
            </w:pPr>
          </w:p>
        </w:tc>
        <w:tc>
          <w:tcPr>
            <w:tcW w:w="1639" w:type="dxa"/>
            <w:shd w:val="clear" w:color="auto" w:fill="D9D9D9" w:themeFill="background1" w:themeFillShade="D9"/>
          </w:tcPr>
          <w:p w:rsidR="00EB39FB" w:rsidRPr="00BB2B57" w:rsidRDefault="00EB39FB">
            <w:pPr>
              <w:rPr>
                <w:rFonts w:ascii="Arial" w:hAnsi="Arial" w:cs="Arial"/>
                <w:sz w:val="20"/>
              </w:rPr>
            </w:pPr>
          </w:p>
        </w:tc>
        <w:tc>
          <w:tcPr>
            <w:tcW w:w="2520" w:type="dxa"/>
            <w:shd w:val="clear" w:color="auto" w:fill="D9D9D9" w:themeFill="background1" w:themeFillShade="D9"/>
          </w:tcPr>
          <w:p w:rsidR="00EB39FB" w:rsidRPr="00BB2B57" w:rsidRDefault="00EB39FB" w:rsidP="00AC09FF">
            <w:pPr>
              <w:autoSpaceDE w:val="0"/>
              <w:autoSpaceDN w:val="0"/>
              <w:adjustRightInd w:val="0"/>
              <w:rPr>
                <w:rFonts w:ascii="Arial" w:hAnsi="Arial" w:cs="Arial"/>
                <w:sz w:val="20"/>
              </w:rPr>
            </w:pPr>
          </w:p>
        </w:tc>
        <w:tc>
          <w:tcPr>
            <w:tcW w:w="2700" w:type="dxa"/>
            <w:shd w:val="clear" w:color="auto" w:fill="D9D9D9" w:themeFill="background1" w:themeFillShade="D9"/>
          </w:tcPr>
          <w:p w:rsidR="00EB39FB" w:rsidRPr="00BB2B57" w:rsidRDefault="00EB39FB" w:rsidP="004C4146">
            <w:pPr>
              <w:autoSpaceDE w:val="0"/>
              <w:autoSpaceDN w:val="0"/>
              <w:adjustRightInd w:val="0"/>
              <w:rPr>
                <w:rFonts w:ascii="Arial" w:hAnsi="Arial" w:cs="Arial"/>
                <w:sz w:val="20"/>
              </w:rPr>
            </w:pPr>
          </w:p>
        </w:tc>
        <w:tc>
          <w:tcPr>
            <w:tcW w:w="3690" w:type="dxa"/>
            <w:shd w:val="clear" w:color="auto" w:fill="D9D9D9" w:themeFill="background1" w:themeFillShade="D9"/>
          </w:tcPr>
          <w:p w:rsidR="00EB39FB" w:rsidRPr="00BB2B57" w:rsidRDefault="00EB39FB" w:rsidP="004C4146">
            <w:pPr>
              <w:autoSpaceDE w:val="0"/>
              <w:autoSpaceDN w:val="0"/>
              <w:adjustRightInd w:val="0"/>
              <w:rPr>
                <w:rFonts w:ascii="Arial" w:hAnsi="Arial" w:cs="Arial"/>
                <w:sz w:val="20"/>
              </w:rPr>
            </w:pPr>
          </w:p>
        </w:tc>
      </w:tr>
      <w:tr w:rsidR="00EB39FB" w:rsidRPr="00BB2B57" w:rsidTr="00EE5E6D">
        <w:tc>
          <w:tcPr>
            <w:tcW w:w="629" w:type="dxa"/>
          </w:tcPr>
          <w:p w:rsidR="00EB39FB" w:rsidRPr="00BB2B57" w:rsidRDefault="00EB39FB" w:rsidP="00431FB0">
            <w:pPr>
              <w:jc w:val="center"/>
              <w:rPr>
                <w:rFonts w:ascii="Arial" w:hAnsi="Arial" w:cs="Arial"/>
                <w:sz w:val="20"/>
              </w:rPr>
            </w:pPr>
            <w:r w:rsidRPr="00BB2B57">
              <w:rPr>
                <w:rFonts w:ascii="Arial" w:hAnsi="Arial" w:cs="Arial"/>
                <w:sz w:val="20"/>
              </w:rPr>
              <w:t>13</w:t>
            </w:r>
          </w:p>
        </w:tc>
        <w:tc>
          <w:tcPr>
            <w:tcW w:w="1639" w:type="dxa"/>
          </w:tcPr>
          <w:p w:rsidR="00EB39FB" w:rsidRPr="00BB2B57" w:rsidRDefault="00EB39FB">
            <w:pPr>
              <w:rPr>
                <w:rFonts w:ascii="Arial" w:hAnsi="Arial" w:cs="Arial"/>
                <w:sz w:val="20"/>
              </w:rPr>
            </w:pPr>
            <w:r w:rsidRPr="00BB2B57">
              <w:rPr>
                <w:rFonts w:ascii="Arial" w:hAnsi="Arial" w:cs="Arial"/>
                <w:sz w:val="20"/>
              </w:rPr>
              <w:t>Annual Report template, Tab 12, questions 2 and 3</w:t>
            </w:r>
          </w:p>
        </w:tc>
        <w:tc>
          <w:tcPr>
            <w:tcW w:w="2520" w:type="dxa"/>
          </w:tcPr>
          <w:p w:rsidR="00EB39FB" w:rsidRPr="00BB2B57" w:rsidRDefault="00EB39FB" w:rsidP="00AC09FF">
            <w:pPr>
              <w:autoSpaceDE w:val="0"/>
              <w:autoSpaceDN w:val="0"/>
              <w:adjustRightInd w:val="0"/>
              <w:rPr>
                <w:rFonts w:ascii="Arial" w:hAnsi="Arial" w:cs="Arial"/>
                <w:sz w:val="20"/>
              </w:rPr>
            </w:pPr>
            <w:r w:rsidRPr="00BB2B57">
              <w:rPr>
                <w:rFonts w:ascii="Arial" w:hAnsi="Arial" w:cs="Arial"/>
                <w:sz w:val="20"/>
              </w:rPr>
              <w:t>2. As of the fiscal year-end, the estimated amount of unrestricted net assets available for meeting</w:t>
            </w:r>
          </w:p>
          <w:p w:rsidR="00EB39FB" w:rsidRPr="00BB2B57" w:rsidRDefault="00EB39FB" w:rsidP="00AC09FF">
            <w:pPr>
              <w:autoSpaceDE w:val="0"/>
              <w:autoSpaceDN w:val="0"/>
              <w:adjustRightInd w:val="0"/>
              <w:rPr>
                <w:rFonts w:ascii="Arial" w:hAnsi="Arial" w:cs="Arial"/>
                <w:sz w:val="20"/>
              </w:rPr>
            </w:pPr>
            <w:proofErr w:type="gramStart"/>
            <w:r w:rsidRPr="00BB2B57">
              <w:rPr>
                <w:rFonts w:ascii="Arial" w:hAnsi="Arial" w:cs="Arial"/>
                <w:sz w:val="20"/>
              </w:rPr>
              <w:t>administrative</w:t>
            </w:r>
            <w:proofErr w:type="gramEnd"/>
            <w:r w:rsidRPr="00BB2B57">
              <w:rPr>
                <w:rFonts w:ascii="Arial" w:hAnsi="Arial" w:cs="Arial"/>
                <w:sz w:val="20"/>
              </w:rPr>
              <w:t xml:space="preserve"> expenses, also known as the administrative reserve fund amount. It is important that funds be set aside, if possible, in a reserve administrative fund to allow for administrative funding for closing out</w:t>
            </w:r>
          </w:p>
          <w:p w:rsidR="00EB39FB" w:rsidRPr="00BB2B57" w:rsidRDefault="00EB39FB" w:rsidP="00AC09FF">
            <w:pPr>
              <w:autoSpaceDE w:val="0"/>
              <w:autoSpaceDN w:val="0"/>
              <w:adjustRightInd w:val="0"/>
              <w:rPr>
                <w:rFonts w:ascii="Arial" w:hAnsi="Arial" w:cs="Arial"/>
                <w:sz w:val="20"/>
              </w:rPr>
            </w:pPr>
            <w:proofErr w:type="gramStart"/>
            <w:r w:rsidRPr="00BB2B57">
              <w:rPr>
                <w:rFonts w:ascii="Arial" w:hAnsi="Arial" w:cs="Arial"/>
                <w:sz w:val="20"/>
              </w:rPr>
              <w:t>grants</w:t>
            </w:r>
            <w:proofErr w:type="gramEnd"/>
            <w:r w:rsidRPr="00BB2B57">
              <w:rPr>
                <w:rFonts w:ascii="Arial" w:hAnsi="Arial" w:cs="Arial"/>
                <w:sz w:val="20"/>
              </w:rPr>
              <w:t xml:space="preserve"> and meeting other business obligations if the NPC’s operations, revenues, and assets suffer an unavoidable downturn.</w:t>
            </w:r>
          </w:p>
          <w:p w:rsidR="00EB39FB" w:rsidRPr="00BB2B57" w:rsidRDefault="00EB39FB" w:rsidP="00AC09FF">
            <w:pPr>
              <w:autoSpaceDE w:val="0"/>
              <w:autoSpaceDN w:val="0"/>
              <w:adjustRightInd w:val="0"/>
              <w:rPr>
                <w:rFonts w:ascii="Arial" w:hAnsi="Arial" w:cs="Arial"/>
                <w:sz w:val="20"/>
              </w:rPr>
            </w:pPr>
          </w:p>
          <w:p w:rsidR="00EB39FB" w:rsidRPr="00BB2B57" w:rsidRDefault="00EB39FB" w:rsidP="004C4146">
            <w:pPr>
              <w:autoSpaceDE w:val="0"/>
              <w:autoSpaceDN w:val="0"/>
              <w:adjustRightInd w:val="0"/>
              <w:rPr>
                <w:rFonts w:ascii="Arial" w:hAnsi="Arial" w:cs="Arial"/>
                <w:sz w:val="20"/>
              </w:rPr>
            </w:pPr>
            <w:r w:rsidRPr="00BB2B57">
              <w:rPr>
                <w:rFonts w:ascii="Arial" w:hAnsi="Arial" w:cs="Arial"/>
                <w:sz w:val="20"/>
              </w:rPr>
              <w:t>3. As of the fiscal year-end, the estimated number of months of administrative expense that the reserve fund represents. This can be estimated by dividing one-</w:t>
            </w:r>
            <w:proofErr w:type="spellStart"/>
            <w:r w:rsidRPr="00BB2B57">
              <w:rPr>
                <w:rFonts w:ascii="Arial" w:hAnsi="Arial" w:cs="Arial"/>
                <w:sz w:val="20"/>
              </w:rPr>
              <w:t>twevlth</w:t>
            </w:r>
            <w:proofErr w:type="spellEnd"/>
            <w:r w:rsidRPr="00BB2B57">
              <w:rPr>
                <w:rFonts w:ascii="Arial" w:hAnsi="Arial" w:cs="Arial"/>
                <w:sz w:val="20"/>
              </w:rPr>
              <w:t xml:space="preserve"> of the annual administrative expenses </w:t>
            </w:r>
            <w:r w:rsidRPr="00BB2B57">
              <w:rPr>
                <w:rFonts w:ascii="Arial" w:hAnsi="Arial" w:cs="Arial"/>
                <w:sz w:val="20"/>
              </w:rPr>
              <w:lastRenderedPageBreak/>
              <w:t>into the estimated reserve fund amount. Please round to the nearest whole month.</w:t>
            </w:r>
          </w:p>
        </w:tc>
        <w:tc>
          <w:tcPr>
            <w:tcW w:w="2700" w:type="dxa"/>
          </w:tcPr>
          <w:p w:rsidR="00EB39FB" w:rsidRPr="00BB2B57" w:rsidRDefault="00EB39FB" w:rsidP="004C4146">
            <w:pPr>
              <w:autoSpaceDE w:val="0"/>
              <w:autoSpaceDN w:val="0"/>
              <w:adjustRightInd w:val="0"/>
              <w:rPr>
                <w:rFonts w:ascii="Arial" w:hAnsi="Arial" w:cs="Arial"/>
                <w:sz w:val="20"/>
              </w:rPr>
            </w:pPr>
            <w:r w:rsidRPr="00BB2B57">
              <w:rPr>
                <w:rFonts w:ascii="Arial" w:hAnsi="Arial" w:cs="Arial"/>
                <w:sz w:val="20"/>
              </w:rPr>
              <w:lastRenderedPageBreak/>
              <w:t>Wording could be simplified.</w:t>
            </w:r>
          </w:p>
          <w:p w:rsidR="00EB39FB" w:rsidRPr="00BB2B57" w:rsidRDefault="00EB39FB" w:rsidP="004C4146">
            <w:pPr>
              <w:autoSpaceDE w:val="0"/>
              <w:autoSpaceDN w:val="0"/>
              <w:adjustRightInd w:val="0"/>
              <w:rPr>
                <w:rFonts w:ascii="Arial" w:hAnsi="Arial" w:cs="Arial"/>
                <w:sz w:val="20"/>
              </w:rPr>
            </w:pPr>
          </w:p>
          <w:p w:rsidR="00EB39FB" w:rsidRPr="00BB2B57" w:rsidRDefault="00EB39FB" w:rsidP="004C4146">
            <w:pPr>
              <w:autoSpaceDE w:val="0"/>
              <w:autoSpaceDN w:val="0"/>
              <w:adjustRightInd w:val="0"/>
              <w:rPr>
                <w:rFonts w:ascii="Arial" w:hAnsi="Arial" w:cs="Arial"/>
                <w:sz w:val="20"/>
              </w:rPr>
            </w:pPr>
            <w:r w:rsidRPr="00BB2B57">
              <w:rPr>
                <w:rFonts w:ascii="Arial" w:hAnsi="Arial" w:cs="Arial"/>
                <w:sz w:val="20"/>
              </w:rPr>
              <w:t xml:space="preserve">As worded, </w:t>
            </w:r>
            <w:proofErr w:type="gramStart"/>
            <w:r w:rsidRPr="00BB2B57">
              <w:rPr>
                <w:rFonts w:ascii="Arial" w:hAnsi="Arial" w:cs="Arial"/>
                <w:sz w:val="20"/>
              </w:rPr>
              <w:t>it  implies</w:t>
            </w:r>
            <w:proofErr w:type="gramEnd"/>
            <w:r w:rsidRPr="00BB2B57">
              <w:rPr>
                <w:rFonts w:ascii="Arial" w:hAnsi="Arial" w:cs="Arial"/>
                <w:sz w:val="20"/>
              </w:rPr>
              <w:t xml:space="preserve"> that NPCs are required to have reserves when there is no such published requirement for nonprofits generally or for NPCs specifically.</w:t>
            </w:r>
          </w:p>
        </w:tc>
        <w:tc>
          <w:tcPr>
            <w:tcW w:w="3690" w:type="dxa"/>
          </w:tcPr>
          <w:p w:rsidR="00EB39FB" w:rsidRPr="00BB2B57" w:rsidRDefault="00EB39FB" w:rsidP="0064709F">
            <w:pPr>
              <w:autoSpaceDE w:val="0"/>
              <w:autoSpaceDN w:val="0"/>
              <w:adjustRightInd w:val="0"/>
              <w:rPr>
                <w:rFonts w:ascii="Arial" w:hAnsi="Arial" w:cs="Arial"/>
                <w:sz w:val="20"/>
              </w:rPr>
            </w:pPr>
            <w:r>
              <w:rPr>
                <w:rFonts w:ascii="Arial" w:hAnsi="Arial" w:cs="Arial"/>
                <w:sz w:val="20"/>
              </w:rPr>
              <w:t>#2</w:t>
            </w:r>
            <w:r w:rsidRPr="00BB2B57">
              <w:rPr>
                <w:rFonts w:ascii="Arial" w:hAnsi="Arial" w:cs="Arial"/>
                <w:sz w:val="20"/>
              </w:rPr>
              <w:t>.  If applicable, the balance in the NPC’s board-designated administrative reserve at the end of NPC’s last completed fiscal year was  $___</w:t>
            </w:r>
          </w:p>
          <w:p w:rsidR="00EB39FB" w:rsidRPr="00BB2B57" w:rsidRDefault="00EB39FB" w:rsidP="0064709F">
            <w:pPr>
              <w:autoSpaceDE w:val="0"/>
              <w:autoSpaceDN w:val="0"/>
              <w:adjustRightInd w:val="0"/>
              <w:rPr>
                <w:rFonts w:ascii="Arial" w:hAnsi="Arial" w:cs="Arial"/>
                <w:sz w:val="20"/>
              </w:rPr>
            </w:pPr>
          </w:p>
          <w:p w:rsidR="00EB39FB" w:rsidRPr="00BB2B57" w:rsidRDefault="00EB39FB" w:rsidP="0064709F">
            <w:pPr>
              <w:autoSpaceDE w:val="0"/>
              <w:autoSpaceDN w:val="0"/>
              <w:adjustRightInd w:val="0"/>
              <w:rPr>
                <w:rFonts w:ascii="Arial" w:hAnsi="Arial" w:cs="Arial"/>
                <w:sz w:val="20"/>
              </w:rPr>
            </w:pPr>
            <w:r w:rsidRPr="00BB2B57">
              <w:rPr>
                <w:rFonts w:ascii="Arial" w:hAnsi="Arial" w:cs="Arial"/>
                <w:sz w:val="20"/>
              </w:rPr>
              <w:t>#3.  If an amount is reported for #2 above, the number of months the reserve could sustain NPC administration: ___</w:t>
            </w:r>
          </w:p>
        </w:tc>
      </w:tr>
      <w:tr w:rsidR="00EB39FB" w:rsidRPr="00BB2B57" w:rsidTr="00EE5E6D">
        <w:tc>
          <w:tcPr>
            <w:tcW w:w="629" w:type="dxa"/>
          </w:tcPr>
          <w:p w:rsidR="00EB39FB" w:rsidRPr="00BB2B57" w:rsidRDefault="00EB39FB" w:rsidP="0049211F">
            <w:pPr>
              <w:jc w:val="center"/>
              <w:rPr>
                <w:rFonts w:ascii="Arial" w:hAnsi="Arial" w:cs="Arial"/>
                <w:sz w:val="20"/>
              </w:rPr>
            </w:pPr>
            <w:r w:rsidRPr="00BB2B57">
              <w:rPr>
                <w:rFonts w:ascii="Arial" w:hAnsi="Arial" w:cs="Arial"/>
                <w:sz w:val="20"/>
              </w:rPr>
              <w:lastRenderedPageBreak/>
              <w:t>14</w:t>
            </w:r>
          </w:p>
        </w:tc>
        <w:tc>
          <w:tcPr>
            <w:tcW w:w="1639" w:type="dxa"/>
          </w:tcPr>
          <w:p w:rsidR="00EB39FB" w:rsidRPr="00BB2B57" w:rsidRDefault="00EB39FB" w:rsidP="00962C31">
            <w:pPr>
              <w:rPr>
                <w:rFonts w:ascii="Arial" w:hAnsi="Arial" w:cs="Arial"/>
                <w:sz w:val="20"/>
              </w:rPr>
            </w:pPr>
            <w:r w:rsidRPr="00BB2B57">
              <w:rPr>
                <w:rFonts w:ascii="Arial" w:hAnsi="Arial" w:cs="Arial"/>
                <w:sz w:val="20"/>
              </w:rPr>
              <w:t>Annual Report template, Tab 12, questions 4 to 6</w:t>
            </w:r>
          </w:p>
        </w:tc>
        <w:tc>
          <w:tcPr>
            <w:tcW w:w="2520" w:type="dxa"/>
          </w:tcPr>
          <w:p w:rsidR="00EB39FB" w:rsidRPr="00BB2B57" w:rsidRDefault="00EB39FB" w:rsidP="00962C31">
            <w:pPr>
              <w:rPr>
                <w:rFonts w:ascii="Arial" w:hAnsi="Arial" w:cs="Arial"/>
                <w:sz w:val="20"/>
              </w:rPr>
            </w:pPr>
            <w:r w:rsidRPr="00BB2B57">
              <w:rPr>
                <w:rFonts w:ascii="Arial" w:hAnsi="Arial" w:cs="Arial"/>
                <w:sz w:val="20"/>
              </w:rPr>
              <w:t xml:space="preserve">Asks about number of full-time and part-time employees.  </w:t>
            </w:r>
          </w:p>
        </w:tc>
        <w:tc>
          <w:tcPr>
            <w:tcW w:w="2700" w:type="dxa"/>
          </w:tcPr>
          <w:p w:rsidR="00EB39FB" w:rsidRPr="00BB2B57" w:rsidRDefault="00EB39FB">
            <w:pPr>
              <w:rPr>
                <w:rFonts w:ascii="Arial" w:hAnsi="Arial" w:cs="Arial"/>
                <w:sz w:val="20"/>
              </w:rPr>
            </w:pPr>
            <w:r w:rsidRPr="00BB2B57">
              <w:rPr>
                <w:rFonts w:ascii="Arial" w:hAnsi="Arial" w:cs="Arial"/>
                <w:sz w:val="20"/>
              </w:rPr>
              <w:t xml:space="preserve"># of NPC employees is available from IRS form 990 Pat V 2a.  </w:t>
            </w:r>
          </w:p>
        </w:tc>
        <w:tc>
          <w:tcPr>
            <w:tcW w:w="3690" w:type="dxa"/>
          </w:tcPr>
          <w:p w:rsidR="00EB39FB" w:rsidRPr="00D033F0" w:rsidRDefault="00EB39FB">
            <w:pPr>
              <w:rPr>
                <w:rFonts w:ascii="Arial" w:hAnsi="Arial" w:cs="Arial"/>
                <w:sz w:val="20"/>
              </w:rPr>
            </w:pPr>
            <w:r>
              <w:rPr>
                <w:rFonts w:ascii="Arial" w:hAnsi="Arial" w:cs="Arial"/>
                <w:sz w:val="20"/>
              </w:rPr>
              <w:t>Number of unique employees at this fiscal year end?</w:t>
            </w:r>
          </w:p>
        </w:tc>
      </w:tr>
      <w:tr w:rsidR="00EB39FB" w:rsidRPr="00BB2B57" w:rsidTr="00EE5E6D">
        <w:tc>
          <w:tcPr>
            <w:tcW w:w="629" w:type="dxa"/>
          </w:tcPr>
          <w:p w:rsidR="00EB39FB" w:rsidRPr="00BB2B57" w:rsidRDefault="00EB39FB" w:rsidP="0049211F">
            <w:pPr>
              <w:jc w:val="center"/>
              <w:rPr>
                <w:rFonts w:ascii="Arial" w:hAnsi="Arial" w:cs="Arial"/>
                <w:sz w:val="20"/>
              </w:rPr>
            </w:pPr>
            <w:r w:rsidRPr="00BB2B57">
              <w:rPr>
                <w:rFonts w:ascii="Arial" w:hAnsi="Arial" w:cs="Arial"/>
                <w:sz w:val="20"/>
              </w:rPr>
              <w:t>15</w:t>
            </w:r>
          </w:p>
        </w:tc>
        <w:tc>
          <w:tcPr>
            <w:tcW w:w="1639" w:type="dxa"/>
          </w:tcPr>
          <w:p w:rsidR="00EB39FB" w:rsidRPr="00BB2B57" w:rsidRDefault="00EB39FB" w:rsidP="00962C31">
            <w:pPr>
              <w:rPr>
                <w:rFonts w:ascii="Arial" w:hAnsi="Arial" w:cs="Arial"/>
                <w:sz w:val="20"/>
              </w:rPr>
            </w:pPr>
            <w:r w:rsidRPr="00BB2B57">
              <w:rPr>
                <w:rFonts w:ascii="Arial" w:hAnsi="Arial" w:cs="Arial"/>
                <w:sz w:val="20"/>
              </w:rPr>
              <w:t>Annual Report template, Tab 12, questions 7 to 6</w:t>
            </w:r>
          </w:p>
        </w:tc>
        <w:tc>
          <w:tcPr>
            <w:tcW w:w="2520" w:type="dxa"/>
          </w:tcPr>
          <w:p w:rsidR="00EB39FB" w:rsidRPr="00BB2B57" w:rsidRDefault="00EB39FB">
            <w:pPr>
              <w:rPr>
                <w:rFonts w:ascii="Arial" w:hAnsi="Arial" w:cs="Arial"/>
                <w:sz w:val="20"/>
              </w:rPr>
            </w:pPr>
            <w:r w:rsidRPr="00BB2B57">
              <w:rPr>
                <w:rFonts w:ascii="Arial" w:hAnsi="Arial" w:cs="Arial"/>
                <w:sz w:val="20"/>
              </w:rPr>
              <w:t>Asks about number of PIs and protocols</w:t>
            </w:r>
          </w:p>
        </w:tc>
        <w:tc>
          <w:tcPr>
            <w:tcW w:w="2700" w:type="dxa"/>
          </w:tcPr>
          <w:p w:rsidR="00EB39FB" w:rsidRPr="00BB2B57" w:rsidRDefault="00EB39FB">
            <w:pPr>
              <w:rPr>
                <w:rFonts w:ascii="Arial" w:hAnsi="Arial" w:cs="Arial"/>
                <w:sz w:val="20"/>
              </w:rPr>
            </w:pPr>
            <w:r w:rsidRPr="00BB2B57">
              <w:rPr>
                <w:rFonts w:ascii="Arial" w:hAnsi="Arial" w:cs="Arial"/>
                <w:sz w:val="20"/>
              </w:rPr>
              <w:t xml:space="preserve">NAVREF thinks this is available from ORD. </w:t>
            </w:r>
          </w:p>
        </w:tc>
        <w:tc>
          <w:tcPr>
            <w:tcW w:w="3690" w:type="dxa"/>
          </w:tcPr>
          <w:p w:rsidR="00EB39FB" w:rsidRPr="00BB2B57" w:rsidRDefault="00EB39FB" w:rsidP="0049211F">
            <w:pPr>
              <w:rPr>
                <w:rFonts w:ascii="Arial" w:hAnsi="Arial" w:cs="Arial"/>
                <w:sz w:val="20"/>
              </w:rPr>
            </w:pPr>
            <w:r>
              <w:rPr>
                <w:rFonts w:ascii="Arial" w:hAnsi="Arial" w:cs="Arial"/>
                <w:sz w:val="20"/>
              </w:rPr>
              <w:t>No change made.</w:t>
            </w:r>
          </w:p>
        </w:tc>
      </w:tr>
    </w:tbl>
    <w:p w:rsidR="00BB2B57" w:rsidRPr="00BB2B57" w:rsidRDefault="00BB2B57">
      <w:pPr>
        <w:rPr>
          <w:rFonts w:ascii="Arial" w:hAnsi="Arial" w:cs="Arial"/>
          <w:sz w:val="20"/>
        </w:rPr>
      </w:pPr>
    </w:p>
    <w:sectPr w:rsidR="00BB2B57" w:rsidRPr="00BB2B57" w:rsidSect="00A213DC">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BBA" w:rsidRDefault="00730BBA" w:rsidP="007A4FC9">
      <w:pPr>
        <w:spacing w:after="0" w:line="240" w:lineRule="auto"/>
      </w:pPr>
      <w:r>
        <w:separator/>
      </w:r>
    </w:p>
  </w:endnote>
  <w:endnote w:type="continuationSeparator" w:id="0">
    <w:p w:rsidR="00730BBA" w:rsidRDefault="00730BBA" w:rsidP="007A4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57" w:rsidRDefault="00BB2B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57" w:rsidRDefault="00BB2B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57" w:rsidRDefault="00BB2B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BBA" w:rsidRDefault="00730BBA" w:rsidP="007A4FC9">
      <w:pPr>
        <w:spacing w:after="0" w:line="240" w:lineRule="auto"/>
      </w:pPr>
      <w:r>
        <w:separator/>
      </w:r>
    </w:p>
  </w:footnote>
  <w:footnote w:type="continuationSeparator" w:id="0">
    <w:p w:rsidR="00730BBA" w:rsidRDefault="00730BBA" w:rsidP="007A4F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57" w:rsidRDefault="00BB2B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57" w:rsidRPr="007A4FC9" w:rsidRDefault="00BB2B57">
    <w:pPr>
      <w:pStyle w:val="Header"/>
      <w:rPr>
        <w:b/>
      </w:rPr>
    </w:pPr>
    <w:r w:rsidRPr="007A4FC9">
      <w:rPr>
        <w:b/>
      </w:rPr>
      <w:t>Changes needed in the Internal Controls Questionnaire and Annual Report Template in order to finalize current OMB approval</w:t>
    </w:r>
  </w:p>
  <w:p w:rsidR="00BB2B57" w:rsidRDefault="00BB2B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57" w:rsidRDefault="00BB2B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C6CCC"/>
    <w:multiLevelType w:val="hybridMultilevel"/>
    <w:tmpl w:val="B18A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213DC"/>
    <w:rsid w:val="00050E3B"/>
    <w:rsid w:val="00076A6C"/>
    <w:rsid w:val="000A06F2"/>
    <w:rsid w:val="00175815"/>
    <w:rsid w:val="00186545"/>
    <w:rsid w:val="0026323D"/>
    <w:rsid w:val="002B299F"/>
    <w:rsid w:val="002D6227"/>
    <w:rsid w:val="00301492"/>
    <w:rsid w:val="00405F72"/>
    <w:rsid w:val="00431FB0"/>
    <w:rsid w:val="0049211F"/>
    <w:rsid w:val="004C4146"/>
    <w:rsid w:val="005120CB"/>
    <w:rsid w:val="0064709F"/>
    <w:rsid w:val="00654D7F"/>
    <w:rsid w:val="006D05C7"/>
    <w:rsid w:val="00730BBA"/>
    <w:rsid w:val="00777C8E"/>
    <w:rsid w:val="00780B12"/>
    <w:rsid w:val="007A3EDF"/>
    <w:rsid w:val="007A4FC9"/>
    <w:rsid w:val="007E2B1A"/>
    <w:rsid w:val="00824546"/>
    <w:rsid w:val="00922826"/>
    <w:rsid w:val="00962C31"/>
    <w:rsid w:val="00A17F32"/>
    <w:rsid w:val="00A213DC"/>
    <w:rsid w:val="00A25BF5"/>
    <w:rsid w:val="00A648A0"/>
    <w:rsid w:val="00A9236F"/>
    <w:rsid w:val="00AC09FF"/>
    <w:rsid w:val="00AC4C40"/>
    <w:rsid w:val="00AD5F2C"/>
    <w:rsid w:val="00B53F98"/>
    <w:rsid w:val="00B91364"/>
    <w:rsid w:val="00BB2B57"/>
    <w:rsid w:val="00D033F0"/>
    <w:rsid w:val="00EB39FB"/>
    <w:rsid w:val="00EE5E6D"/>
    <w:rsid w:val="00F24F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13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0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B12"/>
    <w:rPr>
      <w:rFonts w:ascii="Tahoma" w:hAnsi="Tahoma" w:cs="Tahoma"/>
      <w:sz w:val="16"/>
      <w:szCs w:val="16"/>
    </w:rPr>
  </w:style>
  <w:style w:type="paragraph" w:styleId="ListParagraph">
    <w:name w:val="List Paragraph"/>
    <w:basedOn w:val="Normal"/>
    <w:uiPriority w:val="34"/>
    <w:qFormat/>
    <w:rsid w:val="00AC09FF"/>
    <w:pPr>
      <w:ind w:left="720"/>
      <w:contextualSpacing/>
    </w:pPr>
  </w:style>
  <w:style w:type="paragraph" w:styleId="Header">
    <w:name w:val="header"/>
    <w:basedOn w:val="Normal"/>
    <w:link w:val="HeaderChar"/>
    <w:uiPriority w:val="99"/>
    <w:unhideWhenUsed/>
    <w:rsid w:val="007A4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FC9"/>
  </w:style>
  <w:style w:type="paragraph" w:styleId="Footer">
    <w:name w:val="footer"/>
    <w:basedOn w:val="Normal"/>
    <w:link w:val="FooterChar"/>
    <w:uiPriority w:val="99"/>
    <w:semiHidden/>
    <w:unhideWhenUsed/>
    <w:rsid w:val="007A4F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4FC9"/>
  </w:style>
</w:styles>
</file>

<file path=word/webSettings.xml><?xml version="1.0" encoding="utf-8"?>
<w:webSettings xmlns:r="http://schemas.openxmlformats.org/officeDocument/2006/relationships" xmlns:w="http://schemas.openxmlformats.org/wordprocessingml/2006/main">
  <w:divs>
    <w:div w:id="1193810805">
      <w:bodyDiv w:val="1"/>
      <w:marLeft w:val="0"/>
      <w:marRight w:val="0"/>
      <w:marTop w:val="0"/>
      <w:marBottom w:val="0"/>
      <w:divBdr>
        <w:top w:val="none" w:sz="0" w:space="0" w:color="auto"/>
        <w:left w:val="none" w:sz="0" w:space="0" w:color="auto"/>
        <w:bottom w:val="none" w:sz="0" w:space="0" w:color="auto"/>
        <w:right w:val="none" w:sz="0" w:space="0" w:color="auto"/>
      </w:divBdr>
    </w:div>
    <w:div w:id="19195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vhacobirdsh</dc:creator>
  <cp:keywords/>
  <dc:description/>
  <cp:lastModifiedBy>vhacoharvec</cp:lastModifiedBy>
  <cp:revision>4</cp:revision>
  <cp:lastPrinted>2012-06-19T15:35:00Z</cp:lastPrinted>
  <dcterms:created xsi:type="dcterms:W3CDTF">2012-06-21T18:14:00Z</dcterms:created>
  <dcterms:modified xsi:type="dcterms:W3CDTF">2012-07-10T20:07:00Z</dcterms:modified>
</cp:coreProperties>
</file>