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565E48" w:rsidRDefault="00565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565E48" w:rsidRPr="00565E48" w:rsidRDefault="00565E48" w:rsidP="00565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szCs w:val="24"/>
        </w:rPr>
      </w:pPr>
      <w:r w:rsidRPr="00565E48">
        <w:rPr>
          <w:rFonts w:ascii="Helvetica" w:hAnsi="Helvetica"/>
          <w:b/>
          <w:sz w:val="24"/>
          <w:szCs w:val="24"/>
        </w:rPr>
        <w:t xml:space="preserve">Emergency Homeownership Loan Program –Required Data Elements Collection  </w:t>
      </w:r>
    </w:p>
    <w:p w:rsidR="00565E48" w:rsidRDefault="00565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Pr>
          <w:rFonts w:ascii="Helvetica" w:hAnsi="Helvetica"/>
          <w:b/>
          <w:sz w:val="18"/>
        </w:rPr>
        <w:t xml:space="preserve">A. </w:t>
      </w:r>
      <w:r>
        <w:rPr>
          <w:rFonts w:ascii="Helvetica" w:hAnsi="Helvetica"/>
          <w:b/>
          <w:sz w:val="18"/>
        </w:rPr>
        <w:tab/>
        <w:t>Justification</w:t>
      </w:r>
    </w:p>
    <w:p w:rsidR="006A44E9" w:rsidRDefault="006A44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6B50" w:rsidRPr="008B5A01" w:rsidRDefault="00522BC7" w:rsidP="00476B50">
      <w:pPr>
        <w:tabs>
          <w:tab w:val="left" w:pos="-720"/>
        </w:tabs>
        <w:suppressAutoHyphens/>
        <w:ind w:left="360"/>
        <w:rPr>
          <w:sz w:val="24"/>
          <w:szCs w:val="24"/>
        </w:rPr>
      </w:pPr>
      <w:r w:rsidRPr="008B5A01">
        <w:rPr>
          <w:color w:val="000000" w:themeColor="text1"/>
          <w:sz w:val="24"/>
          <w:szCs w:val="24"/>
        </w:rPr>
        <w:t>The Dodd-Frank Wall Street Reform and Consumer Protection Act</w:t>
      </w:r>
      <w:r w:rsidR="007A277A" w:rsidRPr="008B5A01">
        <w:rPr>
          <w:color w:val="000000" w:themeColor="text1"/>
          <w:sz w:val="24"/>
          <w:szCs w:val="24"/>
        </w:rPr>
        <w:t>, 2010</w:t>
      </w:r>
      <w:r w:rsidRPr="008B5A01">
        <w:rPr>
          <w:color w:val="000000" w:themeColor="text1"/>
          <w:sz w:val="24"/>
          <w:szCs w:val="24"/>
        </w:rPr>
        <w:t xml:space="preserve"> </w:t>
      </w:r>
      <w:r w:rsidR="007A277A" w:rsidRPr="008B5A01">
        <w:rPr>
          <w:color w:val="000000" w:themeColor="text1"/>
          <w:sz w:val="24"/>
          <w:szCs w:val="24"/>
        </w:rPr>
        <w:t>(Public Law 111-</w:t>
      </w:r>
      <w:r w:rsidR="00415468">
        <w:rPr>
          <w:color w:val="000000" w:themeColor="text1"/>
          <w:sz w:val="24"/>
          <w:szCs w:val="24"/>
        </w:rPr>
        <w:t>203</w:t>
      </w:r>
      <w:r w:rsidR="007A277A" w:rsidRPr="008B5A01">
        <w:rPr>
          <w:color w:val="000000" w:themeColor="text1"/>
          <w:sz w:val="24"/>
          <w:szCs w:val="24"/>
        </w:rPr>
        <w:t xml:space="preserve">, approved July 21, 2010, Sec 1496) appropriated </w:t>
      </w:r>
      <w:r w:rsidRPr="008B5A01">
        <w:rPr>
          <w:color w:val="000000" w:themeColor="text1"/>
          <w:sz w:val="24"/>
          <w:szCs w:val="24"/>
        </w:rPr>
        <w:t>$1billion to HUD to</w:t>
      </w:r>
      <w:r w:rsidR="00476B50" w:rsidRPr="008B5A01">
        <w:rPr>
          <w:sz w:val="24"/>
          <w:szCs w:val="24"/>
        </w:rPr>
        <w:t xml:space="preserve"> establish an Emergency Homeowners</w:t>
      </w:r>
      <w:r w:rsidR="006A01A3">
        <w:rPr>
          <w:sz w:val="24"/>
          <w:szCs w:val="24"/>
        </w:rPr>
        <w:t>’</w:t>
      </w:r>
      <w:r w:rsidR="00476B50" w:rsidRPr="008B5A01">
        <w:rPr>
          <w:sz w:val="24"/>
          <w:szCs w:val="24"/>
        </w:rPr>
        <w:t xml:space="preserve"> Relief Fund</w:t>
      </w:r>
      <w:r w:rsidR="00642CDD" w:rsidRPr="008B5A01">
        <w:rPr>
          <w:sz w:val="24"/>
          <w:szCs w:val="24"/>
        </w:rPr>
        <w:t>,</w:t>
      </w:r>
      <w:r w:rsidR="00476B50" w:rsidRPr="008B5A01">
        <w:rPr>
          <w:sz w:val="24"/>
          <w:szCs w:val="24"/>
        </w:rPr>
        <w:t xml:space="preserve"> pursuant to section 107 of the Emergency Housing Act of 1975</w:t>
      </w:r>
      <w:r w:rsidR="00642CDD" w:rsidRPr="008B5A01">
        <w:rPr>
          <w:sz w:val="24"/>
          <w:szCs w:val="24"/>
        </w:rPr>
        <w:t>,</w:t>
      </w:r>
      <w:r w:rsidR="000D4633" w:rsidRPr="008B5A01">
        <w:rPr>
          <w:sz w:val="24"/>
          <w:szCs w:val="24"/>
        </w:rPr>
        <w:t xml:space="preserve"> that will provide emergency mortgage  assistance</w:t>
      </w:r>
      <w:r w:rsidR="00D31B18" w:rsidRPr="008B5A01">
        <w:rPr>
          <w:sz w:val="24"/>
          <w:szCs w:val="24"/>
        </w:rPr>
        <w:t xml:space="preserve"> to homeowners</w:t>
      </w:r>
      <w:r w:rsidR="00592F58" w:rsidRPr="008B5A01">
        <w:rPr>
          <w:sz w:val="24"/>
          <w:szCs w:val="24"/>
        </w:rPr>
        <w:t xml:space="preserve"> that are at risk of foreclosure due to </w:t>
      </w:r>
      <w:r w:rsidR="00397F75" w:rsidRPr="008B5A01">
        <w:rPr>
          <w:sz w:val="24"/>
          <w:szCs w:val="24"/>
        </w:rPr>
        <w:t xml:space="preserve">involuntary </w:t>
      </w:r>
      <w:r w:rsidR="00592F58" w:rsidRPr="008B5A01">
        <w:rPr>
          <w:sz w:val="24"/>
          <w:szCs w:val="24"/>
        </w:rPr>
        <w:t xml:space="preserve">unemployment or </w:t>
      </w:r>
      <w:r w:rsidR="00642CDD" w:rsidRPr="008B5A01">
        <w:rPr>
          <w:sz w:val="24"/>
          <w:szCs w:val="24"/>
        </w:rPr>
        <w:t xml:space="preserve">underemployment due to </w:t>
      </w:r>
      <w:r w:rsidR="00592F58" w:rsidRPr="008B5A01">
        <w:rPr>
          <w:sz w:val="24"/>
          <w:szCs w:val="24"/>
        </w:rPr>
        <w:t>a</w:t>
      </w:r>
      <w:r w:rsidR="00397F75" w:rsidRPr="008B5A01">
        <w:rPr>
          <w:sz w:val="24"/>
          <w:szCs w:val="24"/>
        </w:rPr>
        <w:t>n</w:t>
      </w:r>
      <w:r w:rsidR="00592F58" w:rsidRPr="008B5A01">
        <w:rPr>
          <w:sz w:val="24"/>
          <w:szCs w:val="24"/>
        </w:rPr>
        <w:t xml:space="preserve"> adverse economic or medical condition</w:t>
      </w:r>
      <w:r w:rsidR="00476B50" w:rsidRPr="008B5A01">
        <w:rPr>
          <w:sz w:val="24"/>
          <w:szCs w:val="24"/>
        </w:rPr>
        <w:t xml:space="preserve">. Accordingly, HUD will </w:t>
      </w:r>
      <w:r w:rsidRPr="008B5A01">
        <w:rPr>
          <w:color w:val="000000" w:themeColor="text1"/>
          <w:sz w:val="24"/>
          <w:szCs w:val="24"/>
        </w:rPr>
        <w:t xml:space="preserve">implement the Emergency Homeowners Loan Program (EHLP) </w:t>
      </w:r>
      <w:r w:rsidR="00592F58" w:rsidRPr="008B5A01">
        <w:rPr>
          <w:color w:val="000000" w:themeColor="text1"/>
          <w:sz w:val="24"/>
          <w:szCs w:val="24"/>
        </w:rPr>
        <w:t xml:space="preserve">that is designed to </w:t>
      </w:r>
      <w:r w:rsidRPr="008B5A01">
        <w:rPr>
          <w:color w:val="000000" w:themeColor="text1"/>
          <w:sz w:val="24"/>
          <w:szCs w:val="24"/>
        </w:rPr>
        <w:t xml:space="preserve">offer a declining balance, deferred payment “bridge loan” (non-recourse, subordinate loan with zero interest) for up to $50,000 to assist eligible homeowners with payments of arrearages, including delinquent taxes and insurance plus up to 24 months of monthly payments on their mortgage principal, interest, mortgage insurance premiums, taxes, and hazard insurance. </w:t>
      </w:r>
      <w:r w:rsidR="00476B50" w:rsidRPr="008B5A01">
        <w:rPr>
          <w:sz w:val="24"/>
          <w:szCs w:val="24"/>
        </w:rPr>
        <w:t xml:space="preserve">The Emergency Homeowners Loan Program is designed by HUD to meet the statutory directive and provides funding to support mortgage relief assistance. </w:t>
      </w:r>
    </w:p>
    <w:p w:rsidR="000D49A8" w:rsidRPr="008B5A01" w:rsidRDefault="000D49A8" w:rsidP="00476B50">
      <w:pPr>
        <w:tabs>
          <w:tab w:val="left" w:pos="-720"/>
        </w:tabs>
        <w:suppressAutoHyphens/>
        <w:ind w:left="360"/>
        <w:rPr>
          <w:sz w:val="24"/>
          <w:szCs w:val="24"/>
        </w:rPr>
      </w:pPr>
    </w:p>
    <w:p w:rsidR="000D49A8" w:rsidRPr="008B5A01" w:rsidRDefault="000D49A8" w:rsidP="00476B50">
      <w:pPr>
        <w:tabs>
          <w:tab w:val="left" w:pos="-720"/>
        </w:tabs>
        <w:suppressAutoHyphens/>
        <w:ind w:left="360"/>
        <w:rPr>
          <w:sz w:val="24"/>
          <w:szCs w:val="24"/>
        </w:rPr>
      </w:pPr>
      <w:r w:rsidRPr="008B5A01">
        <w:rPr>
          <w:sz w:val="24"/>
          <w:szCs w:val="24"/>
        </w:rPr>
        <w:t xml:space="preserve">HUD will use two approaches to implement EHLP: (1) provide allocations to States that currently have substantially similar programs </w:t>
      </w:r>
      <w:r w:rsidR="00EE0C1C" w:rsidRPr="008B5A01">
        <w:rPr>
          <w:sz w:val="24"/>
          <w:szCs w:val="24"/>
        </w:rPr>
        <w:t xml:space="preserve">to administer their mortgage relief funds directly; and (2) </w:t>
      </w:r>
      <w:r w:rsidR="00F41BA9" w:rsidRPr="008B5A01">
        <w:rPr>
          <w:sz w:val="24"/>
          <w:szCs w:val="24"/>
        </w:rPr>
        <w:t>delegate key  administrative functions to third party entities that will assist HUD with program implementation. The third party entities will be primarily responsible for intake</w:t>
      </w:r>
      <w:r w:rsidR="003574B5">
        <w:rPr>
          <w:sz w:val="24"/>
          <w:szCs w:val="24"/>
        </w:rPr>
        <w:t xml:space="preserve"> processing</w:t>
      </w:r>
      <w:r w:rsidR="00F41BA9" w:rsidRPr="008B5A01">
        <w:rPr>
          <w:sz w:val="24"/>
          <w:szCs w:val="24"/>
        </w:rPr>
        <w:t xml:space="preserve">, eligibility screening, </w:t>
      </w:r>
      <w:r w:rsidR="006A01A3">
        <w:rPr>
          <w:sz w:val="24"/>
          <w:szCs w:val="24"/>
        </w:rPr>
        <w:t xml:space="preserve">counseling, </w:t>
      </w:r>
      <w:r w:rsidR="00F41BA9" w:rsidRPr="008B5A01">
        <w:rPr>
          <w:sz w:val="24"/>
          <w:szCs w:val="24"/>
        </w:rPr>
        <w:t>outreach, funds control, payment distribution, and note processing.</w:t>
      </w:r>
      <w:r w:rsidR="00EE0C1C" w:rsidRPr="008B5A01">
        <w:rPr>
          <w:sz w:val="24"/>
          <w:szCs w:val="24"/>
        </w:rPr>
        <w:t xml:space="preserve">  </w:t>
      </w:r>
      <w:r w:rsidRPr="008B5A01">
        <w:rPr>
          <w:sz w:val="24"/>
          <w:szCs w:val="24"/>
        </w:rPr>
        <w:t xml:space="preserve"> </w:t>
      </w:r>
    </w:p>
    <w:p w:rsidR="009F3546" w:rsidRPr="008B5A01" w:rsidRDefault="009F3546" w:rsidP="009F3546">
      <w:pPr>
        <w:tabs>
          <w:tab w:val="left" w:pos="-720"/>
        </w:tabs>
        <w:suppressAutoHyphens/>
        <w:rPr>
          <w:sz w:val="24"/>
          <w:szCs w:val="24"/>
        </w:rPr>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p w:rsidR="00CB7AEA" w:rsidRDefault="00CB7AEA">
      <w:pPr>
        <w:keepLines/>
        <w:tabs>
          <w:tab w:val="left" w:pos="360"/>
        </w:tabs>
        <w:spacing w:after="80"/>
        <w:ind w:left="360" w:hanging="360"/>
        <w:rPr>
          <w:b/>
          <w:sz w:val="18"/>
        </w:rPr>
      </w:pPr>
    </w:p>
    <w:p w:rsidR="00F81441" w:rsidRDefault="00F81441" w:rsidP="006A44E9">
      <w:pPr>
        <w:tabs>
          <w:tab w:val="left" w:pos="240"/>
        </w:tabs>
        <w:spacing w:after="60"/>
        <w:ind w:left="360" w:right="-120"/>
        <w:rPr>
          <w:b/>
          <w:sz w:val="22"/>
          <w:szCs w:val="22"/>
          <w:u w:val="single"/>
        </w:rPr>
      </w:pPr>
      <w:r>
        <w:rPr>
          <w:b/>
          <w:sz w:val="22"/>
          <w:szCs w:val="22"/>
          <w:u w:val="single"/>
        </w:rPr>
        <w:t xml:space="preserve">Collection of </w:t>
      </w:r>
      <w:r w:rsidR="001F07F8">
        <w:rPr>
          <w:b/>
          <w:sz w:val="22"/>
          <w:szCs w:val="22"/>
          <w:u w:val="single"/>
        </w:rPr>
        <w:t xml:space="preserve">EHLP </w:t>
      </w:r>
      <w:r>
        <w:rPr>
          <w:b/>
          <w:sz w:val="22"/>
          <w:szCs w:val="22"/>
          <w:u w:val="single"/>
        </w:rPr>
        <w:t>application information</w:t>
      </w:r>
      <w:r w:rsidR="00A826B4">
        <w:rPr>
          <w:b/>
          <w:sz w:val="22"/>
          <w:szCs w:val="22"/>
          <w:u w:val="single"/>
        </w:rPr>
        <w:t xml:space="preserve"> and mortgage loan data</w:t>
      </w:r>
    </w:p>
    <w:p w:rsidR="00F81441" w:rsidRDefault="00F81441" w:rsidP="006A44E9">
      <w:pPr>
        <w:tabs>
          <w:tab w:val="left" w:pos="240"/>
        </w:tabs>
        <w:spacing w:after="60"/>
        <w:ind w:left="360" w:right="-120"/>
        <w:rPr>
          <w:b/>
          <w:sz w:val="22"/>
          <w:szCs w:val="22"/>
          <w:u w:val="single"/>
        </w:rPr>
      </w:pPr>
    </w:p>
    <w:p w:rsidR="00F81441" w:rsidRDefault="00F81441" w:rsidP="006A44E9">
      <w:pPr>
        <w:tabs>
          <w:tab w:val="left" w:pos="240"/>
        </w:tabs>
        <w:spacing w:after="60"/>
        <w:ind w:left="360" w:right="-120"/>
        <w:rPr>
          <w:b/>
          <w:sz w:val="22"/>
          <w:szCs w:val="22"/>
        </w:rPr>
      </w:pPr>
      <w:r w:rsidRPr="001F07F8">
        <w:rPr>
          <w:b/>
          <w:sz w:val="22"/>
          <w:szCs w:val="22"/>
        </w:rPr>
        <w:t xml:space="preserve">Method </w:t>
      </w:r>
      <w:r w:rsidR="00E1020B">
        <w:rPr>
          <w:b/>
          <w:sz w:val="22"/>
          <w:szCs w:val="22"/>
        </w:rPr>
        <w:t xml:space="preserve">(how) </w:t>
      </w:r>
      <w:r w:rsidRPr="001F07F8">
        <w:rPr>
          <w:b/>
          <w:sz w:val="22"/>
          <w:szCs w:val="22"/>
        </w:rPr>
        <w:t xml:space="preserve">and source of </w:t>
      </w:r>
      <w:r w:rsidR="001F07F8" w:rsidRPr="001F07F8">
        <w:rPr>
          <w:b/>
          <w:sz w:val="22"/>
          <w:szCs w:val="22"/>
        </w:rPr>
        <w:t xml:space="preserve">information </w:t>
      </w:r>
      <w:r w:rsidR="00E1020B">
        <w:rPr>
          <w:b/>
          <w:sz w:val="22"/>
          <w:szCs w:val="22"/>
        </w:rPr>
        <w:t xml:space="preserve">(by whom) </w:t>
      </w:r>
      <w:r w:rsidR="001F07F8" w:rsidRPr="001F07F8">
        <w:rPr>
          <w:b/>
          <w:sz w:val="22"/>
          <w:szCs w:val="22"/>
        </w:rPr>
        <w:t>collect</w:t>
      </w:r>
      <w:r w:rsidR="00EB6F59">
        <w:rPr>
          <w:b/>
          <w:sz w:val="22"/>
          <w:szCs w:val="22"/>
        </w:rPr>
        <w:t>ion</w:t>
      </w:r>
      <w:r w:rsidR="001F07F8" w:rsidRPr="001F07F8">
        <w:rPr>
          <w:b/>
          <w:sz w:val="22"/>
          <w:szCs w:val="22"/>
        </w:rPr>
        <w:t>:</w:t>
      </w:r>
    </w:p>
    <w:p w:rsidR="001F07F8" w:rsidRDefault="00CB7AEA" w:rsidP="001F07F8">
      <w:pPr>
        <w:tabs>
          <w:tab w:val="left" w:pos="240"/>
        </w:tabs>
        <w:spacing w:after="60"/>
        <w:ind w:left="360" w:right="-120"/>
        <w:rPr>
          <w:sz w:val="22"/>
          <w:szCs w:val="22"/>
        </w:rPr>
      </w:pPr>
      <w:r w:rsidRPr="001F07F8">
        <w:rPr>
          <w:sz w:val="22"/>
          <w:szCs w:val="22"/>
          <w:u w:val="single"/>
        </w:rPr>
        <w:t>Emergency Homeowners</w:t>
      </w:r>
      <w:r w:rsidR="001F07F8">
        <w:rPr>
          <w:sz w:val="22"/>
          <w:szCs w:val="22"/>
          <w:u w:val="single"/>
        </w:rPr>
        <w:t>’</w:t>
      </w:r>
      <w:r w:rsidRPr="001F07F8">
        <w:rPr>
          <w:sz w:val="22"/>
          <w:szCs w:val="22"/>
          <w:u w:val="single"/>
        </w:rPr>
        <w:t xml:space="preserve"> Loan Program </w:t>
      </w:r>
      <w:r w:rsidR="00E1020B">
        <w:rPr>
          <w:sz w:val="22"/>
          <w:szCs w:val="22"/>
          <w:u w:val="single"/>
        </w:rPr>
        <w:t xml:space="preserve">(EHLP) </w:t>
      </w:r>
      <w:proofErr w:type="gramStart"/>
      <w:r w:rsidRPr="001F07F8">
        <w:rPr>
          <w:sz w:val="22"/>
          <w:szCs w:val="22"/>
          <w:u w:val="single"/>
        </w:rPr>
        <w:t>Applicants</w:t>
      </w:r>
      <w:r w:rsidRPr="00CB7AEA">
        <w:rPr>
          <w:b/>
          <w:sz w:val="22"/>
          <w:szCs w:val="22"/>
          <w:u w:val="single"/>
        </w:rPr>
        <w:t xml:space="preserve"> </w:t>
      </w:r>
      <w:r w:rsidRPr="00CB7AEA">
        <w:rPr>
          <w:b/>
          <w:sz w:val="22"/>
          <w:szCs w:val="22"/>
        </w:rPr>
        <w:t xml:space="preserve"> </w:t>
      </w:r>
      <w:r w:rsidRPr="00CB7AEA">
        <w:rPr>
          <w:sz w:val="22"/>
          <w:szCs w:val="22"/>
        </w:rPr>
        <w:t>will</w:t>
      </w:r>
      <w:proofErr w:type="gramEnd"/>
      <w:r w:rsidRPr="00CB7AEA">
        <w:rPr>
          <w:sz w:val="22"/>
          <w:szCs w:val="22"/>
        </w:rPr>
        <w:t xml:space="preserve"> submit </w:t>
      </w:r>
      <w:r w:rsidR="0035666C">
        <w:rPr>
          <w:sz w:val="22"/>
          <w:szCs w:val="22"/>
        </w:rPr>
        <w:t>required data</w:t>
      </w:r>
      <w:r w:rsidR="008B5A01">
        <w:rPr>
          <w:sz w:val="22"/>
          <w:szCs w:val="22"/>
        </w:rPr>
        <w:t xml:space="preserve"> </w:t>
      </w:r>
      <w:r w:rsidR="0035666C">
        <w:rPr>
          <w:sz w:val="22"/>
          <w:szCs w:val="22"/>
        </w:rPr>
        <w:t xml:space="preserve">elements </w:t>
      </w:r>
      <w:r w:rsidRPr="00CB7AEA">
        <w:rPr>
          <w:sz w:val="22"/>
          <w:szCs w:val="22"/>
        </w:rPr>
        <w:t xml:space="preserve">to </w:t>
      </w:r>
      <w:r w:rsidR="00AE3489">
        <w:rPr>
          <w:sz w:val="22"/>
          <w:szCs w:val="22"/>
        </w:rPr>
        <w:t xml:space="preserve">States with substantially similar programs or </w:t>
      </w:r>
      <w:proofErr w:type="spellStart"/>
      <w:r w:rsidRPr="001F07F8">
        <w:rPr>
          <w:b/>
          <w:sz w:val="22"/>
          <w:szCs w:val="22"/>
        </w:rPr>
        <w:t>NeighborWorks</w:t>
      </w:r>
      <w:proofErr w:type="spellEnd"/>
      <w:r w:rsidR="001F07F8">
        <w:rPr>
          <w:b/>
          <w:sz w:val="22"/>
          <w:szCs w:val="22"/>
        </w:rPr>
        <w:t xml:space="preserve"> of America, </w:t>
      </w:r>
      <w:r w:rsidR="001F07F8" w:rsidRPr="00E1020B">
        <w:rPr>
          <w:sz w:val="22"/>
          <w:szCs w:val="22"/>
        </w:rPr>
        <w:t>a third party</w:t>
      </w:r>
      <w:r w:rsidR="001F07F8">
        <w:rPr>
          <w:b/>
          <w:sz w:val="22"/>
          <w:szCs w:val="22"/>
        </w:rPr>
        <w:t xml:space="preserve"> </w:t>
      </w:r>
      <w:r w:rsidR="001F07F8" w:rsidRPr="001F07F8">
        <w:rPr>
          <w:sz w:val="22"/>
          <w:szCs w:val="22"/>
        </w:rPr>
        <w:t>organization</w:t>
      </w:r>
      <w:r w:rsidR="001F07F8">
        <w:rPr>
          <w:b/>
          <w:sz w:val="22"/>
          <w:szCs w:val="22"/>
        </w:rPr>
        <w:t xml:space="preserve"> </w:t>
      </w:r>
      <w:r w:rsidR="001F07F8" w:rsidRPr="001F07F8">
        <w:rPr>
          <w:sz w:val="22"/>
          <w:szCs w:val="22"/>
        </w:rPr>
        <w:t xml:space="preserve">designated </w:t>
      </w:r>
      <w:r w:rsidR="001F07F8">
        <w:rPr>
          <w:sz w:val="22"/>
          <w:szCs w:val="22"/>
        </w:rPr>
        <w:t xml:space="preserve">to perform specific </w:t>
      </w:r>
      <w:r w:rsidR="00571ECA">
        <w:rPr>
          <w:sz w:val="22"/>
          <w:szCs w:val="22"/>
        </w:rPr>
        <w:t xml:space="preserve">EHLP </w:t>
      </w:r>
      <w:r w:rsidR="001F07F8">
        <w:rPr>
          <w:sz w:val="22"/>
          <w:szCs w:val="22"/>
        </w:rPr>
        <w:t xml:space="preserve">administrative functions on </w:t>
      </w:r>
      <w:r w:rsidRPr="00CB7AEA">
        <w:rPr>
          <w:sz w:val="22"/>
          <w:szCs w:val="22"/>
        </w:rPr>
        <w:t>HUD</w:t>
      </w:r>
      <w:r w:rsidR="00F81441">
        <w:rPr>
          <w:sz w:val="22"/>
          <w:szCs w:val="22"/>
        </w:rPr>
        <w:t>’</w:t>
      </w:r>
      <w:r w:rsidRPr="00CB7AEA">
        <w:rPr>
          <w:sz w:val="22"/>
          <w:szCs w:val="22"/>
        </w:rPr>
        <w:t>s behalf</w:t>
      </w:r>
      <w:r w:rsidR="0045068A">
        <w:rPr>
          <w:sz w:val="22"/>
          <w:szCs w:val="22"/>
        </w:rPr>
        <w:t xml:space="preserve">.  </w:t>
      </w:r>
      <w:r w:rsidR="00AE3489">
        <w:rPr>
          <w:sz w:val="22"/>
          <w:szCs w:val="22"/>
        </w:rPr>
        <w:t xml:space="preserve">The States </w:t>
      </w:r>
      <w:proofErr w:type="gramStart"/>
      <w:r w:rsidR="00AE3489">
        <w:rPr>
          <w:sz w:val="22"/>
          <w:szCs w:val="22"/>
        </w:rPr>
        <w:t xml:space="preserve">and </w:t>
      </w:r>
      <w:r w:rsidR="00571ECA">
        <w:rPr>
          <w:sz w:val="22"/>
          <w:szCs w:val="22"/>
        </w:rPr>
        <w:t xml:space="preserve"> </w:t>
      </w:r>
      <w:proofErr w:type="spellStart"/>
      <w:r w:rsidR="0045068A">
        <w:rPr>
          <w:sz w:val="22"/>
          <w:szCs w:val="22"/>
        </w:rPr>
        <w:t>NeighborWorks</w:t>
      </w:r>
      <w:proofErr w:type="spellEnd"/>
      <w:proofErr w:type="gramEnd"/>
      <w:r w:rsidR="0045068A">
        <w:rPr>
          <w:sz w:val="22"/>
          <w:szCs w:val="22"/>
        </w:rPr>
        <w:t xml:space="preserve"> </w:t>
      </w:r>
      <w:r w:rsidR="00571ECA">
        <w:rPr>
          <w:sz w:val="22"/>
          <w:szCs w:val="22"/>
        </w:rPr>
        <w:t xml:space="preserve">will </w:t>
      </w:r>
      <w:r w:rsidR="0045068A">
        <w:rPr>
          <w:sz w:val="22"/>
          <w:szCs w:val="22"/>
        </w:rPr>
        <w:t xml:space="preserve">conduct intake sessions to collect </w:t>
      </w:r>
      <w:r w:rsidR="0035666C">
        <w:rPr>
          <w:sz w:val="22"/>
          <w:szCs w:val="22"/>
        </w:rPr>
        <w:t>required</w:t>
      </w:r>
      <w:r w:rsidR="00A826B4">
        <w:rPr>
          <w:sz w:val="22"/>
          <w:szCs w:val="22"/>
        </w:rPr>
        <w:t xml:space="preserve"> </w:t>
      </w:r>
      <w:r w:rsidR="0035666C">
        <w:rPr>
          <w:sz w:val="22"/>
          <w:szCs w:val="22"/>
        </w:rPr>
        <w:t xml:space="preserve">data elements </w:t>
      </w:r>
      <w:r w:rsidR="0045068A">
        <w:rPr>
          <w:sz w:val="22"/>
          <w:szCs w:val="22"/>
        </w:rPr>
        <w:t>from potential program participants</w:t>
      </w:r>
      <w:r w:rsidR="005A70F4">
        <w:rPr>
          <w:sz w:val="22"/>
          <w:szCs w:val="22"/>
        </w:rPr>
        <w:t xml:space="preserve"> and provide housing counseling</w:t>
      </w:r>
      <w:r w:rsidR="001F07F8">
        <w:rPr>
          <w:sz w:val="22"/>
          <w:szCs w:val="22"/>
        </w:rPr>
        <w:t xml:space="preserve"> service</w:t>
      </w:r>
      <w:r w:rsidR="00571ECA">
        <w:rPr>
          <w:sz w:val="22"/>
          <w:szCs w:val="22"/>
        </w:rPr>
        <w:t>s</w:t>
      </w:r>
      <w:r w:rsidR="0045068A">
        <w:rPr>
          <w:sz w:val="22"/>
          <w:szCs w:val="22"/>
        </w:rPr>
        <w:t>.</w:t>
      </w:r>
      <w:r w:rsidR="00F81441">
        <w:rPr>
          <w:sz w:val="22"/>
          <w:szCs w:val="22"/>
        </w:rPr>
        <w:t xml:space="preserve">  </w:t>
      </w:r>
      <w:r w:rsidR="00AE3489">
        <w:rPr>
          <w:sz w:val="22"/>
          <w:szCs w:val="22"/>
        </w:rPr>
        <w:t xml:space="preserve"> The required data and supporting documents will be uploaded into a centralized data system and transferred to HUD. </w:t>
      </w:r>
    </w:p>
    <w:p w:rsidR="00F81441" w:rsidRDefault="00F81441" w:rsidP="006A44E9">
      <w:pPr>
        <w:tabs>
          <w:tab w:val="left" w:pos="240"/>
        </w:tabs>
        <w:spacing w:after="60"/>
        <w:ind w:left="360" w:right="-120"/>
        <w:rPr>
          <w:sz w:val="22"/>
          <w:szCs w:val="22"/>
        </w:rPr>
      </w:pPr>
    </w:p>
    <w:p w:rsidR="009416C0" w:rsidRPr="00F81441" w:rsidRDefault="00F81441" w:rsidP="006A44E9">
      <w:pPr>
        <w:tabs>
          <w:tab w:val="left" w:pos="240"/>
        </w:tabs>
        <w:spacing w:after="60"/>
        <w:ind w:left="360" w:right="-120"/>
        <w:rPr>
          <w:b/>
          <w:sz w:val="22"/>
          <w:szCs w:val="22"/>
        </w:rPr>
      </w:pPr>
      <w:r w:rsidRPr="00F81441">
        <w:rPr>
          <w:b/>
          <w:sz w:val="22"/>
          <w:szCs w:val="22"/>
        </w:rPr>
        <w:t>Purpose for collecting information :</w:t>
      </w:r>
    </w:p>
    <w:p w:rsidR="00CB7AEA" w:rsidRDefault="00D31B18" w:rsidP="006A44E9">
      <w:pPr>
        <w:tabs>
          <w:tab w:val="left" w:pos="240"/>
        </w:tabs>
        <w:spacing w:after="60"/>
        <w:ind w:left="360" w:right="-120"/>
        <w:rPr>
          <w:sz w:val="22"/>
          <w:szCs w:val="22"/>
        </w:rPr>
      </w:pPr>
      <w:r>
        <w:rPr>
          <w:sz w:val="22"/>
          <w:szCs w:val="22"/>
        </w:rPr>
        <w:t xml:space="preserve">Homeowners </w:t>
      </w:r>
      <w:r w:rsidR="00583401">
        <w:rPr>
          <w:sz w:val="22"/>
          <w:szCs w:val="22"/>
        </w:rPr>
        <w:t xml:space="preserve">seeking to obtain </w:t>
      </w:r>
      <w:r>
        <w:rPr>
          <w:sz w:val="22"/>
          <w:szCs w:val="22"/>
        </w:rPr>
        <w:t>assistance</w:t>
      </w:r>
      <w:r w:rsidR="00583401">
        <w:rPr>
          <w:sz w:val="22"/>
          <w:szCs w:val="22"/>
        </w:rPr>
        <w:t xml:space="preserve"> through the Emergency Homeowners’ Loan Program must submit  application data to determine program eligibility.</w:t>
      </w:r>
      <w:r>
        <w:rPr>
          <w:sz w:val="22"/>
          <w:szCs w:val="22"/>
        </w:rPr>
        <w:t xml:space="preserve"> </w:t>
      </w:r>
      <w:r w:rsidR="00AF0244" w:rsidRPr="009F3546">
        <w:rPr>
          <w:sz w:val="22"/>
          <w:szCs w:val="22"/>
        </w:rPr>
        <w:t xml:space="preserve"> </w:t>
      </w:r>
      <w:r w:rsidR="00583401">
        <w:rPr>
          <w:sz w:val="22"/>
          <w:szCs w:val="22"/>
        </w:rPr>
        <w:t xml:space="preserve">To demonstrate eligibility </w:t>
      </w:r>
      <w:r w:rsidR="0035666C">
        <w:rPr>
          <w:sz w:val="22"/>
          <w:szCs w:val="22"/>
        </w:rPr>
        <w:t xml:space="preserve">program </w:t>
      </w:r>
      <w:r w:rsidR="00583401">
        <w:rPr>
          <w:sz w:val="22"/>
          <w:szCs w:val="22"/>
        </w:rPr>
        <w:t>applicants must</w:t>
      </w:r>
      <w:r w:rsidR="007F156C">
        <w:rPr>
          <w:sz w:val="22"/>
          <w:szCs w:val="22"/>
        </w:rPr>
        <w:t xml:space="preserve"> provide</w:t>
      </w:r>
      <w:r w:rsidR="00EF5A7B">
        <w:rPr>
          <w:sz w:val="22"/>
          <w:szCs w:val="22"/>
        </w:rPr>
        <w:t xml:space="preserve">: </w:t>
      </w:r>
      <w:r w:rsidR="007F156C">
        <w:rPr>
          <w:sz w:val="22"/>
          <w:szCs w:val="22"/>
        </w:rPr>
        <w:t>(1) basic personal  data – name, address, phone, social</w:t>
      </w:r>
      <w:r w:rsidR="00B140FC">
        <w:rPr>
          <w:sz w:val="22"/>
          <w:szCs w:val="22"/>
        </w:rPr>
        <w:t xml:space="preserve"> security number, household composition, </w:t>
      </w:r>
      <w:r w:rsidR="007F156C">
        <w:rPr>
          <w:sz w:val="22"/>
          <w:szCs w:val="22"/>
        </w:rPr>
        <w:t>income</w:t>
      </w:r>
      <w:r w:rsidR="00B140FC">
        <w:rPr>
          <w:sz w:val="22"/>
          <w:szCs w:val="22"/>
        </w:rPr>
        <w:t xml:space="preserve"> verification documents (Tax returns, </w:t>
      </w:r>
      <w:r w:rsidR="00CB7AEA">
        <w:rPr>
          <w:sz w:val="22"/>
          <w:szCs w:val="22"/>
        </w:rPr>
        <w:t>W2, paystubs, self –employment documentation),</w:t>
      </w:r>
      <w:r w:rsidR="007F156C">
        <w:rPr>
          <w:sz w:val="22"/>
          <w:szCs w:val="22"/>
        </w:rPr>
        <w:t xml:space="preserve"> etc; </w:t>
      </w:r>
      <w:r w:rsidR="00EF5A7B">
        <w:rPr>
          <w:sz w:val="22"/>
          <w:szCs w:val="22"/>
        </w:rPr>
        <w:t>(</w:t>
      </w:r>
      <w:r w:rsidR="007F156C">
        <w:rPr>
          <w:sz w:val="22"/>
          <w:szCs w:val="22"/>
        </w:rPr>
        <w:t>2</w:t>
      </w:r>
      <w:r w:rsidR="00EF5A7B">
        <w:rPr>
          <w:sz w:val="22"/>
          <w:szCs w:val="22"/>
        </w:rPr>
        <w:t>) documentation to certify that the applicant is three months delinquent in their monthly mortgage</w:t>
      </w:r>
      <w:r w:rsidR="00AB2603">
        <w:rPr>
          <w:sz w:val="22"/>
          <w:szCs w:val="22"/>
        </w:rPr>
        <w:t xml:space="preserve"> and a written notice from the </w:t>
      </w:r>
      <w:r w:rsidR="006A01A3">
        <w:rPr>
          <w:sz w:val="22"/>
          <w:szCs w:val="22"/>
        </w:rPr>
        <w:t xml:space="preserve">mortgage </w:t>
      </w:r>
      <w:r w:rsidR="00AB2603">
        <w:rPr>
          <w:sz w:val="22"/>
          <w:szCs w:val="22"/>
        </w:rPr>
        <w:t xml:space="preserve">holder indicating its intent to foreclose on the mortgage </w:t>
      </w:r>
      <w:r w:rsidR="00EF5A7B">
        <w:rPr>
          <w:sz w:val="22"/>
          <w:szCs w:val="22"/>
        </w:rPr>
        <w:t>; (</w:t>
      </w:r>
      <w:r w:rsidR="00B140FC">
        <w:rPr>
          <w:sz w:val="22"/>
          <w:szCs w:val="22"/>
        </w:rPr>
        <w:t>3</w:t>
      </w:r>
      <w:r w:rsidR="00EF5A7B">
        <w:rPr>
          <w:sz w:val="22"/>
          <w:szCs w:val="22"/>
        </w:rPr>
        <w:t xml:space="preserve">) documentation </w:t>
      </w:r>
      <w:r w:rsidR="00AB2603">
        <w:rPr>
          <w:sz w:val="22"/>
          <w:szCs w:val="22"/>
        </w:rPr>
        <w:t xml:space="preserve">of the pre-event and current income </w:t>
      </w:r>
      <w:r w:rsidR="00B140FC">
        <w:rPr>
          <w:sz w:val="22"/>
          <w:szCs w:val="22"/>
        </w:rPr>
        <w:t xml:space="preserve">which </w:t>
      </w:r>
      <w:r w:rsidR="00AB2603">
        <w:rPr>
          <w:sz w:val="22"/>
          <w:szCs w:val="22"/>
        </w:rPr>
        <w:t>demonstrat</w:t>
      </w:r>
      <w:r w:rsidR="00B140FC">
        <w:rPr>
          <w:sz w:val="22"/>
          <w:szCs w:val="22"/>
        </w:rPr>
        <w:t>es</w:t>
      </w:r>
      <w:r w:rsidR="00AB2603">
        <w:rPr>
          <w:sz w:val="22"/>
          <w:szCs w:val="22"/>
        </w:rPr>
        <w:t xml:space="preserve"> </w:t>
      </w:r>
      <w:r w:rsidR="00EF5A7B">
        <w:rPr>
          <w:sz w:val="22"/>
          <w:szCs w:val="22"/>
        </w:rPr>
        <w:t>th</w:t>
      </w:r>
      <w:r w:rsidR="007F156C">
        <w:rPr>
          <w:sz w:val="22"/>
          <w:szCs w:val="22"/>
        </w:rPr>
        <w:t>at</w:t>
      </w:r>
      <w:r w:rsidR="00EF5A7B">
        <w:rPr>
          <w:sz w:val="22"/>
          <w:szCs w:val="22"/>
        </w:rPr>
        <w:t xml:space="preserve"> </w:t>
      </w:r>
      <w:r w:rsidR="007F156C">
        <w:rPr>
          <w:sz w:val="22"/>
          <w:szCs w:val="22"/>
        </w:rPr>
        <w:t xml:space="preserve">the </w:t>
      </w:r>
      <w:r w:rsidR="00EF5A7B">
        <w:rPr>
          <w:sz w:val="22"/>
          <w:szCs w:val="22"/>
        </w:rPr>
        <w:t xml:space="preserve">applicant </w:t>
      </w:r>
      <w:r w:rsidR="00AB2603">
        <w:rPr>
          <w:sz w:val="22"/>
          <w:szCs w:val="22"/>
        </w:rPr>
        <w:t xml:space="preserve">suffered </w:t>
      </w:r>
      <w:r w:rsidR="00EF5A7B">
        <w:rPr>
          <w:sz w:val="22"/>
          <w:szCs w:val="22"/>
        </w:rPr>
        <w:t>reduction in income of 15% or more as a result of involuntary unemployment</w:t>
      </w:r>
      <w:r w:rsidR="007F156C">
        <w:rPr>
          <w:sz w:val="22"/>
          <w:szCs w:val="22"/>
        </w:rPr>
        <w:t xml:space="preserve"> or </w:t>
      </w:r>
      <w:r w:rsidR="00EF5A7B">
        <w:rPr>
          <w:sz w:val="22"/>
          <w:szCs w:val="22"/>
        </w:rPr>
        <w:t>underemployment</w:t>
      </w:r>
      <w:r w:rsidR="00AB2603">
        <w:rPr>
          <w:sz w:val="22"/>
          <w:szCs w:val="22"/>
        </w:rPr>
        <w:t xml:space="preserve"> due to adverse economic or medical conditions; </w:t>
      </w:r>
      <w:r w:rsidR="00B140FC">
        <w:rPr>
          <w:sz w:val="22"/>
          <w:szCs w:val="22"/>
        </w:rPr>
        <w:t xml:space="preserve"> (4) written notice of employment termination; </w:t>
      </w:r>
      <w:r w:rsidR="00CB7AEA">
        <w:rPr>
          <w:sz w:val="22"/>
          <w:szCs w:val="22"/>
        </w:rPr>
        <w:t xml:space="preserve"> (5) documentation verifying medical condition and expenses;  and </w:t>
      </w:r>
      <w:r w:rsidR="00AB2603">
        <w:rPr>
          <w:sz w:val="22"/>
          <w:szCs w:val="22"/>
        </w:rPr>
        <w:t>(</w:t>
      </w:r>
      <w:r w:rsidR="00CB7AEA">
        <w:rPr>
          <w:sz w:val="22"/>
          <w:szCs w:val="22"/>
        </w:rPr>
        <w:t>6</w:t>
      </w:r>
      <w:r w:rsidR="00AB2603">
        <w:rPr>
          <w:sz w:val="22"/>
          <w:szCs w:val="22"/>
        </w:rPr>
        <w:t xml:space="preserve">) </w:t>
      </w:r>
      <w:r w:rsidR="00B140FC">
        <w:rPr>
          <w:sz w:val="22"/>
          <w:szCs w:val="22"/>
        </w:rPr>
        <w:t xml:space="preserve">mortgage loan information </w:t>
      </w:r>
      <w:r w:rsidR="00CB7AEA">
        <w:rPr>
          <w:sz w:val="22"/>
          <w:szCs w:val="22"/>
        </w:rPr>
        <w:t xml:space="preserve">and loan payment history. </w:t>
      </w:r>
      <w:r w:rsidR="0045068A">
        <w:rPr>
          <w:sz w:val="22"/>
          <w:szCs w:val="22"/>
        </w:rPr>
        <w:t>This information will be used to determine program eligibility.</w:t>
      </w:r>
      <w:r w:rsidR="005A70F4">
        <w:rPr>
          <w:sz w:val="22"/>
          <w:szCs w:val="22"/>
        </w:rPr>
        <w:t xml:space="preserve">  </w:t>
      </w:r>
    </w:p>
    <w:p w:rsidR="00E60E91" w:rsidRDefault="00E60E91" w:rsidP="006A44E9">
      <w:pPr>
        <w:tabs>
          <w:tab w:val="left" w:pos="240"/>
        </w:tabs>
        <w:spacing w:after="60"/>
        <w:ind w:left="360" w:right="-120"/>
        <w:rPr>
          <w:sz w:val="22"/>
          <w:szCs w:val="22"/>
        </w:rPr>
      </w:pPr>
    </w:p>
    <w:p w:rsidR="00F12C1E" w:rsidRDefault="00F12C1E" w:rsidP="006A44E9">
      <w:pPr>
        <w:tabs>
          <w:tab w:val="left" w:pos="240"/>
        </w:tabs>
        <w:spacing w:after="60"/>
        <w:ind w:left="360" w:right="-120"/>
        <w:rPr>
          <w:sz w:val="22"/>
          <w:szCs w:val="22"/>
        </w:rPr>
      </w:pPr>
    </w:p>
    <w:p w:rsidR="00F12C1E" w:rsidRDefault="00F12C1E" w:rsidP="006A44E9">
      <w:pPr>
        <w:tabs>
          <w:tab w:val="left" w:pos="240"/>
        </w:tabs>
        <w:spacing w:after="60"/>
        <w:ind w:left="360" w:right="-120"/>
        <w:rPr>
          <w:sz w:val="22"/>
          <w:szCs w:val="22"/>
        </w:rPr>
      </w:pPr>
    </w:p>
    <w:p w:rsidR="00854015" w:rsidRDefault="00854015" w:rsidP="00ED206C">
      <w:pPr>
        <w:tabs>
          <w:tab w:val="left" w:pos="240"/>
        </w:tabs>
        <w:spacing w:after="60"/>
        <w:ind w:left="360" w:right="-120"/>
        <w:rPr>
          <w:sz w:val="18"/>
        </w:rPr>
      </w:pPr>
    </w:p>
    <w:p w:rsidR="004313A0" w:rsidRDefault="00854015" w:rsidP="004313A0">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A07" w:rsidRDefault="00330A07" w:rsidP="004313A0">
      <w:pPr>
        <w:keepLines/>
        <w:tabs>
          <w:tab w:val="left" w:pos="360"/>
        </w:tabs>
        <w:spacing w:after="80"/>
        <w:ind w:left="360" w:hanging="360"/>
        <w:rPr>
          <w:b/>
          <w:sz w:val="18"/>
        </w:rPr>
      </w:pPr>
    </w:p>
    <w:p w:rsidR="00854015" w:rsidRPr="004313A0" w:rsidRDefault="00330A07" w:rsidP="006A44E9">
      <w:pPr>
        <w:keepLines/>
        <w:tabs>
          <w:tab w:val="left" w:pos="360"/>
        </w:tabs>
        <w:spacing w:after="80"/>
        <w:ind w:left="360"/>
        <w:rPr>
          <w:b/>
          <w:sz w:val="18"/>
        </w:rPr>
      </w:pPr>
      <w:r w:rsidRPr="00434746">
        <w:rPr>
          <w:sz w:val="22"/>
        </w:rPr>
        <w:t>In effort</w:t>
      </w:r>
      <w:r w:rsidR="00530C48">
        <w:rPr>
          <w:sz w:val="22"/>
        </w:rPr>
        <w:t>s</w:t>
      </w:r>
      <w:r w:rsidRPr="00434746">
        <w:rPr>
          <w:sz w:val="22"/>
        </w:rPr>
        <w:t xml:space="preserve"> </w:t>
      </w:r>
      <w:r w:rsidR="004313A0" w:rsidRPr="00434746">
        <w:rPr>
          <w:sz w:val="22"/>
        </w:rPr>
        <w:t xml:space="preserve">to reduce the administrative burden associated with the mailing and processing of paper applications, </w:t>
      </w:r>
      <w:r w:rsidR="00ED206C" w:rsidRPr="00434746">
        <w:rPr>
          <w:sz w:val="22"/>
        </w:rPr>
        <w:t xml:space="preserve">NeighborWorks affiliates </w:t>
      </w:r>
      <w:r w:rsidR="000D49A8" w:rsidRPr="00434746">
        <w:rPr>
          <w:sz w:val="22"/>
        </w:rPr>
        <w:t xml:space="preserve">will conduct intake sessions with program </w:t>
      </w:r>
      <w:r w:rsidR="00ED206C" w:rsidRPr="00434746">
        <w:rPr>
          <w:sz w:val="22"/>
        </w:rPr>
        <w:t xml:space="preserve">applicants </w:t>
      </w:r>
      <w:r w:rsidR="000D49A8" w:rsidRPr="00434746">
        <w:rPr>
          <w:sz w:val="22"/>
        </w:rPr>
        <w:t xml:space="preserve">and enter required data into the </w:t>
      </w:r>
      <w:r w:rsidR="00ED206C" w:rsidRPr="00434746">
        <w:rPr>
          <w:sz w:val="22"/>
        </w:rPr>
        <w:t xml:space="preserve">HOPE Loan Port </w:t>
      </w:r>
      <w:r w:rsidR="000D49A8" w:rsidRPr="00434746">
        <w:rPr>
          <w:sz w:val="22"/>
        </w:rPr>
        <w:t>S</w:t>
      </w:r>
      <w:r w:rsidR="00ED206C" w:rsidRPr="00434746">
        <w:rPr>
          <w:sz w:val="22"/>
        </w:rPr>
        <w:t xml:space="preserve">ystem. </w:t>
      </w:r>
      <w:r w:rsidR="004313A0">
        <w:rPr>
          <w:sz w:val="22"/>
        </w:rPr>
        <w:t xml:space="preserve"> </w:t>
      </w:r>
      <w:r w:rsidR="008B5A01">
        <w:rPr>
          <w:sz w:val="22"/>
        </w:rPr>
        <w:t>It is estimated t</w:t>
      </w:r>
      <w:r w:rsidR="006A01A3">
        <w:rPr>
          <w:sz w:val="22"/>
        </w:rPr>
        <w:t>h</w:t>
      </w:r>
      <w:r w:rsidR="008B5A01">
        <w:rPr>
          <w:sz w:val="22"/>
        </w:rPr>
        <w:t xml:space="preserve">at the </w:t>
      </w:r>
      <w:r w:rsidR="00B430AB">
        <w:rPr>
          <w:sz w:val="22"/>
        </w:rPr>
        <w:t>intake</w:t>
      </w:r>
      <w:r w:rsidR="008B5A01">
        <w:rPr>
          <w:sz w:val="22"/>
        </w:rPr>
        <w:t xml:space="preserve"> process is </w:t>
      </w:r>
      <w:r w:rsidR="00B430AB">
        <w:rPr>
          <w:sz w:val="22"/>
        </w:rPr>
        <w:t>75</w:t>
      </w:r>
      <w:r w:rsidR="006A01A3">
        <w:rPr>
          <w:sz w:val="22"/>
        </w:rPr>
        <w:t>%</w:t>
      </w:r>
      <w:r w:rsidR="008B5A01">
        <w:rPr>
          <w:sz w:val="22"/>
        </w:rPr>
        <w:t xml:space="preserve"> automated.</w:t>
      </w:r>
    </w:p>
    <w:p w:rsidR="00854015" w:rsidRDefault="00854015" w:rsidP="004313A0">
      <w:pPr>
        <w:tabs>
          <w:tab w:val="left" w:pos="360"/>
        </w:tabs>
        <w:ind w:left="936" w:hanging="36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D00136" w:rsidP="006A44E9">
      <w:pPr>
        <w:keepLines/>
        <w:tabs>
          <w:tab w:val="left" w:pos="360"/>
        </w:tabs>
        <w:ind w:left="360"/>
        <w:rPr>
          <w:sz w:val="22"/>
        </w:rPr>
      </w:pPr>
      <w:r>
        <w:rPr>
          <w:sz w:val="22"/>
        </w:rPr>
        <w:t xml:space="preserve">There is no duplication of information.  </w:t>
      </w:r>
      <w:r w:rsidR="00373F9C">
        <w:rPr>
          <w:sz w:val="22"/>
        </w:rPr>
        <w:t>This information is being request from individual applicants to determine eligibility for a new program</w:t>
      </w:r>
      <w:r w:rsidR="00A42E9C">
        <w:rPr>
          <w:sz w:val="22"/>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373F9C" w:rsidP="006A44E9">
      <w:pPr>
        <w:keepLines/>
        <w:tabs>
          <w:tab w:val="left" w:pos="360"/>
          <w:tab w:val="left" w:pos="720"/>
        </w:tabs>
        <w:ind w:left="360"/>
        <w:rPr>
          <w:sz w:val="18"/>
        </w:rPr>
      </w:pPr>
      <w:r>
        <w:rPr>
          <w:sz w:val="22"/>
        </w:rPr>
        <w:t>This collection of information does not impose any administrative burdens on small business</w:t>
      </w:r>
      <w:r w:rsidR="00420BA8">
        <w:rPr>
          <w:sz w:val="22"/>
        </w:rPr>
        <w:t>es</w:t>
      </w:r>
      <w:r>
        <w:rPr>
          <w:sz w:val="22"/>
        </w:rPr>
        <w:t xml:space="preserve">.   </w:t>
      </w:r>
      <w:r w:rsidR="00FF3A38">
        <w:rPr>
          <w:sz w:val="22"/>
          <w:szCs w:val="22"/>
        </w:rPr>
        <w:t xml:space="preserve">  </w:t>
      </w:r>
    </w:p>
    <w:p w:rsidR="00854015" w:rsidRDefault="00854015" w:rsidP="00DF6F7F">
      <w:pPr>
        <w:tabs>
          <w:tab w:val="left" w:pos="360"/>
        </w:tabs>
        <w:rPr>
          <w:sz w:val="18"/>
        </w:rPr>
      </w:pPr>
    </w:p>
    <w:p w:rsidR="00854015" w:rsidRDefault="00854015">
      <w:pPr>
        <w:keepLines/>
        <w:tabs>
          <w:tab w:val="left" w:pos="360"/>
        </w:tabs>
        <w:spacing w:after="80"/>
        <w:ind w:left="360" w:hanging="360"/>
        <w:rPr>
          <w:b/>
          <w:sz w:val="18"/>
        </w:rPr>
      </w:pPr>
      <w:r>
        <w:rPr>
          <w:b/>
          <w:sz w:val="18"/>
        </w:rPr>
        <w:t>6.</w:t>
      </w:r>
      <w:r>
        <w:rPr>
          <w:sz w:val="18"/>
        </w:rPr>
        <w:tab/>
      </w:r>
      <w:r>
        <w:rPr>
          <w:b/>
          <w:sz w:val="18"/>
        </w:rPr>
        <w:t>Describe the consequence to Federal program or policy activities if the collection is not conducted or is conducted less frequently, as well as any technical or legal obstacles to reducing burden.</w:t>
      </w:r>
    </w:p>
    <w:p w:rsidR="00854015" w:rsidRDefault="00D00136" w:rsidP="006A44E9">
      <w:pPr>
        <w:pStyle w:val="BodyTextIndent3"/>
        <w:spacing w:after="0"/>
      </w:pPr>
      <w:r>
        <w:t>The information collect</w:t>
      </w:r>
      <w:r w:rsidR="00E94B0D">
        <w:t xml:space="preserve">ed </w:t>
      </w:r>
      <w:r w:rsidR="00227C9D">
        <w:t xml:space="preserve">will be used to determine borrower </w:t>
      </w:r>
      <w:r w:rsidR="00E94B0D">
        <w:t>eligibility</w:t>
      </w:r>
      <w:r w:rsidR="00227C9D">
        <w:t xml:space="preserve">. </w:t>
      </w:r>
      <w:r w:rsidR="00E94B0D">
        <w:t xml:space="preserve"> If this information is not collected the Department will not be able to determine if applicants are eligible to receive assistance through EHLP </w:t>
      </w:r>
      <w:r w:rsidR="00586082">
        <w:t xml:space="preserve">. </w:t>
      </w:r>
    </w:p>
    <w:p w:rsidR="00D00136" w:rsidRDefault="00D00136">
      <w:pPr>
        <w:pStyle w:val="BodyTextIndent3"/>
        <w:spacing w:after="0"/>
      </w:pPr>
    </w:p>
    <w:p w:rsidR="00854015" w:rsidRDefault="00854015">
      <w:pPr>
        <w:numPr>
          <w:ilvl w:val="0"/>
          <w:numId w:val="13"/>
        </w:numPr>
        <w:tabs>
          <w:tab w:val="left" w:pos="360"/>
        </w:tabs>
        <w:rPr>
          <w:b/>
          <w:sz w:val="18"/>
        </w:rPr>
      </w:pPr>
      <w:r>
        <w:rPr>
          <w:b/>
          <w:sz w:val="18"/>
        </w:rPr>
        <w:t xml:space="preserve">Explain any special circumstances that would cause an information collection to be conducted in a manner: </w:t>
      </w:r>
    </w:p>
    <w:p w:rsidR="00854015" w:rsidRPr="00A826B4" w:rsidRDefault="00854015">
      <w:pPr>
        <w:numPr>
          <w:ilvl w:val="0"/>
          <w:numId w:val="14"/>
        </w:numPr>
        <w:tabs>
          <w:tab w:val="left" w:pos="600"/>
        </w:tabs>
        <w:rPr>
          <w:b/>
          <w:sz w:val="18"/>
        </w:rPr>
      </w:pPr>
      <w:r w:rsidRPr="00A826B4">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rsidP="006A44E9">
      <w:pPr>
        <w:keepLines/>
        <w:tabs>
          <w:tab w:val="left" w:pos="360"/>
          <w:tab w:val="left" w:pos="720"/>
        </w:tabs>
        <w:ind w:left="360"/>
        <w:rPr>
          <w:sz w:val="18"/>
        </w:rPr>
      </w:pPr>
      <w:r>
        <w:rPr>
          <w:sz w:val="22"/>
        </w:rPr>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Default="0004179B" w:rsidP="006A44E9">
      <w:pPr>
        <w:keepLines/>
        <w:tabs>
          <w:tab w:val="left" w:pos="360"/>
          <w:tab w:val="left" w:pos="720"/>
        </w:tabs>
        <w:ind w:left="336"/>
        <w:rPr>
          <w:sz w:val="18"/>
        </w:rPr>
      </w:pPr>
      <w:r>
        <w:rPr>
          <w:sz w:val="22"/>
        </w:rPr>
        <w:t xml:space="preserve">Emergency approval is being requested for this information collection.  Accordingly, the </w:t>
      </w:r>
      <w:r w:rsidR="00854015">
        <w:rPr>
          <w:sz w:val="22"/>
        </w:rPr>
        <w:t xml:space="preserve">Department </w:t>
      </w:r>
      <w:r>
        <w:rPr>
          <w:sz w:val="22"/>
        </w:rPr>
        <w:t xml:space="preserve">has not yet published the notice required under 5 CFR 1320.8(d).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Default="003A53CC" w:rsidP="006A44E9">
      <w:pPr>
        <w:pStyle w:val="BodyTextIndent2"/>
        <w:spacing w:after="0"/>
        <w:ind w:firstLine="0"/>
      </w:pPr>
      <w:r>
        <w:t xml:space="preserve">Mortgage relief assistance payments will be provided to </w:t>
      </w:r>
      <w:r w:rsidR="001F757D">
        <w:t xml:space="preserve">the </w:t>
      </w:r>
      <w:r>
        <w:t xml:space="preserve">lenders of program applicants </w:t>
      </w:r>
      <w:r w:rsidR="001F757D">
        <w:t xml:space="preserve">(homeowners) that are </w:t>
      </w:r>
      <w:r>
        <w:t xml:space="preserve">determined </w:t>
      </w:r>
      <w:r w:rsidR="001F757D">
        <w:t xml:space="preserve">as </w:t>
      </w:r>
      <w:r>
        <w:t xml:space="preserve">eligible to receive benefits under </w:t>
      </w:r>
      <w:r w:rsidR="001F757D">
        <w:t xml:space="preserve">EHLP. </w:t>
      </w:r>
      <w:r>
        <w:t xml:space="preserve"> </w:t>
      </w:r>
      <w:r w:rsidR="003D3477">
        <w:t xml:space="preserve">HUD will </w:t>
      </w:r>
      <w:r w:rsidR="001F757D" w:rsidRPr="00EC48B2">
        <w:rPr>
          <w:color w:val="000000" w:themeColor="text1"/>
          <w:sz w:val="24"/>
        </w:rPr>
        <w:t>offer a declining balance, deferred payment “bridge loan” (non-recourse, subordinate loan with zero interest) for up to $50,000 to assist eligible homeowners with payments of arrearages, including delinquent taxes and insurance</w:t>
      </w:r>
      <w:r w:rsidR="001F757D">
        <w:rPr>
          <w:color w:val="000000" w:themeColor="text1"/>
          <w:sz w:val="24"/>
        </w:rPr>
        <w:t xml:space="preserve"> plus </w:t>
      </w:r>
      <w:r w:rsidR="001F757D" w:rsidRPr="00EC48B2">
        <w:rPr>
          <w:color w:val="000000" w:themeColor="text1"/>
          <w:sz w:val="24"/>
        </w:rPr>
        <w:t xml:space="preserve">up to 24 months of monthly payments on their mortgage principal, interest, mortgage insurance premiums, taxes, and hazard insurance. </w:t>
      </w:r>
      <w:r w:rsidR="0004179B">
        <w:t xml:space="preserve">  </w:t>
      </w:r>
    </w:p>
    <w:p w:rsidR="00854015" w:rsidRDefault="00854015">
      <w:pPr>
        <w:keepLines/>
        <w:tabs>
          <w:tab w:val="left" w:pos="360"/>
          <w:tab w:val="left" w:pos="720"/>
        </w:tabs>
        <w:ind w:left="360"/>
        <w:rPr>
          <w:sz w:val="18"/>
        </w:rPr>
      </w:pPr>
    </w:p>
    <w:p w:rsidR="00C8783E" w:rsidRDefault="00854015">
      <w:pPr>
        <w:keepLines/>
        <w:tabs>
          <w:tab w:val="left" w:pos="360"/>
        </w:tabs>
        <w:spacing w:after="80"/>
        <w:ind w:left="360" w:hanging="360"/>
        <w:rPr>
          <w:b/>
          <w:sz w:val="18"/>
        </w:rPr>
      </w:pPr>
      <w:r>
        <w:rPr>
          <w:b/>
          <w:sz w:val="18"/>
        </w:rPr>
        <w:t>10.</w:t>
      </w:r>
      <w:r>
        <w:rPr>
          <w:b/>
          <w:sz w:val="18"/>
        </w:rPr>
        <w:tab/>
        <w:t>Describe any assurance of confidentiality provided to respondents and the basis for assurance in statute, regulation or agency policy.</w:t>
      </w:r>
    </w:p>
    <w:p w:rsidR="00BF2ED1" w:rsidRPr="00BF2ED1" w:rsidRDefault="00F12C1E" w:rsidP="00F12C1E">
      <w:pPr>
        <w:keepLines/>
        <w:ind w:left="360"/>
        <w:rPr>
          <w:sz w:val="22"/>
          <w:szCs w:val="22"/>
        </w:rPr>
      </w:pPr>
      <w:r w:rsidRPr="00265F04">
        <w:rPr>
          <w:color w:val="000000"/>
          <w:sz w:val="24"/>
          <w:szCs w:val="24"/>
        </w:rPr>
        <w:t xml:space="preserve">The </w:t>
      </w:r>
      <w:r w:rsidR="0035666C">
        <w:rPr>
          <w:color w:val="000000"/>
          <w:sz w:val="24"/>
          <w:szCs w:val="24"/>
        </w:rPr>
        <w:t xml:space="preserve">intake process </w:t>
      </w:r>
      <w:r>
        <w:rPr>
          <w:color w:val="000000"/>
          <w:sz w:val="24"/>
          <w:szCs w:val="24"/>
        </w:rPr>
        <w:t>to obtain assistance through EHLP i</w:t>
      </w:r>
      <w:r w:rsidRPr="00265F04">
        <w:rPr>
          <w:color w:val="000000"/>
          <w:sz w:val="24"/>
          <w:szCs w:val="24"/>
        </w:rPr>
        <w:t>s subject to the Privacy Act</w:t>
      </w:r>
      <w:r>
        <w:rPr>
          <w:color w:val="000000"/>
          <w:sz w:val="24"/>
          <w:szCs w:val="24"/>
        </w:rPr>
        <w:t>,</w:t>
      </w:r>
      <w:r w:rsidRPr="00265F04">
        <w:rPr>
          <w:color w:val="000000"/>
          <w:sz w:val="24"/>
          <w:szCs w:val="24"/>
        </w:rPr>
        <w:t xml:space="preserve"> which requires the records to be maintained with appropriate administrative, technical and physical safeguards to ensure their security and confidentiality.</w:t>
      </w:r>
      <w:r>
        <w:rPr>
          <w:color w:val="000000"/>
          <w:sz w:val="24"/>
          <w:szCs w:val="24"/>
        </w:rPr>
        <w:t xml:space="preserve">  </w:t>
      </w:r>
      <w:r w:rsidR="00BF2ED1" w:rsidRPr="00BF2ED1">
        <w:rPr>
          <w:sz w:val="22"/>
          <w:szCs w:val="22"/>
        </w:rPr>
        <w:t xml:space="preserve">The </w:t>
      </w:r>
      <w:r w:rsidR="00BF2ED1">
        <w:rPr>
          <w:sz w:val="22"/>
          <w:szCs w:val="22"/>
        </w:rPr>
        <w:t xml:space="preserve">confidentiality of the information provided by </w:t>
      </w:r>
      <w:r w:rsidR="00E003E9">
        <w:rPr>
          <w:sz w:val="22"/>
          <w:szCs w:val="22"/>
        </w:rPr>
        <w:t xml:space="preserve">EHLP applicants </w:t>
      </w:r>
      <w:r w:rsidR="00BF2ED1">
        <w:rPr>
          <w:sz w:val="22"/>
          <w:szCs w:val="22"/>
        </w:rPr>
        <w:t>will be s</w:t>
      </w:r>
      <w:r w:rsidR="00E003E9">
        <w:rPr>
          <w:sz w:val="22"/>
          <w:szCs w:val="22"/>
        </w:rPr>
        <w:t xml:space="preserve">afeguarded, consistent with </w:t>
      </w:r>
      <w:r w:rsidR="00BF2ED1">
        <w:rPr>
          <w:sz w:val="22"/>
          <w:szCs w:val="22"/>
        </w:rPr>
        <w:t xml:space="preserve">assurances of confidentiality </w:t>
      </w:r>
      <w:r>
        <w:rPr>
          <w:sz w:val="22"/>
          <w:szCs w:val="22"/>
        </w:rPr>
        <w:t xml:space="preserve">covered under the Privacy Act. EHLP </w:t>
      </w:r>
      <w:r w:rsidR="009F45D0">
        <w:rPr>
          <w:sz w:val="22"/>
          <w:szCs w:val="22"/>
        </w:rPr>
        <w:t xml:space="preserve">applicants </w:t>
      </w:r>
      <w:r>
        <w:rPr>
          <w:sz w:val="22"/>
          <w:szCs w:val="22"/>
        </w:rPr>
        <w:t xml:space="preserve">will be provided </w:t>
      </w:r>
      <w:r w:rsidR="009F45D0">
        <w:rPr>
          <w:sz w:val="22"/>
          <w:szCs w:val="22"/>
        </w:rPr>
        <w:t xml:space="preserve">information on </w:t>
      </w:r>
      <w:r>
        <w:rPr>
          <w:sz w:val="22"/>
          <w:szCs w:val="22"/>
        </w:rPr>
        <w:t>the Federal Privacy Act</w:t>
      </w:r>
      <w:r w:rsidR="009F45D0">
        <w:rPr>
          <w:sz w:val="22"/>
          <w:szCs w:val="22"/>
        </w:rPr>
        <w:t>,</w:t>
      </w:r>
      <w:r>
        <w:rPr>
          <w:sz w:val="22"/>
          <w:szCs w:val="22"/>
        </w:rPr>
        <w:t xml:space="preserve"> HUD’s authority to collect the </w:t>
      </w:r>
      <w:r w:rsidR="009F45D0">
        <w:rPr>
          <w:sz w:val="22"/>
          <w:szCs w:val="22"/>
        </w:rPr>
        <w:t>data</w:t>
      </w:r>
      <w:r>
        <w:rPr>
          <w:sz w:val="22"/>
          <w:szCs w:val="22"/>
        </w:rPr>
        <w:t xml:space="preserve"> requested</w:t>
      </w:r>
      <w:r w:rsidR="009F45D0">
        <w:rPr>
          <w:sz w:val="22"/>
          <w:szCs w:val="22"/>
        </w:rPr>
        <w:t xml:space="preserve"> and public burden</w:t>
      </w:r>
      <w:r>
        <w:rPr>
          <w:sz w:val="22"/>
          <w:szCs w:val="22"/>
        </w:rPr>
        <w:t>.</w:t>
      </w:r>
      <w:r w:rsidR="00B9789F">
        <w:rPr>
          <w:sz w:val="22"/>
          <w:szCs w:val="22"/>
        </w:rPr>
        <w:t xml:space="preserve">  </w:t>
      </w:r>
      <w:r w:rsidR="00BF2ED1">
        <w:rPr>
          <w:sz w:val="22"/>
          <w:szCs w:val="22"/>
        </w:rPr>
        <w:t xml:space="preserve"> </w:t>
      </w:r>
    </w:p>
    <w:p w:rsidR="00C8783E" w:rsidRDefault="00C8783E">
      <w:pPr>
        <w:keepLines/>
        <w:tabs>
          <w:tab w:val="left" w:pos="360"/>
        </w:tabs>
        <w:spacing w:after="80"/>
        <w:ind w:left="360" w:hanging="360"/>
        <w:rPr>
          <w:b/>
          <w:sz w:val="18"/>
        </w:rPr>
      </w:pPr>
    </w:p>
    <w:p w:rsidR="00854015" w:rsidRDefault="00854015">
      <w:pPr>
        <w:keepLines/>
        <w:tabs>
          <w:tab w:val="left" w:pos="360"/>
        </w:tabs>
        <w:spacing w:after="80"/>
        <w:ind w:left="360" w:hanging="360"/>
        <w:rPr>
          <w:b/>
          <w:sz w:val="18"/>
        </w:rPr>
      </w:pPr>
      <w:r>
        <w:rPr>
          <w:b/>
          <w:sz w:val="18"/>
        </w:rPr>
        <w:t>11.</w:t>
      </w: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rsidP="006A44E9">
      <w:pPr>
        <w:keepLines/>
        <w:tabs>
          <w:tab w:val="left" w:pos="360"/>
        </w:tabs>
        <w:ind w:left="360"/>
        <w:rPr>
          <w:sz w:val="22"/>
        </w:rPr>
      </w:pPr>
      <w:r>
        <w:rPr>
          <w:sz w:val="22"/>
        </w:rPr>
        <w:t>No questions of a sensitive nature are included in this request</w:t>
      </w:r>
      <w:r w:rsidR="00850843">
        <w:rPr>
          <w:sz w:val="22"/>
        </w:rPr>
        <w: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r>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Default="00854015">
      <w:pPr>
        <w:numPr>
          <w:ilvl w:val="0"/>
          <w:numId w:val="14"/>
        </w:numPr>
        <w:tabs>
          <w:tab w:val="left" w:pos="480"/>
        </w:tabs>
        <w:ind w:left="480"/>
        <w:rPr>
          <w:b/>
          <w:sz w:val="18"/>
        </w:rPr>
      </w:pPr>
      <w:r>
        <w:rPr>
          <w:b/>
          <w:sz w:val="18"/>
        </w:rPr>
        <w:t xml:space="preserve">if this request covers more than one form, provide separate hour burden estimates for each form and aggregate the hour burdens in Item 13 of OMB Form 83-I; and </w:t>
      </w:r>
    </w:p>
    <w:p w:rsidR="00854015" w:rsidRDefault="00854015">
      <w:pPr>
        <w:keepLines/>
        <w:numPr>
          <w:ilvl w:val="0"/>
          <w:numId w:val="14"/>
        </w:numPr>
        <w:tabs>
          <w:tab w:val="left" w:pos="480"/>
        </w:tabs>
        <w:spacing w:after="80"/>
        <w:ind w:left="480"/>
        <w:rPr>
          <w:b/>
          <w:sz w:val="18"/>
        </w:rPr>
      </w:pPr>
      <w:r>
        <w:rPr>
          <w:b/>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3"/>
        <w:gridCol w:w="1350"/>
        <w:gridCol w:w="1169"/>
        <w:gridCol w:w="1173"/>
        <w:gridCol w:w="1189"/>
        <w:gridCol w:w="1130"/>
        <w:gridCol w:w="1136"/>
        <w:gridCol w:w="1026"/>
      </w:tblGrid>
      <w:tr w:rsidR="00A127D4" w:rsidTr="006A7A96">
        <w:tc>
          <w:tcPr>
            <w:tcW w:w="2126" w:type="dxa"/>
            <w:vAlign w:val="center"/>
          </w:tcPr>
          <w:p w:rsidR="006A7A96" w:rsidRDefault="006A7A96" w:rsidP="00965BCF">
            <w:pPr>
              <w:rPr>
                <w:b/>
                <w:sz w:val="18"/>
              </w:rPr>
            </w:pPr>
            <w:r w:rsidRPr="00E2322D">
              <w:rPr>
                <w:b/>
                <w:sz w:val="18"/>
              </w:rPr>
              <w:t>Information Collection</w:t>
            </w:r>
          </w:p>
          <w:p w:rsidR="006A7A96" w:rsidRPr="00E2322D" w:rsidRDefault="006A7A96" w:rsidP="00965BCF">
            <w:pPr>
              <w:rPr>
                <w:b/>
                <w:sz w:val="18"/>
              </w:rPr>
            </w:pPr>
            <w:r>
              <w:rPr>
                <w:b/>
                <w:sz w:val="18"/>
              </w:rPr>
              <w:t>EHLP</w:t>
            </w:r>
          </w:p>
        </w:tc>
        <w:tc>
          <w:tcPr>
            <w:tcW w:w="1352" w:type="dxa"/>
            <w:vAlign w:val="center"/>
          </w:tcPr>
          <w:p w:rsidR="006A7A96" w:rsidRPr="00E2322D" w:rsidRDefault="006A7A96" w:rsidP="00965BCF">
            <w:pPr>
              <w:rPr>
                <w:b/>
                <w:sz w:val="18"/>
              </w:rPr>
            </w:pPr>
            <w:r w:rsidRPr="00E2322D">
              <w:rPr>
                <w:b/>
                <w:sz w:val="18"/>
              </w:rPr>
              <w:t>Number of Respondents</w:t>
            </w:r>
          </w:p>
        </w:tc>
        <w:tc>
          <w:tcPr>
            <w:tcW w:w="1170" w:type="dxa"/>
            <w:vAlign w:val="center"/>
          </w:tcPr>
          <w:p w:rsidR="006A7A96" w:rsidRDefault="006A7A96" w:rsidP="00965BCF">
            <w:pPr>
              <w:rPr>
                <w:b/>
                <w:sz w:val="18"/>
              </w:rPr>
            </w:pPr>
            <w:r w:rsidRPr="00E2322D">
              <w:rPr>
                <w:b/>
                <w:sz w:val="18"/>
              </w:rPr>
              <w:t>Frequency of Response</w:t>
            </w:r>
          </w:p>
          <w:p w:rsidR="006A7A96" w:rsidRPr="00E2322D" w:rsidRDefault="006A7A96" w:rsidP="00965BCF">
            <w:pPr>
              <w:rPr>
                <w:b/>
                <w:sz w:val="18"/>
              </w:rPr>
            </w:pPr>
            <w:r>
              <w:rPr>
                <w:b/>
                <w:sz w:val="18"/>
              </w:rPr>
              <w:t>(Annual)</w:t>
            </w:r>
          </w:p>
        </w:tc>
        <w:tc>
          <w:tcPr>
            <w:tcW w:w="1175" w:type="dxa"/>
          </w:tcPr>
          <w:p w:rsidR="006A7A96" w:rsidRDefault="006A7A96" w:rsidP="00965BCF">
            <w:pPr>
              <w:rPr>
                <w:b/>
                <w:sz w:val="18"/>
              </w:rPr>
            </w:pPr>
          </w:p>
          <w:p w:rsidR="006A7A96" w:rsidRDefault="006A7A96" w:rsidP="00965BCF">
            <w:pPr>
              <w:rPr>
                <w:b/>
                <w:sz w:val="18"/>
              </w:rPr>
            </w:pPr>
          </w:p>
          <w:p w:rsidR="006A7A96" w:rsidRPr="00E2322D" w:rsidRDefault="006A7A96" w:rsidP="00965BCF">
            <w:pPr>
              <w:rPr>
                <w:b/>
                <w:sz w:val="18"/>
              </w:rPr>
            </w:pPr>
            <w:r>
              <w:rPr>
                <w:b/>
                <w:sz w:val="18"/>
              </w:rPr>
              <w:t>Responses Per Annum</w:t>
            </w:r>
          </w:p>
        </w:tc>
        <w:tc>
          <w:tcPr>
            <w:tcW w:w="1192" w:type="dxa"/>
            <w:vAlign w:val="center"/>
          </w:tcPr>
          <w:p w:rsidR="006A7A96" w:rsidRPr="00E2322D" w:rsidRDefault="006A7A96" w:rsidP="00965BCF">
            <w:pPr>
              <w:rPr>
                <w:b/>
                <w:sz w:val="18"/>
              </w:rPr>
            </w:pPr>
            <w:r w:rsidRPr="00E2322D">
              <w:rPr>
                <w:b/>
                <w:sz w:val="18"/>
              </w:rPr>
              <w:t>Burden Hour Per Response</w:t>
            </w:r>
          </w:p>
        </w:tc>
        <w:tc>
          <w:tcPr>
            <w:tcW w:w="1134" w:type="dxa"/>
            <w:vAlign w:val="center"/>
          </w:tcPr>
          <w:p w:rsidR="006A7A96" w:rsidRPr="00E2322D" w:rsidRDefault="006A7A96" w:rsidP="00965BCF">
            <w:pPr>
              <w:rPr>
                <w:b/>
                <w:sz w:val="18"/>
              </w:rPr>
            </w:pPr>
            <w:r w:rsidRPr="00E2322D">
              <w:rPr>
                <w:b/>
                <w:sz w:val="18"/>
              </w:rPr>
              <w:t>Annual Burden Hours</w:t>
            </w:r>
          </w:p>
        </w:tc>
        <w:tc>
          <w:tcPr>
            <w:tcW w:w="1137" w:type="dxa"/>
            <w:vAlign w:val="center"/>
          </w:tcPr>
          <w:p w:rsidR="006A7A96" w:rsidRPr="00E2322D" w:rsidRDefault="006A7A96" w:rsidP="00965BCF">
            <w:pPr>
              <w:rPr>
                <w:b/>
                <w:sz w:val="18"/>
              </w:rPr>
            </w:pPr>
            <w:r w:rsidRPr="00E2322D">
              <w:rPr>
                <w:b/>
                <w:sz w:val="18"/>
              </w:rPr>
              <w:t>Hourly Cost Per Response</w:t>
            </w:r>
            <w:r>
              <w:rPr>
                <w:b/>
                <w:sz w:val="18"/>
              </w:rPr>
              <w:t>*</w:t>
            </w:r>
          </w:p>
        </w:tc>
        <w:tc>
          <w:tcPr>
            <w:tcW w:w="1010" w:type="dxa"/>
            <w:vAlign w:val="center"/>
          </w:tcPr>
          <w:p w:rsidR="006A7A96" w:rsidRPr="00E2322D" w:rsidRDefault="006A7A96" w:rsidP="00965BCF">
            <w:pPr>
              <w:rPr>
                <w:b/>
                <w:sz w:val="18"/>
              </w:rPr>
            </w:pPr>
            <w:r w:rsidRPr="00E2322D">
              <w:rPr>
                <w:b/>
                <w:sz w:val="18"/>
              </w:rPr>
              <w:t>Annual Cost</w:t>
            </w:r>
          </w:p>
          <w:p w:rsidR="006A7A96" w:rsidRPr="00E2322D" w:rsidRDefault="006A7A96" w:rsidP="00965BCF">
            <w:pPr>
              <w:rPr>
                <w:b/>
                <w:sz w:val="18"/>
              </w:rPr>
            </w:pPr>
          </w:p>
        </w:tc>
      </w:tr>
      <w:tr w:rsidR="00A127D4" w:rsidTr="006A7A96">
        <w:tc>
          <w:tcPr>
            <w:tcW w:w="2126" w:type="dxa"/>
          </w:tcPr>
          <w:p w:rsidR="006A7A96" w:rsidRDefault="007F74B2" w:rsidP="00B4035E">
            <w:pPr>
              <w:spacing w:before="60"/>
              <w:rPr>
                <w:sz w:val="18"/>
              </w:rPr>
            </w:pPr>
            <w:r>
              <w:rPr>
                <w:sz w:val="18"/>
              </w:rPr>
              <w:t>Data Intake Session</w:t>
            </w:r>
            <w:r w:rsidR="006A7A96">
              <w:rPr>
                <w:sz w:val="18"/>
              </w:rPr>
              <w:t xml:space="preserve"> –Intake/Recertification</w:t>
            </w:r>
          </w:p>
          <w:p w:rsidR="006A7A96" w:rsidRPr="00E2322D" w:rsidRDefault="00A76CCC" w:rsidP="00A76CCC">
            <w:pPr>
              <w:spacing w:before="60"/>
              <w:rPr>
                <w:sz w:val="18"/>
              </w:rPr>
            </w:pPr>
            <w:r>
              <w:rPr>
                <w:sz w:val="18"/>
              </w:rPr>
              <w:t xml:space="preserve">and Record Keeping </w:t>
            </w:r>
          </w:p>
        </w:tc>
        <w:tc>
          <w:tcPr>
            <w:tcW w:w="1352" w:type="dxa"/>
            <w:vAlign w:val="center"/>
          </w:tcPr>
          <w:p w:rsidR="006A7A96" w:rsidRPr="00E2322D" w:rsidRDefault="006A7A96" w:rsidP="00965BCF">
            <w:pPr>
              <w:spacing w:before="60"/>
              <w:jc w:val="center"/>
              <w:rPr>
                <w:sz w:val="18"/>
              </w:rPr>
            </w:pPr>
            <w:r>
              <w:rPr>
                <w:sz w:val="18"/>
              </w:rPr>
              <w:t>36,264</w:t>
            </w:r>
          </w:p>
        </w:tc>
        <w:tc>
          <w:tcPr>
            <w:tcW w:w="1170" w:type="dxa"/>
            <w:vAlign w:val="center"/>
          </w:tcPr>
          <w:p w:rsidR="006A7A96" w:rsidRPr="00E2322D" w:rsidRDefault="006A7A96" w:rsidP="005B4977">
            <w:pPr>
              <w:spacing w:before="60"/>
              <w:jc w:val="center"/>
              <w:rPr>
                <w:sz w:val="18"/>
              </w:rPr>
            </w:pPr>
            <w:r>
              <w:rPr>
                <w:sz w:val="18"/>
              </w:rPr>
              <w:t>1</w:t>
            </w:r>
          </w:p>
        </w:tc>
        <w:tc>
          <w:tcPr>
            <w:tcW w:w="1175" w:type="dxa"/>
          </w:tcPr>
          <w:p w:rsidR="006A7A96" w:rsidRDefault="006A7A96" w:rsidP="006A7A96">
            <w:pPr>
              <w:spacing w:before="60"/>
              <w:jc w:val="center"/>
              <w:rPr>
                <w:sz w:val="18"/>
              </w:rPr>
            </w:pPr>
          </w:p>
          <w:p w:rsidR="006A7A96" w:rsidRDefault="006A7A96" w:rsidP="006A7A96">
            <w:pPr>
              <w:spacing w:before="60"/>
              <w:jc w:val="center"/>
              <w:rPr>
                <w:sz w:val="18"/>
              </w:rPr>
            </w:pPr>
            <w:r>
              <w:rPr>
                <w:sz w:val="18"/>
              </w:rPr>
              <w:t>36,264</w:t>
            </w:r>
          </w:p>
        </w:tc>
        <w:tc>
          <w:tcPr>
            <w:tcW w:w="1192" w:type="dxa"/>
            <w:vAlign w:val="center"/>
          </w:tcPr>
          <w:p w:rsidR="006A7A96" w:rsidRPr="00E2322D" w:rsidRDefault="006A7A96" w:rsidP="006A7A96">
            <w:pPr>
              <w:spacing w:before="60"/>
              <w:jc w:val="center"/>
              <w:rPr>
                <w:sz w:val="18"/>
              </w:rPr>
            </w:pPr>
            <w:r>
              <w:rPr>
                <w:sz w:val="18"/>
              </w:rPr>
              <w:t>3</w:t>
            </w:r>
          </w:p>
        </w:tc>
        <w:tc>
          <w:tcPr>
            <w:tcW w:w="1134" w:type="dxa"/>
            <w:vAlign w:val="center"/>
          </w:tcPr>
          <w:p w:rsidR="006A7A96" w:rsidRPr="00E2322D" w:rsidRDefault="006A7A96" w:rsidP="00965BCF">
            <w:pPr>
              <w:spacing w:before="60"/>
              <w:jc w:val="center"/>
              <w:rPr>
                <w:sz w:val="18"/>
              </w:rPr>
            </w:pPr>
            <w:r>
              <w:rPr>
                <w:sz w:val="18"/>
              </w:rPr>
              <w:t>108,792</w:t>
            </w:r>
          </w:p>
        </w:tc>
        <w:tc>
          <w:tcPr>
            <w:tcW w:w="1137" w:type="dxa"/>
            <w:vAlign w:val="center"/>
          </w:tcPr>
          <w:p w:rsidR="006A7A96" w:rsidRPr="00E2322D" w:rsidRDefault="00442F4B" w:rsidP="00787B2F">
            <w:pPr>
              <w:spacing w:before="60"/>
              <w:jc w:val="center"/>
              <w:rPr>
                <w:sz w:val="18"/>
              </w:rPr>
            </w:pPr>
            <w:r>
              <w:rPr>
                <w:sz w:val="18"/>
              </w:rPr>
              <w:t>$</w:t>
            </w:r>
            <w:r w:rsidR="00A76CCC">
              <w:rPr>
                <w:sz w:val="18"/>
              </w:rPr>
              <w:t>20</w:t>
            </w:r>
            <w:r>
              <w:rPr>
                <w:sz w:val="18"/>
              </w:rPr>
              <w:t>.00</w:t>
            </w:r>
          </w:p>
        </w:tc>
        <w:tc>
          <w:tcPr>
            <w:tcW w:w="1010" w:type="dxa"/>
            <w:vAlign w:val="center"/>
          </w:tcPr>
          <w:p w:rsidR="006A7A96" w:rsidRPr="00E2322D" w:rsidRDefault="00C231FE" w:rsidP="00787B2F">
            <w:pPr>
              <w:spacing w:before="60"/>
              <w:jc w:val="center"/>
              <w:rPr>
                <w:sz w:val="18"/>
              </w:rPr>
            </w:pPr>
            <w:r>
              <w:rPr>
                <w:sz w:val="18"/>
              </w:rPr>
              <w:t>$</w:t>
            </w:r>
            <w:r w:rsidR="00787B2F">
              <w:rPr>
                <w:sz w:val="18"/>
              </w:rPr>
              <w:t>2,175,840</w:t>
            </w:r>
          </w:p>
        </w:tc>
      </w:tr>
      <w:tr w:rsidR="00A127D4" w:rsidTr="004B27A6">
        <w:tc>
          <w:tcPr>
            <w:tcW w:w="2126" w:type="dxa"/>
          </w:tcPr>
          <w:p w:rsidR="006A7A96" w:rsidRDefault="006A7A96" w:rsidP="004B27A6">
            <w:pPr>
              <w:spacing w:before="60"/>
              <w:rPr>
                <w:sz w:val="18"/>
              </w:rPr>
            </w:pPr>
            <w:r>
              <w:rPr>
                <w:sz w:val="18"/>
              </w:rPr>
              <w:t>Counseling (Covered under OMB Approval -2502-0261)</w:t>
            </w:r>
          </w:p>
          <w:p w:rsidR="006A7A96" w:rsidRPr="00E2322D" w:rsidRDefault="006A7A96" w:rsidP="004B27A6">
            <w:pPr>
              <w:spacing w:before="60"/>
              <w:rPr>
                <w:sz w:val="18"/>
              </w:rPr>
            </w:pPr>
            <w:r>
              <w:rPr>
                <w:sz w:val="18"/>
              </w:rPr>
              <w:t>(Affiliate Counselors )</w:t>
            </w:r>
          </w:p>
        </w:tc>
        <w:tc>
          <w:tcPr>
            <w:tcW w:w="1352" w:type="dxa"/>
            <w:vAlign w:val="center"/>
          </w:tcPr>
          <w:p w:rsidR="006A7A96" w:rsidRPr="00E2322D" w:rsidRDefault="00793516" w:rsidP="004B27A6">
            <w:pPr>
              <w:spacing w:before="60"/>
              <w:jc w:val="center"/>
              <w:rPr>
                <w:sz w:val="18"/>
              </w:rPr>
            </w:pPr>
            <w:r>
              <w:rPr>
                <w:sz w:val="18"/>
              </w:rPr>
              <w:t>36,264</w:t>
            </w:r>
          </w:p>
        </w:tc>
        <w:tc>
          <w:tcPr>
            <w:tcW w:w="1170" w:type="dxa"/>
            <w:vAlign w:val="center"/>
          </w:tcPr>
          <w:p w:rsidR="006A7A96" w:rsidRPr="00E2322D" w:rsidRDefault="00793516" w:rsidP="004B27A6">
            <w:pPr>
              <w:spacing w:before="60"/>
              <w:jc w:val="center"/>
              <w:rPr>
                <w:sz w:val="18"/>
              </w:rPr>
            </w:pPr>
            <w:r>
              <w:rPr>
                <w:sz w:val="18"/>
              </w:rPr>
              <w:t>*</w:t>
            </w:r>
          </w:p>
        </w:tc>
        <w:tc>
          <w:tcPr>
            <w:tcW w:w="1175" w:type="dxa"/>
            <w:vAlign w:val="center"/>
          </w:tcPr>
          <w:p w:rsidR="00793516" w:rsidRPr="00E2322D" w:rsidRDefault="00793516" w:rsidP="004B27A6">
            <w:pPr>
              <w:spacing w:before="60"/>
              <w:jc w:val="center"/>
              <w:rPr>
                <w:sz w:val="18"/>
              </w:rPr>
            </w:pPr>
            <w:r>
              <w:rPr>
                <w:sz w:val="18"/>
              </w:rPr>
              <w:t>*</w:t>
            </w:r>
          </w:p>
        </w:tc>
        <w:tc>
          <w:tcPr>
            <w:tcW w:w="1192" w:type="dxa"/>
            <w:vAlign w:val="center"/>
          </w:tcPr>
          <w:p w:rsidR="006A7A96" w:rsidRPr="00E2322D" w:rsidRDefault="00793516" w:rsidP="004B27A6">
            <w:pPr>
              <w:spacing w:before="60"/>
              <w:jc w:val="center"/>
              <w:rPr>
                <w:sz w:val="18"/>
              </w:rPr>
            </w:pPr>
            <w:r>
              <w:rPr>
                <w:sz w:val="18"/>
              </w:rPr>
              <w:t>*</w:t>
            </w:r>
          </w:p>
        </w:tc>
        <w:tc>
          <w:tcPr>
            <w:tcW w:w="1134" w:type="dxa"/>
            <w:vAlign w:val="center"/>
          </w:tcPr>
          <w:p w:rsidR="006A7A96" w:rsidRPr="00E2322D" w:rsidRDefault="00793516" w:rsidP="004B27A6">
            <w:pPr>
              <w:spacing w:before="60"/>
              <w:jc w:val="center"/>
              <w:rPr>
                <w:sz w:val="18"/>
              </w:rPr>
            </w:pPr>
            <w:r>
              <w:rPr>
                <w:sz w:val="18"/>
              </w:rPr>
              <w:t>0</w:t>
            </w:r>
          </w:p>
        </w:tc>
        <w:tc>
          <w:tcPr>
            <w:tcW w:w="1137" w:type="dxa"/>
            <w:vAlign w:val="center"/>
          </w:tcPr>
          <w:p w:rsidR="006A7A96" w:rsidRPr="00E2322D" w:rsidRDefault="006A7A96" w:rsidP="004B27A6">
            <w:pPr>
              <w:spacing w:before="60"/>
              <w:jc w:val="center"/>
              <w:rPr>
                <w:sz w:val="18"/>
              </w:rPr>
            </w:pPr>
            <w:r>
              <w:rPr>
                <w:sz w:val="18"/>
              </w:rPr>
              <w:t>0</w:t>
            </w:r>
          </w:p>
        </w:tc>
        <w:tc>
          <w:tcPr>
            <w:tcW w:w="1010" w:type="dxa"/>
            <w:vAlign w:val="center"/>
          </w:tcPr>
          <w:p w:rsidR="006A7A96" w:rsidRPr="00E2322D" w:rsidRDefault="006A7A96" w:rsidP="004B27A6">
            <w:pPr>
              <w:spacing w:before="60"/>
              <w:jc w:val="center"/>
              <w:rPr>
                <w:sz w:val="18"/>
              </w:rPr>
            </w:pPr>
            <w:r>
              <w:rPr>
                <w:sz w:val="18"/>
              </w:rPr>
              <w:t>0</w:t>
            </w:r>
          </w:p>
        </w:tc>
      </w:tr>
    </w:tbl>
    <w:p w:rsidR="001D2BB8" w:rsidRDefault="001D2BB8" w:rsidP="00984B0A">
      <w:pPr>
        <w:pStyle w:val="BodyTextIndent"/>
        <w:ind w:left="720"/>
        <w:rPr>
          <w:b/>
        </w:rPr>
      </w:pPr>
      <w:r w:rsidRPr="00071BF2">
        <w:rPr>
          <w:b/>
        </w:rPr>
        <w:tab/>
      </w:r>
    </w:p>
    <w:p w:rsidR="00787B2F" w:rsidRPr="00787B2F" w:rsidRDefault="00787B2F" w:rsidP="00F267FE">
      <w:pPr>
        <w:pStyle w:val="BodyTextIndent3"/>
        <w:tabs>
          <w:tab w:val="clear" w:pos="360"/>
        </w:tabs>
        <w:spacing w:before="120"/>
      </w:pPr>
      <w:r w:rsidRPr="00787B2F">
        <w:t xml:space="preserve">The estimated cost for the burden hours is computed at $20 per hour.  This labor rate is projected to be the average hourly salary of EHLP applicants (respondents) that will be providing the required data for program participation.  </w:t>
      </w:r>
    </w:p>
    <w:p w:rsidR="00C315AD" w:rsidRPr="00F54FEF" w:rsidRDefault="00C315AD" w:rsidP="00C315AD">
      <w:pPr>
        <w:keepLines/>
        <w:tabs>
          <w:tab w:val="left" w:pos="480"/>
        </w:tabs>
        <w:spacing w:after="80"/>
        <w:ind w:left="480"/>
        <w:rPr>
          <w:b/>
          <w:color w:val="FF0000"/>
          <w:sz w:val="18"/>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recordkeepers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r>
        <w:rPr>
          <w:b/>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rsidP="006A44E9">
      <w:pPr>
        <w:keepLines/>
        <w:tabs>
          <w:tab w:val="left" w:pos="360"/>
          <w:tab w:val="left" w:pos="720"/>
        </w:tabs>
        <w:ind w:left="336"/>
        <w:rPr>
          <w:sz w:val="22"/>
        </w:rPr>
      </w:pPr>
      <w:r>
        <w:rPr>
          <w:sz w:val="22"/>
        </w:rPr>
        <w:t xml:space="preserve">There are no </w:t>
      </w:r>
      <w:r w:rsidR="0050215A">
        <w:rPr>
          <w:sz w:val="22"/>
        </w:rPr>
        <w:t>additiona</w:t>
      </w:r>
      <w:r w:rsidR="00B4035E">
        <w:rPr>
          <w:sz w:val="22"/>
        </w:rPr>
        <w:t xml:space="preserve">l costs to respondent </w:t>
      </w:r>
      <w:r w:rsidR="00227C9D">
        <w:rPr>
          <w:sz w:val="22"/>
        </w:rPr>
        <w:t>(EHLP) applicants.</w:t>
      </w:r>
    </w:p>
    <w:p w:rsidR="00854015" w:rsidRPr="00071BF2" w:rsidRDefault="00854015">
      <w:pPr>
        <w:tabs>
          <w:tab w:val="left" w:pos="360"/>
        </w:tabs>
        <w:ind w:left="360" w:hanging="360"/>
        <w:rPr>
          <w:sz w:val="18"/>
          <w:szCs w:val="18"/>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315AD" w:rsidRDefault="00C315AD">
      <w:pPr>
        <w:pStyle w:val="BodyTextIndent"/>
        <w:rPr>
          <w:b/>
        </w:rPr>
      </w:pPr>
    </w:p>
    <w:p w:rsidR="007C6ED2" w:rsidRDefault="007C6ED2">
      <w:pPr>
        <w:pStyle w:val="BodyTextInden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0"/>
        <w:gridCol w:w="1112"/>
        <w:gridCol w:w="1204"/>
        <w:gridCol w:w="1140"/>
        <w:gridCol w:w="981"/>
        <w:gridCol w:w="1140"/>
        <w:gridCol w:w="1026"/>
      </w:tblGrid>
      <w:tr w:rsidR="00C315AD" w:rsidRPr="00E2322D" w:rsidTr="0006779A">
        <w:tc>
          <w:tcPr>
            <w:tcW w:w="1440" w:type="dxa"/>
            <w:vAlign w:val="center"/>
          </w:tcPr>
          <w:p w:rsidR="00C315AD" w:rsidRPr="00E2322D" w:rsidRDefault="00C315AD" w:rsidP="0006779A">
            <w:pPr>
              <w:pStyle w:val="BodyTextIndent"/>
              <w:tabs>
                <w:tab w:val="clear" w:pos="360"/>
              </w:tabs>
              <w:ind w:left="0" w:firstLine="0"/>
              <w:rPr>
                <w:b/>
              </w:rPr>
            </w:pPr>
            <w:r w:rsidRPr="00E2322D">
              <w:rPr>
                <w:b/>
              </w:rPr>
              <w:t>Information Collection</w:t>
            </w:r>
          </w:p>
        </w:tc>
        <w:tc>
          <w:tcPr>
            <w:tcW w:w="1350" w:type="dxa"/>
            <w:vAlign w:val="center"/>
          </w:tcPr>
          <w:p w:rsidR="00C315AD" w:rsidRPr="00E2322D" w:rsidRDefault="00C315AD" w:rsidP="0006779A">
            <w:pPr>
              <w:pStyle w:val="BodyTextIndent"/>
              <w:tabs>
                <w:tab w:val="clear" w:pos="360"/>
              </w:tabs>
              <w:ind w:left="0" w:firstLine="0"/>
              <w:rPr>
                <w:b/>
              </w:rPr>
            </w:pPr>
            <w:r w:rsidRPr="00E2322D">
              <w:rPr>
                <w:b/>
              </w:rPr>
              <w:t>Number of Responses</w:t>
            </w:r>
          </w:p>
        </w:tc>
        <w:tc>
          <w:tcPr>
            <w:tcW w:w="1112" w:type="dxa"/>
            <w:vAlign w:val="center"/>
          </w:tcPr>
          <w:p w:rsidR="00C315AD" w:rsidRPr="00E2322D" w:rsidRDefault="00C315AD" w:rsidP="0006779A">
            <w:pPr>
              <w:pStyle w:val="BodyTextIndent"/>
              <w:tabs>
                <w:tab w:val="clear" w:pos="360"/>
              </w:tabs>
              <w:ind w:left="-18" w:firstLine="18"/>
              <w:rPr>
                <w:b/>
              </w:rPr>
            </w:pPr>
            <w:r w:rsidRPr="00E2322D">
              <w:rPr>
                <w:b/>
              </w:rPr>
              <w:t>Frequency of Response</w:t>
            </w:r>
          </w:p>
        </w:tc>
        <w:tc>
          <w:tcPr>
            <w:tcW w:w="1204" w:type="dxa"/>
            <w:vAlign w:val="center"/>
          </w:tcPr>
          <w:p w:rsidR="00C315AD" w:rsidRPr="00E2322D" w:rsidRDefault="00C315AD" w:rsidP="0006779A">
            <w:pPr>
              <w:pStyle w:val="BodyTextIndent"/>
              <w:rPr>
                <w:b/>
              </w:rPr>
            </w:pPr>
            <w:r w:rsidRPr="00E2322D">
              <w:rPr>
                <w:b/>
              </w:rPr>
              <w:t>Responses</w:t>
            </w:r>
          </w:p>
          <w:p w:rsidR="00C315AD" w:rsidRPr="00E2322D" w:rsidRDefault="00C315AD" w:rsidP="0006779A">
            <w:pPr>
              <w:pStyle w:val="BodyTextIndent"/>
              <w:rPr>
                <w:b/>
              </w:rPr>
            </w:pPr>
            <w:r w:rsidRPr="00E2322D">
              <w:rPr>
                <w:b/>
              </w:rPr>
              <w:t>Per Annum</w:t>
            </w:r>
          </w:p>
        </w:tc>
        <w:tc>
          <w:tcPr>
            <w:tcW w:w="1140" w:type="dxa"/>
            <w:vAlign w:val="center"/>
          </w:tcPr>
          <w:p w:rsidR="00C315AD" w:rsidRPr="00E2322D" w:rsidRDefault="00C315AD" w:rsidP="0006779A">
            <w:pPr>
              <w:pStyle w:val="BodyTextIndent"/>
              <w:tabs>
                <w:tab w:val="clear" w:pos="360"/>
              </w:tabs>
              <w:ind w:left="6" w:hanging="6"/>
              <w:rPr>
                <w:b/>
              </w:rPr>
            </w:pPr>
            <w:r w:rsidRPr="00E2322D">
              <w:rPr>
                <w:b/>
              </w:rPr>
              <w:t>Burden Hour Per Response</w:t>
            </w:r>
          </w:p>
        </w:tc>
        <w:tc>
          <w:tcPr>
            <w:tcW w:w="981" w:type="dxa"/>
            <w:vAlign w:val="center"/>
          </w:tcPr>
          <w:p w:rsidR="00C315AD" w:rsidRPr="00E2322D" w:rsidRDefault="00C315AD" w:rsidP="0006779A">
            <w:pPr>
              <w:pStyle w:val="BodyTextIndent"/>
              <w:tabs>
                <w:tab w:val="clear" w:pos="360"/>
              </w:tabs>
              <w:ind w:left="6" w:hanging="6"/>
              <w:rPr>
                <w:b/>
              </w:rPr>
            </w:pPr>
            <w:r w:rsidRPr="00E2322D">
              <w:rPr>
                <w:b/>
              </w:rPr>
              <w:t>Annual Burden Hours</w:t>
            </w:r>
          </w:p>
        </w:tc>
        <w:tc>
          <w:tcPr>
            <w:tcW w:w="1140" w:type="dxa"/>
            <w:vAlign w:val="center"/>
          </w:tcPr>
          <w:p w:rsidR="00C315AD" w:rsidRPr="00E2322D" w:rsidRDefault="00C315AD" w:rsidP="0006779A">
            <w:pPr>
              <w:pStyle w:val="BodyTextIndent"/>
              <w:tabs>
                <w:tab w:val="clear" w:pos="360"/>
              </w:tabs>
              <w:ind w:left="6" w:hanging="6"/>
              <w:rPr>
                <w:b/>
              </w:rPr>
            </w:pPr>
            <w:r w:rsidRPr="00E2322D">
              <w:rPr>
                <w:b/>
              </w:rPr>
              <w:t>Hourly Cost Per Response</w:t>
            </w:r>
          </w:p>
        </w:tc>
        <w:tc>
          <w:tcPr>
            <w:tcW w:w="1017" w:type="dxa"/>
            <w:vAlign w:val="center"/>
          </w:tcPr>
          <w:p w:rsidR="00C315AD" w:rsidRPr="00E2322D" w:rsidRDefault="00C315AD" w:rsidP="0006779A">
            <w:pPr>
              <w:pStyle w:val="BodyTextIndent"/>
              <w:tabs>
                <w:tab w:val="clear" w:pos="360"/>
              </w:tabs>
              <w:ind w:left="6" w:hanging="6"/>
              <w:rPr>
                <w:b/>
              </w:rPr>
            </w:pPr>
            <w:r w:rsidRPr="00E2322D">
              <w:rPr>
                <w:b/>
              </w:rPr>
              <w:t>Annual Cost</w:t>
            </w:r>
          </w:p>
          <w:p w:rsidR="00C315AD" w:rsidRPr="00E2322D" w:rsidRDefault="00C315AD" w:rsidP="0006779A">
            <w:pPr>
              <w:pStyle w:val="BodyTextIndent"/>
              <w:tabs>
                <w:tab w:val="clear" w:pos="360"/>
              </w:tabs>
              <w:ind w:left="6" w:hanging="6"/>
              <w:rPr>
                <w:b/>
              </w:rPr>
            </w:pPr>
          </w:p>
        </w:tc>
      </w:tr>
      <w:tr w:rsidR="007C6ED2" w:rsidRPr="00E2322D" w:rsidTr="0006779A">
        <w:tc>
          <w:tcPr>
            <w:tcW w:w="1440" w:type="dxa"/>
          </w:tcPr>
          <w:p w:rsidR="007C6ED2" w:rsidRDefault="007C6ED2" w:rsidP="007C6ED2">
            <w:pPr>
              <w:spacing w:before="60"/>
              <w:rPr>
                <w:sz w:val="18"/>
              </w:rPr>
            </w:pPr>
          </w:p>
          <w:p w:rsidR="00434746" w:rsidRDefault="00434746" w:rsidP="007C6ED2">
            <w:pPr>
              <w:spacing w:before="60"/>
              <w:rPr>
                <w:sz w:val="18"/>
              </w:rPr>
            </w:pPr>
          </w:p>
        </w:tc>
        <w:tc>
          <w:tcPr>
            <w:tcW w:w="1350" w:type="dxa"/>
            <w:vAlign w:val="center"/>
          </w:tcPr>
          <w:p w:rsidR="007C6ED2" w:rsidRPr="00E2322D" w:rsidRDefault="00AA69E0" w:rsidP="0006779A">
            <w:pPr>
              <w:spacing w:before="60"/>
              <w:jc w:val="center"/>
              <w:rPr>
                <w:sz w:val="18"/>
              </w:rPr>
            </w:pPr>
            <w:r>
              <w:rPr>
                <w:sz w:val="18"/>
              </w:rPr>
              <w:t>36,264</w:t>
            </w:r>
          </w:p>
        </w:tc>
        <w:tc>
          <w:tcPr>
            <w:tcW w:w="1112" w:type="dxa"/>
            <w:vAlign w:val="center"/>
          </w:tcPr>
          <w:p w:rsidR="007C6ED2" w:rsidRPr="00E2322D" w:rsidRDefault="00B50E58" w:rsidP="00B50E58">
            <w:pPr>
              <w:spacing w:before="60"/>
              <w:jc w:val="center"/>
              <w:rPr>
                <w:sz w:val="18"/>
              </w:rPr>
            </w:pPr>
            <w:r>
              <w:rPr>
                <w:sz w:val="18"/>
              </w:rPr>
              <w:t>1</w:t>
            </w:r>
          </w:p>
        </w:tc>
        <w:tc>
          <w:tcPr>
            <w:tcW w:w="1204" w:type="dxa"/>
            <w:vAlign w:val="center"/>
          </w:tcPr>
          <w:p w:rsidR="007C6ED2" w:rsidRPr="00E2322D" w:rsidRDefault="00AA69E0" w:rsidP="0006779A">
            <w:pPr>
              <w:spacing w:before="60"/>
              <w:jc w:val="center"/>
              <w:rPr>
                <w:sz w:val="18"/>
              </w:rPr>
            </w:pPr>
            <w:r>
              <w:rPr>
                <w:sz w:val="18"/>
              </w:rPr>
              <w:t>36,264</w:t>
            </w:r>
          </w:p>
        </w:tc>
        <w:tc>
          <w:tcPr>
            <w:tcW w:w="1140" w:type="dxa"/>
            <w:vAlign w:val="center"/>
          </w:tcPr>
          <w:p w:rsidR="007C6ED2" w:rsidRPr="00E2322D" w:rsidRDefault="00B50E58" w:rsidP="0006779A">
            <w:pPr>
              <w:spacing w:before="60"/>
              <w:jc w:val="center"/>
              <w:rPr>
                <w:sz w:val="18"/>
              </w:rPr>
            </w:pPr>
            <w:r>
              <w:rPr>
                <w:sz w:val="18"/>
              </w:rPr>
              <w:t>3</w:t>
            </w:r>
          </w:p>
        </w:tc>
        <w:tc>
          <w:tcPr>
            <w:tcW w:w="981" w:type="dxa"/>
            <w:vAlign w:val="center"/>
          </w:tcPr>
          <w:p w:rsidR="007C6ED2" w:rsidRPr="00E2322D" w:rsidRDefault="00AA69E0" w:rsidP="0006779A">
            <w:pPr>
              <w:spacing w:before="60"/>
              <w:jc w:val="center"/>
              <w:rPr>
                <w:sz w:val="18"/>
              </w:rPr>
            </w:pPr>
            <w:r>
              <w:rPr>
                <w:sz w:val="18"/>
              </w:rPr>
              <w:t>108,792</w:t>
            </w:r>
          </w:p>
        </w:tc>
        <w:tc>
          <w:tcPr>
            <w:tcW w:w="1140" w:type="dxa"/>
            <w:vAlign w:val="center"/>
          </w:tcPr>
          <w:p w:rsidR="007C6ED2" w:rsidRPr="00E2322D" w:rsidRDefault="007F74B2" w:rsidP="0006779A">
            <w:pPr>
              <w:spacing w:before="60"/>
              <w:jc w:val="center"/>
              <w:rPr>
                <w:sz w:val="18"/>
              </w:rPr>
            </w:pPr>
            <w:r>
              <w:rPr>
                <w:sz w:val="18"/>
              </w:rPr>
              <w:t>$48.00</w:t>
            </w:r>
          </w:p>
        </w:tc>
        <w:tc>
          <w:tcPr>
            <w:tcW w:w="1017" w:type="dxa"/>
            <w:vAlign w:val="center"/>
          </w:tcPr>
          <w:p w:rsidR="007C6ED2" w:rsidRPr="00E2322D" w:rsidRDefault="007F74B2" w:rsidP="0006779A">
            <w:pPr>
              <w:spacing w:before="60"/>
              <w:jc w:val="center"/>
              <w:rPr>
                <w:sz w:val="18"/>
              </w:rPr>
            </w:pPr>
            <w:r>
              <w:rPr>
                <w:sz w:val="18"/>
              </w:rPr>
              <w:t>$5,222,016</w:t>
            </w:r>
          </w:p>
        </w:tc>
      </w:tr>
    </w:tbl>
    <w:p w:rsidR="00F54FEF" w:rsidRPr="001D2BB8" w:rsidRDefault="00F54FEF" w:rsidP="00767516">
      <w:pPr>
        <w:pStyle w:val="BodyTextIndent"/>
        <w:ind w:left="720"/>
      </w:pPr>
      <w:r>
        <w:rPr>
          <w:b/>
        </w:rPr>
        <w:tab/>
      </w:r>
      <w:r w:rsidR="00767516">
        <w:t>The hourly cost is based</w:t>
      </w:r>
      <w:r w:rsidR="00B4035E">
        <w:t xml:space="preserve"> on the annual salary of a GS-1</w:t>
      </w:r>
      <w:r w:rsidR="007C6ED2">
        <w:t>3</w:t>
      </w:r>
      <w:r w:rsidR="00767516">
        <w:t xml:space="preserve"> midpoint level in the </w:t>
      </w:r>
      <w:r w:rsidR="00B4035E">
        <w:t xml:space="preserve">salary </w:t>
      </w:r>
      <w:r w:rsidR="00767516">
        <w:t>table for DC-MD-VA-WV-PA.</w:t>
      </w:r>
    </w:p>
    <w:p w:rsidR="00854015" w:rsidRDefault="00854015">
      <w:pPr>
        <w:pStyle w:val="BodyTextIndent"/>
        <w:rPr>
          <w:b/>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854015" w:rsidRDefault="00C315AD" w:rsidP="006A44E9">
      <w:pPr>
        <w:keepLines/>
        <w:tabs>
          <w:tab w:val="left" w:pos="360"/>
          <w:tab w:val="left" w:pos="720"/>
        </w:tabs>
        <w:ind w:left="360"/>
        <w:rPr>
          <w:sz w:val="18"/>
        </w:rPr>
      </w:pPr>
      <w:r>
        <w:rPr>
          <w:sz w:val="22"/>
        </w:rPr>
        <w:t xml:space="preserve">This is a request for a new information collection. The collection is </w:t>
      </w:r>
      <w:r w:rsidR="00DD10EC">
        <w:rPr>
          <w:sz w:val="22"/>
        </w:rPr>
        <w:t xml:space="preserve">required </w:t>
      </w:r>
      <w:r w:rsidR="00323479">
        <w:rPr>
          <w:sz w:val="22"/>
        </w:rPr>
        <w:t xml:space="preserve">to determine </w:t>
      </w:r>
      <w:r w:rsidR="002A6AD1">
        <w:rPr>
          <w:sz w:val="22"/>
        </w:rPr>
        <w:t xml:space="preserve">homeowner </w:t>
      </w:r>
      <w:r w:rsidR="00323479">
        <w:rPr>
          <w:sz w:val="22"/>
        </w:rPr>
        <w:t xml:space="preserve">eligibility to participate in the </w:t>
      </w:r>
      <w:r w:rsidR="002A6AD1">
        <w:rPr>
          <w:sz w:val="22"/>
        </w:rPr>
        <w:t>Emergency Homeowners Loan P</w:t>
      </w:r>
      <w:r w:rsidR="00323479">
        <w:rPr>
          <w:sz w:val="22"/>
        </w:rPr>
        <w:t>rogram</w:t>
      </w:r>
      <w:r w:rsidR="00227C9D">
        <w:rPr>
          <w:sz w:val="22"/>
        </w:rPr>
        <w:t>.</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rsidP="006A44E9">
      <w:pPr>
        <w:keepLines/>
        <w:tabs>
          <w:tab w:val="left" w:pos="360"/>
          <w:tab w:val="left" w:pos="720"/>
        </w:tabs>
        <w:ind w:left="360"/>
        <w:rPr>
          <w:sz w:val="18"/>
        </w:rPr>
      </w:pPr>
      <w:r>
        <w:rPr>
          <w:sz w:val="22"/>
        </w:rPr>
        <w:t>The information 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t>If seeking approval to not display the expiration date for OMB approval of the information collection, explain the reasons that display would be inappropriate.</w:t>
      </w:r>
    </w:p>
    <w:p w:rsidR="00854015" w:rsidRDefault="00854015" w:rsidP="006A44E9">
      <w:pPr>
        <w:keepLines/>
        <w:tabs>
          <w:tab w:val="left" w:pos="360"/>
          <w:tab w:val="left" w:pos="720"/>
        </w:tabs>
        <w:ind w:left="360"/>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rsidP="006A44E9">
      <w:pPr>
        <w:keepLines/>
        <w:tabs>
          <w:tab w:val="left" w:pos="360"/>
          <w:tab w:val="left" w:pos="720"/>
        </w:tabs>
        <w:ind w:left="360"/>
      </w:pPr>
      <w:r>
        <w:rPr>
          <w:sz w:val="22"/>
        </w:rPr>
        <w:t>There are no exceptions to the certification statement identified in item 19.</w:t>
      </w:r>
      <w:r>
        <w:t xml:space="preserve"> </w:t>
      </w:r>
    </w:p>
    <w:p w:rsidR="006A44E9" w:rsidRDefault="006A44E9">
      <w:pPr>
        <w:overflowPunct/>
        <w:autoSpaceDE/>
        <w:autoSpaceDN/>
        <w:adjustRightInd/>
        <w:textAlignment w:val="auto"/>
        <w:rPr>
          <w:rFonts w:ascii="Helvetica" w:hAnsi="Helvetica"/>
          <w:b/>
          <w:sz w:val="18"/>
        </w:rPr>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rsidP="006A44E9">
      <w:pPr>
        <w:pStyle w:val="BodyTextIndent3"/>
        <w:tabs>
          <w:tab w:val="left" w:pos="720"/>
        </w:tabs>
        <w:spacing w:after="0"/>
        <w:rPr>
          <w:rFonts w:ascii="Helvetica" w:hAnsi="Helvetica"/>
          <w:sz w:val="16"/>
        </w:rPr>
      </w:pPr>
      <w:r>
        <w:t>This collection will not employ statistical methods.</w:t>
      </w:r>
    </w:p>
    <w:sectPr w:rsidR="00854015" w:rsidSect="0024537D">
      <w:headerReference w:type="default" r:id="rId7"/>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CCC" w:rsidRDefault="00A76CCC">
      <w:r>
        <w:separator/>
      </w:r>
    </w:p>
  </w:endnote>
  <w:endnote w:type="continuationSeparator" w:id="0">
    <w:p w:rsidR="00A76CCC" w:rsidRDefault="00A76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CCC" w:rsidRDefault="00A76CCC">
      <w:r>
        <w:separator/>
      </w:r>
    </w:p>
  </w:footnote>
  <w:footnote w:type="continuationSeparator" w:id="0">
    <w:p w:rsidR="00A76CCC" w:rsidRDefault="00A76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CC" w:rsidRDefault="00A76C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FFE679B"/>
    <w:multiLevelType w:val="hybridMultilevel"/>
    <w:tmpl w:val="FCB2E7DC"/>
    <w:lvl w:ilvl="0" w:tplc="053E6630">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10"/>
  </w:num>
  <w:num w:numId="4">
    <w:abstractNumId w:val="7"/>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4"/>
  </w:num>
  <w:num w:numId="9">
    <w:abstractNumId w:val="1"/>
  </w:num>
  <w:num w:numId="10">
    <w:abstractNumId w:val="13"/>
  </w:num>
  <w:num w:numId="11">
    <w:abstractNumId w:val="12"/>
  </w:num>
  <w:num w:numId="1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5"/>
  </w:num>
  <w:num w:numId="16">
    <w:abstractNumId w:val="6"/>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015DC3"/>
    <w:rsid w:val="00025D09"/>
    <w:rsid w:val="0002710D"/>
    <w:rsid w:val="000274FD"/>
    <w:rsid w:val="00041597"/>
    <w:rsid w:val="0004179B"/>
    <w:rsid w:val="0006779A"/>
    <w:rsid w:val="00071BF2"/>
    <w:rsid w:val="00095483"/>
    <w:rsid w:val="000B128C"/>
    <w:rsid w:val="000B42AC"/>
    <w:rsid w:val="000C66C8"/>
    <w:rsid w:val="000D4633"/>
    <w:rsid w:val="000D47F0"/>
    <w:rsid w:val="000D49A8"/>
    <w:rsid w:val="000F0DFE"/>
    <w:rsid w:val="000F37C1"/>
    <w:rsid w:val="00111B6B"/>
    <w:rsid w:val="00136EB4"/>
    <w:rsid w:val="00193D0E"/>
    <w:rsid w:val="001C2179"/>
    <w:rsid w:val="001D2BB8"/>
    <w:rsid w:val="001D4A65"/>
    <w:rsid w:val="001F07F8"/>
    <w:rsid w:val="001F757D"/>
    <w:rsid w:val="0020050B"/>
    <w:rsid w:val="00202568"/>
    <w:rsid w:val="00220CD0"/>
    <w:rsid w:val="00227C9D"/>
    <w:rsid w:val="0023100B"/>
    <w:rsid w:val="00233097"/>
    <w:rsid w:val="0024537D"/>
    <w:rsid w:val="00290A37"/>
    <w:rsid w:val="00294BE2"/>
    <w:rsid w:val="00296190"/>
    <w:rsid w:val="002A6AD1"/>
    <w:rsid w:val="002B541A"/>
    <w:rsid w:val="002C6D5A"/>
    <w:rsid w:val="002D1B56"/>
    <w:rsid w:val="0030106A"/>
    <w:rsid w:val="00323479"/>
    <w:rsid w:val="00330A07"/>
    <w:rsid w:val="00345B2F"/>
    <w:rsid w:val="0035666C"/>
    <w:rsid w:val="003574B5"/>
    <w:rsid w:val="00360BF3"/>
    <w:rsid w:val="0036104D"/>
    <w:rsid w:val="0036371F"/>
    <w:rsid w:val="00373F9C"/>
    <w:rsid w:val="00377DAC"/>
    <w:rsid w:val="00387FF1"/>
    <w:rsid w:val="00397F75"/>
    <w:rsid w:val="003A53CC"/>
    <w:rsid w:val="003C4F1C"/>
    <w:rsid w:val="003D3477"/>
    <w:rsid w:val="00415468"/>
    <w:rsid w:val="00415588"/>
    <w:rsid w:val="00420BA8"/>
    <w:rsid w:val="004313A0"/>
    <w:rsid w:val="00434746"/>
    <w:rsid w:val="00442F4B"/>
    <w:rsid w:val="0045068A"/>
    <w:rsid w:val="00471E13"/>
    <w:rsid w:val="0047496F"/>
    <w:rsid w:val="00476B50"/>
    <w:rsid w:val="00497943"/>
    <w:rsid w:val="004A49F4"/>
    <w:rsid w:val="004B27A6"/>
    <w:rsid w:val="004D1264"/>
    <w:rsid w:val="004D3350"/>
    <w:rsid w:val="004D70B1"/>
    <w:rsid w:val="004E4308"/>
    <w:rsid w:val="0050215A"/>
    <w:rsid w:val="00522BC7"/>
    <w:rsid w:val="00526C4D"/>
    <w:rsid w:val="00530C48"/>
    <w:rsid w:val="00565A0B"/>
    <w:rsid w:val="00565E48"/>
    <w:rsid w:val="00570BDD"/>
    <w:rsid w:val="00571ECA"/>
    <w:rsid w:val="00581786"/>
    <w:rsid w:val="00583401"/>
    <w:rsid w:val="00586082"/>
    <w:rsid w:val="00592F58"/>
    <w:rsid w:val="00593123"/>
    <w:rsid w:val="00595481"/>
    <w:rsid w:val="00597A10"/>
    <w:rsid w:val="005A1120"/>
    <w:rsid w:val="005A3E8E"/>
    <w:rsid w:val="005A70F4"/>
    <w:rsid w:val="005B4977"/>
    <w:rsid w:val="005B6C26"/>
    <w:rsid w:val="005C23D3"/>
    <w:rsid w:val="005C5497"/>
    <w:rsid w:val="005E1769"/>
    <w:rsid w:val="005E5816"/>
    <w:rsid w:val="005F4A06"/>
    <w:rsid w:val="005F4BB3"/>
    <w:rsid w:val="00611804"/>
    <w:rsid w:val="00642CDD"/>
    <w:rsid w:val="00654E11"/>
    <w:rsid w:val="0066480D"/>
    <w:rsid w:val="00670938"/>
    <w:rsid w:val="0069714E"/>
    <w:rsid w:val="006A01A3"/>
    <w:rsid w:val="006A0822"/>
    <w:rsid w:val="006A44E9"/>
    <w:rsid w:val="006A7A96"/>
    <w:rsid w:val="006B25FE"/>
    <w:rsid w:val="006C193A"/>
    <w:rsid w:val="006C261B"/>
    <w:rsid w:val="006D4DF0"/>
    <w:rsid w:val="006E7F1E"/>
    <w:rsid w:val="006F3503"/>
    <w:rsid w:val="0072371C"/>
    <w:rsid w:val="00731029"/>
    <w:rsid w:val="007528B2"/>
    <w:rsid w:val="0076244C"/>
    <w:rsid w:val="00767516"/>
    <w:rsid w:val="00775D7A"/>
    <w:rsid w:val="00787B2F"/>
    <w:rsid w:val="00793516"/>
    <w:rsid w:val="007A277A"/>
    <w:rsid w:val="007C6ED2"/>
    <w:rsid w:val="007F156C"/>
    <w:rsid w:val="007F74B2"/>
    <w:rsid w:val="00841B6C"/>
    <w:rsid w:val="00850843"/>
    <w:rsid w:val="00854015"/>
    <w:rsid w:val="008B0704"/>
    <w:rsid w:val="008B5A01"/>
    <w:rsid w:val="008C6261"/>
    <w:rsid w:val="008F3827"/>
    <w:rsid w:val="00917576"/>
    <w:rsid w:val="009416C0"/>
    <w:rsid w:val="00965BCF"/>
    <w:rsid w:val="00984B0A"/>
    <w:rsid w:val="00994767"/>
    <w:rsid w:val="009E6D2B"/>
    <w:rsid w:val="009F2FB1"/>
    <w:rsid w:val="009F3546"/>
    <w:rsid w:val="009F385E"/>
    <w:rsid w:val="009F45D0"/>
    <w:rsid w:val="009F621C"/>
    <w:rsid w:val="00A02E1E"/>
    <w:rsid w:val="00A127D4"/>
    <w:rsid w:val="00A42E9C"/>
    <w:rsid w:val="00A74056"/>
    <w:rsid w:val="00A76CCC"/>
    <w:rsid w:val="00A77D09"/>
    <w:rsid w:val="00A826B4"/>
    <w:rsid w:val="00AA69E0"/>
    <w:rsid w:val="00AB2603"/>
    <w:rsid w:val="00AE3489"/>
    <w:rsid w:val="00AF0244"/>
    <w:rsid w:val="00AF056C"/>
    <w:rsid w:val="00B022A2"/>
    <w:rsid w:val="00B06FC8"/>
    <w:rsid w:val="00B140FC"/>
    <w:rsid w:val="00B37336"/>
    <w:rsid w:val="00B4035E"/>
    <w:rsid w:val="00B430AB"/>
    <w:rsid w:val="00B50E58"/>
    <w:rsid w:val="00B9789F"/>
    <w:rsid w:val="00BC2702"/>
    <w:rsid w:val="00BD5DCC"/>
    <w:rsid w:val="00BE1147"/>
    <w:rsid w:val="00BE6738"/>
    <w:rsid w:val="00BF2ED1"/>
    <w:rsid w:val="00C231FE"/>
    <w:rsid w:val="00C315AD"/>
    <w:rsid w:val="00C32C6D"/>
    <w:rsid w:val="00C51C3C"/>
    <w:rsid w:val="00C543F8"/>
    <w:rsid w:val="00C7278F"/>
    <w:rsid w:val="00C8405D"/>
    <w:rsid w:val="00C85502"/>
    <w:rsid w:val="00C8783E"/>
    <w:rsid w:val="00CA08AA"/>
    <w:rsid w:val="00CB7AEA"/>
    <w:rsid w:val="00CC5400"/>
    <w:rsid w:val="00CC5F86"/>
    <w:rsid w:val="00CE3BDF"/>
    <w:rsid w:val="00CE4DDB"/>
    <w:rsid w:val="00CF182A"/>
    <w:rsid w:val="00CF5B34"/>
    <w:rsid w:val="00D00136"/>
    <w:rsid w:val="00D06C46"/>
    <w:rsid w:val="00D13119"/>
    <w:rsid w:val="00D151C5"/>
    <w:rsid w:val="00D30299"/>
    <w:rsid w:val="00D31B18"/>
    <w:rsid w:val="00D365AA"/>
    <w:rsid w:val="00D547CE"/>
    <w:rsid w:val="00D7117F"/>
    <w:rsid w:val="00D71862"/>
    <w:rsid w:val="00DB7AFC"/>
    <w:rsid w:val="00DC2572"/>
    <w:rsid w:val="00DD10EC"/>
    <w:rsid w:val="00DD54B2"/>
    <w:rsid w:val="00DE4962"/>
    <w:rsid w:val="00DE564E"/>
    <w:rsid w:val="00DF6F7F"/>
    <w:rsid w:val="00E003E9"/>
    <w:rsid w:val="00E1020B"/>
    <w:rsid w:val="00E2322D"/>
    <w:rsid w:val="00E24975"/>
    <w:rsid w:val="00E32D3A"/>
    <w:rsid w:val="00E4164D"/>
    <w:rsid w:val="00E60E91"/>
    <w:rsid w:val="00E721AC"/>
    <w:rsid w:val="00E94B0D"/>
    <w:rsid w:val="00EB421A"/>
    <w:rsid w:val="00EB6F59"/>
    <w:rsid w:val="00ED206C"/>
    <w:rsid w:val="00EE0C1C"/>
    <w:rsid w:val="00EF5A7B"/>
    <w:rsid w:val="00F0203A"/>
    <w:rsid w:val="00F12C1E"/>
    <w:rsid w:val="00F267FE"/>
    <w:rsid w:val="00F41BA9"/>
    <w:rsid w:val="00F54FEF"/>
    <w:rsid w:val="00F81441"/>
    <w:rsid w:val="00FB21AA"/>
    <w:rsid w:val="00FB28FC"/>
    <w:rsid w:val="00FB61D8"/>
    <w:rsid w:val="00FB74FC"/>
    <w:rsid w:val="00FC771D"/>
    <w:rsid w:val="00FD2BF0"/>
    <w:rsid w:val="00FF3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paragraph" w:styleId="ListParagraph">
    <w:name w:val="List Paragraph"/>
    <w:basedOn w:val="Normal"/>
    <w:uiPriority w:val="34"/>
    <w:qFormat/>
    <w:rsid w:val="006A44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2397</Words>
  <Characters>13836</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16201</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h18889</cp:lastModifiedBy>
  <cp:revision>3</cp:revision>
  <cp:lastPrinted>2011-01-06T18:39:00Z</cp:lastPrinted>
  <dcterms:created xsi:type="dcterms:W3CDTF">2011-01-20T21:36:00Z</dcterms:created>
  <dcterms:modified xsi:type="dcterms:W3CDTF">2011-01-20T21:37:00Z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-505682788</vt:i4>
  </property>
  <property fmtid="{D5CDD505-2E9C-101B-9397-08002B2CF9AE}" pid="3" name="_NewReviewCycle">
    <vt:lpwstr/>
  </property>
  <property fmtid="{D5CDD505-2E9C-101B-9397-08002B2CF9AE}" pid="4" name="_EmailSubject">
    <vt:lpwstr>Emergency PRA Submission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843502571</vt:i4>
  </property>
  <property fmtid="{D5CDD505-2E9C-101B-9397-08002B2CF9AE}" pid="8" name="_ReviewingToolsShownOnce">
    <vt:lpwstr/>
  </property>
</Properties>
</file>