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Default Extension="emf" ContentType="image/x-emf"/>
  <Default Extension="wmf" ContentType="image/x-wmf"/>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bin" ContentType="application/vnd.openxmlformats-officedocument.oleObject"/>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423" w:rsidRDefault="007C5423" w:rsidP="003077AF">
      <w:pPr>
        <w:tabs>
          <w:tab w:val="left" w:pos="2070"/>
        </w:tabs>
      </w:pPr>
      <w:bookmarkStart w:id="0" w:name="_Toc146530915"/>
      <w:bookmarkStart w:id="1" w:name="_Toc268593743"/>
      <w:bookmarkEnd w:id="0"/>
    </w:p>
    <w:p w:rsidR="007C5423" w:rsidRDefault="007C5423" w:rsidP="003077AF"/>
    <w:p w:rsidR="007C5423" w:rsidRDefault="007C5423" w:rsidP="003077AF"/>
    <w:p w:rsidR="007C5423" w:rsidRDefault="007C5423" w:rsidP="003077AF"/>
    <w:p w:rsidR="007C5423" w:rsidRDefault="007C5423" w:rsidP="003077AF"/>
    <w:p w:rsidR="007C5423" w:rsidRDefault="007C5423" w:rsidP="003077AF"/>
    <w:p w:rsidR="007C5423" w:rsidRDefault="007C5423" w:rsidP="003077AF"/>
    <w:p w:rsidR="007C5423" w:rsidRDefault="007C5423" w:rsidP="003077AF">
      <w:pPr>
        <w:pStyle w:val="Cov-Title"/>
      </w:pPr>
      <w:r>
        <w:t xml:space="preserve">2011-12 </w:t>
      </w:r>
      <w:r w:rsidRPr="00F12AB8">
        <w:t>National Postsecondary Student Aid Study</w:t>
      </w:r>
      <w:r>
        <w:t xml:space="preserve"> (NPSAS:12)</w:t>
      </w:r>
    </w:p>
    <w:p w:rsidR="007C5423" w:rsidRDefault="007C5423" w:rsidP="003077AF">
      <w:pPr>
        <w:pStyle w:val="Cov-Title"/>
      </w:pPr>
    </w:p>
    <w:p w:rsidR="007C5423" w:rsidRPr="00F12AB8" w:rsidRDefault="007C5423" w:rsidP="003077AF">
      <w:pPr>
        <w:pStyle w:val="Cov-Title"/>
      </w:pPr>
      <w:r>
        <w:t>Student Interview and Student Records</w:t>
      </w:r>
    </w:p>
    <w:p w:rsidR="007C5423" w:rsidRPr="00F12AB8" w:rsidRDefault="007C5423" w:rsidP="003077AF">
      <w:pPr>
        <w:pStyle w:val="Cov-Title"/>
      </w:pPr>
    </w:p>
    <w:p w:rsidR="007C5423" w:rsidRDefault="007C5423" w:rsidP="003077AF">
      <w:pPr>
        <w:pStyle w:val="Cov-Title"/>
      </w:pPr>
    </w:p>
    <w:p w:rsidR="007C5423" w:rsidRPr="00F12AB8" w:rsidRDefault="007C5423" w:rsidP="003077AF">
      <w:pPr>
        <w:pStyle w:val="Cov-Title"/>
      </w:pPr>
    </w:p>
    <w:p w:rsidR="007C5423" w:rsidRPr="00F12AB8" w:rsidRDefault="007C5423" w:rsidP="003077AF"/>
    <w:p w:rsidR="007C5423" w:rsidRPr="00F12AB8" w:rsidRDefault="007C5423" w:rsidP="003077AF">
      <w:pPr>
        <w:pStyle w:val="Cov-Subtitle"/>
      </w:pPr>
      <w:r w:rsidRPr="00F12AB8">
        <w:t>Supporting Statement</w:t>
      </w:r>
      <w:r>
        <w:t xml:space="preserve"> Part B, C, and D</w:t>
      </w:r>
    </w:p>
    <w:p w:rsidR="007C5423" w:rsidRPr="00F12AB8" w:rsidRDefault="007C5423" w:rsidP="003077AF">
      <w:pPr>
        <w:pStyle w:val="Cov-Subtitle"/>
      </w:pPr>
      <w:r w:rsidRPr="00F12AB8">
        <w:t>Request for OMB Review</w:t>
      </w:r>
    </w:p>
    <w:p w:rsidR="007C5423" w:rsidRPr="00F12AB8" w:rsidRDefault="007C5423" w:rsidP="003077AF">
      <w:pPr>
        <w:pStyle w:val="Cov-Subtitle"/>
      </w:pPr>
      <w:r w:rsidRPr="00F12AB8">
        <w:t>(OMB # 1850-0666</w:t>
      </w:r>
      <w:r>
        <w:t xml:space="preserve"> v.8</w:t>
      </w:r>
      <w:r w:rsidRPr="00F12AB8">
        <w:t>)</w:t>
      </w:r>
    </w:p>
    <w:p w:rsidR="007C5423" w:rsidRPr="00F12AB8" w:rsidRDefault="007C5423" w:rsidP="003077AF"/>
    <w:p w:rsidR="007C5423" w:rsidRPr="00F12AB8" w:rsidRDefault="007C5423" w:rsidP="003077AF"/>
    <w:p w:rsidR="007C5423" w:rsidRDefault="007C5423" w:rsidP="003077AF"/>
    <w:p w:rsidR="007C5423" w:rsidRDefault="007C5423" w:rsidP="003077AF"/>
    <w:p w:rsidR="007C5423" w:rsidRPr="00F12AB8" w:rsidRDefault="007C5423" w:rsidP="003077AF"/>
    <w:p w:rsidR="007C5423" w:rsidRPr="00F12AB8" w:rsidRDefault="007C5423" w:rsidP="003077AF"/>
    <w:p w:rsidR="007C5423" w:rsidRPr="00F12AB8" w:rsidRDefault="007C5423" w:rsidP="003077AF">
      <w:pPr>
        <w:pStyle w:val="Cov-Address"/>
      </w:pPr>
      <w:r w:rsidRPr="00F12AB8">
        <w:t>Submitted by</w:t>
      </w:r>
    </w:p>
    <w:p w:rsidR="007C5423" w:rsidRPr="00F12AB8" w:rsidRDefault="007C5423" w:rsidP="003077AF">
      <w:pPr>
        <w:pStyle w:val="Cov-Address"/>
      </w:pPr>
      <w:smartTag w:uri="urn:schemas-microsoft-com:office:smarttags" w:element="place">
        <w:smartTag w:uri="urn:schemas-microsoft-com:office:smarttags" w:element="PlaceName">
          <w:r w:rsidRPr="00F12AB8">
            <w:t>National</w:t>
          </w:r>
        </w:smartTag>
        <w:r w:rsidRPr="00F12AB8">
          <w:t xml:space="preserve"> </w:t>
        </w:r>
        <w:smartTag w:uri="urn:schemas-microsoft-com:office:smarttags" w:element="PlaceType">
          <w:r w:rsidRPr="00F12AB8">
            <w:t>Center</w:t>
          </w:r>
        </w:smartTag>
      </w:smartTag>
      <w:r w:rsidRPr="00F12AB8">
        <w:t xml:space="preserve"> for Education Statistics</w:t>
      </w:r>
    </w:p>
    <w:p w:rsidR="007C5423" w:rsidRDefault="007C5423" w:rsidP="003077AF">
      <w:pPr>
        <w:pStyle w:val="Cov-Address"/>
      </w:pPr>
      <w:smartTag w:uri="urn:schemas-microsoft-com:office:smarttags" w:element="place">
        <w:smartTag w:uri="urn:schemas-microsoft-com:office:smarttags" w:element="country-region">
          <w:r w:rsidRPr="00F12AB8">
            <w:t>U.S.</w:t>
          </w:r>
        </w:smartTag>
      </w:smartTag>
      <w:r w:rsidRPr="00F12AB8">
        <w:t xml:space="preserve"> Department of Education</w:t>
      </w:r>
    </w:p>
    <w:p w:rsidR="007C5423" w:rsidRDefault="007C5423" w:rsidP="003077AF">
      <w:pPr>
        <w:pStyle w:val="Cov-Address"/>
      </w:pPr>
    </w:p>
    <w:p w:rsidR="007C5423" w:rsidRDefault="007C5423" w:rsidP="003077AF">
      <w:pPr>
        <w:pStyle w:val="Cov-Address"/>
      </w:pPr>
    </w:p>
    <w:p w:rsidR="007C5423" w:rsidRDefault="007C5423" w:rsidP="003077AF">
      <w:pPr>
        <w:pStyle w:val="Cov-Address"/>
      </w:pPr>
    </w:p>
    <w:p w:rsidR="007C5423" w:rsidRDefault="007C5423" w:rsidP="003077AF">
      <w:pPr>
        <w:pStyle w:val="Cov-Address"/>
      </w:pPr>
    </w:p>
    <w:p w:rsidR="007C5423" w:rsidRDefault="007C5423" w:rsidP="003077AF">
      <w:pPr>
        <w:pStyle w:val="Cov-Address"/>
      </w:pPr>
    </w:p>
    <w:p w:rsidR="007C5423" w:rsidRDefault="007C5423" w:rsidP="003077AF">
      <w:pPr>
        <w:pStyle w:val="Cov-Address"/>
      </w:pPr>
    </w:p>
    <w:p w:rsidR="007C5423" w:rsidRDefault="007C5423" w:rsidP="003077AF">
      <w:pPr>
        <w:pStyle w:val="Cov-Address"/>
      </w:pPr>
    </w:p>
    <w:p w:rsidR="007C5423" w:rsidRPr="002D73B3" w:rsidRDefault="007C5423" w:rsidP="006B6699">
      <w:pPr>
        <w:pStyle w:val="Cov-Address"/>
        <w:rPr>
          <w:b/>
          <w:bCs/>
        </w:rPr>
      </w:pPr>
      <w:r w:rsidRPr="002D73B3">
        <w:rPr>
          <w:b/>
          <w:bCs/>
        </w:rPr>
        <w:t xml:space="preserve">September </w:t>
      </w:r>
      <w:r>
        <w:rPr>
          <w:b/>
          <w:bCs/>
        </w:rPr>
        <w:t>27</w:t>
      </w:r>
      <w:r w:rsidRPr="002D73B3">
        <w:rPr>
          <w:b/>
          <w:bCs/>
        </w:rPr>
        <w:t>, 2010</w:t>
      </w:r>
    </w:p>
    <w:p w:rsidR="007C5423" w:rsidRPr="00F12AB8" w:rsidRDefault="007C5423" w:rsidP="003077AF">
      <w:r w:rsidRPr="00F12AB8">
        <w:t xml:space="preserve"> </w:t>
      </w:r>
    </w:p>
    <w:p w:rsidR="007C5423" w:rsidRPr="00F12AB8" w:rsidRDefault="007C5423" w:rsidP="003077AF">
      <w:pPr>
        <w:sectPr w:rsidR="007C5423" w:rsidRPr="00F12AB8" w:rsidSect="00664278">
          <w:headerReference w:type="even" r:id="rId7"/>
          <w:headerReference w:type="default" r:id="rId8"/>
          <w:footerReference w:type="even" r:id="rId9"/>
          <w:footerReference w:type="default" r:id="rId10"/>
          <w:headerReference w:type="first" r:id="rId11"/>
          <w:footerReference w:type="first" r:id="rId12"/>
          <w:type w:val="oddPage"/>
          <w:pgSz w:w="12240" w:h="15840" w:code="1"/>
          <w:pgMar w:top="1440" w:right="1440" w:bottom="1440" w:left="1440" w:header="720" w:footer="720" w:gutter="0"/>
          <w:cols w:space="720"/>
          <w:titlePg/>
          <w:docGrid w:linePitch="360"/>
        </w:sectPr>
      </w:pPr>
    </w:p>
    <w:p w:rsidR="007C5423" w:rsidRDefault="007C5423">
      <w:pPr>
        <w:pStyle w:val="Heading1"/>
        <w:tabs>
          <w:tab w:val="clear" w:pos="1080"/>
        </w:tabs>
        <w:ind w:left="0" w:firstLine="0"/>
      </w:pPr>
      <w:r>
        <w:t>B.</w:t>
      </w:r>
      <w:r>
        <w:tab/>
      </w:r>
      <w:r w:rsidRPr="00F12AB8">
        <w:t>Collection of Information Employing Statistical Methods</w:t>
      </w:r>
      <w:bookmarkEnd w:id="1"/>
    </w:p>
    <w:p w:rsidR="007C5423" w:rsidRPr="00F12AB8" w:rsidRDefault="007C5423" w:rsidP="00A062EA">
      <w:pPr>
        <w:pStyle w:val="BodyText"/>
      </w:pPr>
      <w:r w:rsidRPr="00F12AB8">
        <w:t>The sampling design for the full-scale NPSAS:</w:t>
      </w:r>
      <w:r>
        <w:t>12</w:t>
      </w:r>
      <w:r w:rsidRPr="00F12AB8">
        <w:t xml:space="preserve"> study is presented in </w:t>
      </w:r>
      <w:r>
        <w:t>Section B.2</w:t>
      </w:r>
      <w:r w:rsidRPr="00F12AB8">
        <w:t>. The purpose of the NPSAS:</w:t>
      </w:r>
      <w:r>
        <w:t>12</w:t>
      </w:r>
      <w:r w:rsidRPr="00F12AB8">
        <w:t xml:space="preserve"> field test is to fully test all procedures, methods, and systems of the study in a realistic operational environment prior to implementing them in the full-scale study. Specific plans for such field test activities are provided below. </w:t>
      </w:r>
    </w:p>
    <w:p w:rsidR="007C5423" w:rsidRPr="00F12AB8" w:rsidRDefault="007C5423" w:rsidP="00024A14">
      <w:pPr>
        <w:pStyle w:val="Heading2"/>
        <w:numPr>
          <w:ilvl w:val="1"/>
          <w:numId w:val="11"/>
        </w:numPr>
        <w:tabs>
          <w:tab w:val="clear" w:pos="1080"/>
        </w:tabs>
        <w:ind w:left="1080" w:hanging="540"/>
      </w:pPr>
      <w:bookmarkStart w:id="2" w:name="_Toc268593744"/>
      <w:r w:rsidRPr="00F12AB8">
        <w:t>Respondent Universe</w:t>
      </w:r>
      <w:bookmarkEnd w:id="2"/>
    </w:p>
    <w:p w:rsidR="007C5423" w:rsidRPr="00F12AB8" w:rsidRDefault="007C5423" w:rsidP="001D542A">
      <w:pPr>
        <w:pStyle w:val="BodyText"/>
      </w:pPr>
      <w:r w:rsidRPr="00F12AB8">
        <w:t xml:space="preserve">The students eligible for inclusion in the sample are those who were enrolled in a NPSAS-eligible institution in any term or course of instruction at any time </w:t>
      </w:r>
      <w:r>
        <w:t xml:space="preserve">between </w:t>
      </w:r>
      <w:r w:rsidRPr="00F12AB8">
        <w:t>July 1, 20</w:t>
      </w:r>
      <w:r>
        <w:t>1</w:t>
      </w:r>
      <w:r w:rsidRPr="00F12AB8">
        <w:t xml:space="preserve">0 </w:t>
      </w:r>
      <w:r>
        <w:t xml:space="preserve">and </w:t>
      </w:r>
      <w:r w:rsidRPr="00F12AB8">
        <w:t>April 30, 20</w:t>
      </w:r>
      <w:r>
        <w:t>11</w:t>
      </w:r>
      <w:r w:rsidRPr="00F12AB8">
        <w:t xml:space="preserve"> </w:t>
      </w:r>
      <w:r>
        <w:t xml:space="preserve">for the field test and between July 1, 2011 and April 30, 2012 for the full-scale study, </w:t>
      </w:r>
      <w:r w:rsidRPr="00F12AB8">
        <w:t>and who were:</w:t>
      </w:r>
    </w:p>
    <w:p w:rsidR="007C5423" w:rsidRPr="00F12AB8" w:rsidRDefault="007C5423" w:rsidP="00EC4770">
      <w:pPr>
        <w:pStyle w:val="bulletround"/>
      </w:pPr>
      <w:r w:rsidRPr="00F12AB8">
        <w:t xml:space="preserve">enrolled in </w:t>
      </w:r>
      <w:r w:rsidRPr="005234EA">
        <w:rPr>
          <w:i/>
          <w:iCs/>
        </w:rPr>
        <w:t>either</w:t>
      </w:r>
      <w:r w:rsidRPr="00F12AB8">
        <w:t xml:space="preserve"> (a) an academic program; (b) at least one course for credit that could be applied toward fulfilling the requirements for an academic degree; </w:t>
      </w:r>
      <w:r>
        <w:t xml:space="preserve">(c) exclusively non-credit </w:t>
      </w:r>
      <w:r w:rsidRPr="001A0C6F">
        <w:t>remedial</w:t>
      </w:r>
      <w:r>
        <w:t xml:space="preserve"> coursework but who the institution has determined are eligible for Title IV aid; </w:t>
      </w:r>
      <w:r w:rsidRPr="00423F6D">
        <w:rPr>
          <w:i/>
          <w:iCs/>
        </w:rPr>
        <w:t>or</w:t>
      </w:r>
      <w:r w:rsidRPr="00F12AB8">
        <w:t xml:space="preserve"> (</w:t>
      </w:r>
      <w:r>
        <w:t>d</w:t>
      </w:r>
      <w:r w:rsidRPr="00F12AB8">
        <w:t>) an occupational or vocational program that required at least 3 months or 300 clock hours of instruction to receive a degree, certificate, or other formal award; and</w:t>
      </w:r>
    </w:p>
    <w:p w:rsidR="007C5423" w:rsidRPr="001A0C6F" w:rsidRDefault="007C5423" w:rsidP="001A0C6F">
      <w:pPr>
        <w:pStyle w:val="bulletround"/>
      </w:pPr>
      <w:r w:rsidRPr="00F12AB8">
        <w:t xml:space="preserve">not currently enrolled in high </w:t>
      </w:r>
      <w:r w:rsidRPr="001A0C6F">
        <w:t>school; and</w:t>
      </w:r>
    </w:p>
    <w:p w:rsidR="007C5423" w:rsidRDefault="007C5423" w:rsidP="001A0C6F">
      <w:pPr>
        <w:pStyle w:val="bulletround"/>
      </w:pPr>
      <w:r w:rsidRPr="001A0C6F">
        <w:t>not enrolled solely in a GED or</w:t>
      </w:r>
      <w:r w:rsidRPr="00F12AB8">
        <w:t xml:space="preserve"> other high school completion program.</w:t>
      </w:r>
    </w:p>
    <w:p w:rsidR="007C5423" w:rsidRDefault="007C5423" w:rsidP="009D17F9">
      <w:pPr>
        <w:pStyle w:val="aft-12"/>
      </w:pPr>
      <w:r>
        <w:t xml:space="preserve">Field test institutions with continuous enrollment will be asked to provide lists with students enrolled between July 1, 2010 and March 31, 2011, instead of April 30, 2011, so that all lists can be received by mid-April, which allows time for field test data collection to be completed on schedule by June 30, 2011. This will not be an issue for the full-scale study.  </w:t>
      </w:r>
    </w:p>
    <w:p w:rsidR="007C5423" w:rsidRPr="00F12AB8" w:rsidRDefault="007C5423" w:rsidP="0024318E">
      <w:pPr>
        <w:pStyle w:val="BodyText"/>
      </w:pPr>
      <w:r w:rsidRPr="00F12AB8">
        <w:t>NPSAS</w:t>
      </w:r>
      <w:r>
        <w:t xml:space="preserve">-eligible institutions </w:t>
      </w:r>
      <w:r w:rsidRPr="00F12AB8">
        <w:t xml:space="preserve">are required during the </w:t>
      </w:r>
      <w:r>
        <w:t xml:space="preserve">relevant </w:t>
      </w:r>
      <w:r w:rsidRPr="00F12AB8">
        <w:t xml:space="preserve">academic </w:t>
      </w:r>
      <w:r>
        <w:t xml:space="preserve">year (2010-11 for the field test and 2011-12 for the full-scale study) </w:t>
      </w:r>
      <w:r w:rsidRPr="00F12AB8">
        <w:t>to:</w:t>
      </w:r>
    </w:p>
    <w:p w:rsidR="007C5423" w:rsidRPr="001A0C6F" w:rsidRDefault="007C5423" w:rsidP="001A0C6F">
      <w:pPr>
        <w:pStyle w:val="bulletround"/>
      </w:pPr>
      <w:r w:rsidRPr="001A0C6F">
        <w:t>offer an educational program designed for persons who have completed secondary education; and</w:t>
      </w:r>
    </w:p>
    <w:p w:rsidR="007C5423" w:rsidRPr="001A0C6F" w:rsidRDefault="007C5423" w:rsidP="001A0C6F">
      <w:pPr>
        <w:pStyle w:val="bulletround"/>
      </w:pPr>
      <w:r w:rsidRPr="001A0C6F">
        <w:t>offer at least one academic, occupational, or vocational program of study lasting at least 3 months or 300 clock hours; and</w:t>
      </w:r>
    </w:p>
    <w:p w:rsidR="007C5423" w:rsidRPr="001A0C6F" w:rsidRDefault="007C5423" w:rsidP="001A0C6F">
      <w:pPr>
        <w:pStyle w:val="bulletround"/>
      </w:pPr>
      <w:r w:rsidRPr="001A0C6F">
        <w:t>offer courses that are open to more than the employees or members of the company or group (e.g., union) that administers the institution; and</w:t>
      </w:r>
    </w:p>
    <w:p w:rsidR="007C5423" w:rsidRPr="001A0C6F" w:rsidRDefault="007C5423" w:rsidP="001A0C6F">
      <w:pPr>
        <w:pStyle w:val="bulletround"/>
      </w:pPr>
      <w:r w:rsidRPr="001A0C6F">
        <w:t xml:space="preserve">have a signed Title IV participation agreement with the U.S. Department of Education; </w:t>
      </w:r>
    </w:p>
    <w:p w:rsidR="007C5423" w:rsidRPr="001A0C6F" w:rsidRDefault="007C5423" w:rsidP="00300C77">
      <w:pPr>
        <w:pStyle w:val="bulletround"/>
      </w:pPr>
      <w:r w:rsidRPr="001A0C6F">
        <w:t>be located in the 50 states</w:t>
      </w:r>
      <w:r>
        <w:t xml:space="preserve"> or</w:t>
      </w:r>
      <w:r w:rsidRPr="001A0C6F">
        <w:t xml:space="preserve"> the </w:t>
      </w:r>
      <w:smartTag w:uri="urn:schemas-microsoft-com:office:smarttags" w:element="place">
        <w:smartTag w:uri="urn:schemas-microsoft-com:office:smarttags" w:element="State">
          <w:r w:rsidRPr="001A0C6F">
            <w:t>District of Columbia</w:t>
          </w:r>
        </w:smartTag>
      </w:smartTag>
      <w:r w:rsidRPr="001A0C6F">
        <w:t xml:space="preserve">; and </w:t>
      </w:r>
    </w:p>
    <w:p w:rsidR="007C5423" w:rsidRPr="001A0C6F" w:rsidRDefault="007C5423" w:rsidP="001A0C6F">
      <w:pPr>
        <w:pStyle w:val="bulletround"/>
      </w:pPr>
      <w:r w:rsidRPr="001A0C6F">
        <w:t>be other than a U.S. Service Academy.</w:t>
      </w:r>
    </w:p>
    <w:p w:rsidR="007C5423" w:rsidRPr="00F12AB8" w:rsidRDefault="007C5423" w:rsidP="004E383E">
      <w:pPr>
        <w:pStyle w:val="bulletround"/>
        <w:ind w:left="0" w:firstLine="0"/>
      </w:pPr>
      <w:r w:rsidRPr="00F12AB8">
        <w:t>Institutions providing only a</w:t>
      </w:r>
      <w:r>
        <w:t xml:space="preserve"> </w:t>
      </w:r>
      <w:r w:rsidRPr="00F12AB8">
        <w:t>vocational, recreational, or remedial courses or only in-house courses for their own employees are excluded. U.S. Service Academies are excluded because of their unique funding/tuition base.</w:t>
      </w:r>
      <w:r>
        <w:t xml:space="preserve"> The eligibility requirements are consistent with those used in all previous NPSAS rounds, with three exceptions:  (1) the last requirement was new for NPSAS:2000; (2) offering more than just correspondence courses was no longer a requirement beginning with NPSAS:04; and (3) Puerto Rico has been excluded from the sample.  </w:t>
      </w:r>
    </w:p>
    <w:p w:rsidR="007C5423" w:rsidRPr="00F12AB8" w:rsidRDefault="007C5423" w:rsidP="00024A14">
      <w:pPr>
        <w:pStyle w:val="Heading2"/>
        <w:numPr>
          <w:ilvl w:val="1"/>
          <w:numId w:val="11"/>
        </w:numPr>
        <w:tabs>
          <w:tab w:val="clear" w:pos="1080"/>
        </w:tabs>
        <w:ind w:left="1080" w:hanging="540"/>
      </w:pPr>
      <w:bookmarkStart w:id="3" w:name="_Toc268593745"/>
      <w:r w:rsidRPr="00F12AB8">
        <w:t>Statistical Methodology</w:t>
      </w:r>
      <w:bookmarkEnd w:id="3"/>
    </w:p>
    <w:p w:rsidR="007C5423" w:rsidRDefault="007C5423" w:rsidP="006544A8">
      <w:pPr>
        <w:pStyle w:val="BodyText"/>
      </w:pPr>
      <w:r>
        <w:t>In this section, we describe the field test student sample design, including our plans for sampling students from enrollment lists.</w:t>
      </w:r>
      <w:r>
        <w:rPr>
          <w:rStyle w:val="FootnoteReference"/>
        </w:rPr>
        <w:footnoteReference w:id="1"/>
      </w:r>
      <w:r>
        <w:t xml:space="preserve"> </w:t>
      </w:r>
      <w:r w:rsidRPr="00DA3632">
        <w:t xml:space="preserve">Plans for conducting these activities in the full-scale study (which will be revised after the field test in consultation with NCES) will be described in a later clearance package.  </w:t>
      </w:r>
      <w:r>
        <w:t xml:space="preserve">   </w:t>
      </w:r>
    </w:p>
    <w:p w:rsidR="007C5423" w:rsidRDefault="007C5423" w:rsidP="00F2495A">
      <w:pPr>
        <w:pStyle w:val="BodyText"/>
      </w:pPr>
      <w:r>
        <w:t xml:space="preserve">Based on past experience, we expect to obtain, minimally, overall 95 percent student eligibility rates and overall 70 and 75 percent student interview response rates in the field test and full scale, respectively. </w:t>
      </w:r>
      <w:r w:rsidRPr="00272E77">
        <w:t xml:space="preserve">The expected field test student sample sizes and sample yield are presented in table 7. As indicated in the table, the field test will be designed to sample about 4,500 students, </w:t>
      </w:r>
      <w:r>
        <w:t xml:space="preserve">and the full-scale will be designed to sample about 117,000 students.  </w:t>
      </w:r>
    </w:p>
    <w:p w:rsidR="007C5423" w:rsidRDefault="007C5423" w:rsidP="007314D1">
      <w:pPr>
        <w:pStyle w:val="BodyText"/>
      </w:pPr>
      <w:r w:rsidRPr="00DA3632">
        <w:t>We plan to oversample students enrolled in for-profit institutions. While only about 11 percent of the student population is enrolled in for-profit institutions, these students receive about 25 percent of disbursed federal aid. Over-sampling will ensure adequate representation of this analytically important sub-group.</w:t>
      </w:r>
    </w:p>
    <w:p w:rsidR="007C5423" w:rsidRDefault="007C5423" w:rsidP="00FE178A">
      <w:pPr>
        <w:pStyle w:val="BodyText"/>
      </w:pPr>
      <w:r>
        <w:t xml:space="preserve">As mentioned in Section A, we will identify potential first-time beginning students (FTBs), and the remaining undergraduate students will be classified as other undergraduates. The NPSAS sampling rates for students identified as potential FTBs and other undergraduate students will be adjusted to yield the appropriate sample sizes </w:t>
      </w:r>
      <w:r w:rsidRPr="0015037C">
        <w:t>after accounting for the expected false positive and false negative rates by sector</w:t>
      </w:r>
      <w:r>
        <w:t>. Tables 7 and 8 do not include the adjusted sample sizes, but a large percentage of the sample will be comprised of potential FTBs in order to obtain a BPS field-test sample yield of at least 1,000.</w:t>
      </w:r>
    </w:p>
    <w:p w:rsidR="007C5423" w:rsidRDefault="007C5423" w:rsidP="00F2495A">
      <w:pPr>
        <w:pStyle w:val="BodyText"/>
      </w:pPr>
      <w:r>
        <w:t xml:space="preserve">Potential FTBs, other undergraduates, masters students, doctoral-research/scholarship/other students, doctoral-professional practice, and other graduate students will be sampled at different rates in order to control the sample allocation, as has been done since NPSAS:2000. Using different rates will allow us to obtain the target sample sizes and is a technique necessary in the full-scale study to meet analytic objectives for defined domain estimates. </w:t>
      </w:r>
    </w:p>
    <w:p w:rsidR="007C5423" w:rsidRDefault="007C5423" w:rsidP="00F2495A">
      <w:pPr>
        <w:pStyle w:val="BodyText"/>
        <w:sectPr w:rsidR="007C5423" w:rsidSect="00E90BD3">
          <w:headerReference w:type="even" r:id="rId13"/>
          <w:headerReference w:type="default" r:id="rId14"/>
          <w:footerReference w:type="even" r:id="rId15"/>
          <w:headerReference w:type="first" r:id="rId16"/>
          <w:footerReference w:type="first" r:id="rId17"/>
          <w:type w:val="oddPage"/>
          <w:pgSz w:w="12240" w:h="15840" w:code="1"/>
          <w:pgMar w:top="1440" w:right="1296" w:bottom="1296" w:left="1296" w:header="720" w:footer="720" w:gutter="0"/>
          <w:pgNumType w:start="21"/>
          <w:cols w:space="720"/>
          <w:titlePg/>
        </w:sectPr>
      </w:pPr>
    </w:p>
    <w:p w:rsidR="007C5423" w:rsidRDefault="007C5423" w:rsidP="00847AD0">
      <w:pPr>
        <w:pStyle w:val="tabletitle0"/>
      </w:pPr>
      <w:bookmarkStart w:id="4" w:name="_Toc268594014"/>
      <w:r>
        <w:t>Table 7</w:t>
      </w:r>
      <w:r w:rsidRPr="0015037C">
        <w:t>.</w:t>
      </w:r>
      <w:r w:rsidRPr="0015037C">
        <w:tab/>
        <w:t xml:space="preserve">NPSAS:12 </w:t>
      </w:r>
      <w:r>
        <w:t xml:space="preserve">field </w:t>
      </w:r>
      <w:r w:rsidRPr="00626331">
        <w:t>test</w:t>
      </w:r>
      <w:r w:rsidRPr="0015037C">
        <w:t xml:space="preserve"> </w:t>
      </w:r>
      <w:r w:rsidRPr="00DF03AA">
        <w:t>expected</w:t>
      </w:r>
      <w:r>
        <w:t xml:space="preserve"> s</w:t>
      </w:r>
      <w:r w:rsidRPr="0015037C">
        <w:t xml:space="preserve">tudent </w:t>
      </w:r>
      <w:r>
        <w:t>sample sizes and yield</w:t>
      </w:r>
      <w:bookmarkEnd w:id="4"/>
    </w:p>
    <w:tbl>
      <w:tblPr>
        <w:tblW w:w="5062" w:type="pct"/>
        <w:tblBorders>
          <w:top w:val="single" w:sz="12" w:space="0" w:color="auto"/>
          <w:bottom w:val="single" w:sz="12" w:space="0" w:color="auto"/>
        </w:tblBorders>
        <w:tblLayout w:type="fixed"/>
        <w:tblLook w:val="00A0"/>
      </w:tblPr>
      <w:tblGrid>
        <w:gridCol w:w="3111"/>
        <w:gridCol w:w="798"/>
        <w:gridCol w:w="793"/>
        <w:gridCol w:w="878"/>
        <w:gridCol w:w="696"/>
        <w:gridCol w:w="792"/>
        <w:gridCol w:w="792"/>
        <w:gridCol w:w="878"/>
        <w:gridCol w:w="726"/>
        <w:gridCol w:w="792"/>
        <w:gridCol w:w="803"/>
        <w:gridCol w:w="878"/>
        <w:gridCol w:w="670"/>
        <w:gridCol w:w="878"/>
      </w:tblGrid>
      <w:tr w:rsidR="007C5423" w:rsidRPr="00C12897">
        <w:trPr>
          <w:trHeight w:val="286"/>
          <w:tblHeader/>
        </w:trPr>
        <w:tc>
          <w:tcPr>
            <w:tcW w:w="3078" w:type="dxa"/>
            <w:vMerge w:val="restart"/>
            <w:tcBorders>
              <w:top w:val="single" w:sz="12" w:space="0" w:color="auto"/>
              <w:bottom w:val="single" w:sz="4" w:space="0" w:color="auto"/>
            </w:tcBorders>
            <w:vAlign w:val="bottom"/>
          </w:tcPr>
          <w:p w:rsidR="007C5423" w:rsidRPr="00C12897" w:rsidRDefault="007C5423" w:rsidP="00847AD0">
            <w:pPr>
              <w:pStyle w:val="Tableheading"/>
              <w:jc w:val="left"/>
              <w:rPr>
                <w:sz w:val="18"/>
                <w:szCs w:val="18"/>
              </w:rPr>
            </w:pPr>
            <w:r w:rsidRPr="00C12897">
              <w:rPr>
                <w:sz w:val="18"/>
                <w:szCs w:val="18"/>
              </w:rPr>
              <w:t>Institutional sector</w:t>
            </w:r>
          </w:p>
        </w:tc>
        <w:tc>
          <w:tcPr>
            <w:tcW w:w="3131" w:type="dxa"/>
            <w:gridSpan w:val="4"/>
            <w:tcBorders>
              <w:top w:val="single" w:sz="12" w:space="0" w:color="auto"/>
              <w:bottom w:val="single" w:sz="4" w:space="0" w:color="auto"/>
              <w:right w:val="single" w:sz="4" w:space="0" w:color="auto"/>
            </w:tcBorders>
            <w:vAlign w:val="bottom"/>
          </w:tcPr>
          <w:p w:rsidR="007C5423" w:rsidRPr="00C12897" w:rsidRDefault="007C5423" w:rsidP="00847AD0">
            <w:pPr>
              <w:pStyle w:val="Tableheading"/>
              <w:jc w:val="center"/>
              <w:rPr>
                <w:sz w:val="18"/>
                <w:szCs w:val="18"/>
              </w:rPr>
            </w:pPr>
            <w:r w:rsidRPr="00C12897">
              <w:rPr>
                <w:sz w:val="18"/>
                <w:szCs w:val="18"/>
              </w:rPr>
              <w:t>Sample students</w:t>
            </w:r>
          </w:p>
        </w:tc>
        <w:tc>
          <w:tcPr>
            <w:tcW w:w="3153" w:type="dxa"/>
            <w:gridSpan w:val="4"/>
            <w:tcBorders>
              <w:top w:val="single" w:sz="12" w:space="0" w:color="auto"/>
              <w:left w:val="single" w:sz="4" w:space="0" w:color="auto"/>
              <w:bottom w:val="single" w:sz="4" w:space="0" w:color="auto"/>
              <w:right w:val="single" w:sz="4" w:space="0" w:color="auto"/>
            </w:tcBorders>
            <w:vAlign w:val="bottom"/>
          </w:tcPr>
          <w:p w:rsidR="007C5423" w:rsidRPr="00C12897" w:rsidRDefault="007C5423" w:rsidP="00847AD0">
            <w:pPr>
              <w:pStyle w:val="Tableheading"/>
              <w:jc w:val="center"/>
              <w:rPr>
                <w:sz w:val="18"/>
                <w:szCs w:val="18"/>
              </w:rPr>
            </w:pPr>
            <w:r w:rsidRPr="00C12897">
              <w:rPr>
                <w:sz w:val="18"/>
                <w:szCs w:val="18"/>
              </w:rPr>
              <w:t>Eligible students</w:t>
            </w:r>
          </w:p>
        </w:tc>
        <w:tc>
          <w:tcPr>
            <w:tcW w:w="3109" w:type="dxa"/>
            <w:gridSpan w:val="4"/>
            <w:tcBorders>
              <w:top w:val="single" w:sz="12" w:space="0" w:color="auto"/>
              <w:left w:val="single" w:sz="4" w:space="0" w:color="auto"/>
              <w:bottom w:val="single" w:sz="4" w:space="0" w:color="auto"/>
              <w:right w:val="single" w:sz="4" w:space="0" w:color="auto"/>
            </w:tcBorders>
            <w:vAlign w:val="bottom"/>
          </w:tcPr>
          <w:p w:rsidR="007C5423" w:rsidRPr="00C12897" w:rsidRDefault="007C5423" w:rsidP="00847AD0">
            <w:pPr>
              <w:pStyle w:val="Tableheading"/>
              <w:jc w:val="center"/>
              <w:rPr>
                <w:sz w:val="18"/>
                <w:szCs w:val="18"/>
              </w:rPr>
            </w:pPr>
            <w:r>
              <w:rPr>
                <w:sz w:val="18"/>
                <w:szCs w:val="18"/>
              </w:rPr>
              <w:t>Interview Respondents</w:t>
            </w:r>
          </w:p>
        </w:tc>
        <w:tc>
          <w:tcPr>
            <w:tcW w:w="869" w:type="dxa"/>
            <w:vMerge w:val="restart"/>
            <w:tcBorders>
              <w:top w:val="single" w:sz="12" w:space="0" w:color="auto"/>
              <w:left w:val="single" w:sz="4" w:space="0" w:color="auto"/>
              <w:bottom w:val="single" w:sz="4" w:space="0" w:color="auto"/>
            </w:tcBorders>
            <w:textDirection w:val="btLr"/>
            <w:vAlign w:val="bottom"/>
          </w:tcPr>
          <w:p w:rsidR="007C5423" w:rsidRPr="00C12897" w:rsidRDefault="007C5423" w:rsidP="00847AD0">
            <w:pPr>
              <w:pStyle w:val="Tableheading"/>
              <w:spacing w:before="0" w:after="0"/>
              <w:ind w:left="29"/>
              <w:jc w:val="left"/>
              <w:rPr>
                <w:sz w:val="18"/>
                <w:szCs w:val="18"/>
              </w:rPr>
            </w:pPr>
            <w:r w:rsidRPr="00C12897">
              <w:rPr>
                <w:sz w:val="18"/>
                <w:szCs w:val="18"/>
              </w:rPr>
              <w:t>Responding students per responding institution</w:t>
            </w:r>
          </w:p>
        </w:tc>
      </w:tr>
      <w:tr w:rsidR="007C5423" w:rsidRPr="00C12897">
        <w:trPr>
          <w:trHeight w:val="2051"/>
          <w:tblHeader/>
        </w:trPr>
        <w:tc>
          <w:tcPr>
            <w:tcW w:w="3078" w:type="dxa"/>
            <w:vMerge/>
            <w:tcBorders>
              <w:top w:val="single" w:sz="4" w:space="0" w:color="auto"/>
              <w:bottom w:val="single" w:sz="4" w:space="0" w:color="auto"/>
            </w:tcBorders>
          </w:tcPr>
          <w:p w:rsidR="007C5423" w:rsidRPr="00C12897" w:rsidRDefault="007C5423" w:rsidP="00847AD0">
            <w:pPr>
              <w:pStyle w:val="Tableheading"/>
              <w:rPr>
                <w:sz w:val="18"/>
                <w:szCs w:val="18"/>
              </w:rPr>
            </w:pPr>
          </w:p>
        </w:tc>
        <w:tc>
          <w:tcPr>
            <w:tcW w:w="789" w:type="dxa"/>
            <w:tcBorders>
              <w:top w:val="single" w:sz="4" w:space="0" w:color="auto"/>
              <w:bottom w:val="single" w:sz="4" w:space="0" w:color="auto"/>
            </w:tcBorders>
            <w:textDirection w:val="btLr"/>
            <w:vAlign w:val="bottom"/>
          </w:tcPr>
          <w:p w:rsidR="007C5423" w:rsidRPr="00C12897" w:rsidRDefault="007C5423" w:rsidP="00847AD0">
            <w:pPr>
              <w:pStyle w:val="Tableheading"/>
              <w:spacing w:before="0" w:after="0"/>
              <w:ind w:left="29"/>
              <w:jc w:val="left"/>
              <w:rPr>
                <w:sz w:val="18"/>
                <w:szCs w:val="18"/>
              </w:rPr>
            </w:pPr>
            <w:r w:rsidRPr="00C12897">
              <w:rPr>
                <w:sz w:val="18"/>
                <w:szCs w:val="18"/>
              </w:rPr>
              <w:t>Total</w:t>
            </w:r>
          </w:p>
        </w:tc>
        <w:tc>
          <w:tcPr>
            <w:tcW w:w="784" w:type="dxa"/>
            <w:tcBorders>
              <w:top w:val="single" w:sz="4" w:space="0" w:color="auto"/>
              <w:bottom w:val="single" w:sz="4" w:space="0" w:color="auto"/>
            </w:tcBorders>
            <w:textDirection w:val="btLr"/>
            <w:vAlign w:val="bottom"/>
          </w:tcPr>
          <w:p w:rsidR="007C5423" w:rsidRPr="00C12897" w:rsidRDefault="007C5423" w:rsidP="00847AD0">
            <w:pPr>
              <w:pStyle w:val="Tableheading"/>
              <w:spacing w:before="0" w:after="0"/>
              <w:ind w:left="29"/>
              <w:jc w:val="left"/>
              <w:rPr>
                <w:sz w:val="18"/>
                <w:szCs w:val="18"/>
              </w:rPr>
            </w:pPr>
            <w:r w:rsidRPr="00C12897">
              <w:rPr>
                <w:sz w:val="18"/>
                <w:szCs w:val="18"/>
              </w:rPr>
              <w:t>FTBs</w:t>
            </w:r>
          </w:p>
        </w:tc>
        <w:tc>
          <w:tcPr>
            <w:tcW w:w="869" w:type="dxa"/>
            <w:tcBorders>
              <w:top w:val="single" w:sz="4" w:space="0" w:color="auto"/>
              <w:bottom w:val="single" w:sz="4" w:space="0" w:color="auto"/>
            </w:tcBorders>
            <w:textDirection w:val="btLr"/>
            <w:vAlign w:val="bottom"/>
          </w:tcPr>
          <w:p w:rsidR="007C5423" w:rsidRPr="00C12897" w:rsidRDefault="007C5423" w:rsidP="00847AD0">
            <w:pPr>
              <w:pStyle w:val="Tableheading"/>
              <w:spacing w:before="0" w:after="0"/>
              <w:ind w:left="29"/>
              <w:jc w:val="left"/>
              <w:rPr>
                <w:sz w:val="18"/>
                <w:szCs w:val="18"/>
              </w:rPr>
            </w:pPr>
            <w:r w:rsidRPr="00C12897">
              <w:rPr>
                <w:sz w:val="18"/>
                <w:szCs w:val="18"/>
              </w:rPr>
              <w:t>Other undergraduate students</w:t>
            </w:r>
          </w:p>
        </w:tc>
        <w:tc>
          <w:tcPr>
            <w:tcW w:w="689" w:type="dxa"/>
            <w:tcBorders>
              <w:top w:val="single" w:sz="4" w:space="0" w:color="auto"/>
              <w:bottom w:val="single" w:sz="4" w:space="0" w:color="auto"/>
              <w:right w:val="single" w:sz="4" w:space="0" w:color="auto"/>
            </w:tcBorders>
            <w:textDirection w:val="btLr"/>
            <w:vAlign w:val="bottom"/>
          </w:tcPr>
          <w:p w:rsidR="007C5423" w:rsidRPr="00C12897" w:rsidRDefault="007C5423" w:rsidP="00847AD0">
            <w:pPr>
              <w:pStyle w:val="Tableheading"/>
              <w:spacing w:before="0" w:after="0"/>
              <w:ind w:left="29"/>
              <w:jc w:val="left"/>
              <w:rPr>
                <w:sz w:val="18"/>
                <w:szCs w:val="18"/>
              </w:rPr>
            </w:pPr>
            <w:r w:rsidRPr="00C12897">
              <w:rPr>
                <w:sz w:val="18"/>
                <w:szCs w:val="18"/>
              </w:rPr>
              <w:t>Graduate students</w:t>
            </w:r>
          </w:p>
        </w:tc>
        <w:tc>
          <w:tcPr>
            <w:tcW w:w="783" w:type="dxa"/>
            <w:tcBorders>
              <w:top w:val="single" w:sz="4" w:space="0" w:color="auto"/>
              <w:left w:val="single" w:sz="4" w:space="0" w:color="auto"/>
              <w:bottom w:val="single" w:sz="4" w:space="0" w:color="auto"/>
            </w:tcBorders>
            <w:textDirection w:val="btLr"/>
            <w:vAlign w:val="bottom"/>
          </w:tcPr>
          <w:p w:rsidR="007C5423" w:rsidRPr="00C12897" w:rsidRDefault="007C5423" w:rsidP="00847AD0">
            <w:pPr>
              <w:pStyle w:val="Tableheading"/>
              <w:spacing w:before="0" w:after="0"/>
              <w:ind w:left="29"/>
              <w:jc w:val="left"/>
              <w:rPr>
                <w:sz w:val="18"/>
                <w:szCs w:val="18"/>
              </w:rPr>
            </w:pPr>
            <w:r w:rsidRPr="00C12897">
              <w:rPr>
                <w:sz w:val="18"/>
                <w:szCs w:val="18"/>
              </w:rPr>
              <w:t>Total</w:t>
            </w:r>
          </w:p>
        </w:tc>
        <w:tc>
          <w:tcPr>
            <w:tcW w:w="783" w:type="dxa"/>
            <w:tcBorders>
              <w:top w:val="single" w:sz="4" w:space="0" w:color="auto"/>
              <w:bottom w:val="single" w:sz="4" w:space="0" w:color="auto"/>
            </w:tcBorders>
            <w:textDirection w:val="btLr"/>
            <w:vAlign w:val="bottom"/>
          </w:tcPr>
          <w:p w:rsidR="007C5423" w:rsidRPr="00C12897" w:rsidRDefault="007C5423" w:rsidP="00847AD0">
            <w:pPr>
              <w:pStyle w:val="Tableheading"/>
              <w:spacing w:before="0" w:after="0"/>
              <w:ind w:left="29"/>
              <w:jc w:val="left"/>
              <w:rPr>
                <w:sz w:val="18"/>
                <w:szCs w:val="18"/>
              </w:rPr>
            </w:pPr>
            <w:r w:rsidRPr="00C12897">
              <w:rPr>
                <w:sz w:val="18"/>
                <w:szCs w:val="18"/>
              </w:rPr>
              <w:t>FTBs</w:t>
            </w:r>
          </w:p>
        </w:tc>
        <w:tc>
          <w:tcPr>
            <w:tcW w:w="869" w:type="dxa"/>
            <w:tcBorders>
              <w:top w:val="single" w:sz="4" w:space="0" w:color="auto"/>
              <w:bottom w:val="single" w:sz="4" w:space="0" w:color="auto"/>
            </w:tcBorders>
            <w:textDirection w:val="btLr"/>
            <w:vAlign w:val="bottom"/>
          </w:tcPr>
          <w:p w:rsidR="007C5423" w:rsidRPr="00C12897" w:rsidRDefault="007C5423" w:rsidP="00847AD0">
            <w:pPr>
              <w:pStyle w:val="Tableheading"/>
              <w:spacing w:before="0" w:after="0"/>
              <w:ind w:left="29"/>
              <w:jc w:val="left"/>
              <w:rPr>
                <w:sz w:val="18"/>
                <w:szCs w:val="18"/>
              </w:rPr>
            </w:pPr>
            <w:r w:rsidRPr="00C12897">
              <w:rPr>
                <w:sz w:val="18"/>
                <w:szCs w:val="18"/>
              </w:rPr>
              <w:t>Other undergraduate students</w:t>
            </w:r>
          </w:p>
        </w:tc>
        <w:tc>
          <w:tcPr>
            <w:tcW w:w="718" w:type="dxa"/>
            <w:tcBorders>
              <w:top w:val="single" w:sz="4" w:space="0" w:color="auto"/>
              <w:bottom w:val="single" w:sz="4" w:space="0" w:color="auto"/>
              <w:right w:val="single" w:sz="4" w:space="0" w:color="auto"/>
            </w:tcBorders>
            <w:textDirection w:val="btLr"/>
            <w:vAlign w:val="bottom"/>
          </w:tcPr>
          <w:p w:rsidR="007C5423" w:rsidRPr="00C12897" w:rsidRDefault="007C5423" w:rsidP="00847AD0">
            <w:pPr>
              <w:pStyle w:val="Tableheading"/>
              <w:spacing w:before="0" w:after="0"/>
              <w:ind w:left="29"/>
              <w:jc w:val="left"/>
              <w:rPr>
                <w:sz w:val="18"/>
                <w:szCs w:val="18"/>
              </w:rPr>
            </w:pPr>
            <w:r w:rsidRPr="00C12897">
              <w:rPr>
                <w:sz w:val="18"/>
                <w:szCs w:val="18"/>
              </w:rPr>
              <w:t>Graduate students</w:t>
            </w:r>
          </w:p>
        </w:tc>
        <w:tc>
          <w:tcPr>
            <w:tcW w:w="783" w:type="dxa"/>
            <w:tcBorders>
              <w:top w:val="single" w:sz="4" w:space="0" w:color="auto"/>
              <w:left w:val="single" w:sz="4" w:space="0" w:color="auto"/>
              <w:bottom w:val="single" w:sz="4" w:space="0" w:color="auto"/>
            </w:tcBorders>
            <w:textDirection w:val="btLr"/>
            <w:vAlign w:val="bottom"/>
          </w:tcPr>
          <w:p w:rsidR="007C5423" w:rsidRPr="00C12897" w:rsidRDefault="007C5423" w:rsidP="00847AD0">
            <w:pPr>
              <w:pStyle w:val="Tableheading"/>
              <w:spacing w:before="0" w:after="0"/>
              <w:ind w:left="29"/>
              <w:jc w:val="left"/>
              <w:rPr>
                <w:sz w:val="18"/>
                <w:szCs w:val="18"/>
              </w:rPr>
            </w:pPr>
            <w:r w:rsidRPr="00C12897">
              <w:rPr>
                <w:sz w:val="18"/>
                <w:szCs w:val="18"/>
              </w:rPr>
              <w:t>Total</w:t>
            </w:r>
          </w:p>
        </w:tc>
        <w:tc>
          <w:tcPr>
            <w:tcW w:w="794" w:type="dxa"/>
            <w:tcBorders>
              <w:top w:val="single" w:sz="4" w:space="0" w:color="auto"/>
              <w:bottom w:val="single" w:sz="4" w:space="0" w:color="auto"/>
            </w:tcBorders>
            <w:textDirection w:val="btLr"/>
            <w:vAlign w:val="bottom"/>
          </w:tcPr>
          <w:p w:rsidR="007C5423" w:rsidRPr="00C12897" w:rsidRDefault="007C5423" w:rsidP="00847AD0">
            <w:pPr>
              <w:pStyle w:val="Tableheading"/>
              <w:spacing w:before="0" w:after="0"/>
              <w:ind w:left="29"/>
              <w:jc w:val="left"/>
              <w:rPr>
                <w:sz w:val="18"/>
                <w:szCs w:val="18"/>
              </w:rPr>
            </w:pPr>
            <w:r w:rsidRPr="00C12897">
              <w:rPr>
                <w:sz w:val="18"/>
                <w:szCs w:val="18"/>
              </w:rPr>
              <w:t>FTBs</w:t>
            </w:r>
          </w:p>
        </w:tc>
        <w:tc>
          <w:tcPr>
            <w:tcW w:w="869" w:type="dxa"/>
            <w:tcBorders>
              <w:top w:val="single" w:sz="4" w:space="0" w:color="auto"/>
              <w:bottom w:val="single" w:sz="4" w:space="0" w:color="auto"/>
            </w:tcBorders>
            <w:textDirection w:val="btLr"/>
            <w:vAlign w:val="bottom"/>
          </w:tcPr>
          <w:p w:rsidR="007C5423" w:rsidRPr="00C12897" w:rsidRDefault="007C5423" w:rsidP="00847AD0">
            <w:pPr>
              <w:pStyle w:val="Tableheading"/>
              <w:spacing w:before="0" w:after="0"/>
              <w:ind w:left="29"/>
              <w:jc w:val="left"/>
              <w:rPr>
                <w:sz w:val="18"/>
                <w:szCs w:val="18"/>
              </w:rPr>
            </w:pPr>
            <w:r w:rsidRPr="00C12897">
              <w:rPr>
                <w:sz w:val="18"/>
                <w:szCs w:val="18"/>
              </w:rPr>
              <w:t>Other undergraduate students</w:t>
            </w:r>
          </w:p>
        </w:tc>
        <w:tc>
          <w:tcPr>
            <w:tcW w:w="663" w:type="dxa"/>
            <w:tcBorders>
              <w:top w:val="single" w:sz="4" w:space="0" w:color="auto"/>
              <w:bottom w:val="single" w:sz="4" w:space="0" w:color="auto"/>
              <w:right w:val="single" w:sz="4" w:space="0" w:color="auto"/>
            </w:tcBorders>
            <w:textDirection w:val="btLr"/>
            <w:vAlign w:val="bottom"/>
          </w:tcPr>
          <w:p w:rsidR="007C5423" w:rsidRPr="00C12897" w:rsidRDefault="007C5423" w:rsidP="00847AD0">
            <w:pPr>
              <w:pStyle w:val="Tableheading"/>
              <w:spacing w:before="0" w:after="0"/>
              <w:ind w:left="29"/>
              <w:jc w:val="left"/>
              <w:rPr>
                <w:sz w:val="18"/>
                <w:szCs w:val="18"/>
              </w:rPr>
            </w:pPr>
            <w:r w:rsidRPr="00C12897">
              <w:rPr>
                <w:sz w:val="18"/>
                <w:szCs w:val="18"/>
              </w:rPr>
              <w:t>Graduate students</w:t>
            </w:r>
          </w:p>
        </w:tc>
        <w:tc>
          <w:tcPr>
            <w:tcW w:w="869" w:type="dxa"/>
            <w:vMerge/>
            <w:tcBorders>
              <w:top w:val="single" w:sz="4" w:space="0" w:color="auto"/>
              <w:left w:val="single" w:sz="4" w:space="0" w:color="auto"/>
              <w:bottom w:val="single" w:sz="4" w:space="0" w:color="auto"/>
            </w:tcBorders>
          </w:tcPr>
          <w:p w:rsidR="007C5423" w:rsidRPr="00C12897" w:rsidRDefault="007C5423" w:rsidP="00847AD0">
            <w:pPr>
              <w:pStyle w:val="Tableheading"/>
              <w:rPr>
                <w:sz w:val="18"/>
                <w:szCs w:val="18"/>
              </w:rPr>
            </w:pPr>
          </w:p>
        </w:tc>
      </w:tr>
      <w:tr w:rsidR="007C5423" w:rsidRPr="00C12897">
        <w:trPr>
          <w:trHeight w:val="319"/>
        </w:trPr>
        <w:tc>
          <w:tcPr>
            <w:tcW w:w="3078" w:type="dxa"/>
            <w:tcBorders>
              <w:top w:val="single" w:sz="4" w:space="0" w:color="auto"/>
            </w:tcBorders>
            <w:vAlign w:val="bottom"/>
          </w:tcPr>
          <w:p w:rsidR="007C5423" w:rsidRPr="00C12897" w:rsidRDefault="007C5423" w:rsidP="00847AD0">
            <w:pPr>
              <w:pStyle w:val="3ensptotalnosubgroup"/>
              <w:rPr>
                <w:sz w:val="18"/>
                <w:szCs w:val="18"/>
              </w:rPr>
            </w:pPr>
            <w:r w:rsidRPr="00C12897">
              <w:rPr>
                <w:sz w:val="18"/>
                <w:szCs w:val="18"/>
              </w:rPr>
              <w:t>Total</w:t>
            </w:r>
          </w:p>
        </w:tc>
        <w:tc>
          <w:tcPr>
            <w:tcW w:w="789" w:type="dxa"/>
            <w:tcBorders>
              <w:top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r w:rsidRPr="00C12897">
              <w:rPr>
                <w:rFonts w:ascii="Arial" w:hAnsi="Arial" w:cs="Arial"/>
                <w:color w:val="000000"/>
                <w:sz w:val="18"/>
                <w:szCs w:val="18"/>
              </w:rPr>
              <w:t>4,530</w:t>
            </w:r>
          </w:p>
        </w:tc>
        <w:tc>
          <w:tcPr>
            <w:tcW w:w="784" w:type="dxa"/>
            <w:tcBorders>
              <w:top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r w:rsidRPr="00C12897">
              <w:rPr>
                <w:rFonts w:ascii="Arial" w:hAnsi="Arial" w:cs="Arial"/>
                <w:color w:val="000000"/>
                <w:sz w:val="18"/>
                <w:szCs w:val="18"/>
              </w:rPr>
              <w:t>2,529</w:t>
            </w:r>
          </w:p>
        </w:tc>
        <w:tc>
          <w:tcPr>
            <w:tcW w:w="869" w:type="dxa"/>
            <w:tcBorders>
              <w:top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r w:rsidRPr="00C12897">
              <w:rPr>
                <w:rFonts w:ascii="Arial" w:hAnsi="Arial" w:cs="Arial"/>
                <w:color w:val="000000"/>
                <w:sz w:val="18"/>
                <w:szCs w:val="18"/>
              </w:rPr>
              <w:t>1,801</w:t>
            </w:r>
          </w:p>
        </w:tc>
        <w:tc>
          <w:tcPr>
            <w:tcW w:w="689" w:type="dxa"/>
            <w:tcBorders>
              <w:top w:val="single" w:sz="4" w:space="0" w:color="auto"/>
              <w:right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r w:rsidRPr="00C12897">
              <w:rPr>
                <w:rFonts w:ascii="Arial" w:hAnsi="Arial" w:cs="Arial"/>
                <w:color w:val="000000"/>
                <w:sz w:val="18"/>
                <w:szCs w:val="18"/>
              </w:rPr>
              <w:t>200</w:t>
            </w:r>
          </w:p>
        </w:tc>
        <w:tc>
          <w:tcPr>
            <w:tcW w:w="783" w:type="dxa"/>
            <w:tcBorders>
              <w:top w:val="single" w:sz="4" w:space="0" w:color="auto"/>
              <w:left w:val="single" w:sz="4" w:space="0" w:color="auto"/>
            </w:tcBorders>
            <w:vAlign w:val="bottom"/>
          </w:tcPr>
          <w:p w:rsidR="007C5423" w:rsidRPr="00C12897" w:rsidRDefault="007C5423" w:rsidP="006724F5">
            <w:pPr>
              <w:spacing w:before="60" w:after="60"/>
              <w:jc w:val="right"/>
              <w:rPr>
                <w:rFonts w:ascii="Arial" w:hAnsi="Arial" w:cs="Arial"/>
                <w:color w:val="000000"/>
                <w:sz w:val="18"/>
                <w:szCs w:val="18"/>
              </w:rPr>
            </w:pPr>
            <w:r w:rsidRPr="00C12897">
              <w:rPr>
                <w:rFonts w:ascii="Arial" w:hAnsi="Arial" w:cs="Arial"/>
                <w:color w:val="000000"/>
                <w:sz w:val="18"/>
                <w:szCs w:val="18"/>
              </w:rPr>
              <w:t>4,30</w:t>
            </w:r>
            <w:r>
              <w:rPr>
                <w:rFonts w:ascii="Arial" w:hAnsi="Arial" w:cs="Arial"/>
                <w:color w:val="000000"/>
                <w:sz w:val="18"/>
                <w:szCs w:val="18"/>
              </w:rPr>
              <w:t>4</w:t>
            </w:r>
          </w:p>
        </w:tc>
        <w:tc>
          <w:tcPr>
            <w:tcW w:w="783" w:type="dxa"/>
            <w:tcBorders>
              <w:top w:val="single" w:sz="4" w:space="0" w:color="auto"/>
            </w:tcBorders>
            <w:vAlign w:val="bottom"/>
          </w:tcPr>
          <w:p w:rsidR="007C5423" w:rsidRPr="00C12897" w:rsidRDefault="007C5423" w:rsidP="006724F5">
            <w:pPr>
              <w:spacing w:before="60" w:after="60"/>
              <w:jc w:val="right"/>
              <w:rPr>
                <w:rFonts w:ascii="Arial" w:hAnsi="Arial" w:cs="Arial"/>
                <w:color w:val="000000"/>
                <w:sz w:val="18"/>
                <w:szCs w:val="18"/>
              </w:rPr>
            </w:pPr>
            <w:r w:rsidRPr="00C12897">
              <w:rPr>
                <w:rFonts w:ascii="Arial" w:hAnsi="Arial" w:cs="Arial"/>
                <w:color w:val="000000"/>
                <w:sz w:val="18"/>
                <w:szCs w:val="18"/>
              </w:rPr>
              <w:t>2,3</w:t>
            </w:r>
            <w:r>
              <w:rPr>
                <w:rFonts w:ascii="Arial" w:hAnsi="Arial" w:cs="Arial"/>
                <w:color w:val="000000"/>
                <w:sz w:val="18"/>
                <w:szCs w:val="18"/>
              </w:rPr>
              <w:t>97</w:t>
            </w:r>
          </w:p>
        </w:tc>
        <w:tc>
          <w:tcPr>
            <w:tcW w:w="869" w:type="dxa"/>
            <w:tcBorders>
              <w:top w:val="single" w:sz="4" w:space="0" w:color="auto"/>
            </w:tcBorders>
            <w:vAlign w:val="bottom"/>
          </w:tcPr>
          <w:p w:rsidR="007C5423" w:rsidRPr="00C12897" w:rsidRDefault="007C5423" w:rsidP="006724F5">
            <w:pPr>
              <w:spacing w:before="60" w:after="60"/>
              <w:jc w:val="right"/>
              <w:rPr>
                <w:rFonts w:ascii="Arial" w:hAnsi="Arial" w:cs="Arial"/>
                <w:color w:val="000000"/>
                <w:sz w:val="18"/>
                <w:szCs w:val="18"/>
              </w:rPr>
            </w:pPr>
            <w:r>
              <w:rPr>
                <w:rFonts w:ascii="Arial" w:hAnsi="Arial" w:cs="Arial"/>
                <w:color w:val="000000"/>
                <w:sz w:val="18"/>
                <w:szCs w:val="18"/>
              </w:rPr>
              <w:t>1,716</w:t>
            </w:r>
          </w:p>
        </w:tc>
        <w:tc>
          <w:tcPr>
            <w:tcW w:w="718" w:type="dxa"/>
            <w:tcBorders>
              <w:top w:val="single" w:sz="4" w:space="0" w:color="auto"/>
              <w:right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r w:rsidRPr="00C12897">
              <w:rPr>
                <w:rFonts w:ascii="Arial" w:hAnsi="Arial" w:cs="Arial"/>
                <w:color w:val="000000"/>
                <w:sz w:val="18"/>
                <w:szCs w:val="18"/>
              </w:rPr>
              <w:t>191</w:t>
            </w:r>
          </w:p>
        </w:tc>
        <w:tc>
          <w:tcPr>
            <w:tcW w:w="783" w:type="dxa"/>
            <w:tcBorders>
              <w:top w:val="single" w:sz="4" w:space="0" w:color="auto"/>
              <w:left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r w:rsidRPr="00C12897">
              <w:rPr>
                <w:rFonts w:ascii="Arial" w:hAnsi="Arial" w:cs="Arial"/>
                <w:color w:val="000000"/>
                <w:sz w:val="18"/>
                <w:szCs w:val="18"/>
              </w:rPr>
              <w:t>3,000</w:t>
            </w:r>
          </w:p>
        </w:tc>
        <w:tc>
          <w:tcPr>
            <w:tcW w:w="794" w:type="dxa"/>
            <w:tcBorders>
              <w:top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r w:rsidRPr="00C12897">
              <w:rPr>
                <w:rFonts w:ascii="Arial" w:hAnsi="Arial" w:cs="Arial"/>
                <w:color w:val="000000"/>
                <w:sz w:val="18"/>
                <w:szCs w:val="18"/>
              </w:rPr>
              <w:t>1,627</w:t>
            </w:r>
          </w:p>
        </w:tc>
        <w:tc>
          <w:tcPr>
            <w:tcW w:w="869" w:type="dxa"/>
            <w:tcBorders>
              <w:top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r w:rsidRPr="00C12897">
              <w:rPr>
                <w:rFonts w:ascii="Arial" w:hAnsi="Arial" w:cs="Arial"/>
                <w:color w:val="000000"/>
                <w:sz w:val="18"/>
                <w:szCs w:val="18"/>
              </w:rPr>
              <w:t>1,239</w:t>
            </w:r>
          </w:p>
        </w:tc>
        <w:tc>
          <w:tcPr>
            <w:tcW w:w="663" w:type="dxa"/>
            <w:tcBorders>
              <w:top w:val="single" w:sz="4" w:space="0" w:color="auto"/>
              <w:right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r w:rsidRPr="00C12897">
              <w:rPr>
                <w:rFonts w:ascii="Arial" w:hAnsi="Arial" w:cs="Arial"/>
                <w:color w:val="000000"/>
                <w:sz w:val="18"/>
                <w:szCs w:val="18"/>
              </w:rPr>
              <w:t>134</w:t>
            </w:r>
          </w:p>
        </w:tc>
        <w:tc>
          <w:tcPr>
            <w:tcW w:w="869" w:type="dxa"/>
            <w:tcBorders>
              <w:top w:val="single" w:sz="4" w:space="0" w:color="auto"/>
              <w:left w:val="single" w:sz="4" w:space="0" w:color="auto"/>
            </w:tcBorders>
            <w:vAlign w:val="bottom"/>
          </w:tcPr>
          <w:p w:rsidR="007C5423" w:rsidRPr="00C12897" w:rsidRDefault="007C5423" w:rsidP="00EC5112">
            <w:pPr>
              <w:spacing w:before="60" w:after="60"/>
              <w:jc w:val="right"/>
              <w:rPr>
                <w:rFonts w:ascii="Arial" w:hAnsi="Arial" w:cs="Arial"/>
                <w:color w:val="000000"/>
                <w:sz w:val="18"/>
                <w:szCs w:val="18"/>
              </w:rPr>
            </w:pPr>
            <w:r>
              <w:rPr>
                <w:rFonts w:ascii="Arial" w:hAnsi="Arial" w:cs="Arial"/>
                <w:color w:val="000000"/>
                <w:sz w:val="18"/>
                <w:szCs w:val="18"/>
              </w:rPr>
              <w:t>20</w:t>
            </w:r>
          </w:p>
        </w:tc>
      </w:tr>
      <w:tr w:rsidR="007C5423" w:rsidRPr="00C12897">
        <w:trPr>
          <w:trHeight w:hRule="exact" w:val="161"/>
        </w:trPr>
        <w:tc>
          <w:tcPr>
            <w:tcW w:w="3078" w:type="dxa"/>
            <w:vAlign w:val="bottom"/>
          </w:tcPr>
          <w:p w:rsidR="007C5423" w:rsidRPr="00C12897" w:rsidRDefault="007C5423" w:rsidP="00847AD0">
            <w:pPr>
              <w:pStyle w:val="Tabletext"/>
              <w:rPr>
                <w:sz w:val="18"/>
                <w:szCs w:val="18"/>
              </w:rPr>
            </w:pPr>
          </w:p>
        </w:tc>
        <w:tc>
          <w:tcPr>
            <w:tcW w:w="789" w:type="dxa"/>
            <w:vAlign w:val="bottom"/>
          </w:tcPr>
          <w:p w:rsidR="007C5423" w:rsidRPr="00C12897" w:rsidRDefault="007C5423" w:rsidP="00847AD0">
            <w:pPr>
              <w:spacing w:before="60" w:after="60"/>
              <w:jc w:val="right"/>
              <w:rPr>
                <w:rFonts w:ascii="Arial" w:hAnsi="Arial" w:cs="Arial"/>
                <w:color w:val="000000"/>
                <w:sz w:val="18"/>
                <w:szCs w:val="18"/>
              </w:rPr>
            </w:pPr>
          </w:p>
        </w:tc>
        <w:tc>
          <w:tcPr>
            <w:tcW w:w="784" w:type="dxa"/>
            <w:vAlign w:val="bottom"/>
          </w:tcPr>
          <w:p w:rsidR="007C5423" w:rsidRPr="00C12897" w:rsidRDefault="007C5423" w:rsidP="00847AD0">
            <w:pPr>
              <w:spacing w:before="60" w:after="60"/>
              <w:jc w:val="right"/>
              <w:rPr>
                <w:rFonts w:ascii="Arial" w:hAnsi="Arial" w:cs="Arial"/>
                <w:color w:val="000000"/>
                <w:sz w:val="18"/>
                <w:szCs w:val="18"/>
              </w:rPr>
            </w:pPr>
          </w:p>
        </w:tc>
        <w:tc>
          <w:tcPr>
            <w:tcW w:w="869" w:type="dxa"/>
            <w:vAlign w:val="bottom"/>
          </w:tcPr>
          <w:p w:rsidR="007C5423" w:rsidRPr="00C12897" w:rsidRDefault="007C5423" w:rsidP="00847AD0">
            <w:pPr>
              <w:spacing w:before="60" w:after="60"/>
              <w:jc w:val="right"/>
              <w:rPr>
                <w:rFonts w:ascii="Arial" w:hAnsi="Arial" w:cs="Arial"/>
                <w:color w:val="000000"/>
                <w:sz w:val="18"/>
                <w:szCs w:val="18"/>
              </w:rPr>
            </w:pPr>
          </w:p>
        </w:tc>
        <w:tc>
          <w:tcPr>
            <w:tcW w:w="689" w:type="dxa"/>
            <w:tcBorders>
              <w:right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p>
        </w:tc>
        <w:tc>
          <w:tcPr>
            <w:tcW w:w="783" w:type="dxa"/>
            <w:tcBorders>
              <w:left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p>
        </w:tc>
        <w:tc>
          <w:tcPr>
            <w:tcW w:w="783" w:type="dxa"/>
            <w:vAlign w:val="bottom"/>
          </w:tcPr>
          <w:p w:rsidR="007C5423" w:rsidRPr="00C12897" w:rsidRDefault="007C5423" w:rsidP="00847AD0">
            <w:pPr>
              <w:spacing w:before="60" w:after="60"/>
              <w:jc w:val="right"/>
              <w:rPr>
                <w:rFonts w:ascii="Arial" w:hAnsi="Arial" w:cs="Arial"/>
                <w:color w:val="000000"/>
                <w:sz w:val="18"/>
                <w:szCs w:val="18"/>
              </w:rPr>
            </w:pPr>
          </w:p>
        </w:tc>
        <w:tc>
          <w:tcPr>
            <w:tcW w:w="869" w:type="dxa"/>
            <w:vAlign w:val="bottom"/>
          </w:tcPr>
          <w:p w:rsidR="007C5423" w:rsidRPr="00C12897" w:rsidRDefault="007C5423" w:rsidP="00847AD0">
            <w:pPr>
              <w:spacing w:before="60" w:after="60"/>
              <w:jc w:val="right"/>
              <w:rPr>
                <w:rFonts w:ascii="Arial" w:hAnsi="Arial" w:cs="Arial"/>
                <w:color w:val="000000"/>
                <w:sz w:val="18"/>
                <w:szCs w:val="18"/>
              </w:rPr>
            </w:pPr>
          </w:p>
        </w:tc>
        <w:tc>
          <w:tcPr>
            <w:tcW w:w="718" w:type="dxa"/>
            <w:tcBorders>
              <w:right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p>
        </w:tc>
        <w:tc>
          <w:tcPr>
            <w:tcW w:w="783" w:type="dxa"/>
            <w:tcBorders>
              <w:left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p>
        </w:tc>
        <w:tc>
          <w:tcPr>
            <w:tcW w:w="794" w:type="dxa"/>
            <w:vAlign w:val="bottom"/>
          </w:tcPr>
          <w:p w:rsidR="007C5423" w:rsidRPr="00C12897" w:rsidRDefault="007C5423" w:rsidP="00847AD0">
            <w:pPr>
              <w:spacing w:before="60" w:after="60"/>
              <w:jc w:val="right"/>
              <w:rPr>
                <w:rFonts w:ascii="Arial" w:hAnsi="Arial" w:cs="Arial"/>
                <w:color w:val="000000"/>
                <w:sz w:val="18"/>
                <w:szCs w:val="18"/>
              </w:rPr>
            </w:pPr>
          </w:p>
        </w:tc>
        <w:tc>
          <w:tcPr>
            <w:tcW w:w="869" w:type="dxa"/>
            <w:vAlign w:val="bottom"/>
          </w:tcPr>
          <w:p w:rsidR="007C5423" w:rsidRPr="00C12897" w:rsidRDefault="007C5423" w:rsidP="00847AD0">
            <w:pPr>
              <w:spacing w:before="60" w:after="60"/>
              <w:jc w:val="right"/>
              <w:rPr>
                <w:rFonts w:ascii="Arial" w:hAnsi="Arial" w:cs="Arial"/>
                <w:color w:val="000000"/>
                <w:sz w:val="18"/>
                <w:szCs w:val="18"/>
              </w:rPr>
            </w:pPr>
          </w:p>
        </w:tc>
        <w:tc>
          <w:tcPr>
            <w:tcW w:w="663" w:type="dxa"/>
            <w:tcBorders>
              <w:right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p>
        </w:tc>
        <w:tc>
          <w:tcPr>
            <w:tcW w:w="869" w:type="dxa"/>
            <w:tcBorders>
              <w:left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p>
        </w:tc>
      </w:tr>
      <w:tr w:rsidR="007C5423" w:rsidRPr="00C12897">
        <w:trPr>
          <w:trHeight w:val="337"/>
        </w:trPr>
        <w:tc>
          <w:tcPr>
            <w:tcW w:w="3078" w:type="dxa"/>
            <w:vAlign w:val="bottom"/>
          </w:tcPr>
          <w:p w:rsidR="007C5423" w:rsidRPr="00C12897" w:rsidRDefault="007C5423" w:rsidP="00847AD0">
            <w:pPr>
              <w:pStyle w:val="Tabletext"/>
              <w:rPr>
                <w:sz w:val="18"/>
                <w:szCs w:val="18"/>
              </w:rPr>
            </w:pPr>
            <w:r w:rsidRPr="00C12897">
              <w:rPr>
                <w:sz w:val="18"/>
                <w:szCs w:val="18"/>
              </w:rPr>
              <w:t>Public</w:t>
            </w:r>
          </w:p>
        </w:tc>
        <w:tc>
          <w:tcPr>
            <w:tcW w:w="789" w:type="dxa"/>
            <w:vAlign w:val="bottom"/>
          </w:tcPr>
          <w:p w:rsidR="007C5423" w:rsidRPr="00C12897" w:rsidRDefault="007C5423" w:rsidP="00847AD0">
            <w:pPr>
              <w:spacing w:before="60" w:after="60"/>
              <w:jc w:val="right"/>
              <w:rPr>
                <w:rFonts w:ascii="Arial" w:hAnsi="Arial" w:cs="Arial"/>
                <w:color w:val="000000"/>
                <w:sz w:val="18"/>
                <w:szCs w:val="18"/>
              </w:rPr>
            </w:pPr>
          </w:p>
        </w:tc>
        <w:tc>
          <w:tcPr>
            <w:tcW w:w="784" w:type="dxa"/>
            <w:vAlign w:val="bottom"/>
          </w:tcPr>
          <w:p w:rsidR="007C5423" w:rsidRPr="00C12897" w:rsidRDefault="007C5423" w:rsidP="00847AD0">
            <w:pPr>
              <w:spacing w:before="60" w:after="60"/>
              <w:jc w:val="right"/>
              <w:rPr>
                <w:rFonts w:ascii="Arial" w:hAnsi="Arial" w:cs="Arial"/>
                <w:color w:val="000000"/>
                <w:sz w:val="18"/>
                <w:szCs w:val="18"/>
              </w:rPr>
            </w:pPr>
          </w:p>
        </w:tc>
        <w:tc>
          <w:tcPr>
            <w:tcW w:w="869" w:type="dxa"/>
            <w:vAlign w:val="bottom"/>
          </w:tcPr>
          <w:p w:rsidR="007C5423" w:rsidRPr="00C12897" w:rsidRDefault="007C5423" w:rsidP="00847AD0">
            <w:pPr>
              <w:spacing w:before="60" w:after="60"/>
              <w:jc w:val="right"/>
              <w:rPr>
                <w:rFonts w:ascii="Arial" w:hAnsi="Arial" w:cs="Arial"/>
                <w:color w:val="000000"/>
                <w:sz w:val="18"/>
                <w:szCs w:val="18"/>
              </w:rPr>
            </w:pPr>
          </w:p>
        </w:tc>
        <w:tc>
          <w:tcPr>
            <w:tcW w:w="689" w:type="dxa"/>
            <w:tcBorders>
              <w:right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p>
        </w:tc>
        <w:tc>
          <w:tcPr>
            <w:tcW w:w="783" w:type="dxa"/>
            <w:tcBorders>
              <w:left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p>
        </w:tc>
        <w:tc>
          <w:tcPr>
            <w:tcW w:w="783" w:type="dxa"/>
            <w:vAlign w:val="bottom"/>
          </w:tcPr>
          <w:p w:rsidR="007C5423" w:rsidRPr="00C12897" w:rsidRDefault="007C5423" w:rsidP="00847AD0">
            <w:pPr>
              <w:spacing w:before="60" w:after="60"/>
              <w:jc w:val="right"/>
              <w:rPr>
                <w:rFonts w:ascii="Arial" w:hAnsi="Arial" w:cs="Arial"/>
                <w:color w:val="000000"/>
                <w:sz w:val="18"/>
                <w:szCs w:val="18"/>
              </w:rPr>
            </w:pPr>
          </w:p>
        </w:tc>
        <w:tc>
          <w:tcPr>
            <w:tcW w:w="869" w:type="dxa"/>
            <w:vAlign w:val="bottom"/>
          </w:tcPr>
          <w:p w:rsidR="007C5423" w:rsidRPr="00C12897" w:rsidRDefault="007C5423" w:rsidP="00847AD0">
            <w:pPr>
              <w:spacing w:before="60" w:after="60"/>
              <w:jc w:val="right"/>
              <w:rPr>
                <w:rFonts w:ascii="Arial" w:hAnsi="Arial" w:cs="Arial"/>
                <w:color w:val="000000"/>
                <w:sz w:val="18"/>
                <w:szCs w:val="18"/>
              </w:rPr>
            </w:pPr>
          </w:p>
        </w:tc>
        <w:tc>
          <w:tcPr>
            <w:tcW w:w="718" w:type="dxa"/>
            <w:tcBorders>
              <w:right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p>
        </w:tc>
        <w:tc>
          <w:tcPr>
            <w:tcW w:w="783" w:type="dxa"/>
            <w:tcBorders>
              <w:left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p>
        </w:tc>
        <w:tc>
          <w:tcPr>
            <w:tcW w:w="794" w:type="dxa"/>
            <w:vAlign w:val="bottom"/>
          </w:tcPr>
          <w:p w:rsidR="007C5423" w:rsidRPr="00C12897" w:rsidRDefault="007C5423" w:rsidP="00847AD0">
            <w:pPr>
              <w:spacing w:before="60" w:after="60"/>
              <w:jc w:val="right"/>
              <w:rPr>
                <w:rFonts w:ascii="Arial" w:hAnsi="Arial" w:cs="Arial"/>
                <w:color w:val="000000"/>
                <w:sz w:val="18"/>
                <w:szCs w:val="18"/>
              </w:rPr>
            </w:pPr>
          </w:p>
        </w:tc>
        <w:tc>
          <w:tcPr>
            <w:tcW w:w="869" w:type="dxa"/>
            <w:vAlign w:val="bottom"/>
          </w:tcPr>
          <w:p w:rsidR="007C5423" w:rsidRPr="00C12897" w:rsidRDefault="007C5423" w:rsidP="00847AD0">
            <w:pPr>
              <w:spacing w:before="60" w:after="60"/>
              <w:jc w:val="right"/>
              <w:rPr>
                <w:rFonts w:ascii="Arial" w:hAnsi="Arial" w:cs="Arial"/>
                <w:color w:val="000000"/>
                <w:sz w:val="18"/>
                <w:szCs w:val="18"/>
              </w:rPr>
            </w:pPr>
          </w:p>
        </w:tc>
        <w:tc>
          <w:tcPr>
            <w:tcW w:w="663" w:type="dxa"/>
            <w:tcBorders>
              <w:right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p>
        </w:tc>
        <w:tc>
          <w:tcPr>
            <w:tcW w:w="869" w:type="dxa"/>
            <w:tcBorders>
              <w:left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p>
        </w:tc>
      </w:tr>
      <w:tr w:rsidR="007C5423" w:rsidRPr="00C12897">
        <w:trPr>
          <w:trHeight w:val="337"/>
        </w:trPr>
        <w:tc>
          <w:tcPr>
            <w:tcW w:w="3078" w:type="dxa"/>
            <w:vAlign w:val="bottom"/>
          </w:tcPr>
          <w:p w:rsidR="007C5423" w:rsidRPr="00C12897" w:rsidRDefault="007C5423" w:rsidP="00847AD0">
            <w:pPr>
              <w:pStyle w:val="2enspsubgroup1"/>
              <w:rPr>
                <w:sz w:val="18"/>
                <w:szCs w:val="18"/>
              </w:rPr>
            </w:pPr>
            <w:r w:rsidRPr="00C12897">
              <w:rPr>
                <w:sz w:val="18"/>
                <w:szCs w:val="18"/>
              </w:rPr>
              <w:t>Less-than 2-year</w:t>
            </w:r>
          </w:p>
        </w:tc>
        <w:tc>
          <w:tcPr>
            <w:tcW w:w="789" w:type="dxa"/>
            <w:vAlign w:val="bottom"/>
          </w:tcPr>
          <w:p w:rsidR="007C5423" w:rsidRPr="00C12897" w:rsidRDefault="007C5423" w:rsidP="001173D4">
            <w:pPr>
              <w:spacing w:before="60" w:after="60"/>
              <w:jc w:val="right"/>
              <w:rPr>
                <w:rFonts w:ascii="Arial" w:hAnsi="Arial" w:cs="Arial"/>
                <w:color w:val="000000"/>
                <w:sz w:val="18"/>
                <w:szCs w:val="18"/>
              </w:rPr>
            </w:pPr>
            <w:r>
              <w:rPr>
                <w:rFonts w:ascii="Arial" w:hAnsi="Arial" w:cs="Arial"/>
                <w:color w:val="000000"/>
                <w:sz w:val="18"/>
                <w:szCs w:val="18"/>
              </w:rPr>
              <w:t>58</w:t>
            </w:r>
          </w:p>
        </w:tc>
        <w:tc>
          <w:tcPr>
            <w:tcW w:w="784" w:type="dxa"/>
            <w:vAlign w:val="bottom"/>
          </w:tcPr>
          <w:p w:rsidR="007C5423" w:rsidRPr="00C12897" w:rsidRDefault="007C5423" w:rsidP="001173D4">
            <w:pPr>
              <w:spacing w:before="60" w:after="60"/>
              <w:jc w:val="right"/>
              <w:rPr>
                <w:rFonts w:ascii="Arial" w:hAnsi="Arial" w:cs="Arial"/>
                <w:color w:val="000000"/>
                <w:sz w:val="18"/>
                <w:szCs w:val="18"/>
              </w:rPr>
            </w:pPr>
            <w:r>
              <w:rPr>
                <w:rFonts w:ascii="Arial" w:hAnsi="Arial" w:cs="Arial"/>
                <w:color w:val="000000"/>
                <w:sz w:val="18"/>
                <w:szCs w:val="18"/>
              </w:rPr>
              <w:t>41</w:t>
            </w:r>
          </w:p>
        </w:tc>
        <w:tc>
          <w:tcPr>
            <w:tcW w:w="869" w:type="dxa"/>
            <w:vAlign w:val="bottom"/>
          </w:tcPr>
          <w:p w:rsidR="007C5423" w:rsidRPr="00C12897" w:rsidRDefault="007C5423" w:rsidP="001173D4">
            <w:pPr>
              <w:spacing w:before="60" w:after="60"/>
              <w:jc w:val="right"/>
              <w:rPr>
                <w:rFonts w:ascii="Arial" w:hAnsi="Arial" w:cs="Arial"/>
                <w:color w:val="000000"/>
                <w:sz w:val="18"/>
                <w:szCs w:val="18"/>
              </w:rPr>
            </w:pPr>
            <w:r>
              <w:rPr>
                <w:rFonts w:ascii="Arial" w:hAnsi="Arial" w:cs="Arial"/>
                <w:color w:val="000000"/>
                <w:sz w:val="18"/>
                <w:szCs w:val="18"/>
              </w:rPr>
              <w:t>16</w:t>
            </w:r>
          </w:p>
        </w:tc>
        <w:tc>
          <w:tcPr>
            <w:tcW w:w="689" w:type="dxa"/>
            <w:tcBorders>
              <w:right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r w:rsidRPr="00C12897">
              <w:rPr>
                <w:rFonts w:ascii="Arial" w:hAnsi="Arial" w:cs="Arial"/>
                <w:color w:val="000000"/>
                <w:sz w:val="18"/>
                <w:szCs w:val="18"/>
              </w:rPr>
              <w:t>0</w:t>
            </w:r>
          </w:p>
        </w:tc>
        <w:tc>
          <w:tcPr>
            <w:tcW w:w="783" w:type="dxa"/>
            <w:tcBorders>
              <w:left w:val="single" w:sz="4" w:space="0" w:color="auto"/>
            </w:tcBorders>
            <w:vAlign w:val="bottom"/>
          </w:tcPr>
          <w:p w:rsidR="007C5423" w:rsidRPr="00C12897" w:rsidRDefault="007C5423" w:rsidP="006724F5">
            <w:pPr>
              <w:spacing w:before="60" w:after="60"/>
              <w:jc w:val="right"/>
              <w:rPr>
                <w:rFonts w:ascii="Arial" w:hAnsi="Arial" w:cs="Arial"/>
                <w:color w:val="000000"/>
                <w:sz w:val="18"/>
                <w:szCs w:val="18"/>
              </w:rPr>
            </w:pPr>
            <w:r>
              <w:rPr>
                <w:rFonts w:ascii="Arial" w:hAnsi="Arial" w:cs="Arial"/>
                <w:color w:val="000000"/>
                <w:sz w:val="18"/>
                <w:szCs w:val="18"/>
              </w:rPr>
              <w:t>42</w:t>
            </w:r>
          </w:p>
        </w:tc>
        <w:tc>
          <w:tcPr>
            <w:tcW w:w="783" w:type="dxa"/>
            <w:vAlign w:val="bottom"/>
          </w:tcPr>
          <w:p w:rsidR="007C5423" w:rsidRPr="00C12897" w:rsidRDefault="007C5423" w:rsidP="006724F5">
            <w:pPr>
              <w:spacing w:before="60" w:after="60"/>
              <w:jc w:val="right"/>
              <w:rPr>
                <w:rFonts w:ascii="Arial" w:hAnsi="Arial" w:cs="Arial"/>
                <w:color w:val="000000"/>
                <w:sz w:val="18"/>
                <w:szCs w:val="18"/>
              </w:rPr>
            </w:pPr>
            <w:r>
              <w:rPr>
                <w:rFonts w:ascii="Arial" w:hAnsi="Arial" w:cs="Arial"/>
                <w:color w:val="000000"/>
                <w:sz w:val="18"/>
                <w:szCs w:val="18"/>
              </w:rPr>
              <w:t>30</w:t>
            </w:r>
          </w:p>
        </w:tc>
        <w:tc>
          <w:tcPr>
            <w:tcW w:w="869" w:type="dxa"/>
            <w:vAlign w:val="bottom"/>
          </w:tcPr>
          <w:p w:rsidR="007C5423" w:rsidRPr="00C12897" w:rsidRDefault="007C5423" w:rsidP="006724F5">
            <w:pPr>
              <w:spacing w:before="60" w:after="60"/>
              <w:jc w:val="right"/>
              <w:rPr>
                <w:rFonts w:ascii="Arial" w:hAnsi="Arial" w:cs="Arial"/>
                <w:color w:val="000000"/>
                <w:sz w:val="18"/>
                <w:szCs w:val="18"/>
              </w:rPr>
            </w:pPr>
            <w:r>
              <w:rPr>
                <w:rFonts w:ascii="Arial" w:hAnsi="Arial" w:cs="Arial"/>
                <w:color w:val="000000"/>
                <w:sz w:val="18"/>
                <w:szCs w:val="18"/>
              </w:rPr>
              <w:t>12</w:t>
            </w:r>
          </w:p>
        </w:tc>
        <w:tc>
          <w:tcPr>
            <w:tcW w:w="718" w:type="dxa"/>
            <w:tcBorders>
              <w:right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r w:rsidRPr="00C12897">
              <w:rPr>
                <w:rFonts w:ascii="Arial" w:hAnsi="Arial" w:cs="Arial"/>
                <w:color w:val="000000"/>
                <w:sz w:val="18"/>
                <w:szCs w:val="18"/>
              </w:rPr>
              <w:t>0</w:t>
            </w:r>
          </w:p>
        </w:tc>
        <w:tc>
          <w:tcPr>
            <w:tcW w:w="783" w:type="dxa"/>
            <w:tcBorders>
              <w:left w:val="single" w:sz="4" w:space="0" w:color="auto"/>
            </w:tcBorders>
            <w:vAlign w:val="bottom"/>
          </w:tcPr>
          <w:p w:rsidR="007C5423" w:rsidRPr="00C12897" w:rsidRDefault="007C5423" w:rsidP="006724F5">
            <w:pPr>
              <w:spacing w:before="60" w:after="60"/>
              <w:jc w:val="right"/>
              <w:rPr>
                <w:rFonts w:ascii="Arial" w:hAnsi="Arial" w:cs="Arial"/>
                <w:color w:val="000000"/>
                <w:sz w:val="18"/>
                <w:szCs w:val="18"/>
              </w:rPr>
            </w:pPr>
            <w:r>
              <w:rPr>
                <w:rFonts w:ascii="Arial" w:hAnsi="Arial" w:cs="Arial"/>
                <w:color w:val="000000"/>
                <w:sz w:val="18"/>
                <w:szCs w:val="18"/>
              </w:rPr>
              <w:t>34</w:t>
            </w:r>
          </w:p>
        </w:tc>
        <w:tc>
          <w:tcPr>
            <w:tcW w:w="794" w:type="dxa"/>
            <w:vAlign w:val="bottom"/>
          </w:tcPr>
          <w:p w:rsidR="007C5423" w:rsidRPr="00C12897" w:rsidRDefault="007C5423" w:rsidP="004F6344">
            <w:pPr>
              <w:spacing w:before="60" w:after="60"/>
              <w:jc w:val="right"/>
              <w:rPr>
                <w:rFonts w:ascii="Arial" w:hAnsi="Arial" w:cs="Arial"/>
                <w:color w:val="000000"/>
                <w:sz w:val="18"/>
                <w:szCs w:val="18"/>
              </w:rPr>
            </w:pPr>
            <w:r>
              <w:rPr>
                <w:rFonts w:ascii="Arial" w:hAnsi="Arial" w:cs="Arial"/>
                <w:color w:val="000000"/>
                <w:sz w:val="18"/>
                <w:szCs w:val="18"/>
              </w:rPr>
              <w:t>24</w:t>
            </w:r>
          </w:p>
        </w:tc>
        <w:tc>
          <w:tcPr>
            <w:tcW w:w="869" w:type="dxa"/>
            <w:vAlign w:val="bottom"/>
          </w:tcPr>
          <w:p w:rsidR="007C5423" w:rsidRPr="00C12897" w:rsidRDefault="007C5423" w:rsidP="00EC5112">
            <w:pPr>
              <w:spacing w:before="60" w:after="60"/>
              <w:jc w:val="right"/>
              <w:rPr>
                <w:rFonts w:ascii="Arial" w:hAnsi="Arial" w:cs="Arial"/>
                <w:color w:val="000000"/>
                <w:sz w:val="18"/>
                <w:szCs w:val="18"/>
              </w:rPr>
            </w:pPr>
            <w:r>
              <w:rPr>
                <w:rFonts w:ascii="Arial" w:hAnsi="Arial" w:cs="Arial"/>
                <w:color w:val="000000"/>
                <w:sz w:val="18"/>
                <w:szCs w:val="18"/>
              </w:rPr>
              <w:t>10</w:t>
            </w:r>
          </w:p>
        </w:tc>
        <w:tc>
          <w:tcPr>
            <w:tcW w:w="663" w:type="dxa"/>
            <w:tcBorders>
              <w:right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r w:rsidRPr="00C12897">
              <w:rPr>
                <w:rFonts w:ascii="Arial" w:hAnsi="Arial" w:cs="Arial"/>
                <w:color w:val="000000"/>
                <w:sz w:val="18"/>
                <w:szCs w:val="18"/>
              </w:rPr>
              <w:t>0</w:t>
            </w:r>
          </w:p>
        </w:tc>
        <w:tc>
          <w:tcPr>
            <w:tcW w:w="869" w:type="dxa"/>
            <w:tcBorders>
              <w:left w:val="single" w:sz="4" w:space="0" w:color="auto"/>
            </w:tcBorders>
            <w:vAlign w:val="bottom"/>
          </w:tcPr>
          <w:p w:rsidR="007C5423" w:rsidRPr="00C12897" w:rsidRDefault="007C5423" w:rsidP="00EC5112">
            <w:pPr>
              <w:spacing w:before="60" w:after="60"/>
              <w:jc w:val="right"/>
              <w:rPr>
                <w:rFonts w:ascii="Arial" w:hAnsi="Arial" w:cs="Arial"/>
                <w:color w:val="000000"/>
                <w:sz w:val="18"/>
                <w:szCs w:val="18"/>
              </w:rPr>
            </w:pPr>
            <w:r>
              <w:rPr>
                <w:rFonts w:ascii="Arial" w:hAnsi="Arial" w:cs="Arial"/>
                <w:color w:val="000000"/>
                <w:sz w:val="18"/>
                <w:szCs w:val="18"/>
              </w:rPr>
              <w:t>13</w:t>
            </w:r>
          </w:p>
        </w:tc>
      </w:tr>
      <w:tr w:rsidR="007C5423" w:rsidRPr="00C12897">
        <w:trPr>
          <w:trHeight w:val="337"/>
        </w:trPr>
        <w:tc>
          <w:tcPr>
            <w:tcW w:w="3078" w:type="dxa"/>
            <w:vAlign w:val="bottom"/>
          </w:tcPr>
          <w:p w:rsidR="007C5423" w:rsidRPr="00C12897" w:rsidRDefault="007C5423" w:rsidP="00847AD0">
            <w:pPr>
              <w:pStyle w:val="2enspsubgroup1"/>
              <w:rPr>
                <w:sz w:val="18"/>
                <w:szCs w:val="18"/>
              </w:rPr>
            </w:pPr>
            <w:r w:rsidRPr="00C12897">
              <w:rPr>
                <w:sz w:val="18"/>
                <w:szCs w:val="18"/>
              </w:rPr>
              <w:t>2-year</w:t>
            </w:r>
          </w:p>
        </w:tc>
        <w:tc>
          <w:tcPr>
            <w:tcW w:w="789" w:type="dxa"/>
            <w:vAlign w:val="bottom"/>
          </w:tcPr>
          <w:p w:rsidR="007C5423" w:rsidRPr="00C12897" w:rsidRDefault="007C5423" w:rsidP="001173D4">
            <w:pPr>
              <w:spacing w:before="60" w:after="60"/>
              <w:jc w:val="right"/>
              <w:rPr>
                <w:rFonts w:ascii="Arial" w:hAnsi="Arial" w:cs="Arial"/>
                <w:color w:val="000000"/>
                <w:sz w:val="18"/>
                <w:szCs w:val="18"/>
              </w:rPr>
            </w:pPr>
            <w:r>
              <w:rPr>
                <w:rFonts w:ascii="Arial" w:hAnsi="Arial" w:cs="Arial"/>
                <w:color w:val="000000"/>
                <w:sz w:val="18"/>
                <w:szCs w:val="18"/>
              </w:rPr>
              <w:t>1,627</w:t>
            </w:r>
          </w:p>
        </w:tc>
        <w:tc>
          <w:tcPr>
            <w:tcW w:w="784" w:type="dxa"/>
            <w:vAlign w:val="bottom"/>
          </w:tcPr>
          <w:p w:rsidR="007C5423" w:rsidRPr="00C12897" w:rsidRDefault="007C5423" w:rsidP="001173D4">
            <w:pPr>
              <w:spacing w:before="60" w:after="60"/>
              <w:jc w:val="right"/>
              <w:rPr>
                <w:rFonts w:ascii="Arial" w:hAnsi="Arial" w:cs="Arial"/>
                <w:color w:val="000000"/>
                <w:sz w:val="18"/>
                <w:szCs w:val="18"/>
              </w:rPr>
            </w:pPr>
            <w:r>
              <w:rPr>
                <w:rFonts w:ascii="Arial" w:hAnsi="Arial" w:cs="Arial"/>
                <w:color w:val="000000"/>
                <w:sz w:val="18"/>
                <w:szCs w:val="18"/>
              </w:rPr>
              <w:t>855</w:t>
            </w:r>
          </w:p>
        </w:tc>
        <w:tc>
          <w:tcPr>
            <w:tcW w:w="869" w:type="dxa"/>
            <w:vAlign w:val="bottom"/>
          </w:tcPr>
          <w:p w:rsidR="007C5423" w:rsidRPr="00C12897" w:rsidRDefault="007C5423" w:rsidP="006724F5">
            <w:pPr>
              <w:spacing w:before="60" w:after="60"/>
              <w:jc w:val="right"/>
              <w:rPr>
                <w:rFonts w:ascii="Arial" w:hAnsi="Arial" w:cs="Arial"/>
                <w:color w:val="000000"/>
                <w:sz w:val="18"/>
                <w:szCs w:val="18"/>
              </w:rPr>
            </w:pPr>
            <w:r>
              <w:rPr>
                <w:rFonts w:ascii="Arial" w:hAnsi="Arial" w:cs="Arial"/>
                <w:color w:val="000000"/>
                <w:sz w:val="18"/>
                <w:szCs w:val="18"/>
              </w:rPr>
              <w:t>772</w:t>
            </w:r>
          </w:p>
        </w:tc>
        <w:tc>
          <w:tcPr>
            <w:tcW w:w="689" w:type="dxa"/>
            <w:tcBorders>
              <w:right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r w:rsidRPr="00C12897">
              <w:rPr>
                <w:rFonts w:ascii="Arial" w:hAnsi="Arial" w:cs="Arial"/>
                <w:color w:val="000000"/>
                <w:sz w:val="18"/>
                <w:szCs w:val="18"/>
              </w:rPr>
              <w:t>0</w:t>
            </w:r>
          </w:p>
        </w:tc>
        <w:tc>
          <w:tcPr>
            <w:tcW w:w="783" w:type="dxa"/>
            <w:tcBorders>
              <w:left w:val="single" w:sz="4" w:space="0" w:color="auto"/>
            </w:tcBorders>
            <w:vAlign w:val="bottom"/>
          </w:tcPr>
          <w:p w:rsidR="007C5423" w:rsidRPr="00C12897" w:rsidRDefault="007C5423" w:rsidP="006724F5">
            <w:pPr>
              <w:spacing w:before="60" w:after="60"/>
              <w:jc w:val="right"/>
              <w:rPr>
                <w:rFonts w:ascii="Arial" w:hAnsi="Arial" w:cs="Arial"/>
                <w:color w:val="000000"/>
                <w:sz w:val="18"/>
                <w:szCs w:val="18"/>
              </w:rPr>
            </w:pPr>
            <w:r>
              <w:rPr>
                <w:rFonts w:ascii="Arial" w:hAnsi="Arial" w:cs="Arial"/>
                <w:color w:val="000000"/>
                <w:sz w:val="18"/>
                <w:szCs w:val="18"/>
              </w:rPr>
              <w:t>1,587</w:t>
            </w:r>
          </w:p>
        </w:tc>
        <w:tc>
          <w:tcPr>
            <w:tcW w:w="783" w:type="dxa"/>
            <w:vAlign w:val="bottom"/>
          </w:tcPr>
          <w:p w:rsidR="007C5423" w:rsidRPr="00C12897" w:rsidRDefault="007C5423" w:rsidP="006724F5">
            <w:pPr>
              <w:spacing w:before="60" w:after="60"/>
              <w:jc w:val="right"/>
              <w:rPr>
                <w:rFonts w:ascii="Arial" w:hAnsi="Arial" w:cs="Arial"/>
                <w:color w:val="000000"/>
                <w:sz w:val="18"/>
                <w:szCs w:val="18"/>
              </w:rPr>
            </w:pPr>
            <w:r>
              <w:rPr>
                <w:rFonts w:ascii="Arial" w:hAnsi="Arial" w:cs="Arial"/>
                <w:color w:val="000000"/>
                <w:sz w:val="18"/>
                <w:szCs w:val="18"/>
              </w:rPr>
              <w:t>834</w:t>
            </w:r>
          </w:p>
        </w:tc>
        <w:tc>
          <w:tcPr>
            <w:tcW w:w="869" w:type="dxa"/>
            <w:vAlign w:val="bottom"/>
          </w:tcPr>
          <w:p w:rsidR="007C5423" w:rsidRPr="00C12897" w:rsidRDefault="007C5423" w:rsidP="006724F5">
            <w:pPr>
              <w:spacing w:before="60" w:after="60"/>
              <w:jc w:val="right"/>
              <w:rPr>
                <w:rFonts w:ascii="Arial" w:hAnsi="Arial" w:cs="Arial"/>
                <w:color w:val="000000"/>
                <w:sz w:val="18"/>
                <w:szCs w:val="18"/>
              </w:rPr>
            </w:pPr>
            <w:r>
              <w:rPr>
                <w:rFonts w:ascii="Arial" w:hAnsi="Arial" w:cs="Arial"/>
                <w:color w:val="000000"/>
                <w:sz w:val="18"/>
                <w:szCs w:val="18"/>
              </w:rPr>
              <w:t>753</w:t>
            </w:r>
          </w:p>
        </w:tc>
        <w:tc>
          <w:tcPr>
            <w:tcW w:w="718" w:type="dxa"/>
            <w:tcBorders>
              <w:right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r w:rsidRPr="00C12897">
              <w:rPr>
                <w:rFonts w:ascii="Arial" w:hAnsi="Arial" w:cs="Arial"/>
                <w:color w:val="000000"/>
                <w:sz w:val="18"/>
                <w:szCs w:val="18"/>
              </w:rPr>
              <w:t>0</w:t>
            </w:r>
          </w:p>
        </w:tc>
        <w:tc>
          <w:tcPr>
            <w:tcW w:w="783" w:type="dxa"/>
            <w:tcBorders>
              <w:left w:val="single" w:sz="4" w:space="0" w:color="auto"/>
            </w:tcBorders>
            <w:vAlign w:val="bottom"/>
          </w:tcPr>
          <w:p w:rsidR="007C5423" w:rsidRPr="00C12897" w:rsidRDefault="007C5423" w:rsidP="006724F5">
            <w:pPr>
              <w:spacing w:before="60" w:after="60"/>
              <w:jc w:val="right"/>
              <w:rPr>
                <w:rFonts w:ascii="Arial" w:hAnsi="Arial" w:cs="Arial"/>
                <w:color w:val="000000"/>
                <w:sz w:val="18"/>
                <w:szCs w:val="18"/>
              </w:rPr>
            </w:pPr>
            <w:r>
              <w:rPr>
                <w:rFonts w:ascii="Arial" w:hAnsi="Arial" w:cs="Arial"/>
                <w:color w:val="000000"/>
                <w:sz w:val="18"/>
                <w:szCs w:val="18"/>
              </w:rPr>
              <w:t>1,092</w:t>
            </w:r>
          </w:p>
        </w:tc>
        <w:tc>
          <w:tcPr>
            <w:tcW w:w="794" w:type="dxa"/>
            <w:vAlign w:val="bottom"/>
          </w:tcPr>
          <w:p w:rsidR="007C5423" w:rsidRPr="00C12897" w:rsidRDefault="007C5423" w:rsidP="004F6344">
            <w:pPr>
              <w:spacing w:before="60" w:after="60"/>
              <w:jc w:val="right"/>
              <w:rPr>
                <w:rFonts w:ascii="Arial" w:hAnsi="Arial" w:cs="Arial"/>
                <w:color w:val="000000"/>
                <w:sz w:val="18"/>
                <w:szCs w:val="18"/>
              </w:rPr>
            </w:pPr>
            <w:r>
              <w:rPr>
                <w:rFonts w:ascii="Arial" w:hAnsi="Arial" w:cs="Arial"/>
                <w:color w:val="000000"/>
                <w:sz w:val="18"/>
                <w:szCs w:val="18"/>
              </w:rPr>
              <w:t>566</w:t>
            </w:r>
          </w:p>
        </w:tc>
        <w:tc>
          <w:tcPr>
            <w:tcW w:w="869" w:type="dxa"/>
            <w:vAlign w:val="bottom"/>
          </w:tcPr>
          <w:p w:rsidR="007C5423" w:rsidRPr="00C12897" w:rsidRDefault="007C5423" w:rsidP="00EC5112">
            <w:pPr>
              <w:spacing w:before="60" w:after="60"/>
              <w:jc w:val="right"/>
              <w:rPr>
                <w:rFonts w:ascii="Arial" w:hAnsi="Arial" w:cs="Arial"/>
                <w:color w:val="000000"/>
                <w:sz w:val="18"/>
                <w:szCs w:val="18"/>
              </w:rPr>
            </w:pPr>
            <w:r>
              <w:rPr>
                <w:rFonts w:ascii="Arial" w:hAnsi="Arial" w:cs="Arial"/>
                <w:color w:val="000000"/>
                <w:sz w:val="18"/>
                <w:szCs w:val="18"/>
              </w:rPr>
              <w:t>526</w:t>
            </w:r>
          </w:p>
        </w:tc>
        <w:tc>
          <w:tcPr>
            <w:tcW w:w="663" w:type="dxa"/>
            <w:tcBorders>
              <w:right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r w:rsidRPr="00C12897">
              <w:rPr>
                <w:rFonts w:ascii="Arial" w:hAnsi="Arial" w:cs="Arial"/>
                <w:color w:val="000000"/>
                <w:sz w:val="18"/>
                <w:szCs w:val="18"/>
              </w:rPr>
              <w:t>0</w:t>
            </w:r>
          </w:p>
        </w:tc>
        <w:tc>
          <w:tcPr>
            <w:tcW w:w="869" w:type="dxa"/>
            <w:tcBorders>
              <w:left w:val="single" w:sz="4" w:space="0" w:color="auto"/>
            </w:tcBorders>
            <w:vAlign w:val="bottom"/>
          </w:tcPr>
          <w:p w:rsidR="007C5423" w:rsidRPr="00C12897" w:rsidRDefault="007C5423" w:rsidP="00EC5112">
            <w:pPr>
              <w:spacing w:before="60" w:after="60"/>
              <w:jc w:val="right"/>
              <w:rPr>
                <w:rFonts w:ascii="Arial" w:hAnsi="Arial" w:cs="Arial"/>
                <w:color w:val="000000"/>
                <w:sz w:val="18"/>
                <w:szCs w:val="18"/>
              </w:rPr>
            </w:pPr>
            <w:r>
              <w:rPr>
                <w:rFonts w:ascii="Arial" w:hAnsi="Arial" w:cs="Arial"/>
                <w:color w:val="000000"/>
                <w:sz w:val="18"/>
                <w:szCs w:val="18"/>
              </w:rPr>
              <w:t>31</w:t>
            </w:r>
          </w:p>
        </w:tc>
      </w:tr>
      <w:tr w:rsidR="007C5423" w:rsidRPr="00C12897">
        <w:trPr>
          <w:trHeight w:val="319"/>
        </w:trPr>
        <w:tc>
          <w:tcPr>
            <w:tcW w:w="3078" w:type="dxa"/>
            <w:vAlign w:val="bottom"/>
          </w:tcPr>
          <w:p w:rsidR="007C5423" w:rsidRPr="00C12897" w:rsidRDefault="007C5423" w:rsidP="00847AD0">
            <w:pPr>
              <w:pStyle w:val="2enspsubgroup1"/>
              <w:rPr>
                <w:sz w:val="18"/>
                <w:szCs w:val="18"/>
              </w:rPr>
            </w:pPr>
            <w:r w:rsidRPr="00C12897">
              <w:rPr>
                <w:sz w:val="18"/>
                <w:szCs w:val="18"/>
              </w:rPr>
              <w:t>4-year non-doctorate-granting</w:t>
            </w:r>
          </w:p>
        </w:tc>
        <w:tc>
          <w:tcPr>
            <w:tcW w:w="789" w:type="dxa"/>
            <w:vAlign w:val="bottom"/>
          </w:tcPr>
          <w:p w:rsidR="007C5423" w:rsidRPr="00C12897" w:rsidRDefault="007C5423" w:rsidP="001173D4">
            <w:pPr>
              <w:spacing w:before="60" w:after="60"/>
              <w:jc w:val="right"/>
              <w:rPr>
                <w:rFonts w:ascii="Arial" w:hAnsi="Arial" w:cs="Arial"/>
                <w:color w:val="000000"/>
                <w:sz w:val="18"/>
                <w:szCs w:val="18"/>
              </w:rPr>
            </w:pPr>
            <w:r>
              <w:rPr>
                <w:rFonts w:ascii="Arial" w:hAnsi="Arial" w:cs="Arial"/>
                <w:color w:val="000000"/>
                <w:sz w:val="18"/>
                <w:szCs w:val="18"/>
              </w:rPr>
              <w:t>280</w:t>
            </w:r>
          </w:p>
        </w:tc>
        <w:tc>
          <w:tcPr>
            <w:tcW w:w="784" w:type="dxa"/>
            <w:vAlign w:val="bottom"/>
          </w:tcPr>
          <w:p w:rsidR="007C5423" w:rsidRPr="00C12897" w:rsidRDefault="007C5423" w:rsidP="001173D4">
            <w:pPr>
              <w:spacing w:before="60" w:after="60"/>
              <w:jc w:val="right"/>
              <w:rPr>
                <w:rFonts w:ascii="Arial" w:hAnsi="Arial" w:cs="Arial"/>
                <w:color w:val="000000"/>
                <w:sz w:val="18"/>
                <w:szCs w:val="18"/>
              </w:rPr>
            </w:pPr>
            <w:r>
              <w:rPr>
                <w:rFonts w:ascii="Arial" w:hAnsi="Arial" w:cs="Arial"/>
                <w:color w:val="000000"/>
                <w:sz w:val="18"/>
                <w:szCs w:val="18"/>
              </w:rPr>
              <w:t>115</w:t>
            </w:r>
          </w:p>
        </w:tc>
        <w:tc>
          <w:tcPr>
            <w:tcW w:w="869" w:type="dxa"/>
            <w:vAlign w:val="bottom"/>
          </w:tcPr>
          <w:p w:rsidR="007C5423" w:rsidRPr="00C12897" w:rsidRDefault="007C5423" w:rsidP="006724F5">
            <w:pPr>
              <w:spacing w:before="60" w:after="60"/>
              <w:jc w:val="right"/>
              <w:rPr>
                <w:rFonts w:ascii="Arial" w:hAnsi="Arial" w:cs="Arial"/>
                <w:color w:val="000000"/>
                <w:sz w:val="18"/>
                <w:szCs w:val="18"/>
              </w:rPr>
            </w:pPr>
            <w:r>
              <w:rPr>
                <w:rFonts w:ascii="Arial" w:hAnsi="Arial" w:cs="Arial"/>
                <w:color w:val="000000"/>
                <w:sz w:val="18"/>
                <w:szCs w:val="18"/>
              </w:rPr>
              <w:t>148</w:t>
            </w:r>
          </w:p>
        </w:tc>
        <w:tc>
          <w:tcPr>
            <w:tcW w:w="689" w:type="dxa"/>
            <w:tcBorders>
              <w:right w:val="single" w:sz="4" w:space="0" w:color="auto"/>
            </w:tcBorders>
            <w:vAlign w:val="bottom"/>
          </w:tcPr>
          <w:p w:rsidR="007C5423" w:rsidRPr="00C12897" w:rsidRDefault="007C5423" w:rsidP="006724F5">
            <w:pPr>
              <w:spacing w:before="60" w:after="60"/>
              <w:jc w:val="right"/>
              <w:rPr>
                <w:rFonts w:ascii="Arial" w:hAnsi="Arial" w:cs="Arial"/>
                <w:color w:val="000000"/>
                <w:sz w:val="18"/>
                <w:szCs w:val="18"/>
              </w:rPr>
            </w:pPr>
            <w:r>
              <w:rPr>
                <w:rFonts w:ascii="Arial" w:hAnsi="Arial" w:cs="Arial"/>
                <w:color w:val="000000"/>
                <w:sz w:val="18"/>
                <w:szCs w:val="18"/>
              </w:rPr>
              <w:t>17</w:t>
            </w:r>
          </w:p>
        </w:tc>
        <w:tc>
          <w:tcPr>
            <w:tcW w:w="783" w:type="dxa"/>
            <w:tcBorders>
              <w:left w:val="single" w:sz="4" w:space="0" w:color="auto"/>
            </w:tcBorders>
            <w:vAlign w:val="bottom"/>
          </w:tcPr>
          <w:p w:rsidR="007C5423" w:rsidRPr="00C12897" w:rsidRDefault="007C5423" w:rsidP="006724F5">
            <w:pPr>
              <w:spacing w:before="60" w:after="60"/>
              <w:jc w:val="right"/>
              <w:rPr>
                <w:rFonts w:ascii="Arial" w:hAnsi="Arial" w:cs="Arial"/>
                <w:color w:val="000000"/>
                <w:sz w:val="18"/>
                <w:szCs w:val="18"/>
              </w:rPr>
            </w:pPr>
            <w:r>
              <w:rPr>
                <w:rFonts w:ascii="Arial" w:hAnsi="Arial" w:cs="Arial"/>
                <w:color w:val="000000"/>
                <w:sz w:val="18"/>
                <w:szCs w:val="18"/>
              </w:rPr>
              <w:t>268</w:t>
            </w:r>
          </w:p>
        </w:tc>
        <w:tc>
          <w:tcPr>
            <w:tcW w:w="783" w:type="dxa"/>
            <w:vAlign w:val="bottom"/>
          </w:tcPr>
          <w:p w:rsidR="007C5423" w:rsidRPr="00C12897" w:rsidRDefault="007C5423" w:rsidP="006724F5">
            <w:pPr>
              <w:spacing w:before="60" w:after="60"/>
              <w:jc w:val="right"/>
              <w:rPr>
                <w:rFonts w:ascii="Arial" w:hAnsi="Arial" w:cs="Arial"/>
                <w:color w:val="000000"/>
                <w:sz w:val="18"/>
                <w:szCs w:val="18"/>
              </w:rPr>
            </w:pPr>
            <w:r>
              <w:rPr>
                <w:rFonts w:ascii="Arial" w:hAnsi="Arial" w:cs="Arial"/>
                <w:color w:val="000000"/>
                <w:sz w:val="18"/>
                <w:szCs w:val="18"/>
              </w:rPr>
              <w:t>110</w:t>
            </w:r>
          </w:p>
        </w:tc>
        <w:tc>
          <w:tcPr>
            <w:tcW w:w="869" w:type="dxa"/>
            <w:vAlign w:val="bottom"/>
          </w:tcPr>
          <w:p w:rsidR="007C5423" w:rsidRPr="00C12897" w:rsidRDefault="007C5423" w:rsidP="006724F5">
            <w:pPr>
              <w:spacing w:before="60" w:after="60"/>
              <w:jc w:val="right"/>
              <w:rPr>
                <w:rFonts w:ascii="Arial" w:hAnsi="Arial" w:cs="Arial"/>
                <w:color w:val="000000"/>
                <w:sz w:val="18"/>
                <w:szCs w:val="18"/>
              </w:rPr>
            </w:pPr>
            <w:r>
              <w:rPr>
                <w:rFonts w:ascii="Arial" w:hAnsi="Arial" w:cs="Arial"/>
                <w:color w:val="000000"/>
                <w:sz w:val="18"/>
                <w:szCs w:val="18"/>
              </w:rPr>
              <w:t>141</w:t>
            </w:r>
          </w:p>
        </w:tc>
        <w:tc>
          <w:tcPr>
            <w:tcW w:w="718" w:type="dxa"/>
            <w:tcBorders>
              <w:right w:val="single" w:sz="4" w:space="0" w:color="auto"/>
            </w:tcBorders>
            <w:vAlign w:val="bottom"/>
          </w:tcPr>
          <w:p w:rsidR="007C5423" w:rsidRPr="00C12897" w:rsidRDefault="007C5423" w:rsidP="006724F5">
            <w:pPr>
              <w:spacing w:before="60" w:after="60"/>
              <w:jc w:val="right"/>
              <w:rPr>
                <w:rFonts w:ascii="Arial" w:hAnsi="Arial" w:cs="Arial"/>
                <w:color w:val="000000"/>
                <w:sz w:val="18"/>
                <w:szCs w:val="18"/>
              </w:rPr>
            </w:pPr>
            <w:r>
              <w:rPr>
                <w:rFonts w:ascii="Arial" w:hAnsi="Arial" w:cs="Arial"/>
                <w:color w:val="000000"/>
                <w:sz w:val="18"/>
                <w:szCs w:val="18"/>
              </w:rPr>
              <w:t>16</w:t>
            </w:r>
          </w:p>
        </w:tc>
        <w:tc>
          <w:tcPr>
            <w:tcW w:w="783" w:type="dxa"/>
            <w:tcBorders>
              <w:left w:val="single" w:sz="4" w:space="0" w:color="auto"/>
            </w:tcBorders>
            <w:vAlign w:val="bottom"/>
          </w:tcPr>
          <w:p w:rsidR="007C5423" w:rsidRPr="00C12897" w:rsidRDefault="007C5423" w:rsidP="004F6344">
            <w:pPr>
              <w:spacing w:before="60" w:after="60"/>
              <w:jc w:val="right"/>
              <w:rPr>
                <w:rFonts w:ascii="Arial" w:hAnsi="Arial" w:cs="Arial"/>
                <w:color w:val="000000"/>
                <w:sz w:val="18"/>
                <w:szCs w:val="18"/>
              </w:rPr>
            </w:pPr>
            <w:r>
              <w:rPr>
                <w:rFonts w:ascii="Arial" w:hAnsi="Arial" w:cs="Arial"/>
                <w:color w:val="000000"/>
                <w:sz w:val="18"/>
                <w:szCs w:val="18"/>
              </w:rPr>
              <w:t>206</w:t>
            </w:r>
          </w:p>
        </w:tc>
        <w:tc>
          <w:tcPr>
            <w:tcW w:w="794" w:type="dxa"/>
            <w:vAlign w:val="bottom"/>
          </w:tcPr>
          <w:p w:rsidR="007C5423" w:rsidRPr="00C12897" w:rsidRDefault="007C5423" w:rsidP="004F6344">
            <w:pPr>
              <w:spacing w:before="60" w:after="60"/>
              <w:jc w:val="right"/>
              <w:rPr>
                <w:rFonts w:ascii="Arial" w:hAnsi="Arial" w:cs="Arial"/>
                <w:color w:val="000000"/>
                <w:sz w:val="18"/>
                <w:szCs w:val="18"/>
              </w:rPr>
            </w:pPr>
            <w:r>
              <w:rPr>
                <w:rFonts w:ascii="Arial" w:hAnsi="Arial" w:cs="Arial"/>
                <w:color w:val="000000"/>
                <w:sz w:val="18"/>
                <w:szCs w:val="18"/>
              </w:rPr>
              <w:t>84</w:t>
            </w:r>
          </w:p>
        </w:tc>
        <w:tc>
          <w:tcPr>
            <w:tcW w:w="869" w:type="dxa"/>
            <w:vAlign w:val="bottom"/>
          </w:tcPr>
          <w:p w:rsidR="007C5423" w:rsidRPr="00C12897" w:rsidRDefault="007C5423" w:rsidP="00EC5112">
            <w:pPr>
              <w:spacing w:before="60" w:after="60"/>
              <w:jc w:val="right"/>
              <w:rPr>
                <w:rFonts w:ascii="Arial" w:hAnsi="Arial" w:cs="Arial"/>
                <w:color w:val="000000"/>
                <w:sz w:val="18"/>
                <w:szCs w:val="18"/>
              </w:rPr>
            </w:pPr>
            <w:r>
              <w:rPr>
                <w:rFonts w:ascii="Arial" w:hAnsi="Arial" w:cs="Arial"/>
                <w:color w:val="000000"/>
                <w:sz w:val="18"/>
                <w:szCs w:val="18"/>
              </w:rPr>
              <w:t>111</w:t>
            </w:r>
          </w:p>
        </w:tc>
        <w:tc>
          <w:tcPr>
            <w:tcW w:w="663" w:type="dxa"/>
            <w:tcBorders>
              <w:right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r w:rsidRPr="00C12897">
              <w:rPr>
                <w:rFonts w:ascii="Arial" w:hAnsi="Arial" w:cs="Arial"/>
                <w:color w:val="000000"/>
                <w:sz w:val="18"/>
                <w:szCs w:val="18"/>
              </w:rPr>
              <w:t>12</w:t>
            </w:r>
          </w:p>
        </w:tc>
        <w:tc>
          <w:tcPr>
            <w:tcW w:w="869" w:type="dxa"/>
            <w:tcBorders>
              <w:left w:val="single" w:sz="4" w:space="0" w:color="auto"/>
            </w:tcBorders>
            <w:vAlign w:val="bottom"/>
          </w:tcPr>
          <w:p w:rsidR="007C5423" w:rsidRPr="00C12897" w:rsidRDefault="007C5423" w:rsidP="00EC5112">
            <w:pPr>
              <w:spacing w:before="60" w:after="60"/>
              <w:jc w:val="right"/>
              <w:rPr>
                <w:rFonts w:ascii="Arial" w:hAnsi="Arial" w:cs="Arial"/>
                <w:color w:val="000000"/>
                <w:sz w:val="18"/>
                <w:szCs w:val="18"/>
              </w:rPr>
            </w:pPr>
            <w:r>
              <w:rPr>
                <w:rFonts w:ascii="Arial" w:hAnsi="Arial" w:cs="Arial"/>
                <w:color w:val="000000"/>
                <w:sz w:val="18"/>
                <w:szCs w:val="18"/>
              </w:rPr>
              <w:t>17</w:t>
            </w:r>
          </w:p>
        </w:tc>
      </w:tr>
      <w:tr w:rsidR="007C5423" w:rsidRPr="00C12897">
        <w:trPr>
          <w:trHeight w:val="337"/>
        </w:trPr>
        <w:tc>
          <w:tcPr>
            <w:tcW w:w="3078" w:type="dxa"/>
            <w:vAlign w:val="bottom"/>
          </w:tcPr>
          <w:p w:rsidR="007C5423" w:rsidRPr="00C12897" w:rsidRDefault="007C5423" w:rsidP="00847AD0">
            <w:pPr>
              <w:pStyle w:val="2enspsubgroup1"/>
              <w:rPr>
                <w:sz w:val="18"/>
                <w:szCs w:val="18"/>
              </w:rPr>
            </w:pPr>
            <w:r w:rsidRPr="00C12897">
              <w:rPr>
                <w:sz w:val="18"/>
                <w:szCs w:val="18"/>
              </w:rPr>
              <w:t>4-year doctorate-granting</w:t>
            </w:r>
          </w:p>
        </w:tc>
        <w:tc>
          <w:tcPr>
            <w:tcW w:w="789" w:type="dxa"/>
            <w:vAlign w:val="bottom"/>
          </w:tcPr>
          <w:p w:rsidR="007C5423" w:rsidRPr="00C12897" w:rsidRDefault="007C5423" w:rsidP="001173D4">
            <w:pPr>
              <w:spacing w:before="60" w:after="60"/>
              <w:jc w:val="right"/>
              <w:rPr>
                <w:rFonts w:ascii="Arial" w:hAnsi="Arial" w:cs="Arial"/>
                <w:color w:val="000000"/>
                <w:sz w:val="18"/>
                <w:szCs w:val="18"/>
              </w:rPr>
            </w:pPr>
            <w:r>
              <w:rPr>
                <w:rFonts w:ascii="Arial" w:hAnsi="Arial" w:cs="Arial"/>
                <w:color w:val="000000"/>
                <w:sz w:val="18"/>
                <w:szCs w:val="18"/>
              </w:rPr>
              <w:t>630</w:t>
            </w:r>
          </w:p>
        </w:tc>
        <w:tc>
          <w:tcPr>
            <w:tcW w:w="784" w:type="dxa"/>
            <w:vAlign w:val="bottom"/>
          </w:tcPr>
          <w:p w:rsidR="007C5423" w:rsidRPr="00C12897" w:rsidRDefault="007C5423" w:rsidP="001173D4">
            <w:pPr>
              <w:spacing w:before="60" w:after="60"/>
              <w:jc w:val="right"/>
              <w:rPr>
                <w:rFonts w:ascii="Arial" w:hAnsi="Arial" w:cs="Arial"/>
                <w:color w:val="000000"/>
                <w:sz w:val="18"/>
                <w:szCs w:val="18"/>
              </w:rPr>
            </w:pPr>
            <w:r>
              <w:rPr>
                <w:rFonts w:ascii="Arial" w:hAnsi="Arial" w:cs="Arial"/>
                <w:color w:val="000000"/>
                <w:sz w:val="18"/>
                <w:szCs w:val="18"/>
              </w:rPr>
              <w:t>230</w:t>
            </w:r>
          </w:p>
        </w:tc>
        <w:tc>
          <w:tcPr>
            <w:tcW w:w="869" w:type="dxa"/>
            <w:vAlign w:val="bottom"/>
          </w:tcPr>
          <w:p w:rsidR="007C5423" w:rsidRPr="00C12897" w:rsidRDefault="007C5423" w:rsidP="006724F5">
            <w:pPr>
              <w:spacing w:before="60" w:after="60"/>
              <w:jc w:val="right"/>
              <w:rPr>
                <w:rFonts w:ascii="Arial" w:hAnsi="Arial" w:cs="Arial"/>
                <w:color w:val="000000"/>
                <w:sz w:val="18"/>
                <w:szCs w:val="18"/>
              </w:rPr>
            </w:pPr>
            <w:r>
              <w:rPr>
                <w:rFonts w:ascii="Arial" w:hAnsi="Arial" w:cs="Arial"/>
                <w:color w:val="000000"/>
                <w:sz w:val="18"/>
                <w:szCs w:val="18"/>
              </w:rPr>
              <w:t>336</w:t>
            </w:r>
          </w:p>
        </w:tc>
        <w:tc>
          <w:tcPr>
            <w:tcW w:w="689" w:type="dxa"/>
            <w:tcBorders>
              <w:right w:val="single" w:sz="4" w:space="0" w:color="auto"/>
            </w:tcBorders>
            <w:vAlign w:val="bottom"/>
          </w:tcPr>
          <w:p w:rsidR="007C5423" w:rsidRPr="00C12897" w:rsidRDefault="007C5423" w:rsidP="006724F5">
            <w:pPr>
              <w:spacing w:before="60" w:after="60"/>
              <w:jc w:val="right"/>
              <w:rPr>
                <w:rFonts w:ascii="Arial" w:hAnsi="Arial" w:cs="Arial"/>
                <w:color w:val="000000"/>
                <w:sz w:val="18"/>
                <w:szCs w:val="18"/>
              </w:rPr>
            </w:pPr>
            <w:r>
              <w:rPr>
                <w:rFonts w:ascii="Arial" w:hAnsi="Arial" w:cs="Arial"/>
                <w:color w:val="000000"/>
                <w:sz w:val="18"/>
                <w:szCs w:val="18"/>
              </w:rPr>
              <w:t>63</w:t>
            </w:r>
          </w:p>
        </w:tc>
        <w:tc>
          <w:tcPr>
            <w:tcW w:w="783" w:type="dxa"/>
            <w:tcBorders>
              <w:left w:val="single" w:sz="4" w:space="0" w:color="auto"/>
            </w:tcBorders>
            <w:vAlign w:val="bottom"/>
          </w:tcPr>
          <w:p w:rsidR="007C5423" w:rsidRPr="00C12897" w:rsidRDefault="007C5423" w:rsidP="006724F5">
            <w:pPr>
              <w:spacing w:before="60" w:after="60"/>
              <w:jc w:val="right"/>
              <w:rPr>
                <w:rFonts w:ascii="Arial" w:hAnsi="Arial" w:cs="Arial"/>
                <w:color w:val="000000"/>
                <w:sz w:val="18"/>
                <w:szCs w:val="18"/>
              </w:rPr>
            </w:pPr>
            <w:r>
              <w:rPr>
                <w:rFonts w:ascii="Arial" w:hAnsi="Arial" w:cs="Arial"/>
                <w:color w:val="000000"/>
                <w:sz w:val="18"/>
                <w:szCs w:val="18"/>
              </w:rPr>
              <w:t>583</w:t>
            </w:r>
          </w:p>
        </w:tc>
        <w:tc>
          <w:tcPr>
            <w:tcW w:w="783" w:type="dxa"/>
            <w:vAlign w:val="bottom"/>
          </w:tcPr>
          <w:p w:rsidR="007C5423" w:rsidRPr="00C12897" w:rsidRDefault="007C5423" w:rsidP="006724F5">
            <w:pPr>
              <w:spacing w:before="60" w:after="60"/>
              <w:jc w:val="right"/>
              <w:rPr>
                <w:rFonts w:ascii="Arial" w:hAnsi="Arial" w:cs="Arial"/>
                <w:color w:val="000000"/>
                <w:sz w:val="18"/>
                <w:szCs w:val="18"/>
              </w:rPr>
            </w:pPr>
            <w:r>
              <w:rPr>
                <w:rFonts w:ascii="Arial" w:hAnsi="Arial" w:cs="Arial"/>
                <w:color w:val="000000"/>
                <w:sz w:val="18"/>
                <w:szCs w:val="18"/>
              </w:rPr>
              <w:t>213</w:t>
            </w:r>
          </w:p>
        </w:tc>
        <w:tc>
          <w:tcPr>
            <w:tcW w:w="869" w:type="dxa"/>
            <w:vAlign w:val="bottom"/>
          </w:tcPr>
          <w:p w:rsidR="007C5423" w:rsidRPr="00C12897" w:rsidRDefault="007C5423" w:rsidP="006724F5">
            <w:pPr>
              <w:spacing w:before="60" w:after="60"/>
              <w:jc w:val="right"/>
              <w:rPr>
                <w:rFonts w:ascii="Arial" w:hAnsi="Arial" w:cs="Arial"/>
                <w:color w:val="000000"/>
                <w:sz w:val="18"/>
                <w:szCs w:val="18"/>
              </w:rPr>
            </w:pPr>
            <w:r>
              <w:rPr>
                <w:rFonts w:ascii="Arial" w:hAnsi="Arial" w:cs="Arial"/>
                <w:color w:val="000000"/>
                <w:sz w:val="18"/>
                <w:szCs w:val="18"/>
              </w:rPr>
              <w:t>312</w:t>
            </w:r>
          </w:p>
        </w:tc>
        <w:tc>
          <w:tcPr>
            <w:tcW w:w="718" w:type="dxa"/>
            <w:tcBorders>
              <w:right w:val="single" w:sz="4" w:space="0" w:color="auto"/>
            </w:tcBorders>
            <w:vAlign w:val="bottom"/>
          </w:tcPr>
          <w:p w:rsidR="007C5423" w:rsidRPr="00C12897" w:rsidRDefault="007C5423" w:rsidP="006724F5">
            <w:pPr>
              <w:spacing w:before="60" w:after="60"/>
              <w:jc w:val="right"/>
              <w:rPr>
                <w:rFonts w:ascii="Arial" w:hAnsi="Arial" w:cs="Arial"/>
                <w:color w:val="000000"/>
                <w:sz w:val="18"/>
                <w:szCs w:val="18"/>
              </w:rPr>
            </w:pPr>
            <w:r>
              <w:rPr>
                <w:rFonts w:ascii="Arial" w:hAnsi="Arial" w:cs="Arial"/>
                <w:color w:val="000000"/>
                <w:sz w:val="18"/>
                <w:szCs w:val="18"/>
              </w:rPr>
              <w:t>58</w:t>
            </w:r>
          </w:p>
        </w:tc>
        <w:tc>
          <w:tcPr>
            <w:tcW w:w="783" w:type="dxa"/>
            <w:tcBorders>
              <w:left w:val="single" w:sz="4" w:space="0" w:color="auto"/>
            </w:tcBorders>
            <w:vAlign w:val="bottom"/>
          </w:tcPr>
          <w:p w:rsidR="007C5423" w:rsidRPr="00C12897" w:rsidRDefault="007C5423" w:rsidP="004F6344">
            <w:pPr>
              <w:spacing w:before="60" w:after="60"/>
              <w:jc w:val="right"/>
              <w:rPr>
                <w:rFonts w:ascii="Arial" w:hAnsi="Arial" w:cs="Arial"/>
                <w:color w:val="000000"/>
                <w:sz w:val="18"/>
                <w:szCs w:val="18"/>
              </w:rPr>
            </w:pPr>
            <w:r>
              <w:rPr>
                <w:rFonts w:ascii="Arial" w:hAnsi="Arial" w:cs="Arial"/>
                <w:color w:val="000000"/>
                <w:sz w:val="18"/>
                <w:szCs w:val="18"/>
              </w:rPr>
              <w:t>466</w:t>
            </w:r>
          </w:p>
        </w:tc>
        <w:tc>
          <w:tcPr>
            <w:tcW w:w="794" w:type="dxa"/>
            <w:vAlign w:val="bottom"/>
          </w:tcPr>
          <w:p w:rsidR="007C5423" w:rsidRPr="00C12897" w:rsidRDefault="007C5423" w:rsidP="004F6344">
            <w:pPr>
              <w:spacing w:before="60" w:after="60"/>
              <w:jc w:val="right"/>
              <w:rPr>
                <w:rFonts w:ascii="Arial" w:hAnsi="Arial" w:cs="Arial"/>
                <w:color w:val="000000"/>
                <w:sz w:val="18"/>
                <w:szCs w:val="18"/>
              </w:rPr>
            </w:pPr>
            <w:r>
              <w:rPr>
                <w:rFonts w:ascii="Arial" w:hAnsi="Arial" w:cs="Arial"/>
                <w:color w:val="000000"/>
                <w:sz w:val="18"/>
                <w:szCs w:val="18"/>
              </w:rPr>
              <w:t>169</w:t>
            </w:r>
          </w:p>
        </w:tc>
        <w:tc>
          <w:tcPr>
            <w:tcW w:w="869" w:type="dxa"/>
            <w:vAlign w:val="bottom"/>
          </w:tcPr>
          <w:p w:rsidR="007C5423" w:rsidRPr="00C12897" w:rsidRDefault="007C5423" w:rsidP="00EC5112">
            <w:pPr>
              <w:spacing w:before="60" w:after="60"/>
              <w:jc w:val="right"/>
              <w:rPr>
                <w:rFonts w:ascii="Arial" w:hAnsi="Arial" w:cs="Arial"/>
                <w:color w:val="000000"/>
                <w:sz w:val="18"/>
                <w:szCs w:val="18"/>
              </w:rPr>
            </w:pPr>
            <w:r>
              <w:rPr>
                <w:rFonts w:ascii="Arial" w:hAnsi="Arial" w:cs="Arial"/>
                <w:color w:val="000000"/>
                <w:sz w:val="18"/>
                <w:szCs w:val="18"/>
              </w:rPr>
              <w:t>254</w:t>
            </w:r>
          </w:p>
        </w:tc>
        <w:tc>
          <w:tcPr>
            <w:tcW w:w="663" w:type="dxa"/>
            <w:tcBorders>
              <w:right w:val="single" w:sz="4" w:space="0" w:color="auto"/>
            </w:tcBorders>
            <w:vAlign w:val="bottom"/>
          </w:tcPr>
          <w:p w:rsidR="007C5423" w:rsidRPr="00C12897" w:rsidRDefault="007C5423" w:rsidP="00EC5112">
            <w:pPr>
              <w:spacing w:before="60" w:after="60"/>
              <w:jc w:val="right"/>
              <w:rPr>
                <w:rFonts w:ascii="Arial" w:hAnsi="Arial" w:cs="Arial"/>
                <w:color w:val="000000"/>
                <w:sz w:val="18"/>
                <w:szCs w:val="18"/>
              </w:rPr>
            </w:pPr>
            <w:r>
              <w:rPr>
                <w:rFonts w:ascii="Arial" w:hAnsi="Arial" w:cs="Arial"/>
                <w:color w:val="000000"/>
                <w:sz w:val="18"/>
                <w:szCs w:val="18"/>
              </w:rPr>
              <w:t>43</w:t>
            </w:r>
          </w:p>
        </w:tc>
        <w:tc>
          <w:tcPr>
            <w:tcW w:w="869" w:type="dxa"/>
            <w:tcBorders>
              <w:left w:val="single" w:sz="4" w:space="0" w:color="auto"/>
            </w:tcBorders>
            <w:vAlign w:val="bottom"/>
          </w:tcPr>
          <w:p w:rsidR="007C5423" w:rsidRPr="00C12897" w:rsidRDefault="007C5423" w:rsidP="00EC5112">
            <w:pPr>
              <w:spacing w:before="60" w:after="60"/>
              <w:jc w:val="right"/>
              <w:rPr>
                <w:rFonts w:ascii="Arial" w:hAnsi="Arial" w:cs="Arial"/>
                <w:color w:val="000000"/>
                <w:sz w:val="18"/>
                <w:szCs w:val="18"/>
              </w:rPr>
            </w:pPr>
            <w:r>
              <w:rPr>
                <w:rFonts w:ascii="Arial" w:hAnsi="Arial" w:cs="Arial"/>
                <w:color w:val="000000"/>
                <w:sz w:val="18"/>
                <w:szCs w:val="18"/>
              </w:rPr>
              <w:t>22</w:t>
            </w:r>
          </w:p>
        </w:tc>
      </w:tr>
      <w:tr w:rsidR="007C5423" w:rsidRPr="00C12897">
        <w:trPr>
          <w:trHeight w:hRule="exact" w:val="161"/>
        </w:trPr>
        <w:tc>
          <w:tcPr>
            <w:tcW w:w="3078" w:type="dxa"/>
            <w:vAlign w:val="bottom"/>
          </w:tcPr>
          <w:p w:rsidR="007C5423" w:rsidRPr="00C12897" w:rsidRDefault="007C5423" w:rsidP="00847AD0">
            <w:pPr>
              <w:pStyle w:val="Tabletext"/>
              <w:rPr>
                <w:sz w:val="18"/>
                <w:szCs w:val="18"/>
              </w:rPr>
            </w:pPr>
          </w:p>
        </w:tc>
        <w:tc>
          <w:tcPr>
            <w:tcW w:w="789" w:type="dxa"/>
            <w:vAlign w:val="bottom"/>
          </w:tcPr>
          <w:p w:rsidR="007C5423" w:rsidRPr="00C12897" w:rsidRDefault="007C5423" w:rsidP="00847AD0">
            <w:pPr>
              <w:spacing w:before="60" w:after="60"/>
              <w:jc w:val="right"/>
              <w:rPr>
                <w:rFonts w:ascii="Arial" w:hAnsi="Arial" w:cs="Arial"/>
                <w:color w:val="000000"/>
                <w:sz w:val="18"/>
                <w:szCs w:val="18"/>
              </w:rPr>
            </w:pPr>
          </w:p>
        </w:tc>
        <w:tc>
          <w:tcPr>
            <w:tcW w:w="784" w:type="dxa"/>
            <w:vAlign w:val="bottom"/>
          </w:tcPr>
          <w:p w:rsidR="007C5423" w:rsidRPr="00C12897" w:rsidRDefault="007C5423" w:rsidP="00847AD0">
            <w:pPr>
              <w:spacing w:before="60" w:after="60"/>
              <w:jc w:val="right"/>
              <w:rPr>
                <w:rFonts w:ascii="Arial" w:hAnsi="Arial" w:cs="Arial"/>
                <w:color w:val="000000"/>
                <w:sz w:val="18"/>
                <w:szCs w:val="18"/>
              </w:rPr>
            </w:pPr>
          </w:p>
        </w:tc>
        <w:tc>
          <w:tcPr>
            <w:tcW w:w="869" w:type="dxa"/>
            <w:vAlign w:val="bottom"/>
          </w:tcPr>
          <w:p w:rsidR="007C5423" w:rsidRPr="00C12897" w:rsidRDefault="007C5423" w:rsidP="00847AD0">
            <w:pPr>
              <w:spacing w:before="60" w:after="60"/>
              <w:jc w:val="right"/>
              <w:rPr>
                <w:rFonts w:ascii="Arial" w:hAnsi="Arial" w:cs="Arial"/>
                <w:color w:val="000000"/>
                <w:sz w:val="18"/>
                <w:szCs w:val="18"/>
              </w:rPr>
            </w:pPr>
          </w:p>
        </w:tc>
        <w:tc>
          <w:tcPr>
            <w:tcW w:w="689" w:type="dxa"/>
            <w:tcBorders>
              <w:right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p>
        </w:tc>
        <w:tc>
          <w:tcPr>
            <w:tcW w:w="783" w:type="dxa"/>
            <w:tcBorders>
              <w:left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p>
        </w:tc>
        <w:tc>
          <w:tcPr>
            <w:tcW w:w="783" w:type="dxa"/>
            <w:vAlign w:val="bottom"/>
          </w:tcPr>
          <w:p w:rsidR="007C5423" w:rsidRPr="00C12897" w:rsidRDefault="007C5423" w:rsidP="00847AD0">
            <w:pPr>
              <w:spacing w:before="60" w:after="60"/>
              <w:jc w:val="right"/>
              <w:rPr>
                <w:rFonts w:ascii="Arial" w:hAnsi="Arial" w:cs="Arial"/>
                <w:color w:val="000000"/>
                <w:sz w:val="18"/>
                <w:szCs w:val="18"/>
              </w:rPr>
            </w:pPr>
          </w:p>
        </w:tc>
        <w:tc>
          <w:tcPr>
            <w:tcW w:w="869" w:type="dxa"/>
            <w:vAlign w:val="bottom"/>
          </w:tcPr>
          <w:p w:rsidR="007C5423" w:rsidRPr="00C12897" w:rsidRDefault="007C5423" w:rsidP="00847AD0">
            <w:pPr>
              <w:spacing w:before="60" w:after="60"/>
              <w:jc w:val="right"/>
              <w:rPr>
                <w:rFonts w:ascii="Arial" w:hAnsi="Arial" w:cs="Arial"/>
                <w:color w:val="000000"/>
                <w:sz w:val="18"/>
                <w:szCs w:val="18"/>
              </w:rPr>
            </w:pPr>
          </w:p>
        </w:tc>
        <w:tc>
          <w:tcPr>
            <w:tcW w:w="718" w:type="dxa"/>
            <w:tcBorders>
              <w:right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p>
        </w:tc>
        <w:tc>
          <w:tcPr>
            <w:tcW w:w="783" w:type="dxa"/>
            <w:tcBorders>
              <w:left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p>
        </w:tc>
        <w:tc>
          <w:tcPr>
            <w:tcW w:w="794" w:type="dxa"/>
            <w:vAlign w:val="bottom"/>
          </w:tcPr>
          <w:p w:rsidR="007C5423" w:rsidRPr="00C12897" w:rsidRDefault="007C5423" w:rsidP="00847AD0">
            <w:pPr>
              <w:spacing w:before="60" w:after="60"/>
              <w:jc w:val="right"/>
              <w:rPr>
                <w:rFonts w:ascii="Arial" w:hAnsi="Arial" w:cs="Arial"/>
                <w:color w:val="000000"/>
                <w:sz w:val="18"/>
                <w:szCs w:val="18"/>
              </w:rPr>
            </w:pPr>
          </w:p>
        </w:tc>
        <w:tc>
          <w:tcPr>
            <w:tcW w:w="869" w:type="dxa"/>
            <w:vAlign w:val="bottom"/>
          </w:tcPr>
          <w:p w:rsidR="007C5423" w:rsidRPr="00C12897" w:rsidRDefault="007C5423" w:rsidP="00847AD0">
            <w:pPr>
              <w:spacing w:before="60" w:after="60"/>
              <w:jc w:val="right"/>
              <w:rPr>
                <w:rFonts w:ascii="Arial" w:hAnsi="Arial" w:cs="Arial"/>
                <w:color w:val="000000"/>
                <w:sz w:val="18"/>
                <w:szCs w:val="18"/>
              </w:rPr>
            </w:pPr>
          </w:p>
        </w:tc>
        <w:tc>
          <w:tcPr>
            <w:tcW w:w="663" w:type="dxa"/>
            <w:tcBorders>
              <w:right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p>
        </w:tc>
        <w:tc>
          <w:tcPr>
            <w:tcW w:w="869" w:type="dxa"/>
            <w:tcBorders>
              <w:left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p>
        </w:tc>
      </w:tr>
      <w:tr w:rsidR="007C5423" w:rsidRPr="00C12897">
        <w:trPr>
          <w:trHeight w:val="319"/>
        </w:trPr>
        <w:tc>
          <w:tcPr>
            <w:tcW w:w="3078" w:type="dxa"/>
            <w:vAlign w:val="bottom"/>
          </w:tcPr>
          <w:p w:rsidR="007C5423" w:rsidRPr="00C12897" w:rsidRDefault="007C5423" w:rsidP="00847AD0">
            <w:pPr>
              <w:pStyle w:val="Tabletext"/>
              <w:rPr>
                <w:sz w:val="18"/>
                <w:szCs w:val="18"/>
              </w:rPr>
            </w:pPr>
            <w:r w:rsidRPr="00C12897">
              <w:rPr>
                <w:sz w:val="18"/>
                <w:szCs w:val="18"/>
              </w:rPr>
              <w:t>Private not-for-profit</w:t>
            </w:r>
          </w:p>
        </w:tc>
        <w:tc>
          <w:tcPr>
            <w:tcW w:w="789" w:type="dxa"/>
            <w:vAlign w:val="bottom"/>
          </w:tcPr>
          <w:p w:rsidR="007C5423" w:rsidRPr="00C12897" w:rsidRDefault="007C5423" w:rsidP="00847AD0">
            <w:pPr>
              <w:spacing w:before="60" w:after="60"/>
              <w:jc w:val="right"/>
              <w:rPr>
                <w:rFonts w:ascii="Arial" w:hAnsi="Arial" w:cs="Arial"/>
                <w:color w:val="000000"/>
                <w:sz w:val="18"/>
                <w:szCs w:val="18"/>
              </w:rPr>
            </w:pPr>
          </w:p>
        </w:tc>
        <w:tc>
          <w:tcPr>
            <w:tcW w:w="784" w:type="dxa"/>
            <w:vAlign w:val="bottom"/>
          </w:tcPr>
          <w:p w:rsidR="007C5423" w:rsidRPr="00C12897" w:rsidRDefault="007C5423" w:rsidP="00847AD0">
            <w:pPr>
              <w:spacing w:before="60" w:after="60"/>
              <w:jc w:val="right"/>
              <w:rPr>
                <w:rFonts w:ascii="Arial" w:hAnsi="Arial" w:cs="Arial"/>
                <w:color w:val="000000"/>
                <w:sz w:val="18"/>
                <w:szCs w:val="18"/>
              </w:rPr>
            </w:pPr>
          </w:p>
        </w:tc>
        <w:tc>
          <w:tcPr>
            <w:tcW w:w="869" w:type="dxa"/>
            <w:vAlign w:val="bottom"/>
          </w:tcPr>
          <w:p w:rsidR="007C5423" w:rsidRPr="00C12897" w:rsidRDefault="007C5423" w:rsidP="00847AD0">
            <w:pPr>
              <w:spacing w:before="60" w:after="60"/>
              <w:jc w:val="right"/>
              <w:rPr>
                <w:rFonts w:ascii="Arial" w:hAnsi="Arial" w:cs="Arial"/>
                <w:color w:val="000000"/>
                <w:sz w:val="18"/>
                <w:szCs w:val="18"/>
              </w:rPr>
            </w:pPr>
          </w:p>
        </w:tc>
        <w:tc>
          <w:tcPr>
            <w:tcW w:w="689" w:type="dxa"/>
            <w:tcBorders>
              <w:right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p>
        </w:tc>
        <w:tc>
          <w:tcPr>
            <w:tcW w:w="783" w:type="dxa"/>
            <w:tcBorders>
              <w:left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p>
        </w:tc>
        <w:tc>
          <w:tcPr>
            <w:tcW w:w="783" w:type="dxa"/>
            <w:vAlign w:val="bottom"/>
          </w:tcPr>
          <w:p w:rsidR="007C5423" w:rsidRPr="00C12897" w:rsidRDefault="007C5423" w:rsidP="00847AD0">
            <w:pPr>
              <w:spacing w:before="60" w:after="60"/>
              <w:jc w:val="right"/>
              <w:rPr>
                <w:rFonts w:ascii="Arial" w:hAnsi="Arial" w:cs="Arial"/>
                <w:color w:val="000000"/>
                <w:sz w:val="18"/>
                <w:szCs w:val="18"/>
              </w:rPr>
            </w:pPr>
          </w:p>
        </w:tc>
        <w:tc>
          <w:tcPr>
            <w:tcW w:w="869" w:type="dxa"/>
            <w:vAlign w:val="bottom"/>
          </w:tcPr>
          <w:p w:rsidR="007C5423" w:rsidRPr="00C12897" w:rsidRDefault="007C5423" w:rsidP="00847AD0">
            <w:pPr>
              <w:spacing w:before="60" w:after="60"/>
              <w:jc w:val="right"/>
              <w:rPr>
                <w:rFonts w:ascii="Arial" w:hAnsi="Arial" w:cs="Arial"/>
                <w:color w:val="000000"/>
                <w:sz w:val="18"/>
                <w:szCs w:val="18"/>
              </w:rPr>
            </w:pPr>
          </w:p>
        </w:tc>
        <w:tc>
          <w:tcPr>
            <w:tcW w:w="718" w:type="dxa"/>
            <w:tcBorders>
              <w:right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p>
        </w:tc>
        <w:tc>
          <w:tcPr>
            <w:tcW w:w="783" w:type="dxa"/>
            <w:tcBorders>
              <w:left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p>
        </w:tc>
        <w:tc>
          <w:tcPr>
            <w:tcW w:w="794" w:type="dxa"/>
            <w:vAlign w:val="bottom"/>
          </w:tcPr>
          <w:p w:rsidR="007C5423" w:rsidRPr="00C12897" w:rsidRDefault="007C5423" w:rsidP="00847AD0">
            <w:pPr>
              <w:spacing w:before="60" w:after="60"/>
              <w:jc w:val="right"/>
              <w:rPr>
                <w:rFonts w:ascii="Arial" w:hAnsi="Arial" w:cs="Arial"/>
                <w:color w:val="000000"/>
                <w:sz w:val="18"/>
                <w:szCs w:val="18"/>
              </w:rPr>
            </w:pPr>
          </w:p>
        </w:tc>
        <w:tc>
          <w:tcPr>
            <w:tcW w:w="869" w:type="dxa"/>
            <w:vAlign w:val="bottom"/>
          </w:tcPr>
          <w:p w:rsidR="007C5423" w:rsidRPr="00C12897" w:rsidRDefault="007C5423" w:rsidP="00847AD0">
            <w:pPr>
              <w:spacing w:before="60" w:after="60"/>
              <w:jc w:val="right"/>
              <w:rPr>
                <w:rFonts w:ascii="Arial" w:hAnsi="Arial" w:cs="Arial"/>
                <w:color w:val="000000"/>
                <w:sz w:val="18"/>
                <w:szCs w:val="18"/>
              </w:rPr>
            </w:pPr>
          </w:p>
        </w:tc>
        <w:tc>
          <w:tcPr>
            <w:tcW w:w="663" w:type="dxa"/>
            <w:tcBorders>
              <w:right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p>
        </w:tc>
        <w:tc>
          <w:tcPr>
            <w:tcW w:w="869" w:type="dxa"/>
            <w:tcBorders>
              <w:left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p>
        </w:tc>
      </w:tr>
      <w:tr w:rsidR="007C5423" w:rsidRPr="00C12897">
        <w:trPr>
          <w:trHeight w:val="337"/>
        </w:trPr>
        <w:tc>
          <w:tcPr>
            <w:tcW w:w="3078" w:type="dxa"/>
            <w:vAlign w:val="bottom"/>
          </w:tcPr>
          <w:p w:rsidR="007C5423" w:rsidRPr="00C12897" w:rsidRDefault="007C5423" w:rsidP="00847AD0">
            <w:pPr>
              <w:pStyle w:val="2enspsubgroup1"/>
              <w:rPr>
                <w:sz w:val="18"/>
                <w:szCs w:val="18"/>
              </w:rPr>
            </w:pPr>
            <w:r w:rsidRPr="00C12897">
              <w:rPr>
                <w:sz w:val="18"/>
                <w:szCs w:val="18"/>
              </w:rPr>
              <w:t>Less-than-4-year</w:t>
            </w:r>
          </w:p>
        </w:tc>
        <w:tc>
          <w:tcPr>
            <w:tcW w:w="789" w:type="dxa"/>
            <w:vAlign w:val="bottom"/>
          </w:tcPr>
          <w:p w:rsidR="007C5423" w:rsidRPr="00C12897" w:rsidRDefault="007C5423" w:rsidP="001173D4">
            <w:pPr>
              <w:spacing w:before="60" w:after="60"/>
              <w:jc w:val="right"/>
              <w:rPr>
                <w:rFonts w:ascii="Arial" w:hAnsi="Arial" w:cs="Arial"/>
                <w:color w:val="000000"/>
                <w:sz w:val="18"/>
                <w:szCs w:val="18"/>
              </w:rPr>
            </w:pPr>
            <w:r>
              <w:rPr>
                <w:rFonts w:ascii="Arial" w:hAnsi="Arial" w:cs="Arial"/>
                <w:color w:val="000000"/>
                <w:sz w:val="18"/>
                <w:szCs w:val="18"/>
              </w:rPr>
              <w:t>75</w:t>
            </w:r>
          </w:p>
        </w:tc>
        <w:tc>
          <w:tcPr>
            <w:tcW w:w="784" w:type="dxa"/>
            <w:vAlign w:val="bottom"/>
          </w:tcPr>
          <w:p w:rsidR="007C5423" w:rsidRPr="00C12897" w:rsidRDefault="007C5423" w:rsidP="001173D4">
            <w:pPr>
              <w:spacing w:before="60" w:after="60"/>
              <w:jc w:val="right"/>
              <w:rPr>
                <w:rFonts w:ascii="Arial" w:hAnsi="Arial" w:cs="Arial"/>
                <w:color w:val="000000"/>
                <w:sz w:val="18"/>
                <w:szCs w:val="18"/>
              </w:rPr>
            </w:pPr>
            <w:r>
              <w:rPr>
                <w:rFonts w:ascii="Arial" w:hAnsi="Arial" w:cs="Arial"/>
                <w:color w:val="000000"/>
                <w:sz w:val="18"/>
                <w:szCs w:val="18"/>
              </w:rPr>
              <w:t>54</w:t>
            </w:r>
          </w:p>
        </w:tc>
        <w:tc>
          <w:tcPr>
            <w:tcW w:w="869" w:type="dxa"/>
            <w:vAlign w:val="bottom"/>
          </w:tcPr>
          <w:p w:rsidR="007C5423" w:rsidRPr="00C12897" w:rsidRDefault="007C5423" w:rsidP="006724F5">
            <w:pPr>
              <w:spacing w:before="60" w:after="60"/>
              <w:jc w:val="right"/>
              <w:rPr>
                <w:rFonts w:ascii="Arial" w:hAnsi="Arial" w:cs="Arial"/>
                <w:color w:val="000000"/>
                <w:sz w:val="18"/>
                <w:szCs w:val="18"/>
              </w:rPr>
            </w:pPr>
            <w:r>
              <w:rPr>
                <w:rFonts w:ascii="Arial" w:hAnsi="Arial" w:cs="Arial"/>
                <w:color w:val="000000"/>
                <w:sz w:val="18"/>
                <w:szCs w:val="18"/>
              </w:rPr>
              <w:t>21</w:t>
            </w:r>
          </w:p>
        </w:tc>
        <w:tc>
          <w:tcPr>
            <w:tcW w:w="689" w:type="dxa"/>
            <w:tcBorders>
              <w:right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r w:rsidRPr="00C12897">
              <w:rPr>
                <w:rFonts w:ascii="Arial" w:hAnsi="Arial" w:cs="Arial"/>
                <w:color w:val="000000"/>
                <w:sz w:val="18"/>
                <w:szCs w:val="18"/>
              </w:rPr>
              <w:t>0</w:t>
            </w:r>
          </w:p>
        </w:tc>
        <w:tc>
          <w:tcPr>
            <w:tcW w:w="783" w:type="dxa"/>
            <w:tcBorders>
              <w:left w:val="single" w:sz="4" w:space="0" w:color="auto"/>
            </w:tcBorders>
            <w:vAlign w:val="bottom"/>
          </w:tcPr>
          <w:p w:rsidR="007C5423" w:rsidRPr="00C12897" w:rsidRDefault="007C5423" w:rsidP="006724F5">
            <w:pPr>
              <w:spacing w:before="60" w:after="60"/>
              <w:jc w:val="right"/>
              <w:rPr>
                <w:rFonts w:ascii="Arial" w:hAnsi="Arial" w:cs="Arial"/>
                <w:color w:val="000000"/>
                <w:sz w:val="18"/>
                <w:szCs w:val="18"/>
              </w:rPr>
            </w:pPr>
            <w:r>
              <w:rPr>
                <w:rFonts w:ascii="Arial" w:hAnsi="Arial" w:cs="Arial"/>
                <w:color w:val="000000"/>
                <w:sz w:val="18"/>
                <w:szCs w:val="18"/>
              </w:rPr>
              <w:t>73</w:t>
            </w:r>
          </w:p>
        </w:tc>
        <w:tc>
          <w:tcPr>
            <w:tcW w:w="783" w:type="dxa"/>
            <w:vAlign w:val="bottom"/>
          </w:tcPr>
          <w:p w:rsidR="007C5423" w:rsidRPr="00C12897" w:rsidRDefault="007C5423" w:rsidP="006724F5">
            <w:pPr>
              <w:spacing w:before="60" w:after="60"/>
              <w:jc w:val="right"/>
              <w:rPr>
                <w:rFonts w:ascii="Arial" w:hAnsi="Arial" w:cs="Arial"/>
                <w:color w:val="000000"/>
                <w:sz w:val="18"/>
                <w:szCs w:val="18"/>
              </w:rPr>
            </w:pPr>
            <w:r>
              <w:rPr>
                <w:rFonts w:ascii="Arial" w:hAnsi="Arial" w:cs="Arial"/>
                <w:color w:val="000000"/>
                <w:sz w:val="18"/>
                <w:szCs w:val="18"/>
              </w:rPr>
              <w:t>53</w:t>
            </w:r>
          </w:p>
        </w:tc>
        <w:tc>
          <w:tcPr>
            <w:tcW w:w="869" w:type="dxa"/>
            <w:vAlign w:val="bottom"/>
          </w:tcPr>
          <w:p w:rsidR="007C5423" w:rsidRPr="00C12897" w:rsidRDefault="007C5423" w:rsidP="006724F5">
            <w:pPr>
              <w:spacing w:before="60" w:after="60"/>
              <w:jc w:val="right"/>
              <w:rPr>
                <w:rFonts w:ascii="Arial" w:hAnsi="Arial" w:cs="Arial"/>
                <w:color w:val="000000"/>
                <w:sz w:val="18"/>
                <w:szCs w:val="18"/>
              </w:rPr>
            </w:pPr>
            <w:r>
              <w:rPr>
                <w:rFonts w:ascii="Arial" w:hAnsi="Arial" w:cs="Arial"/>
                <w:color w:val="000000"/>
                <w:sz w:val="18"/>
                <w:szCs w:val="18"/>
              </w:rPr>
              <w:t>20</w:t>
            </w:r>
          </w:p>
        </w:tc>
        <w:tc>
          <w:tcPr>
            <w:tcW w:w="718" w:type="dxa"/>
            <w:tcBorders>
              <w:right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r w:rsidRPr="00C12897">
              <w:rPr>
                <w:rFonts w:ascii="Arial" w:hAnsi="Arial" w:cs="Arial"/>
                <w:color w:val="000000"/>
                <w:sz w:val="18"/>
                <w:szCs w:val="18"/>
              </w:rPr>
              <w:t>0</w:t>
            </w:r>
          </w:p>
        </w:tc>
        <w:tc>
          <w:tcPr>
            <w:tcW w:w="783" w:type="dxa"/>
            <w:tcBorders>
              <w:left w:val="single" w:sz="4" w:space="0" w:color="auto"/>
            </w:tcBorders>
            <w:vAlign w:val="bottom"/>
          </w:tcPr>
          <w:p w:rsidR="007C5423" w:rsidRPr="00C12897" w:rsidRDefault="007C5423" w:rsidP="004F6344">
            <w:pPr>
              <w:spacing w:before="60" w:after="60"/>
              <w:jc w:val="right"/>
              <w:rPr>
                <w:rFonts w:ascii="Arial" w:hAnsi="Arial" w:cs="Arial"/>
                <w:color w:val="000000"/>
                <w:sz w:val="18"/>
                <w:szCs w:val="18"/>
              </w:rPr>
            </w:pPr>
            <w:r>
              <w:rPr>
                <w:rFonts w:ascii="Arial" w:hAnsi="Arial" w:cs="Arial"/>
                <w:color w:val="000000"/>
                <w:sz w:val="18"/>
                <w:szCs w:val="18"/>
              </w:rPr>
              <w:t>54</w:t>
            </w:r>
          </w:p>
        </w:tc>
        <w:tc>
          <w:tcPr>
            <w:tcW w:w="794" w:type="dxa"/>
            <w:vAlign w:val="bottom"/>
          </w:tcPr>
          <w:p w:rsidR="007C5423" w:rsidRPr="00C12897" w:rsidRDefault="007C5423" w:rsidP="004F6344">
            <w:pPr>
              <w:spacing w:before="60" w:after="60"/>
              <w:jc w:val="right"/>
              <w:rPr>
                <w:rFonts w:ascii="Arial" w:hAnsi="Arial" w:cs="Arial"/>
                <w:color w:val="000000"/>
                <w:sz w:val="18"/>
                <w:szCs w:val="18"/>
              </w:rPr>
            </w:pPr>
            <w:r>
              <w:rPr>
                <w:rFonts w:ascii="Arial" w:hAnsi="Arial" w:cs="Arial"/>
                <w:color w:val="000000"/>
                <w:sz w:val="18"/>
                <w:szCs w:val="18"/>
              </w:rPr>
              <w:t>39</w:t>
            </w:r>
          </w:p>
        </w:tc>
        <w:tc>
          <w:tcPr>
            <w:tcW w:w="869" w:type="dxa"/>
            <w:vAlign w:val="bottom"/>
          </w:tcPr>
          <w:p w:rsidR="007C5423" w:rsidRPr="00C12897" w:rsidRDefault="007C5423" w:rsidP="00EC5112">
            <w:pPr>
              <w:spacing w:before="60" w:after="60"/>
              <w:jc w:val="right"/>
              <w:rPr>
                <w:rFonts w:ascii="Arial" w:hAnsi="Arial" w:cs="Arial"/>
                <w:color w:val="000000"/>
                <w:sz w:val="18"/>
                <w:szCs w:val="18"/>
              </w:rPr>
            </w:pPr>
            <w:r>
              <w:rPr>
                <w:rFonts w:ascii="Arial" w:hAnsi="Arial" w:cs="Arial"/>
                <w:color w:val="000000"/>
                <w:sz w:val="18"/>
                <w:szCs w:val="18"/>
              </w:rPr>
              <w:t>15</w:t>
            </w:r>
          </w:p>
        </w:tc>
        <w:tc>
          <w:tcPr>
            <w:tcW w:w="663" w:type="dxa"/>
            <w:tcBorders>
              <w:right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r w:rsidRPr="00C12897">
              <w:rPr>
                <w:rFonts w:ascii="Arial" w:hAnsi="Arial" w:cs="Arial"/>
                <w:color w:val="000000"/>
                <w:sz w:val="18"/>
                <w:szCs w:val="18"/>
              </w:rPr>
              <w:t>0</w:t>
            </w:r>
          </w:p>
        </w:tc>
        <w:tc>
          <w:tcPr>
            <w:tcW w:w="869" w:type="dxa"/>
            <w:tcBorders>
              <w:left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r>
              <w:rPr>
                <w:rFonts w:ascii="Arial" w:hAnsi="Arial" w:cs="Arial"/>
                <w:color w:val="000000"/>
                <w:sz w:val="18"/>
                <w:szCs w:val="18"/>
              </w:rPr>
              <w:t>15</w:t>
            </w:r>
          </w:p>
        </w:tc>
      </w:tr>
      <w:tr w:rsidR="007C5423" w:rsidRPr="00C12897">
        <w:trPr>
          <w:trHeight w:val="319"/>
        </w:trPr>
        <w:tc>
          <w:tcPr>
            <w:tcW w:w="3078" w:type="dxa"/>
            <w:vAlign w:val="bottom"/>
          </w:tcPr>
          <w:p w:rsidR="007C5423" w:rsidRPr="00C12897" w:rsidRDefault="007C5423" w:rsidP="00847AD0">
            <w:pPr>
              <w:pStyle w:val="2enspsubgroup1"/>
              <w:rPr>
                <w:sz w:val="18"/>
                <w:szCs w:val="18"/>
              </w:rPr>
            </w:pPr>
            <w:r w:rsidRPr="00C12897">
              <w:rPr>
                <w:sz w:val="18"/>
                <w:szCs w:val="18"/>
              </w:rPr>
              <w:t>4-year non-doctorate-granting</w:t>
            </w:r>
          </w:p>
        </w:tc>
        <w:tc>
          <w:tcPr>
            <w:tcW w:w="789" w:type="dxa"/>
            <w:vAlign w:val="bottom"/>
          </w:tcPr>
          <w:p w:rsidR="007C5423" w:rsidRPr="00C12897" w:rsidRDefault="007C5423" w:rsidP="001173D4">
            <w:pPr>
              <w:spacing w:before="60" w:after="60"/>
              <w:jc w:val="right"/>
              <w:rPr>
                <w:rFonts w:ascii="Arial" w:hAnsi="Arial" w:cs="Arial"/>
                <w:color w:val="000000"/>
                <w:sz w:val="18"/>
                <w:szCs w:val="18"/>
              </w:rPr>
            </w:pPr>
            <w:r>
              <w:rPr>
                <w:rFonts w:ascii="Arial" w:hAnsi="Arial" w:cs="Arial"/>
                <w:color w:val="000000"/>
                <w:sz w:val="18"/>
                <w:szCs w:val="18"/>
              </w:rPr>
              <w:t>302</w:t>
            </w:r>
          </w:p>
        </w:tc>
        <w:tc>
          <w:tcPr>
            <w:tcW w:w="784" w:type="dxa"/>
            <w:vAlign w:val="bottom"/>
          </w:tcPr>
          <w:p w:rsidR="007C5423" w:rsidRPr="00C12897" w:rsidRDefault="007C5423" w:rsidP="001173D4">
            <w:pPr>
              <w:spacing w:before="60" w:after="60"/>
              <w:jc w:val="right"/>
              <w:rPr>
                <w:rFonts w:ascii="Arial" w:hAnsi="Arial" w:cs="Arial"/>
                <w:color w:val="000000"/>
                <w:sz w:val="18"/>
                <w:szCs w:val="18"/>
              </w:rPr>
            </w:pPr>
            <w:r>
              <w:rPr>
                <w:rFonts w:ascii="Arial" w:hAnsi="Arial" w:cs="Arial"/>
                <w:color w:val="000000"/>
                <w:sz w:val="18"/>
                <w:szCs w:val="18"/>
              </w:rPr>
              <w:t>158</w:t>
            </w:r>
          </w:p>
        </w:tc>
        <w:tc>
          <w:tcPr>
            <w:tcW w:w="869" w:type="dxa"/>
            <w:vAlign w:val="bottom"/>
          </w:tcPr>
          <w:p w:rsidR="007C5423" w:rsidRPr="00C12897" w:rsidRDefault="007C5423" w:rsidP="006724F5">
            <w:pPr>
              <w:spacing w:before="60" w:after="60"/>
              <w:jc w:val="right"/>
              <w:rPr>
                <w:rFonts w:ascii="Arial" w:hAnsi="Arial" w:cs="Arial"/>
                <w:color w:val="000000"/>
                <w:sz w:val="18"/>
                <w:szCs w:val="18"/>
              </w:rPr>
            </w:pPr>
            <w:r>
              <w:rPr>
                <w:rFonts w:ascii="Arial" w:hAnsi="Arial" w:cs="Arial"/>
                <w:color w:val="000000"/>
                <w:sz w:val="18"/>
                <w:szCs w:val="18"/>
              </w:rPr>
              <w:t>111</w:t>
            </w:r>
          </w:p>
        </w:tc>
        <w:tc>
          <w:tcPr>
            <w:tcW w:w="689" w:type="dxa"/>
            <w:tcBorders>
              <w:right w:val="single" w:sz="4" w:space="0" w:color="auto"/>
            </w:tcBorders>
            <w:vAlign w:val="bottom"/>
          </w:tcPr>
          <w:p w:rsidR="007C5423" w:rsidRPr="00C12897" w:rsidRDefault="007C5423" w:rsidP="006724F5">
            <w:pPr>
              <w:spacing w:before="60" w:after="60"/>
              <w:jc w:val="right"/>
              <w:rPr>
                <w:rFonts w:ascii="Arial" w:hAnsi="Arial" w:cs="Arial"/>
                <w:color w:val="000000"/>
                <w:sz w:val="18"/>
                <w:szCs w:val="18"/>
              </w:rPr>
            </w:pPr>
            <w:r>
              <w:rPr>
                <w:rFonts w:ascii="Arial" w:hAnsi="Arial" w:cs="Arial"/>
                <w:color w:val="000000"/>
                <w:sz w:val="18"/>
                <w:szCs w:val="18"/>
              </w:rPr>
              <w:t>33</w:t>
            </w:r>
          </w:p>
        </w:tc>
        <w:tc>
          <w:tcPr>
            <w:tcW w:w="783" w:type="dxa"/>
            <w:tcBorders>
              <w:left w:val="single" w:sz="4" w:space="0" w:color="auto"/>
            </w:tcBorders>
            <w:vAlign w:val="bottom"/>
          </w:tcPr>
          <w:p w:rsidR="007C5423" w:rsidRPr="00C12897" w:rsidRDefault="007C5423" w:rsidP="006724F5">
            <w:pPr>
              <w:spacing w:before="60" w:after="60"/>
              <w:jc w:val="right"/>
              <w:rPr>
                <w:rFonts w:ascii="Arial" w:hAnsi="Arial" w:cs="Arial"/>
                <w:color w:val="000000"/>
                <w:sz w:val="18"/>
                <w:szCs w:val="18"/>
              </w:rPr>
            </w:pPr>
            <w:r>
              <w:rPr>
                <w:rFonts w:ascii="Arial" w:hAnsi="Arial" w:cs="Arial"/>
                <w:color w:val="000000"/>
                <w:sz w:val="18"/>
                <w:szCs w:val="18"/>
              </w:rPr>
              <w:t>291</w:t>
            </w:r>
          </w:p>
        </w:tc>
        <w:tc>
          <w:tcPr>
            <w:tcW w:w="783" w:type="dxa"/>
            <w:vAlign w:val="bottom"/>
          </w:tcPr>
          <w:p w:rsidR="007C5423" w:rsidRPr="00C12897" w:rsidRDefault="007C5423" w:rsidP="006724F5">
            <w:pPr>
              <w:spacing w:before="60" w:after="60"/>
              <w:jc w:val="right"/>
              <w:rPr>
                <w:rFonts w:ascii="Arial" w:hAnsi="Arial" w:cs="Arial"/>
                <w:color w:val="000000"/>
                <w:sz w:val="18"/>
                <w:szCs w:val="18"/>
              </w:rPr>
            </w:pPr>
            <w:r>
              <w:rPr>
                <w:rFonts w:ascii="Arial" w:hAnsi="Arial" w:cs="Arial"/>
                <w:color w:val="000000"/>
                <w:sz w:val="18"/>
                <w:szCs w:val="18"/>
              </w:rPr>
              <w:t>152</w:t>
            </w:r>
          </w:p>
        </w:tc>
        <w:tc>
          <w:tcPr>
            <w:tcW w:w="869" w:type="dxa"/>
            <w:vAlign w:val="bottom"/>
          </w:tcPr>
          <w:p w:rsidR="007C5423" w:rsidRPr="00C12897" w:rsidRDefault="007C5423" w:rsidP="006724F5">
            <w:pPr>
              <w:spacing w:before="60" w:after="60"/>
              <w:jc w:val="right"/>
              <w:rPr>
                <w:rFonts w:ascii="Arial" w:hAnsi="Arial" w:cs="Arial"/>
                <w:color w:val="000000"/>
                <w:sz w:val="18"/>
                <w:szCs w:val="18"/>
              </w:rPr>
            </w:pPr>
            <w:r>
              <w:rPr>
                <w:rFonts w:ascii="Arial" w:hAnsi="Arial" w:cs="Arial"/>
                <w:color w:val="000000"/>
                <w:sz w:val="18"/>
                <w:szCs w:val="18"/>
              </w:rPr>
              <w:t>106</w:t>
            </w:r>
          </w:p>
        </w:tc>
        <w:tc>
          <w:tcPr>
            <w:tcW w:w="718" w:type="dxa"/>
            <w:tcBorders>
              <w:right w:val="single" w:sz="4" w:space="0" w:color="auto"/>
            </w:tcBorders>
            <w:vAlign w:val="bottom"/>
          </w:tcPr>
          <w:p w:rsidR="007C5423" w:rsidRPr="00C12897" w:rsidRDefault="007C5423" w:rsidP="006724F5">
            <w:pPr>
              <w:spacing w:before="60" w:after="60"/>
              <w:jc w:val="right"/>
              <w:rPr>
                <w:rFonts w:ascii="Arial" w:hAnsi="Arial" w:cs="Arial"/>
                <w:color w:val="000000"/>
                <w:sz w:val="18"/>
                <w:szCs w:val="18"/>
              </w:rPr>
            </w:pPr>
            <w:r>
              <w:rPr>
                <w:rFonts w:ascii="Arial" w:hAnsi="Arial" w:cs="Arial"/>
                <w:color w:val="000000"/>
                <w:sz w:val="18"/>
                <w:szCs w:val="18"/>
              </w:rPr>
              <w:t>32</w:t>
            </w:r>
          </w:p>
        </w:tc>
        <w:tc>
          <w:tcPr>
            <w:tcW w:w="783" w:type="dxa"/>
            <w:tcBorders>
              <w:left w:val="single" w:sz="4" w:space="0" w:color="auto"/>
            </w:tcBorders>
            <w:vAlign w:val="bottom"/>
          </w:tcPr>
          <w:p w:rsidR="007C5423" w:rsidRPr="00C12897" w:rsidRDefault="007C5423" w:rsidP="004F6344">
            <w:pPr>
              <w:spacing w:before="60" w:after="60"/>
              <w:jc w:val="right"/>
              <w:rPr>
                <w:rFonts w:ascii="Arial" w:hAnsi="Arial" w:cs="Arial"/>
                <w:color w:val="000000"/>
                <w:sz w:val="18"/>
                <w:szCs w:val="18"/>
              </w:rPr>
            </w:pPr>
            <w:r>
              <w:rPr>
                <w:rFonts w:ascii="Arial" w:hAnsi="Arial" w:cs="Arial"/>
                <w:color w:val="000000"/>
                <w:sz w:val="18"/>
                <w:szCs w:val="18"/>
              </w:rPr>
              <w:t>213</w:t>
            </w:r>
          </w:p>
        </w:tc>
        <w:tc>
          <w:tcPr>
            <w:tcW w:w="794" w:type="dxa"/>
            <w:vAlign w:val="bottom"/>
          </w:tcPr>
          <w:p w:rsidR="007C5423" w:rsidRPr="00C12897" w:rsidRDefault="007C5423" w:rsidP="004F6344">
            <w:pPr>
              <w:spacing w:before="60" w:after="60"/>
              <w:jc w:val="right"/>
              <w:rPr>
                <w:rFonts w:ascii="Arial" w:hAnsi="Arial" w:cs="Arial"/>
                <w:color w:val="000000"/>
                <w:sz w:val="18"/>
                <w:szCs w:val="18"/>
              </w:rPr>
            </w:pPr>
            <w:r>
              <w:rPr>
                <w:rFonts w:ascii="Arial" w:hAnsi="Arial" w:cs="Arial"/>
                <w:color w:val="000000"/>
                <w:sz w:val="18"/>
                <w:szCs w:val="18"/>
              </w:rPr>
              <w:t>111</w:t>
            </w:r>
          </w:p>
        </w:tc>
        <w:tc>
          <w:tcPr>
            <w:tcW w:w="869" w:type="dxa"/>
            <w:vAlign w:val="bottom"/>
          </w:tcPr>
          <w:p w:rsidR="007C5423" w:rsidRPr="00C12897" w:rsidRDefault="007C5423" w:rsidP="00EC5112">
            <w:pPr>
              <w:spacing w:before="60" w:after="60"/>
              <w:jc w:val="right"/>
              <w:rPr>
                <w:rFonts w:ascii="Arial" w:hAnsi="Arial" w:cs="Arial"/>
                <w:color w:val="000000"/>
                <w:sz w:val="18"/>
                <w:szCs w:val="18"/>
              </w:rPr>
            </w:pPr>
            <w:r>
              <w:rPr>
                <w:rFonts w:ascii="Arial" w:hAnsi="Arial" w:cs="Arial"/>
                <w:color w:val="000000"/>
                <w:sz w:val="18"/>
                <w:szCs w:val="18"/>
              </w:rPr>
              <w:t>80</w:t>
            </w:r>
          </w:p>
        </w:tc>
        <w:tc>
          <w:tcPr>
            <w:tcW w:w="663" w:type="dxa"/>
            <w:tcBorders>
              <w:right w:val="single" w:sz="4" w:space="0" w:color="auto"/>
            </w:tcBorders>
            <w:vAlign w:val="bottom"/>
          </w:tcPr>
          <w:p w:rsidR="007C5423" w:rsidRPr="00C12897" w:rsidRDefault="007C5423" w:rsidP="00EC5112">
            <w:pPr>
              <w:spacing w:before="60" w:after="60"/>
              <w:jc w:val="right"/>
              <w:rPr>
                <w:rFonts w:ascii="Arial" w:hAnsi="Arial" w:cs="Arial"/>
                <w:color w:val="000000"/>
                <w:sz w:val="18"/>
                <w:szCs w:val="18"/>
              </w:rPr>
            </w:pPr>
            <w:r>
              <w:rPr>
                <w:rFonts w:ascii="Arial" w:hAnsi="Arial" w:cs="Arial"/>
                <w:color w:val="000000"/>
                <w:sz w:val="18"/>
                <w:szCs w:val="18"/>
              </w:rPr>
              <w:t>22</w:t>
            </w:r>
          </w:p>
        </w:tc>
        <w:tc>
          <w:tcPr>
            <w:tcW w:w="869" w:type="dxa"/>
            <w:tcBorders>
              <w:left w:val="single" w:sz="4" w:space="0" w:color="auto"/>
            </w:tcBorders>
            <w:vAlign w:val="bottom"/>
          </w:tcPr>
          <w:p w:rsidR="007C5423" w:rsidRPr="00C12897" w:rsidRDefault="007C5423" w:rsidP="00EC5112">
            <w:pPr>
              <w:spacing w:before="60" w:after="60"/>
              <w:jc w:val="right"/>
              <w:rPr>
                <w:rFonts w:ascii="Arial" w:hAnsi="Arial" w:cs="Arial"/>
                <w:color w:val="000000"/>
                <w:sz w:val="18"/>
                <w:szCs w:val="18"/>
              </w:rPr>
            </w:pPr>
            <w:r>
              <w:rPr>
                <w:rFonts w:ascii="Arial" w:hAnsi="Arial" w:cs="Arial"/>
                <w:color w:val="000000"/>
                <w:sz w:val="18"/>
                <w:szCs w:val="18"/>
              </w:rPr>
              <w:t>9</w:t>
            </w:r>
          </w:p>
        </w:tc>
      </w:tr>
      <w:tr w:rsidR="007C5423" w:rsidRPr="00C12897">
        <w:trPr>
          <w:trHeight w:val="337"/>
        </w:trPr>
        <w:tc>
          <w:tcPr>
            <w:tcW w:w="3078" w:type="dxa"/>
            <w:vAlign w:val="bottom"/>
          </w:tcPr>
          <w:p w:rsidR="007C5423" w:rsidRPr="00C12897" w:rsidRDefault="007C5423" w:rsidP="00847AD0">
            <w:pPr>
              <w:pStyle w:val="2enspsubgroup1"/>
              <w:rPr>
                <w:sz w:val="18"/>
                <w:szCs w:val="18"/>
              </w:rPr>
            </w:pPr>
            <w:r w:rsidRPr="00C12897">
              <w:rPr>
                <w:sz w:val="18"/>
                <w:szCs w:val="18"/>
              </w:rPr>
              <w:t>4-year doctorate-granting</w:t>
            </w:r>
          </w:p>
        </w:tc>
        <w:tc>
          <w:tcPr>
            <w:tcW w:w="789" w:type="dxa"/>
            <w:vAlign w:val="bottom"/>
          </w:tcPr>
          <w:p w:rsidR="007C5423" w:rsidRPr="00C12897" w:rsidRDefault="007C5423" w:rsidP="001173D4">
            <w:pPr>
              <w:spacing w:before="60" w:after="60"/>
              <w:jc w:val="right"/>
              <w:rPr>
                <w:rFonts w:ascii="Arial" w:hAnsi="Arial" w:cs="Arial"/>
                <w:color w:val="000000"/>
                <w:sz w:val="18"/>
                <w:szCs w:val="18"/>
              </w:rPr>
            </w:pPr>
            <w:r>
              <w:rPr>
                <w:rFonts w:ascii="Arial" w:hAnsi="Arial" w:cs="Arial"/>
                <w:color w:val="000000"/>
                <w:sz w:val="18"/>
                <w:szCs w:val="18"/>
              </w:rPr>
              <w:t>218</w:t>
            </w:r>
          </w:p>
        </w:tc>
        <w:tc>
          <w:tcPr>
            <w:tcW w:w="784" w:type="dxa"/>
            <w:vAlign w:val="bottom"/>
          </w:tcPr>
          <w:p w:rsidR="007C5423" w:rsidRPr="00C12897" w:rsidRDefault="007C5423" w:rsidP="001173D4">
            <w:pPr>
              <w:spacing w:before="60" w:after="60"/>
              <w:jc w:val="right"/>
              <w:rPr>
                <w:rFonts w:ascii="Arial" w:hAnsi="Arial" w:cs="Arial"/>
                <w:color w:val="000000"/>
                <w:sz w:val="18"/>
                <w:szCs w:val="18"/>
              </w:rPr>
            </w:pPr>
            <w:r>
              <w:rPr>
                <w:rFonts w:ascii="Arial" w:hAnsi="Arial" w:cs="Arial"/>
                <w:color w:val="000000"/>
                <w:sz w:val="18"/>
                <w:szCs w:val="18"/>
              </w:rPr>
              <w:t>105</w:t>
            </w:r>
          </w:p>
        </w:tc>
        <w:tc>
          <w:tcPr>
            <w:tcW w:w="869" w:type="dxa"/>
            <w:vAlign w:val="bottom"/>
          </w:tcPr>
          <w:p w:rsidR="007C5423" w:rsidRPr="00C12897" w:rsidRDefault="007C5423" w:rsidP="006724F5">
            <w:pPr>
              <w:spacing w:before="60" w:after="60"/>
              <w:jc w:val="right"/>
              <w:rPr>
                <w:rFonts w:ascii="Arial" w:hAnsi="Arial" w:cs="Arial"/>
                <w:color w:val="000000"/>
                <w:sz w:val="18"/>
                <w:szCs w:val="18"/>
              </w:rPr>
            </w:pPr>
            <w:r>
              <w:rPr>
                <w:rFonts w:ascii="Arial" w:hAnsi="Arial" w:cs="Arial"/>
                <w:color w:val="000000"/>
                <w:sz w:val="18"/>
                <w:szCs w:val="18"/>
              </w:rPr>
              <w:t>48</w:t>
            </w:r>
          </w:p>
        </w:tc>
        <w:tc>
          <w:tcPr>
            <w:tcW w:w="689" w:type="dxa"/>
            <w:tcBorders>
              <w:right w:val="single" w:sz="4" w:space="0" w:color="auto"/>
            </w:tcBorders>
            <w:vAlign w:val="bottom"/>
          </w:tcPr>
          <w:p w:rsidR="007C5423" w:rsidRPr="00C12897" w:rsidRDefault="007C5423" w:rsidP="006724F5">
            <w:pPr>
              <w:spacing w:before="60" w:after="60"/>
              <w:jc w:val="right"/>
              <w:rPr>
                <w:rFonts w:ascii="Arial" w:hAnsi="Arial" w:cs="Arial"/>
                <w:color w:val="000000"/>
                <w:sz w:val="18"/>
                <w:szCs w:val="18"/>
              </w:rPr>
            </w:pPr>
            <w:r>
              <w:rPr>
                <w:rFonts w:ascii="Arial" w:hAnsi="Arial" w:cs="Arial"/>
                <w:color w:val="000000"/>
                <w:sz w:val="18"/>
                <w:szCs w:val="18"/>
              </w:rPr>
              <w:t>65</w:t>
            </w:r>
          </w:p>
        </w:tc>
        <w:tc>
          <w:tcPr>
            <w:tcW w:w="783" w:type="dxa"/>
            <w:tcBorders>
              <w:left w:val="single" w:sz="4" w:space="0" w:color="auto"/>
            </w:tcBorders>
            <w:vAlign w:val="bottom"/>
          </w:tcPr>
          <w:p w:rsidR="007C5423" w:rsidRPr="00C12897" w:rsidRDefault="007C5423" w:rsidP="006724F5">
            <w:pPr>
              <w:spacing w:before="60" w:after="60"/>
              <w:jc w:val="right"/>
              <w:rPr>
                <w:rFonts w:ascii="Arial" w:hAnsi="Arial" w:cs="Arial"/>
                <w:color w:val="000000"/>
                <w:sz w:val="18"/>
                <w:szCs w:val="18"/>
              </w:rPr>
            </w:pPr>
            <w:r>
              <w:rPr>
                <w:rFonts w:ascii="Arial" w:hAnsi="Arial" w:cs="Arial"/>
                <w:color w:val="000000"/>
                <w:sz w:val="18"/>
                <w:szCs w:val="18"/>
              </w:rPr>
              <w:t>213</w:t>
            </w:r>
          </w:p>
        </w:tc>
        <w:tc>
          <w:tcPr>
            <w:tcW w:w="783" w:type="dxa"/>
            <w:vAlign w:val="bottom"/>
          </w:tcPr>
          <w:p w:rsidR="007C5423" w:rsidRPr="00C12897" w:rsidRDefault="007C5423" w:rsidP="006724F5">
            <w:pPr>
              <w:spacing w:before="60" w:after="60"/>
              <w:jc w:val="right"/>
              <w:rPr>
                <w:rFonts w:ascii="Arial" w:hAnsi="Arial" w:cs="Arial"/>
                <w:color w:val="000000"/>
                <w:sz w:val="18"/>
                <w:szCs w:val="18"/>
              </w:rPr>
            </w:pPr>
            <w:r>
              <w:rPr>
                <w:rFonts w:ascii="Arial" w:hAnsi="Arial" w:cs="Arial"/>
                <w:color w:val="000000"/>
                <w:sz w:val="18"/>
                <w:szCs w:val="18"/>
              </w:rPr>
              <w:t>103</w:t>
            </w:r>
          </w:p>
        </w:tc>
        <w:tc>
          <w:tcPr>
            <w:tcW w:w="869" w:type="dxa"/>
            <w:vAlign w:val="bottom"/>
          </w:tcPr>
          <w:p w:rsidR="007C5423" w:rsidRPr="00C12897" w:rsidRDefault="007C5423" w:rsidP="006724F5">
            <w:pPr>
              <w:spacing w:before="60" w:after="60"/>
              <w:jc w:val="right"/>
              <w:rPr>
                <w:rFonts w:ascii="Arial" w:hAnsi="Arial" w:cs="Arial"/>
                <w:color w:val="000000"/>
                <w:sz w:val="18"/>
                <w:szCs w:val="18"/>
              </w:rPr>
            </w:pPr>
            <w:r>
              <w:rPr>
                <w:rFonts w:ascii="Arial" w:hAnsi="Arial" w:cs="Arial"/>
                <w:color w:val="000000"/>
                <w:sz w:val="18"/>
                <w:szCs w:val="18"/>
              </w:rPr>
              <w:t>47</w:t>
            </w:r>
          </w:p>
        </w:tc>
        <w:tc>
          <w:tcPr>
            <w:tcW w:w="718" w:type="dxa"/>
            <w:tcBorders>
              <w:right w:val="single" w:sz="4" w:space="0" w:color="auto"/>
            </w:tcBorders>
            <w:vAlign w:val="bottom"/>
          </w:tcPr>
          <w:p w:rsidR="007C5423" w:rsidRPr="00C12897" w:rsidRDefault="007C5423" w:rsidP="006724F5">
            <w:pPr>
              <w:spacing w:before="60" w:after="60"/>
              <w:jc w:val="right"/>
              <w:rPr>
                <w:rFonts w:ascii="Arial" w:hAnsi="Arial" w:cs="Arial"/>
                <w:color w:val="000000"/>
                <w:sz w:val="18"/>
                <w:szCs w:val="18"/>
              </w:rPr>
            </w:pPr>
            <w:r>
              <w:rPr>
                <w:rFonts w:ascii="Arial" w:hAnsi="Arial" w:cs="Arial"/>
                <w:color w:val="000000"/>
                <w:sz w:val="18"/>
                <w:szCs w:val="18"/>
              </w:rPr>
              <w:t>63</w:t>
            </w:r>
          </w:p>
        </w:tc>
        <w:tc>
          <w:tcPr>
            <w:tcW w:w="783" w:type="dxa"/>
            <w:tcBorders>
              <w:left w:val="single" w:sz="4" w:space="0" w:color="auto"/>
            </w:tcBorders>
            <w:vAlign w:val="bottom"/>
          </w:tcPr>
          <w:p w:rsidR="007C5423" w:rsidRPr="00C12897" w:rsidRDefault="007C5423" w:rsidP="004F6344">
            <w:pPr>
              <w:spacing w:before="60" w:after="60"/>
              <w:jc w:val="right"/>
              <w:rPr>
                <w:rFonts w:ascii="Arial" w:hAnsi="Arial" w:cs="Arial"/>
                <w:color w:val="000000"/>
                <w:sz w:val="18"/>
                <w:szCs w:val="18"/>
              </w:rPr>
            </w:pPr>
            <w:r>
              <w:rPr>
                <w:rFonts w:ascii="Arial" w:hAnsi="Arial" w:cs="Arial"/>
                <w:color w:val="000000"/>
                <w:sz w:val="18"/>
                <w:szCs w:val="18"/>
              </w:rPr>
              <w:t>160</w:t>
            </w:r>
          </w:p>
        </w:tc>
        <w:tc>
          <w:tcPr>
            <w:tcW w:w="794" w:type="dxa"/>
            <w:vAlign w:val="bottom"/>
          </w:tcPr>
          <w:p w:rsidR="007C5423" w:rsidRPr="00C12897" w:rsidRDefault="007C5423" w:rsidP="004F6344">
            <w:pPr>
              <w:spacing w:before="60" w:after="60"/>
              <w:jc w:val="right"/>
              <w:rPr>
                <w:rFonts w:ascii="Arial" w:hAnsi="Arial" w:cs="Arial"/>
                <w:color w:val="000000"/>
                <w:sz w:val="18"/>
                <w:szCs w:val="18"/>
              </w:rPr>
            </w:pPr>
            <w:r>
              <w:rPr>
                <w:rFonts w:ascii="Arial" w:hAnsi="Arial" w:cs="Arial"/>
                <w:color w:val="000000"/>
                <w:sz w:val="18"/>
                <w:szCs w:val="18"/>
              </w:rPr>
              <w:t>78</w:t>
            </w:r>
          </w:p>
        </w:tc>
        <w:tc>
          <w:tcPr>
            <w:tcW w:w="869" w:type="dxa"/>
            <w:vAlign w:val="bottom"/>
          </w:tcPr>
          <w:p w:rsidR="007C5423" w:rsidRPr="00C12897" w:rsidRDefault="007C5423" w:rsidP="00EC5112">
            <w:pPr>
              <w:spacing w:before="60" w:after="60"/>
              <w:jc w:val="right"/>
              <w:rPr>
                <w:rFonts w:ascii="Arial" w:hAnsi="Arial" w:cs="Arial"/>
                <w:color w:val="000000"/>
                <w:sz w:val="18"/>
                <w:szCs w:val="18"/>
              </w:rPr>
            </w:pPr>
            <w:r>
              <w:rPr>
                <w:rFonts w:ascii="Arial" w:hAnsi="Arial" w:cs="Arial"/>
                <w:color w:val="000000"/>
                <w:sz w:val="18"/>
                <w:szCs w:val="18"/>
              </w:rPr>
              <w:t>37</w:t>
            </w:r>
          </w:p>
        </w:tc>
        <w:tc>
          <w:tcPr>
            <w:tcW w:w="663" w:type="dxa"/>
            <w:tcBorders>
              <w:right w:val="single" w:sz="4" w:space="0" w:color="auto"/>
            </w:tcBorders>
            <w:vAlign w:val="bottom"/>
          </w:tcPr>
          <w:p w:rsidR="007C5423" w:rsidRPr="00C12897" w:rsidRDefault="007C5423" w:rsidP="00EC5112">
            <w:pPr>
              <w:spacing w:before="60" w:after="60"/>
              <w:jc w:val="right"/>
              <w:rPr>
                <w:rFonts w:ascii="Arial" w:hAnsi="Arial" w:cs="Arial"/>
                <w:color w:val="000000"/>
                <w:sz w:val="18"/>
                <w:szCs w:val="18"/>
              </w:rPr>
            </w:pPr>
            <w:r>
              <w:rPr>
                <w:rFonts w:ascii="Arial" w:hAnsi="Arial" w:cs="Arial"/>
                <w:color w:val="000000"/>
                <w:sz w:val="18"/>
                <w:szCs w:val="18"/>
              </w:rPr>
              <w:t>45</w:t>
            </w:r>
          </w:p>
        </w:tc>
        <w:tc>
          <w:tcPr>
            <w:tcW w:w="869" w:type="dxa"/>
            <w:tcBorders>
              <w:left w:val="single" w:sz="4" w:space="0" w:color="auto"/>
            </w:tcBorders>
            <w:vAlign w:val="bottom"/>
          </w:tcPr>
          <w:p w:rsidR="007C5423" w:rsidRPr="00C12897" w:rsidRDefault="007C5423" w:rsidP="00EC5112">
            <w:pPr>
              <w:spacing w:before="60" w:after="60"/>
              <w:jc w:val="right"/>
              <w:rPr>
                <w:rFonts w:ascii="Arial" w:hAnsi="Arial" w:cs="Arial"/>
                <w:color w:val="000000"/>
                <w:sz w:val="18"/>
                <w:szCs w:val="18"/>
              </w:rPr>
            </w:pPr>
            <w:r>
              <w:rPr>
                <w:rFonts w:ascii="Arial" w:hAnsi="Arial" w:cs="Arial"/>
                <w:color w:val="000000"/>
                <w:sz w:val="18"/>
                <w:szCs w:val="18"/>
              </w:rPr>
              <w:t>8</w:t>
            </w:r>
          </w:p>
        </w:tc>
      </w:tr>
      <w:tr w:rsidR="007C5423" w:rsidRPr="00C12897">
        <w:trPr>
          <w:trHeight w:hRule="exact" w:val="161"/>
        </w:trPr>
        <w:tc>
          <w:tcPr>
            <w:tcW w:w="3078" w:type="dxa"/>
            <w:vAlign w:val="bottom"/>
          </w:tcPr>
          <w:p w:rsidR="007C5423" w:rsidRPr="00C12897" w:rsidRDefault="007C5423" w:rsidP="00847AD0">
            <w:pPr>
              <w:pStyle w:val="Tabletext"/>
              <w:rPr>
                <w:sz w:val="18"/>
                <w:szCs w:val="18"/>
              </w:rPr>
            </w:pPr>
          </w:p>
        </w:tc>
        <w:tc>
          <w:tcPr>
            <w:tcW w:w="789" w:type="dxa"/>
            <w:vAlign w:val="bottom"/>
          </w:tcPr>
          <w:p w:rsidR="007C5423" w:rsidRPr="00C12897" w:rsidRDefault="007C5423" w:rsidP="00847AD0">
            <w:pPr>
              <w:spacing w:before="60" w:after="60"/>
              <w:jc w:val="right"/>
              <w:rPr>
                <w:rFonts w:ascii="Arial" w:hAnsi="Arial" w:cs="Arial"/>
                <w:color w:val="000000"/>
                <w:sz w:val="18"/>
                <w:szCs w:val="18"/>
              </w:rPr>
            </w:pPr>
          </w:p>
        </w:tc>
        <w:tc>
          <w:tcPr>
            <w:tcW w:w="784" w:type="dxa"/>
            <w:vAlign w:val="bottom"/>
          </w:tcPr>
          <w:p w:rsidR="007C5423" w:rsidRPr="00C12897" w:rsidRDefault="007C5423" w:rsidP="00847AD0">
            <w:pPr>
              <w:spacing w:before="60" w:after="60"/>
              <w:jc w:val="right"/>
              <w:rPr>
                <w:rFonts w:ascii="Arial" w:hAnsi="Arial" w:cs="Arial"/>
                <w:color w:val="000000"/>
                <w:sz w:val="18"/>
                <w:szCs w:val="18"/>
              </w:rPr>
            </w:pPr>
          </w:p>
        </w:tc>
        <w:tc>
          <w:tcPr>
            <w:tcW w:w="869" w:type="dxa"/>
            <w:vAlign w:val="bottom"/>
          </w:tcPr>
          <w:p w:rsidR="007C5423" w:rsidRPr="00C12897" w:rsidRDefault="007C5423" w:rsidP="00847AD0">
            <w:pPr>
              <w:spacing w:before="60" w:after="60"/>
              <w:jc w:val="right"/>
              <w:rPr>
                <w:rFonts w:ascii="Arial" w:hAnsi="Arial" w:cs="Arial"/>
                <w:color w:val="000000"/>
                <w:sz w:val="18"/>
                <w:szCs w:val="18"/>
              </w:rPr>
            </w:pPr>
          </w:p>
        </w:tc>
        <w:tc>
          <w:tcPr>
            <w:tcW w:w="689" w:type="dxa"/>
            <w:tcBorders>
              <w:right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p>
        </w:tc>
        <w:tc>
          <w:tcPr>
            <w:tcW w:w="783" w:type="dxa"/>
            <w:tcBorders>
              <w:left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p>
        </w:tc>
        <w:tc>
          <w:tcPr>
            <w:tcW w:w="783" w:type="dxa"/>
            <w:vAlign w:val="bottom"/>
          </w:tcPr>
          <w:p w:rsidR="007C5423" w:rsidRPr="00C12897" w:rsidRDefault="007C5423" w:rsidP="00847AD0">
            <w:pPr>
              <w:spacing w:before="60" w:after="60"/>
              <w:jc w:val="right"/>
              <w:rPr>
                <w:rFonts w:ascii="Arial" w:hAnsi="Arial" w:cs="Arial"/>
                <w:color w:val="000000"/>
                <w:sz w:val="18"/>
                <w:szCs w:val="18"/>
              </w:rPr>
            </w:pPr>
          </w:p>
        </w:tc>
        <w:tc>
          <w:tcPr>
            <w:tcW w:w="869" w:type="dxa"/>
            <w:vAlign w:val="bottom"/>
          </w:tcPr>
          <w:p w:rsidR="007C5423" w:rsidRPr="00C12897" w:rsidRDefault="007C5423" w:rsidP="00847AD0">
            <w:pPr>
              <w:spacing w:before="60" w:after="60"/>
              <w:jc w:val="right"/>
              <w:rPr>
                <w:rFonts w:ascii="Arial" w:hAnsi="Arial" w:cs="Arial"/>
                <w:color w:val="000000"/>
                <w:sz w:val="18"/>
                <w:szCs w:val="18"/>
              </w:rPr>
            </w:pPr>
          </w:p>
        </w:tc>
        <w:tc>
          <w:tcPr>
            <w:tcW w:w="718" w:type="dxa"/>
            <w:tcBorders>
              <w:right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p>
        </w:tc>
        <w:tc>
          <w:tcPr>
            <w:tcW w:w="783" w:type="dxa"/>
            <w:tcBorders>
              <w:left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p>
        </w:tc>
        <w:tc>
          <w:tcPr>
            <w:tcW w:w="794" w:type="dxa"/>
            <w:vAlign w:val="bottom"/>
          </w:tcPr>
          <w:p w:rsidR="007C5423" w:rsidRPr="00C12897" w:rsidRDefault="007C5423" w:rsidP="00847AD0">
            <w:pPr>
              <w:spacing w:before="60" w:after="60"/>
              <w:jc w:val="right"/>
              <w:rPr>
                <w:rFonts w:ascii="Arial" w:hAnsi="Arial" w:cs="Arial"/>
                <w:color w:val="000000"/>
                <w:sz w:val="18"/>
                <w:szCs w:val="18"/>
              </w:rPr>
            </w:pPr>
          </w:p>
        </w:tc>
        <w:tc>
          <w:tcPr>
            <w:tcW w:w="869" w:type="dxa"/>
            <w:vAlign w:val="bottom"/>
          </w:tcPr>
          <w:p w:rsidR="007C5423" w:rsidRPr="00C12897" w:rsidRDefault="007C5423" w:rsidP="00847AD0">
            <w:pPr>
              <w:spacing w:before="60" w:after="60"/>
              <w:jc w:val="right"/>
              <w:rPr>
                <w:rFonts w:ascii="Arial" w:hAnsi="Arial" w:cs="Arial"/>
                <w:color w:val="000000"/>
                <w:sz w:val="18"/>
                <w:szCs w:val="18"/>
              </w:rPr>
            </w:pPr>
          </w:p>
        </w:tc>
        <w:tc>
          <w:tcPr>
            <w:tcW w:w="663" w:type="dxa"/>
            <w:tcBorders>
              <w:right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p>
        </w:tc>
        <w:tc>
          <w:tcPr>
            <w:tcW w:w="869" w:type="dxa"/>
            <w:tcBorders>
              <w:left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p>
        </w:tc>
      </w:tr>
      <w:tr w:rsidR="007C5423" w:rsidRPr="00C12897">
        <w:trPr>
          <w:trHeight w:val="319"/>
        </w:trPr>
        <w:tc>
          <w:tcPr>
            <w:tcW w:w="3078" w:type="dxa"/>
            <w:vAlign w:val="bottom"/>
          </w:tcPr>
          <w:p w:rsidR="007C5423" w:rsidRPr="00C12897" w:rsidRDefault="007C5423" w:rsidP="00847AD0">
            <w:pPr>
              <w:pStyle w:val="Tabletext"/>
              <w:rPr>
                <w:sz w:val="18"/>
                <w:szCs w:val="18"/>
              </w:rPr>
            </w:pPr>
            <w:r w:rsidRPr="00C12897">
              <w:rPr>
                <w:sz w:val="18"/>
                <w:szCs w:val="18"/>
              </w:rPr>
              <w:t>Private for-profit</w:t>
            </w:r>
          </w:p>
        </w:tc>
        <w:tc>
          <w:tcPr>
            <w:tcW w:w="789" w:type="dxa"/>
            <w:vAlign w:val="bottom"/>
          </w:tcPr>
          <w:p w:rsidR="007C5423" w:rsidRPr="00C12897" w:rsidRDefault="007C5423" w:rsidP="00847AD0">
            <w:pPr>
              <w:spacing w:before="60" w:after="60"/>
              <w:jc w:val="right"/>
              <w:rPr>
                <w:rFonts w:ascii="Arial" w:hAnsi="Arial" w:cs="Arial"/>
                <w:color w:val="000000"/>
                <w:sz w:val="18"/>
                <w:szCs w:val="18"/>
              </w:rPr>
            </w:pPr>
          </w:p>
        </w:tc>
        <w:tc>
          <w:tcPr>
            <w:tcW w:w="784" w:type="dxa"/>
            <w:vAlign w:val="bottom"/>
          </w:tcPr>
          <w:p w:rsidR="007C5423" w:rsidRPr="00C12897" w:rsidRDefault="007C5423" w:rsidP="00847AD0">
            <w:pPr>
              <w:spacing w:before="60" w:after="60"/>
              <w:jc w:val="right"/>
              <w:rPr>
                <w:rFonts w:ascii="Arial" w:hAnsi="Arial" w:cs="Arial"/>
                <w:color w:val="000000"/>
                <w:sz w:val="18"/>
                <w:szCs w:val="18"/>
              </w:rPr>
            </w:pPr>
          </w:p>
        </w:tc>
        <w:tc>
          <w:tcPr>
            <w:tcW w:w="869" w:type="dxa"/>
            <w:vAlign w:val="bottom"/>
          </w:tcPr>
          <w:p w:rsidR="007C5423" w:rsidRPr="00C12897" w:rsidRDefault="007C5423" w:rsidP="00847AD0">
            <w:pPr>
              <w:spacing w:before="60" w:after="60"/>
              <w:jc w:val="right"/>
              <w:rPr>
                <w:rFonts w:ascii="Arial" w:hAnsi="Arial" w:cs="Arial"/>
                <w:color w:val="000000"/>
                <w:sz w:val="18"/>
                <w:szCs w:val="18"/>
              </w:rPr>
            </w:pPr>
          </w:p>
        </w:tc>
        <w:tc>
          <w:tcPr>
            <w:tcW w:w="689" w:type="dxa"/>
            <w:tcBorders>
              <w:right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p>
        </w:tc>
        <w:tc>
          <w:tcPr>
            <w:tcW w:w="783" w:type="dxa"/>
            <w:tcBorders>
              <w:left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p>
        </w:tc>
        <w:tc>
          <w:tcPr>
            <w:tcW w:w="783" w:type="dxa"/>
            <w:vAlign w:val="bottom"/>
          </w:tcPr>
          <w:p w:rsidR="007C5423" w:rsidRPr="00C12897" w:rsidRDefault="007C5423" w:rsidP="00847AD0">
            <w:pPr>
              <w:spacing w:before="60" w:after="60"/>
              <w:jc w:val="right"/>
              <w:rPr>
                <w:rFonts w:ascii="Arial" w:hAnsi="Arial" w:cs="Arial"/>
                <w:color w:val="000000"/>
                <w:sz w:val="18"/>
                <w:szCs w:val="18"/>
              </w:rPr>
            </w:pPr>
          </w:p>
        </w:tc>
        <w:tc>
          <w:tcPr>
            <w:tcW w:w="869" w:type="dxa"/>
            <w:vAlign w:val="bottom"/>
          </w:tcPr>
          <w:p w:rsidR="007C5423" w:rsidRPr="00C12897" w:rsidRDefault="007C5423" w:rsidP="00847AD0">
            <w:pPr>
              <w:spacing w:before="60" w:after="60"/>
              <w:jc w:val="right"/>
              <w:rPr>
                <w:rFonts w:ascii="Arial" w:hAnsi="Arial" w:cs="Arial"/>
                <w:color w:val="000000"/>
                <w:sz w:val="18"/>
                <w:szCs w:val="18"/>
              </w:rPr>
            </w:pPr>
          </w:p>
        </w:tc>
        <w:tc>
          <w:tcPr>
            <w:tcW w:w="718" w:type="dxa"/>
            <w:tcBorders>
              <w:right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p>
        </w:tc>
        <w:tc>
          <w:tcPr>
            <w:tcW w:w="783" w:type="dxa"/>
            <w:tcBorders>
              <w:left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p>
        </w:tc>
        <w:tc>
          <w:tcPr>
            <w:tcW w:w="794" w:type="dxa"/>
            <w:vAlign w:val="bottom"/>
          </w:tcPr>
          <w:p w:rsidR="007C5423" w:rsidRPr="00C12897" w:rsidRDefault="007C5423" w:rsidP="00847AD0">
            <w:pPr>
              <w:spacing w:before="60" w:after="60"/>
              <w:jc w:val="right"/>
              <w:rPr>
                <w:rFonts w:ascii="Arial" w:hAnsi="Arial" w:cs="Arial"/>
                <w:color w:val="000000"/>
                <w:sz w:val="18"/>
                <w:szCs w:val="18"/>
              </w:rPr>
            </w:pPr>
          </w:p>
        </w:tc>
        <w:tc>
          <w:tcPr>
            <w:tcW w:w="869" w:type="dxa"/>
            <w:vAlign w:val="bottom"/>
          </w:tcPr>
          <w:p w:rsidR="007C5423" w:rsidRPr="00C12897" w:rsidRDefault="007C5423" w:rsidP="00847AD0">
            <w:pPr>
              <w:spacing w:before="60" w:after="60"/>
              <w:jc w:val="right"/>
              <w:rPr>
                <w:rFonts w:ascii="Arial" w:hAnsi="Arial" w:cs="Arial"/>
                <w:color w:val="000000"/>
                <w:sz w:val="18"/>
                <w:szCs w:val="18"/>
              </w:rPr>
            </w:pPr>
          </w:p>
        </w:tc>
        <w:tc>
          <w:tcPr>
            <w:tcW w:w="663" w:type="dxa"/>
            <w:tcBorders>
              <w:right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p>
        </w:tc>
        <w:tc>
          <w:tcPr>
            <w:tcW w:w="869" w:type="dxa"/>
            <w:tcBorders>
              <w:left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p>
        </w:tc>
      </w:tr>
      <w:tr w:rsidR="007C5423" w:rsidRPr="00C12897">
        <w:trPr>
          <w:trHeight w:val="337"/>
        </w:trPr>
        <w:tc>
          <w:tcPr>
            <w:tcW w:w="3078" w:type="dxa"/>
            <w:vAlign w:val="bottom"/>
          </w:tcPr>
          <w:p w:rsidR="007C5423" w:rsidRPr="00C12897" w:rsidRDefault="007C5423" w:rsidP="00847AD0">
            <w:pPr>
              <w:pStyle w:val="2enspsubgroup1"/>
              <w:rPr>
                <w:sz w:val="18"/>
                <w:szCs w:val="18"/>
              </w:rPr>
            </w:pPr>
            <w:r w:rsidRPr="00C12897">
              <w:rPr>
                <w:sz w:val="18"/>
                <w:szCs w:val="18"/>
              </w:rPr>
              <w:t xml:space="preserve">Less-than-2-year </w:t>
            </w:r>
          </w:p>
        </w:tc>
        <w:tc>
          <w:tcPr>
            <w:tcW w:w="789" w:type="dxa"/>
            <w:vAlign w:val="bottom"/>
          </w:tcPr>
          <w:p w:rsidR="007C5423" w:rsidRPr="00C12897" w:rsidRDefault="007C5423" w:rsidP="001173D4">
            <w:pPr>
              <w:spacing w:before="60" w:after="60"/>
              <w:jc w:val="right"/>
              <w:rPr>
                <w:rFonts w:ascii="Arial" w:hAnsi="Arial" w:cs="Arial"/>
                <w:color w:val="000000"/>
                <w:sz w:val="18"/>
                <w:szCs w:val="18"/>
              </w:rPr>
            </w:pPr>
            <w:r>
              <w:rPr>
                <w:rFonts w:ascii="Arial" w:hAnsi="Arial" w:cs="Arial"/>
                <w:color w:val="000000"/>
                <w:sz w:val="18"/>
                <w:szCs w:val="18"/>
              </w:rPr>
              <w:t>183</w:t>
            </w:r>
          </w:p>
        </w:tc>
        <w:tc>
          <w:tcPr>
            <w:tcW w:w="784" w:type="dxa"/>
            <w:vAlign w:val="bottom"/>
          </w:tcPr>
          <w:p w:rsidR="007C5423" w:rsidRPr="00C12897" w:rsidRDefault="007C5423" w:rsidP="001173D4">
            <w:pPr>
              <w:spacing w:before="60" w:after="60"/>
              <w:jc w:val="right"/>
              <w:rPr>
                <w:rFonts w:ascii="Arial" w:hAnsi="Arial" w:cs="Arial"/>
                <w:color w:val="000000"/>
                <w:sz w:val="18"/>
                <w:szCs w:val="18"/>
              </w:rPr>
            </w:pPr>
            <w:r>
              <w:rPr>
                <w:rFonts w:ascii="Arial" w:hAnsi="Arial" w:cs="Arial"/>
                <w:color w:val="000000"/>
                <w:sz w:val="18"/>
                <w:szCs w:val="18"/>
              </w:rPr>
              <w:t>135</w:t>
            </w:r>
          </w:p>
        </w:tc>
        <w:tc>
          <w:tcPr>
            <w:tcW w:w="869" w:type="dxa"/>
            <w:vAlign w:val="bottom"/>
          </w:tcPr>
          <w:p w:rsidR="007C5423" w:rsidRPr="00C12897" w:rsidRDefault="007C5423" w:rsidP="006724F5">
            <w:pPr>
              <w:spacing w:before="60" w:after="60"/>
              <w:jc w:val="right"/>
              <w:rPr>
                <w:rFonts w:ascii="Arial" w:hAnsi="Arial" w:cs="Arial"/>
                <w:color w:val="000000"/>
                <w:sz w:val="18"/>
                <w:szCs w:val="18"/>
              </w:rPr>
            </w:pPr>
            <w:r>
              <w:rPr>
                <w:rFonts w:ascii="Arial" w:hAnsi="Arial" w:cs="Arial"/>
                <w:color w:val="000000"/>
                <w:sz w:val="18"/>
                <w:szCs w:val="18"/>
              </w:rPr>
              <w:t>48</w:t>
            </w:r>
          </w:p>
        </w:tc>
        <w:tc>
          <w:tcPr>
            <w:tcW w:w="689" w:type="dxa"/>
            <w:tcBorders>
              <w:right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r w:rsidRPr="00C12897">
              <w:rPr>
                <w:rFonts w:ascii="Arial" w:hAnsi="Arial" w:cs="Arial"/>
                <w:color w:val="000000"/>
                <w:sz w:val="18"/>
                <w:szCs w:val="18"/>
              </w:rPr>
              <w:t>0</w:t>
            </w:r>
          </w:p>
        </w:tc>
        <w:tc>
          <w:tcPr>
            <w:tcW w:w="783" w:type="dxa"/>
            <w:tcBorders>
              <w:left w:val="single" w:sz="4" w:space="0" w:color="auto"/>
            </w:tcBorders>
            <w:vAlign w:val="bottom"/>
          </w:tcPr>
          <w:p w:rsidR="007C5423" w:rsidRPr="00C12897" w:rsidRDefault="007C5423" w:rsidP="006724F5">
            <w:pPr>
              <w:spacing w:before="60" w:after="60"/>
              <w:jc w:val="right"/>
              <w:rPr>
                <w:rFonts w:ascii="Arial" w:hAnsi="Arial" w:cs="Arial"/>
                <w:color w:val="000000"/>
                <w:sz w:val="18"/>
                <w:szCs w:val="18"/>
              </w:rPr>
            </w:pPr>
            <w:r>
              <w:rPr>
                <w:rFonts w:ascii="Arial" w:hAnsi="Arial" w:cs="Arial"/>
                <w:color w:val="000000"/>
                <w:sz w:val="18"/>
                <w:szCs w:val="18"/>
              </w:rPr>
              <w:t>119</w:t>
            </w:r>
          </w:p>
        </w:tc>
        <w:tc>
          <w:tcPr>
            <w:tcW w:w="783" w:type="dxa"/>
            <w:vAlign w:val="bottom"/>
          </w:tcPr>
          <w:p w:rsidR="007C5423" w:rsidRPr="00C12897" w:rsidRDefault="007C5423" w:rsidP="006724F5">
            <w:pPr>
              <w:spacing w:before="60" w:after="60"/>
              <w:jc w:val="right"/>
              <w:rPr>
                <w:rFonts w:ascii="Arial" w:hAnsi="Arial" w:cs="Arial"/>
                <w:color w:val="000000"/>
                <w:sz w:val="18"/>
                <w:szCs w:val="18"/>
              </w:rPr>
            </w:pPr>
            <w:r>
              <w:rPr>
                <w:rFonts w:ascii="Arial" w:hAnsi="Arial" w:cs="Arial"/>
                <w:color w:val="000000"/>
                <w:sz w:val="18"/>
                <w:szCs w:val="18"/>
              </w:rPr>
              <w:t>88</w:t>
            </w:r>
          </w:p>
        </w:tc>
        <w:tc>
          <w:tcPr>
            <w:tcW w:w="869" w:type="dxa"/>
            <w:vAlign w:val="bottom"/>
          </w:tcPr>
          <w:p w:rsidR="007C5423" w:rsidRPr="00C12897" w:rsidRDefault="007C5423" w:rsidP="006724F5">
            <w:pPr>
              <w:spacing w:before="60" w:after="60"/>
              <w:jc w:val="right"/>
              <w:rPr>
                <w:rFonts w:ascii="Arial" w:hAnsi="Arial" w:cs="Arial"/>
                <w:color w:val="000000"/>
                <w:sz w:val="18"/>
                <w:szCs w:val="18"/>
              </w:rPr>
            </w:pPr>
            <w:r>
              <w:rPr>
                <w:rFonts w:ascii="Arial" w:hAnsi="Arial" w:cs="Arial"/>
                <w:color w:val="000000"/>
                <w:sz w:val="18"/>
                <w:szCs w:val="18"/>
              </w:rPr>
              <w:t>32</w:t>
            </w:r>
          </w:p>
        </w:tc>
        <w:tc>
          <w:tcPr>
            <w:tcW w:w="718" w:type="dxa"/>
            <w:tcBorders>
              <w:right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r w:rsidRPr="00C12897">
              <w:rPr>
                <w:rFonts w:ascii="Arial" w:hAnsi="Arial" w:cs="Arial"/>
                <w:color w:val="000000"/>
                <w:sz w:val="18"/>
                <w:szCs w:val="18"/>
              </w:rPr>
              <w:t>0</w:t>
            </w:r>
          </w:p>
        </w:tc>
        <w:tc>
          <w:tcPr>
            <w:tcW w:w="783" w:type="dxa"/>
            <w:tcBorders>
              <w:left w:val="single" w:sz="4" w:space="0" w:color="auto"/>
            </w:tcBorders>
            <w:vAlign w:val="bottom"/>
          </w:tcPr>
          <w:p w:rsidR="007C5423" w:rsidRPr="00C12897" w:rsidRDefault="007C5423" w:rsidP="004F6344">
            <w:pPr>
              <w:spacing w:before="60" w:after="60"/>
              <w:jc w:val="right"/>
              <w:rPr>
                <w:rFonts w:ascii="Arial" w:hAnsi="Arial" w:cs="Arial"/>
                <w:color w:val="000000"/>
                <w:sz w:val="18"/>
                <w:szCs w:val="18"/>
              </w:rPr>
            </w:pPr>
            <w:r>
              <w:rPr>
                <w:rFonts w:ascii="Arial" w:hAnsi="Arial" w:cs="Arial"/>
                <w:color w:val="000000"/>
                <w:sz w:val="18"/>
                <w:szCs w:val="18"/>
              </w:rPr>
              <w:t>74</w:t>
            </w:r>
          </w:p>
        </w:tc>
        <w:tc>
          <w:tcPr>
            <w:tcW w:w="794" w:type="dxa"/>
            <w:vAlign w:val="bottom"/>
          </w:tcPr>
          <w:p w:rsidR="007C5423" w:rsidRPr="00C12897" w:rsidRDefault="007C5423" w:rsidP="004F6344">
            <w:pPr>
              <w:spacing w:before="60" w:after="60"/>
              <w:jc w:val="right"/>
              <w:rPr>
                <w:rFonts w:ascii="Arial" w:hAnsi="Arial" w:cs="Arial"/>
                <w:color w:val="000000"/>
                <w:sz w:val="18"/>
                <w:szCs w:val="18"/>
              </w:rPr>
            </w:pPr>
            <w:r>
              <w:rPr>
                <w:rFonts w:ascii="Arial" w:hAnsi="Arial" w:cs="Arial"/>
                <w:color w:val="000000"/>
                <w:sz w:val="18"/>
                <w:szCs w:val="18"/>
              </w:rPr>
              <w:t>54</w:t>
            </w:r>
          </w:p>
        </w:tc>
        <w:tc>
          <w:tcPr>
            <w:tcW w:w="869" w:type="dxa"/>
            <w:vAlign w:val="bottom"/>
          </w:tcPr>
          <w:p w:rsidR="007C5423" w:rsidRPr="00C12897" w:rsidRDefault="007C5423" w:rsidP="00EC5112">
            <w:pPr>
              <w:spacing w:before="60" w:after="60"/>
              <w:jc w:val="right"/>
              <w:rPr>
                <w:rFonts w:ascii="Arial" w:hAnsi="Arial" w:cs="Arial"/>
                <w:color w:val="000000"/>
                <w:sz w:val="18"/>
                <w:szCs w:val="18"/>
              </w:rPr>
            </w:pPr>
            <w:r>
              <w:rPr>
                <w:rFonts w:ascii="Arial" w:hAnsi="Arial" w:cs="Arial"/>
                <w:color w:val="000000"/>
                <w:sz w:val="18"/>
                <w:szCs w:val="18"/>
              </w:rPr>
              <w:t>20</w:t>
            </w:r>
          </w:p>
        </w:tc>
        <w:tc>
          <w:tcPr>
            <w:tcW w:w="663" w:type="dxa"/>
            <w:tcBorders>
              <w:right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r w:rsidRPr="00C12897">
              <w:rPr>
                <w:rFonts w:ascii="Arial" w:hAnsi="Arial" w:cs="Arial"/>
                <w:color w:val="000000"/>
                <w:sz w:val="18"/>
                <w:szCs w:val="18"/>
              </w:rPr>
              <w:t>0</w:t>
            </w:r>
          </w:p>
        </w:tc>
        <w:tc>
          <w:tcPr>
            <w:tcW w:w="869" w:type="dxa"/>
            <w:tcBorders>
              <w:left w:val="single" w:sz="4" w:space="0" w:color="auto"/>
            </w:tcBorders>
            <w:vAlign w:val="bottom"/>
          </w:tcPr>
          <w:p w:rsidR="007C5423" w:rsidRPr="00C12897" w:rsidRDefault="007C5423" w:rsidP="00EC5112">
            <w:pPr>
              <w:spacing w:before="60" w:after="60"/>
              <w:jc w:val="right"/>
              <w:rPr>
                <w:rFonts w:ascii="Arial" w:hAnsi="Arial" w:cs="Arial"/>
                <w:color w:val="000000"/>
                <w:sz w:val="18"/>
                <w:szCs w:val="18"/>
              </w:rPr>
            </w:pPr>
            <w:r>
              <w:rPr>
                <w:rFonts w:ascii="Arial" w:hAnsi="Arial" w:cs="Arial"/>
                <w:color w:val="000000"/>
                <w:sz w:val="18"/>
                <w:szCs w:val="18"/>
              </w:rPr>
              <w:t>18</w:t>
            </w:r>
          </w:p>
        </w:tc>
      </w:tr>
      <w:tr w:rsidR="007C5423" w:rsidRPr="00C12897">
        <w:trPr>
          <w:trHeight w:val="337"/>
        </w:trPr>
        <w:tc>
          <w:tcPr>
            <w:tcW w:w="3078" w:type="dxa"/>
            <w:vAlign w:val="bottom"/>
          </w:tcPr>
          <w:p w:rsidR="007C5423" w:rsidRPr="00C12897" w:rsidRDefault="007C5423" w:rsidP="00847AD0">
            <w:pPr>
              <w:pStyle w:val="2enspsubgroup1"/>
              <w:rPr>
                <w:sz w:val="18"/>
                <w:szCs w:val="18"/>
              </w:rPr>
            </w:pPr>
            <w:r>
              <w:rPr>
                <w:sz w:val="18"/>
                <w:szCs w:val="18"/>
              </w:rPr>
              <w:t xml:space="preserve">2 </w:t>
            </w:r>
            <w:r w:rsidRPr="00C12897">
              <w:rPr>
                <w:sz w:val="18"/>
                <w:szCs w:val="18"/>
              </w:rPr>
              <w:t>year</w:t>
            </w:r>
          </w:p>
        </w:tc>
        <w:tc>
          <w:tcPr>
            <w:tcW w:w="789" w:type="dxa"/>
            <w:vAlign w:val="bottom"/>
          </w:tcPr>
          <w:p w:rsidR="007C5423" w:rsidRPr="00C12897" w:rsidRDefault="007C5423" w:rsidP="001173D4">
            <w:pPr>
              <w:spacing w:before="60" w:after="60"/>
              <w:jc w:val="right"/>
              <w:rPr>
                <w:rFonts w:ascii="Arial" w:hAnsi="Arial" w:cs="Arial"/>
                <w:color w:val="000000"/>
                <w:sz w:val="18"/>
                <w:szCs w:val="18"/>
              </w:rPr>
            </w:pPr>
            <w:r>
              <w:rPr>
                <w:rFonts w:ascii="Arial" w:hAnsi="Arial" w:cs="Arial"/>
                <w:color w:val="000000"/>
                <w:sz w:val="18"/>
                <w:szCs w:val="18"/>
              </w:rPr>
              <w:t>294</w:t>
            </w:r>
          </w:p>
        </w:tc>
        <w:tc>
          <w:tcPr>
            <w:tcW w:w="784" w:type="dxa"/>
            <w:vAlign w:val="bottom"/>
          </w:tcPr>
          <w:p w:rsidR="007C5423" w:rsidRPr="00C12897" w:rsidRDefault="007C5423" w:rsidP="001173D4">
            <w:pPr>
              <w:spacing w:before="60" w:after="60"/>
              <w:jc w:val="right"/>
              <w:rPr>
                <w:rFonts w:ascii="Arial" w:hAnsi="Arial" w:cs="Arial"/>
                <w:color w:val="000000"/>
                <w:sz w:val="18"/>
                <w:szCs w:val="18"/>
              </w:rPr>
            </w:pPr>
            <w:r>
              <w:rPr>
                <w:rFonts w:ascii="Arial" w:hAnsi="Arial" w:cs="Arial"/>
                <w:color w:val="000000"/>
                <w:sz w:val="18"/>
                <w:szCs w:val="18"/>
              </w:rPr>
              <w:t>217</w:t>
            </w:r>
          </w:p>
        </w:tc>
        <w:tc>
          <w:tcPr>
            <w:tcW w:w="869" w:type="dxa"/>
            <w:vAlign w:val="bottom"/>
          </w:tcPr>
          <w:p w:rsidR="007C5423" w:rsidRPr="00C12897" w:rsidRDefault="007C5423" w:rsidP="006724F5">
            <w:pPr>
              <w:spacing w:before="60" w:after="60"/>
              <w:jc w:val="right"/>
              <w:rPr>
                <w:rFonts w:ascii="Arial" w:hAnsi="Arial" w:cs="Arial"/>
                <w:color w:val="000000"/>
                <w:sz w:val="18"/>
                <w:szCs w:val="18"/>
              </w:rPr>
            </w:pPr>
            <w:r>
              <w:rPr>
                <w:rFonts w:ascii="Arial" w:hAnsi="Arial" w:cs="Arial"/>
                <w:color w:val="000000"/>
                <w:sz w:val="18"/>
                <w:szCs w:val="18"/>
              </w:rPr>
              <w:t>78</w:t>
            </w:r>
          </w:p>
        </w:tc>
        <w:tc>
          <w:tcPr>
            <w:tcW w:w="689" w:type="dxa"/>
            <w:tcBorders>
              <w:right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r>
              <w:rPr>
                <w:rFonts w:ascii="Arial" w:hAnsi="Arial" w:cs="Arial"/>
                <w:color w:val="000000"/>
                <w:sz w:val="18"/>
                <w:szCs w:val="18"/>
              </w:rPr>
              <w:t>0</w:t>
            </w:r>
          </w:p>
        </w:tc>
        <w:tc>
          <w:tcPr>
            <w:tcW w:w="783" w:type="dxa"/>
            <w:tcBorders>
              <w:left w:val="single" w:sz="4" w:space="0" w:color="auto"/>
            </w:tcBorders>
            <w:vAlign w:val="bottom"/>
          </w:tcPr>
          <w:p w:rsidR="007C5423" w:rsidRPr="00C12897" w:rsidRDefault="007C5423" w:rsidP="006724F5">
            <w:pPr>
              <w:spacing w:before="60" w:after="60"/>
              <w:jc w:val="right"/>
              <w:rPr>
                <w:rFonts w:ascii="Arial" w:hAnsi="Arial" w:cs="Arial"/>
                <w:color w:val="000000"/>
                <w:sz w:val="18"/>
                <w:szCs w:val="18"/>
              </w:rPr>
            </w:pPr>
            <w:r>
              <w:rPr>
                <w:rFonts w:ascii="Arial" w:hAnsi="Arial" w:cs="Arial"/>
                <w:color w:val="000000"/>
                <w:sz w:val="18"/>
                <w:szCs w:val="18"/>
              </w:rPr>
              <w:t>287</w:t>
            </w:r>
          </w:p>
        </w:tc>
        <w:tc>
          <w:tcPr>
            <w:tcW w:w="783" w:type="dxa"/>
            <w:vAlign w:val="bottom"/>
          </w:tcPr>
          <w:p w:rsidR="007C5423" w:rsidRPr="00C12897" w:rsidRDefault="007C5423" w:rsidP="006724F5">
            <w:pPr>
              <w:spacing w:before="60" w:after="60"/>
              <w:jc w:val="right"/>
              <w:rPr>
                <w:rFonts w:ascii="Arial" w:hAnsi="Arial" w:cs="Arial"/>
                <w:color w:val="000000"/>
                <w:sz w:val="18"/>
                <w:szCs w:val="18"/>
              </w:rPr>
            </w:pPr>
            <w:r>
              <w:rPr>
                <w:rFonts w:ascii="Arial" w:hAnsi="Arial" w:cs="Arial"/>
                <w:color w:val="000000"/>
                <w:sz w:val="18"/>
                <w:szCs w:val="18"/>
              </w:rPr>
              <w:t>211</w:t>
            </w:r>
          </w:p>
        </w:tc>
        <w:tc>
          <w:tcPr>
            <w:tcW w:w="869" w:type="dxa"/>
            <w:vAlign w:val="bottom"/>
          </w:tcPr>
          <w:p w:rsidR="007C5423" w:rsidRPr="00C12897" w:rsidRDefault="007C5423" w:rsidP="006724F5">
            <w:pPr>
              <w:spacing w:before="60" w:after="60"/>
              <w:jc w:val="right"/>
              <w:rPr>
                <w:rFonts w:ascii="Arial" w:hAnsi="Arial" w:cs="Arial"/>
                <w:color w:val="000000"/>
                <w:sz w:val="18"/>
                <w:szCs w:val="18"/>
              </w:rPr>
            </w:pPr>
            <w:r>
              <w:rPr>
                <w:rFonts w:ascii="Arial" w:hAnsi="Arial" w:cs="Arial"/>
                <w:color w:val="000000"/>
                <w:sz w:val="18"/>
                <w:szCs w:val="18"/>
              </w:rPr>
              <w:t>76</w:t>
            </w:r>
          </w:p>
        </w:tc>
        <w:tc>
          <w:tcPr>
            <w:tcW w:w="718" w:type="dxa"/>
            <w:tcBorders>
              <w:right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r>
              <w:rPr>
                <w:rFonts w:ascii="Arial" w:hAnsi="Arial" w:cs="Arial"/>
                <w:color w:val="000000"/>
                <w:sz w:val="18"/>
                <w:szCs w:val="18"/>
              </w:rPr>
              <w:t>0</w:t>
            </w:r>
          </w:p>
        </w:tc>
        <w:tc>
          <w:tcPr>
            <w:tcW w:w="783" w:type="dxa"/>
            <w:tcBorders>
              <w:left w:val="single" w:sz="4" w:space="0" w:color="auto"/>
            </w:tcBorders>
            <w:vAlign w:val="bottom"/>
          </w:tcPr>
          <w:p w:rsidR="007C5423" w:rsidRPr="00C12897" w:rsidRDefault="007C5423" w:rsidP="004F6344">
            <w:pPr>
              <w:spacing w:before="60" w:after="60"/>
              <w:jc w:val="right"/>
              <w:rPr>
                <w:rFonts w:ascii="Arial" w:hAnsi="Arial" w:cs="Arial"/>
                <w:color w:val="000000"/>
                <w:sz w:val="18"/>
                <w:szCs w:val="18"/>
              </w:rPr>
            </w:pPr>
            <w:r>
              <w:rPr>
                <w:rFonts w:ascii="Arial" w:hAnsi="Arial" w:cs="Arial"/>
                <w:color w:val="000000"/>
                <w:sz w:val="18"/>
                <w:szCs w:val="18"/>
              </w:rPr>
              <w:t>179</w:t>
            </w:r>
          </w:p>
        </w:tc>
        <w:tc>
          <w:tcPr>
            <w:tcW w:w="794" w:type="dxa"/>
            <w:vAlign w:val="bottom"/>
          </w:tcPr>
          <w:p w:rsidR="007C5423" w:rsidRPr="00C12897" w:rsidRDefault="007C5423" w:rsidP="004F6344">
            <w:pPr>
              <w:spacing w:before="60" w:after="60"/>
              <w:jc w:val="right"/>
              <w:rPr>
                <w:rFonts w:ascii="Arial" w:hAnsi="Arial" w:cs="Arial"/>
                <w:color w:val="000000"/>
                <w:sz w:val="18"/>
                <w:szCs w:val="18"/>
              </w:rPr>
            </w:pPr>
            <w:r>
              <w:rPr>
                <w:rFonts w:ascii="Arial" w:hAnsi="Arial" w:cs="Arial"/>
                <w:color w:val="000000"/>
                <w:sz w:val="18"/>
                <w:szCs w:val="18"/>
              </w:rPr>
              <w:t>130</w:t>
            </w:r>
          </w:p>
        </w:tc>
        <w:tc>
          <w:tcPr>
            <w:tcW w:w="869" w:type="dxa"/>
            <w:vAlign w:val="bottom"/>
          </w:tcPr>
          <w:p w:rsidR="007C5423" w:rsidRPr="00C12897" w:rsidRDefault="007C5423" w:rsidP="00EC5112">
            <w:pPr>
              <w:spacing w:before="60" w:after="60"/>
              <w:jc w:val="right"/>
              <w:rPr>
                <w:rFonts w:ascii="Arial" w:hAnsi="Arial" w:cs="Arial"/>
                <w:color w:val="000000"/>
                <w:sz w:val="18"/>
                <w:szCs w:val="18"/>
              </w:rPr>
            </w:pPr>
            <w:r>
              <w:rPr>
                <w:rFonts w:ascii="Arial" w:hAnsi="Arial" w:cs="Arial"/>
                <w:color w:val="000000"/>
                <w:sz w:val="18"/>
                <w:szCs w:val="18"/>
              </w:rPr>
              <w:t>48</w:t>
            </w:r>
          </w:p>
        </w:tc>
        <w:tc>
          <w:tcPr>
            <w:tcW w:w="663" w:type="dxa"/>
            <w:tcBorders>
              <w:right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r>
              <w:rPr>
                <w:rFonts w:ascii="Arial" w:hAnsi="Arial" w:cs="Arial"/>
                <w:color w:val="000000"/>
                <w:sz w:val="18"/>
                <w:szCs w:val="18"/>
              </w:rPr>
              <w:t>0</w:t>
            </w:r>
          </w:p>
        </w:tc>
        <w:tc>
          <w:tcPr>
            <w:tcW w:w="869" w:type="dxa"/>
            <w:tcBorders>
              <w:left w:val="single" w:sz="4" w:space="0" w:color="auto"/>
            </w:tcBorders>
            <w:vAlign w:val="bottom"/>
          </w:tcPr>
          <w:p w:rsidR="007C5423" w:rsidRPr="00C12897" w:rsidRDefault="007C5423" w:rsidP="00EC5112">
            <w:pPr>
              <w:spacing w:before="60" w:after="60"/>
              <w:jc w:val="right"/>
              <w:rPr>
                <w:rFonts w:ascii="Arial" w:hAnsi="Arial" w:cs="Arial"/>
                <w:color w:val="000000"/>
                <w:sz w:val="18"/>
                <w:szCs w:val="18"/>
              </w:rPr>
            </w:pPr>
            <w:r>
              <w:rPr>
                <w:rFonts w:ascii="Arial" w:hAnsi="Arial" w:cs="Arial"/>
                <w:color w:val="000000"/>
                <w:sz w:val="18"/>
                <w:szCs w:val="18"/>
              </w:rPr>
              <w:t>19</w:t>
            </w:r>
          </w:p>
        </w:tc>
      </w:tr>
      <w:tr w:rsidR="007C5423" w:rsidRPr="00C12897">
        <w:trPr>
          <w:trHeight w:val="337"/>
        </w:trPr>
        <w:tc>
          <w:tcPr>
            <w:tcW w:w="3078" w:type="dxa"/>
            <w:tcBorders>
              <w:bottom w:val="single" w:sz="12" w:space="0" w:color="auto"/>
            </w:tcBorders>
            <w:vAlign w:val="bottom"/>
          </w:tcPr>
          <w:p w:rsidR="007C5423" w:rsidRDefault="007C5423" w:rsidP="00847AD0">
            <w:pPr>
              <w:pStyle w:val="2enspsubgroup1"/>
              <w:ind w:right="145"/>
              <w:jc w:val="both"/>
              <w:rPr>
                <w:sz w:val="18"/>
                <w:szCs w:val="18"/>
              </w:rPr>
            </w:pPr>
            <w:r>
              <w:rPr>
                <w:sz w:val="18"/>
                <w:szCs w:val="18"/>
              </w:rPr>
              <w:t xml:space="preserve">4 </w:t>
            </w:r>
            <w:r w:rsidRPr="00C12897">
              <w:rPr>
                <w:sz w:val="18"/>
                <w:szCs w:val="18"/>
              </w:rPr>
              <w:t>year</w:t>
            </w:r>
          </w:p>
        </w:tc>
        <w:tc>
          <w:tcPr>
            <w:tcW w:w="789" w:type="dxa"/>
            <w:tcBorders>
              <w:bottom w:val="single" w:sz="12" w:space="0" w:color="auto"/>
            </w:tcBorders>
            <w:vAlign w:val="bottom"/>
          </w:tcPr>
          <w:p w:rsidR="007C5423" w:rsidRPr="00C12897" w:rsidRDefault="007C5423" w:rsidP="001173D4">
            <w:pPr>
              <w:spacing w:before="60" w:after="60"/>
              <w:jc w:val="right"/>
              <w:rPr>
                <w:rFonts w:ascii="Arial" w:hAnsi="Arial" w:cs="Arial"/>
                <w:color w:val="000000"/>
                <w:sz w:val="18"/>
                <w:szCs w:val="18"/>
              </w:rPr>
            </w:pPr>
            <w:r>
              <w:rPr>
                <w:rFonts w:ascii="Arial" w:hAnsi="Arial" w:cs="Arial"/>
                <w:color w:val="000000"/>
                <w:sz w:val="18"/>
                <w:szCs w:val="18"/>
              </w:rPr>
              <w:t>863</w:t>
            </w:r>
          </w:p>
        </w:tc>
        <w:tc>
          <w:tcPr>
            <w:tcW w:w="784" w:type="dxa"/>
            <w:tcBorders>
              <w:bottom w:val="single" w:sz="12" w:space="0" w:color="auto"/>
            </w:tcBorders>
            <w:vAlign w:val="bottom"/>
          </w:tcPr>
          <w:p w:rsidR="007C5423" w:rsidRPr="00C12897" w:rsidRDefault="007C5423" w:rsidP="001173D4">
            <w:pPr>
              <w:spacing w:before="60" w:after="60"/>
              <w:jc w:val="right"/>
              <w:rPr>
                <w:rFonts w:ascii="Arial" w:hAnsi="Arial" w:cs="Arial"/>
                <w:color w:val="000000"/>
                <w:sz w:val="18"/>
                <w:szCs w:val="18"/>
              </w:rPr>
            </w:pPr>
            <w:r>
              <w:rPr>
                <w:rFonts w:ascii="Arial" w:hAnsi="Arial" w:cs="Arial"/>
                <w:color w:val="000000"/>
                <w:sz w:val="18"/>
                <w:szCs w:val="18"/>
              </w:rPr>
              <w:t>618</w:t>
            </w:r>
          </w:p>
        </w:tc>
        <w:tc>
          <w:tcPr>
            <w:tcW w:w="869" w:type="dxa"/>
            <w:tcBorders>
              <w:bottom w:val="single" w:sz="12" w:space="0" w:color="auto"/>
            </w:tcBorders>
            <w:vAlign w:val="bottom"/>
          </w:tcPr>
          <w:p w:rsidR="007C5423" w:rsidRPr="00C12897" w:rsidRDefault="007C5423" w:rsidP="006724F5">
            <w:pPr>
              <w:spacing w:before="60" w:after="60"/>
              <w:jc w:val="right"/>
              <w:rPr>
                <w:rFonts w:ascii="Arial" w:hAnsi="Arial" w:cs="Arial"/>
                <w:color w:val="000000"/>
                <w:sz w:val="18"/>
                <w:szCs w:val="18"/>
              </w:rPr>
            </w:pPr>
            <w:r>
              <w:rPr>
                <w:rFonts w:ascii="Arial" w:hAnsi="Arial" w:cs="Arial"/>
                <w:color w:val="000000"/>
                <w:sz w:val="18"/>
                <w:szCs w:val="18"/>
              </w:rPr>
              <w:t>222</w:t>
            </w:r>
          </w:p>
        </w:tc>
        <w:tc>
          <w:tcPr>
            <w:tcW w:w="689" w:type="dxa"/>
            <w:tcBorders>
              <w:bottom w:val="single" w:sz="12" w:space="0" w:color="auto"/>
              <w:right w:val="single" w:sz="4" w:space="0" w:color="auto"/>
            </w:tcBorders>
            <w:vAlign w:val="bottom"/>
          </w:tcPr>
          <w:p w:rsidR="007C5423" w:rsidRPr="00C12897" w:rsidRDefault="007C5423" w:rsidP="006724F5">
            <w:pPr>
              <w:spacing w:before="60" w:after="60"/>
              <w:jc w:val="right"/>
              <w:rPr>
                <w:rFonts w:ascii="Arial" w:hAnsi="Arial" w:cs="Arial"/>
                <w:color w:val="000000"/>
                <w:sz w:val="18"/>
                <w:szCs w:val="18"/>
              </w:rPr>
            </w:pPr>
            <w:r>
              <w:rPr>
                <w:rFonts w:ascii="Arial" w:hAnsi="Arial" w:cs="Arial"/>
                <w:color w:val="000000"/>
                <w:sz w:val="18"/>
                <w:szCs w:val="18"/>
              </w:rPr>
              <w:t>22</w:t>
            </w:r>
          </w:p>
        </w:tc>
        <w:tc>
          <w:tcPr>
            <w:tcW w:w="783" w:type="dxa"/>
            <w:tcBorders>
              <w:left w:val="single" w:sz="4" w:space="0" w:color="auto"/>
              <w:bottom w:val="single" w:sz="12" w:space="0" w:color="auto"/>
            </w:tcBorders>
            <w:vAlign w:val="bottom"/>
          </w:tcPr>
          <w:p w:rsidR="007C5423" w:rsidRPr="00C12897" w:rsidRDefault="007C5423" w:rsidP="006724F5">
            <w:pPr>
              <w:spacing w:before="60" w:after="60"/>
              <w:jc w:val="right"/>
              <w:rPr>
                <w:rFonts w:ascii="Arial" w:hAnsi="Arial" w:cs="Arial"/>
                <w:color w:val="000000"/>
                <w:sz w:val="18"/>
                <w:szCs w:val="18"/>
              </w:rPr>
            </w:pPr>
            <w:r>
              <w:rPr>
                <w:rFonts w:ascii="Arial" w:hAnsi="Arial" w:cs="Arial"/>
                <w:color w:val="000000"/>
                <w:sz w:val="18"/>
                <w:szCs w:val="18"/>
              </w:rPr>
              <w:t>842</w:t>
            </w:r>
          </w:p>
        </w:tc>
        <w:tc>
          <w:tcPr>
            <w:tcW w:w="783" w:type="dxa"/>
            <w:tcBorders>
              <w:bottom w:val="single" w:sz="12" w:space="0" w:color="auto"/>
            </w:tcBorders>
            <w:vAlign w:val="bottom"/>
          </w:tcPr>
          <w:p w:rsidR="007C5423" w:rsidRPr="00C12897" w:rsidRDefault="007C5423" w:rsidP="006724F5">
            <w:pPr>
              <w:spacing w:before="60" w:after="60"/>
              <w:jc w:val="right"/>
              <w:rPr>
                <w:rFonts w:ascii="Arial" w:hAnsi="Arial" w:cs="Arial"/>
                <w:color w:val="000000"/>
                <w:sz w:val="18"/>
                <w:szCs w:val="18"/>
              </w:rPr>
            </w:pPr>
            <w:r>
              <w:rPr>
                <w:rFonts w:ascii="Arial" w:hAnsi="Arial" w:cs="Arial"/>
                <w:color w:val="000000"/>
                <w:sz w:val="18"/>
                <w:szCs w:val="18"/>
              </w:rPr>
              <w:t>603</w:t>
            </w:r>
          </w:p>
        </w:tc>
        <w:tc>
          <w:tcPr>
            <w:tcW w:w="869" w:type="dxa"/>
            <w:tcBorders>
              <w:bottom w:val="single" w:sz="12" w:space="0" w:color="auto"/>
            </w:tcBorders>
            <w:vAlign w:val="bottom"/>
          </w:tcPr>
          <w:p w:rsidR="007C5423" w:rsidRPr="00C12897" w:rsidRDefault="007C5423" w:rsidP="006724F5">
            <w:pPr>
              <w:spacing w:before="60" w:after="60"/>
              <w:jc w:val="right"/>
              <w:rPr>
                <w:rFonts w:ascii="Arial" w:hAnsi="Arial" w:cs="Arial"/>
                <w:color w:val="000000"/>
                <w:sz w:val="18"/>
                <w:szCs w:val="18"/>
              </w:rPr>
            </w:pPr>
            <w:r>
              <w:rPr>
                <w:rFonts w:ascii="Arial" w:hAnsi="Arial" w:cs="Arial"/>
                <w:color w:val="000000"/>
                <w:sz w:val="18"/>
                <w:szCs w:val="18"/>
              </w:rPr>
              <w:t>217</w:t>
            </w:r>
          </w:p>
        </w:tc>
        <w:tc>
          <w:tcPr>
            <w:tcW w:w="718" w:type="dxa"/>
            <w:tcBorders>
              <w:bottom w:val="single" w:sz="12" w:space="0" w:color="auto"/>
              <w:right w:val="single" w:sz="4" w:space="0" w:color="auto"/>
            </w:tcBorders>
            <w:vAlign w:val="bottom"/>
          </w:tcPr>
          <w:p w:rsidR="007C5423" w:rsidRPr="00C12897" w:rsidRDefault="007C5423" w:rsidP="006724F5">
            <w:pPr>
              <w:spacing w:before="60" w:after="60"/>
              <w:jc w:val="right"/>
              <w:rPr>
                <w:rFonts w:ascii="Arial" w:hAnsi="Arial" w:cs="Arial"/>
                <w:color w:val="000000"/>
                <w:sz w:val="18"/>
                <w:szCs w:val="18"/>
              </w:rPr>
            </w:pPr>
            <w:r>
              <w:rPr>
                <w:rFonts w:ascii="Arial" w:hAnsi="Arial" w:cs="Arial"/>
                <w:color w:val="000000"/>
                <w:sz w:val="18"/>
                <w:szCs w:val="18"/>
              </w:rPr>
              <w:t>22</w:t>
            </w:r>
          </w:p>
        </w:tc>
        <w:tc>
          <w:tcPr>
            <w:tcW w:w="783" w:type="dxa"/>
            <w:tcBorders>
              <w:left w:val="single" w:sz="4" w:space="0" w:color="auto"/>
              <w:bottom w:val="single" w:sz="12" w:space="0" w:color="auto"/>
            </w:tcBorders>
            <w:vAlign w:val="bottom"/>
          </w:tcPr>
          <w:p w:rsidR="007C5423" w:rsidRPr="00C12897" w:rsidRDefault="007C5423" w:rsidP="004F6344">
            <w:pPr>
              <w:spacing w:before="60" w:after="60"/>
              <w:jc w:val="right"/>
              <w:rPr>
                <w:rFonts w:ascii="Arial" w:hAnsi="Arial" w:cs="Arial"/>
                <w:color w:val="000000"/>
                <w:sz w:val="18"/>
                <w:szCs w:val="18"/>
              </w:rPr>
            </w:pPr>
            <w:r>
              <w:rPr>
                <w:rFonts w:ascii="Arial" w:hAnsi="Arial" w:cs="Arial"/>
                <w:color w:val="000000"/>
                <w:sz w:val="18"/>
                <w:szCs w:val="18"/>
              </w:rPr>
              <w:t>522</w:t>
            </w:r>
          </w:p>
        </w:tc>
        <w:tc>
          <w:tcPr>
            <w:tcW w:w="794" w:type="dxa"/>
            <w:tcBorders>
              <w:bottom w:val="single" w:sz="12" w:space="0" w:color="auto"/>
            </w:tcBorders>
            <w:vAlign w:val="bottom"/>
          </w:tcPr>
          <w:p w:rsidR="007C5423" w:rsidRPr="00C12897" w:rsidRDefault="007C5423" w:rsidP="004F6344">
            <w:pPr>
              <w:spacing w:before="60" w:after="60"/>
              <w:jc w:val="right"/>
              <w:rPr>
                <w:rFonts w:ascii="Arial" w:hAnsi="Arial" w:cs="Arial"/>
                <w:color w:val="000000"/>
                <w:sz w:val="18"/>
                <w:szCs w:val="18"/>
              </w:rPr>
            </w:pPr>
            <w:r>
              <w:rPr>
                <w:rFonts w:ascii="Arial" w:hAnsi="Arial" w:cs="Arial"/>
                <w:color w:val="000000"/>
                <w:sz w:val="18"/>
                <w:szCs w:val="18"/>
              </w:rPr>
              <w:t>372</w:t>
            </w:r>
          </w:p>
        </w:tc>
        <w:tc>
          <w:tcPr>
            <w:tcW w:w="869" w:type="dxa"/>
            <w:tcBorders>
              <w:bottom w:val="single" w:sz="12" w:space="0" w:color="auto"/>
            </w:tcBorders>
            <w:vAlign w:val="bottom"/>
          </w:tcPr>
          <w:p w:rsidR="007C5423" w:rsidRPr="00C12897" w:rsidRDefault="007C5423" w:rsidP="00847AD0">
            <w:pPr>
              <w:spacing w:before="60" w:after="60"/>
              <w:jc w:val="right"/>
              <w:rPr>
                <w:rFonts w:ascii="Arial" w:hAnsi="Arial" w:cs="Arial"/>
                <w:color w:val="000000"/>
                <w:sz w:val="18"/>
                <w:szCs w:val="18"/>
              </w:rPr>
            </w:pPr>
            <w:r>
              <w:rPr>
                <w:rFonts w:ascii="Arial" w:hAnsi="Arial" w:cs="Arial"/>
                <w:color w:val="000000"/>
                <w:sz w:val="18"/>
                <w:szCs w:val="18"/>
              </w:rPr>
              <w:t>138</w:t>
            </w:r>
          </w:p>
        </w:tc>
        <w:tc>
          <w:tcPr>
            <w:tcW w:w="663" w:type="dxa"/>
            <w:tcBorders>
              <w:bottom w:val="single" w:sz="12" w:space="0" w:color="auto"/>
              <w:right w:val="single" w:sz="4" w:space="0" w:color="auto"/>
            </w:tcBorders>
            <w:vAlign w:val="bottom"/>
          </w:tcPr>
          <w:p w:rsidR="007C5423" w:rsidRPr="00C12897" w:rsidRDefault="007C5423" w:rsidP="00847AD0">
            <w:pPr>
              <w:spacing w:before="60" w:after="60"/>
              <w:jc w:val="right"/>
              <w:rPr>
                <w:rFonts w:ascii="Arial" w:hAnsi="Arial" w:cs="Arial"/>
                <w:color w:val="000000"/>
                <w:sz w:val="18"/>
                <w:szCs w:val="18"/>
              </w:rPr>
            </w:pPr>
            <w:r>
              <w:rPr>
                <w:rFonts w:ascii="Arial" w:hAnsi="Arial" w:cs="Arial"/>
                <w:color w:val="000000"/>
                <w:sz w:val="18"/>
                <w:szCs w:val="18"/>
              </w:rPr>
              <w:t>13</w:t>
            </w:r>
          </w:p>
        </w:tc>
        <w:tc>
          <w:tcPr>
            <w:tcW w:w="869" w:type="dxa"/>
            <w:tcBorders>
              <w:left w:val="single" w:sz="4" w:space="0" w:color="auto"/>
              <w:bottom w:val="single" w:sz="12" w:space="0" w:color="auto"/>
            </w:tcBorders>
            <w:vAlign w:val="bottom"/>
          </w:tcPr>
          <w:p w:rsidR="007C5423" w:rsidRPr="00C12897" w:rsidRDefault="007C5423" w:rsidP="00EC5112">
            <w:pPr>
              <w:spacing w:before="60" w:after="60"/>
              <w:jc w:val="right"/>
              <w:rPr>
                <w:rFonts w:ascii="Arial" w:hAnsi="Arial" w:cs="Arial"/>
                <w:color w:val="000000"/>
                <w:sz w:val="18"/>
                <w:szCs w:val="18"/>
              </w:rPr>
            </w:pPr>
            <w:r>
              <w:rPr>
                <w:rFonts w:ascii="Arial" w:hAnsi="Arial" w:cs="Arial"/>
                <w:color w:val="000000"/>
                <w:sz w:val="18"/>
                <w:szCs w:val="18"/>
              </w:rPr>
              <w:t>26</w:t>
            </w:r>
          </w:p>
        </w:tc>
      </w:tr>
    </w:tbl>
    <w:p w:rsidR="007C5423" w:rsidRDefault="007C5423" w:rsidP="00847AD0">
      <w:pPr>
        <w:pStyle w:val="Source"/>
      </w:pPr>
      <w:r>
        <w:rPr>
          <w:sz w:val="16"/>
          <w:szCs w:val="16"/>
        </w:rPr>
        <w:t xml:space="preserve">NOTE: </w:t>
      </w:r>
      <w:r w:rsidRPr="009F14BA">
        <w:rPr>
          <w:sz w:val="16"/>
          <w:szCs w:val="16"/>
        </w:rPr>
        <w:t>FTB</w:t>
      </w:r>
      <w:r>
        <w:rPr>
          <w:sz w:val="16"/>
          <w:szCs w:val="16"/>
        </w:rPr>
        <w:t xml:space="preserve"> </w:t>
      </w:r>
      <w:r w:rsidRPr="009F14BA">
        <w:rPr>
          <w:sz w:val="16"/>
          <w:szCs w:val="16"/>
        </w:rPr>
        <w:t>= first time begi</w:t>
      </w:r>
      <w:r>
        <w:rPr>
          <w:sz w:val="16"/>
          <w:szCs w:val="16"/>
        </w:rPr>
        <w:t>nner</w:t>
      </w:r>
      <w:r w:rsidRPr="009F14BA">
        <w:rPr>
          <w:sz w:val="16"/>
          <w:szCs w:val="16"/>
        </w:rPr>
        <w:t>.</w:t>
      </w:r>
    </w:p>
    <w:p w:rsidR="007C5423" w:rsidRPr="006D175A" w:rsidRDefault="007C5423" w:rsidP="00847AD0"/>
    <w:p w:rsidR="007C5423" w:rsidRPr="006D175A" w:rsidRDefault="007C5423" w:rsidP="00847AD0"/>
    <w:p w:rsidR="007C5423" w:rsidRPr="0015037C" w:rsidRDefault="007C5423" w:rsidP="00847AD0">
      <w:pPr>
        <w:pStyle w:val="tabletitle0"/>
      </w:pPr>
      <w:bookmarkStart w:id="5" w:name="_Ref232571943"/>
      <w:r>
        <w:br w:type="page"/>
      </w:r>
      <w:bookmarkStart w:id="6" w:name="_Toc268594015"/>
      <w:r>
        <w:t>Table 8</w:t>
      </w:r>
      <w:r w:rsidRPr="0015037C">
        <w:t>.</w:t>
      </w:r>
      <w:r w:rsidRPr="0015037C">
        <w:tab/>
      </w:r>
      <w:bookmarkEnd w:id="5"/>
      <w:r>
        <w:t>NPSAS:12 f</w:t>
      </w:r>
      <w:r w:rsidRPr="0015037C">
        <w:t>ull-</w:t>
      </w:r>
      <w:r>
        <w:t>s</w:t>
      </w:r>
      <w:r w:rsidRPr="0015037C">
        <w:t xml:space="preserve">cale </w:t>
      </w:r>
      <w:r w:rsidRPr="00DF03AA">
        <w:t>preliminary</w:t>
      </w:r>
      <w:r>
        <w:t xml:space="preserve"> s</w:t>
      </w:r>
      <w:r w:rsidRPr="0015037C">
        <w:t xml:space="preserve">tudent </w:t>
      </w:r>
      <w:r>
        <w:t>sample sizes and yield</w:t>
      </w:r>
      <w:bookmarkEnd w:id="6"/>
    </w:p>
    <w:tbl>
      <w:tblPr>
        <w:tblW w:w="5113" w:type="pct"/>
        <w:tblBorders>
          <w:top w:val="single" w:sz="12" w:space="0" w:color="auto"/>
          <w:bottom w:val="single" w:sz="12" w:space="0" w:color="auto"/>
        </w:tblBorders>
        <w:tblLayout w:type="fixed"/>
        <w:tblLook w:val="00A0"/>
      </w:tblPr>
      <w:tblGrid>
        <w:gridCol w:w="2788"/>
        <w:gridCol w:w="953"/>
        <w:gridCol w:w="854"/>
        <w:gridCol w:w="918"/>
        <w:gridCol w:w="811"/>
        <w:gridCol w:w="901"/>
        <w:gridCol w:w="811"/>
        <w:gridCol w:w="811"/>
        <w:gridCol w:w="811"/>
        <w:gridCol w:w="811"/>
        <w:gridCol w:w="867"/>
        <w:gridCol w:w="867"/>
        <w:gridCol w:w="697"/>
        <w:gridCol w:w="721"/>
      </w:tblGrid>
      <w:tr w:rsidR="007C5423" w:rsidRPr="00916E16">
        <w:trPr>
          <w:trHeight w:val="241"/>
          <w:tblHeader/>
        </w:trPr>
        <w:tc>
          <w:tcPr>
            <w:tcW w:w="2759" w:type="dxa"/>
            <w:vMerge w:val="restart"/>
            <w:tcBorders>
              <w:top w:val="single" w:sz="12" w:space="0" w:color="auto"/>
              <w:bottom w:val="single" w:sz="6" w:space="0" w:color="auto"/>
            </w:tcBorders>
            <w:vAlign w:val="bottom"/>
          </w:tcPr>
          <w:p w:rsidR="007C5423" w:rsidRPr="00916E16" w:rsidRDefault="007C5423" w:rsidP="00847AD0">
            <w:pPr>
              <w:pStyle w:val="Tableheading"/>
              <w:jc w:val="left"/>
              <w:rPr>
                <w:sz w:val="18"/>
                <w:szCs w:val="18"/>
              </w:rPr>
            </w:pPr>
            <w:r w:rsidRPr="00916E16">
              <w:rPr>
                <w:sz w:val="18"/>
                <w:szCs w:val="18"/>
              </w:rPr>
              <w:t>Institutional sector</w:t>
            </w:r>
          </w:p>
        </w:tc>
        <w:tc>
          <w:tcPr>
            <w:tcW w:w="3497" w:type="dxa"/>
            <w:gridSpan w:val="4"/>
            <w:tcBorders>
              <w:top w:val="single" w:sz="12" w:space="0" w:color="auto"/>
              <w:bottom w:val="single" w:sz="6" w:space="0" w:color="auto"/>
              <w:right w:val="single" w:sz="4" w:space="0" w:color="auto"/>
            </w:tcBorders>
            <w:vAlign w:val="bottom"/>
          </w:tcPr>
          <w:p w:rsidR="007C5423" w:rsidRPr="00916E16" w:rsidRDefault="007C5423" w:rsidP="00847AD0">
            <w:pPr>
              <w:pStyle w:val="Tableheading"/>
              <w:jc w:val="center"/>
              <w:rPr>
                <w:sz w:val="18"/>
                <w:szCs w:val="18"/>
              </w:rPr>
            </w:pPr>
            <w:r w:rsidRPr="00916E16">
              <w:rPr>
                <w:sz w:val="18"/>
                <w:szCs w:val="18"/>
              </w:rPr>
              <w:t>Sample students</w:t>
            </w:r>
          </w:p>
        </w:tc>
        <w:tc>
          <w:tcPr>
            <w:tcW w:w="3297" w:type="dxa"/>
            <w:gridSpan w:val="4"/>
            <w:tcBorders>
              <w:top w:val="single" w:sz="12" w:space="0" w:color="auto"/>
              <w:left w:val="single" w:sz="4" w:space="0" w:color="auto"/>
              <w:bottom w:val="single" w:sz="6" w:space="0" w:color="auto"/>
              <w:right w:val="single" w:sz="4" w:space="0" w:color="auto"/>
            </w:tcBorders>
            <w:vAlign w:val="bottom"/>
          </w:tcPr>
          <w:p w:rsidR="007C5423" w:rsidRPr="00916E16" w:rsidRDefault="007C5423" w:rsidP="00847AD0">
            <w:pPr>
              <w:pStyle w:val="Tableheading"/>
              <w:jc w:val="center"/>
              <w:rPr>
                <w:sz w:val="18"/>
                <w:szCs w:val="18"/>
              </w:rPr>
            </w:pPr>
            <w:r w:rsidRPr="00916E16">
              <w:rPr>
                <w:sz w:val="18"/>
                <w:szCs w:val="18"/>
              </w:rPr>
              <w:t>Eligible students</w:t>
            </w:r>
          </w:p>
        </w:tc>
        <w:tc>
          <w:tcPr>
            <w:tcW w:w="3208" w:type="dxa"/>
            <w:gridSpan w:val="4"/>
            <w:tcBorders>
              <w:top w:val="single" w:sz="12" w:space="0" w:color="auto"/>
              <w:left w:val="single" w:sz="4" w:space="0" w:color="auto"/>
              <w:bottom w:val="single" w:sz="6" w:space="0" w:color="auto"/>
              <w:right w:val="single" w:sz="4" w:space="0" w:color="auto"/>
            </w:tcBorders>
            <w:vAlign w:val="bottom"/>
          </w:tcPr>
          <w:p w:rsidR="007C5423" w:rsidRPr="00916E16" w:rsidRDefault="007C5423" w:rsidP="00847AD0">
            <w:pPr>
              <w:pStyle w:val="Tableheading"/>
              <w:jc w:val="center"/>
              <w:rPr>
                <w:sz w:val="18"/>
                <w:szCs w:val="18"/>
              </w:rPr>
            </w:pPr>
            <w:r>
              <w:rPr>
                <w:sz w:val="18"/>
                <w:szCs w:val="18"/>
              </w:rPr>
              <w:t>Interview Respondents</w:t>
            </w:r>
          </w:p>
        </w:tc>
        <w:tc>
          <w:tcPr>
            <w:tcW w:w="713" w:type="dxa"/>
            <w:vMerge w:val="restart"/>
            <w:tcBorders>
              <w:top w:val="single" w:sz="12" w:space="0" w:color="auto"/>
              <w:left w:val="single" w:sz="4" w:space="0" w:color="auto"/>
            </w:tcBorders>
            <w:textDirection w:val="btLr"/>
            <w:vAlign w:val="bottom"/>
          </w:tcPr>
          <w:p w:rsidR="007C5423" w:rsidRPr="00916E16" w:rsidRDefault="007C5423" w:rsidP="00847AD0">
            <w:pPr>
              <w:pStyle w:val="Tableheading"/>
              <w:spacing w:before="0" w:after="0"/>
              <w:ind w:left="29"/>
              <w:jc w:val="left"/>
              <w:rPr>
                <w:sz w:val="18"/>
                <w:szCs w:val="18"/>
              </w:rPr>
            </w:pPr>
            <w:r w:rsidRPr="00916E16">
              <w:rPr>
                <w:sz w:val="18"/>
                <w:szCs w:val="18"/>
              </w:rPr>
              <w:t>Responding students per responding institution</w:t>
            </w:r>
          </w:p>
        </w:tc>
      </w:tr>
      <w:tr w:rsidR="007C5423" w:rsidRPr="00916E16">
        <w:trPr>
          <w:trHeight w:val="1925"/>
          <w:tblHeader/>
        </w:trPr>
        <w:tc>
          <w:tcPr>
            <w:tcW w:w="2759" w:type="dxa"/>
            <w:vMerge/>
            <w:tcBorders>
              <w:bottom w:val="single" w:sz="6" w:space="0" w:color="auto"/>
            </w:tcBorders>
            <w:vAlign w:val="bottom"/>
          </w:tcPr>
          <w:p w:rsidR="007C5423" w:rsidRPr="00916E16" w:rsidRDefault="007C5423" w:rsidP="00847AD0">
            <w:pPr>
              <w:pStyle w:val="Tableheading"/>
              <w:rPr>
                <w:sz w:val="18"/>
                <w:szCs w:val="18"/>
              </w:rPr>
            </w:pPr>
          </w:p>
        </w:tc>
        <w:tc>
          <w:tcPr>
            <w:tcW w:w="943" w:type="dxa"/>
            <w:tcBorders>
              <w:bottom w:val="single" w:sz="6" w:space="0" w:color="auto"/>
            </w:tcBorders>
            <w:textDirection w:val="btLr"/>
            <w:vAlign w:val="bottom"/>
          </w:tcPr>
          <w:p w:rsidR="007C5423" w:rsidRPr="00916E16" w:rsidRDefault="007C5423" w:rsidP="00847AD0">
            <w:pPr>
              <w:pStyle w:val="Tableheading"/>
              <w:spacing w:before="0" w:after="0"/>
              <w:ind w:left="29"/>
              <w:jc w:val="left"/>
              <w:rPr>
                <w:sz w:val="18"/>
                <w:szCs w:val="18"/>
              </w:rPr>
            </w:pPr>
            <w:r w:rsidRPr="00916E16">
              <w:rPr>
                <w:sz w:val="18"/>
                <w:szCs w:val="18"/>
              </w:rPr>
              <w:t>Total</w:t>
            </w:r>
          </w:p>
        </w:tc>
        <w:tc>
          <w:tcPr>
            <w:tcW w:w="845" w:type="dxa"/>
            <w:tcBorders>
              <w:bottom w:val="single" w:sz="6" w:space="0" w:color="auto"/>
            </w:tcBorders>
            <w:textDirection w:val="btLr"/>
            <w:vAlign w:val="bottom"/>
          </w:tcPr>
          <w:p w:rsidR="007C5423" w:rsidRPr="00916E16" w:rsidRDefault="007C5423" w:rsidP="00847AD0">
            <w:pPr>
              <w:pStyle w:val="Tableheading"/>
              <w:spacing w:before="0" w:after="0"/>
              <w:ind w:left="29"/>
              <w:jc w:val="left"/>
              <w:rPr>
                <w:sz w:val="18"/>
                <w:szCs w:val="18"/>
              </w:rPr>
            </w:pPr>
            <w:r w:rsidRPr="00916E16">
              <w:rPr>
                <w:sz w:val="18"/>
                <w:szCs w:val="18"/>
              </w:rPr>
              <w:t>FTBs</w:t>
            </w:r>
          </w:p>
        </w:tc>
        <w:tc>
          <w:tcPr>
            <w:tcW w:w="908" w:type="dxa"/>
            <w:tcBorders>
              <w:bottom w:val="single" w:sz="6" w:space="0" w:color="auto"/>
            </w:tcBorders>
            <w:textDirection w:val="btLr"/>
            <w:vAlign w:val="bottom"/>
          </w:tcPr>
          <w:p w:rsidR="007C5423" w:rsidRPr="00916E16" w:rsidRDefault="007C5423" w:rsidP="00847AD0">
            <w:pPr>
              <w:pStyle w:val="Tableheading"/>
              <w:spacing w:before="0" w:after="0"/>
              <w:ind w:left="29"/>
              <w:jc w:val="left"/>
              <w:rPr>
                <w:sz w:val="18"/>
                <w:szCs w:val="18"/>
              </w:rPr>
            </w:pPr>
            <w:r w:rsidRPr="00916E16">
              <w:rPr>
                <w:sz w:val="18"/>
                <w:szCs w:val="18"/>
              </w:rPr>
              <w:t>Other undergraduate Students</w:t>
            </w:r>
          </w:p>
        </w:tc>
        <w:tc>
          <w:tcPr>
            <w:tcW w:w="802" w:type="dxa"/>
            <w:tcBorders>
              <w:bottom w:val="single" w:sz="6" w:space="0" w:color="auto"/>
              <w:right w:val="single" w:sz="4" w:space="0" w:color="auto"/>
            </w:tcBorders>
            <w:textDirection w:val="btLr"/>
            <w:vAlign w:val="bottom"/>
          </w:tcPr>
          <w:p w:rsidR="007C5423" w:rsidRPr="00916E16" w:rsidRDefault="007C5423" w:rsidP="00847AD0">
            <w:pPr>
              <w:pStyle w:val="Tableheading"/>
              <w:spacing w:before="0" w:after="0"/>
              <w:ind w:left="29"/>
              <w:jc w:val="left"/>
              <w:rPr>
                <w:sz w:val="18"/>
                <w:szCs w:val="18"/>
              </w:rPr>
            </w:pPr>
            <w:r w:rsidRPr="00916E16">
              <w:rPr>
                <w:sz w:val="18"/>
                <w:szCs w:val="18"/>
              </w:rPr>
              <w:t>Graduate students</w:t>
            </w:r>
          </w:p>
        </w:tc>
        <w:tc>
          <w:tcPr>
            <w:tcW w:w="891" w:type="dxa"/>
            <w:tcBorders>
              <w:left w:val="single" w:sz="4" w:space="0" w:color="auto"/>
              <w:bottom w:val="single" w:sz="6" w:space="0" w:color="auto"/>
            </w:tcBorders>
            <w:textDirection w:val="btLr"/>
            <w:vAlign w:val="bottom"/>
          </w:tcPr>
          <w:p w:rsidR="007C5423" w:rsidRPr="00916E16" w:rsidRDefault="007C5423" w:rsidP="00847AD0">
            <w:pPr>
              <w:pStyle w:val="Tableheading"/>
              <w:spacing w:before="0" w:after="0"/>
              <w:ind w:left="29"/>
              <w:jc w:val="left"/>
              <w:rPr>
                <w:sz w:val="18"/>
                <w:szCs w:val="18"/>
              </w:rPr>
            </w:pPr>
            <w:r w:rsidRPr="00916E16">
              <w:rPr>
                <w:sz w:val="18"/>
                <w:szCs w:val="18"/>
              </w:rPr>
              <w:t>Total</w:t>
            </w:r>
          </w:p>
        </w:tc>
        <w:tc>
          <w:tcPr>
            <w:tcW w:w="802" w:type="dxa"/>
            <w:tcBorders>
              <w:bottom w:val="single" w:sz="6" w:space="0" w:color="auto"/>
            </w:tcBorders>
            <w:textDirection w:val="btLr"/>
            <w:vAlign w:val="bottom"/>
          </w:tcPr>
          <w:p w:rsidR="007C5423" w:rsidRPr="00916E16" w:rsidRDefault="007C5423" w:rsidP="00847AD0">
            <w:pPr>
              <w:pStyle w:val="Tableheading"/>
              <w:spacing w:before="0" w:after="0"/>
              <w:ind w:left="29"/>
              <w:jc w:val="left"/>
              <w:rPr>
                <w:sz w:val="18"/>
                <w:szCs w:val="18"/>
              </w:rPr>
            </w:pPr>
            <w:r w:rsidRPr="00916E16">
              <w:rPr>
                <w:sz w:val="18"/>
                <w:szCs w:val="18"/>
              </w:rPr>
              <w:t>FTBs</w:t>
            </w:r>
          </w:p>
        </w:tc>
        <w:tc>
          <w:tcPr>
            <w:tcW w:w="802" w:type="dxa"/>
            <w:tcBorders>
              <w:bottom w:val="single" w:sz="6" w:space="0" w:color="auto"/>
            </w:tcBorders>
            <w:textDirection w:val="btLr"/>
            <w:vAlign w:val="bottom"/>
          </w:tcPr>
          <w:p w:rsidR="007C5423" w:rsidRPr="00916E16" w:rsidRDefault="007C5423" w:rsidP="00847AD0">
            <w:pPr>
              <w:pStyle w:val="Tableheading"/>
              <w:spacing w:before="0" w:after="0"/>
              <w:ind w:left="29"/>
              <w:jc w:val="left"/>
              <w:rPr>
                <w:sz w:val="18"/>
                <w:szCs w:val="18"/>
              </w:rPr>
            </w:pPr>
            <w:r w:rsidRPr="00916E16">
              <w:rPr>
                <w:sz w:val="18"/>
                <w:szCs w:val="18"/>
              </w:rPr>
              <w:t>Other undergraduate students</w:t>
            </w:r>
          </w:p>
        </w:tc>
        <w:tc>
          <w:tcPr>
            <w:tcW w:w="802" w:type="dxa"/>
            <w:tcBorders>
              <w:bottom w:val="single" w:sz="6" w:space="0" w:color="auto"/>
              <w:right w:val="single" w:sz="4" w:space="0" w:color="auto"/>
            </w:tcBorders>
            <w:textDirection w:val="btLr"/>
            <w:vAlign w:val="bottom"/>
          </w:tcPr>
          <w:p w:rsidR="007C5423" w:rsidRPr="00916E16" w:rsidRDefault="007C5423" w:rsidP="00847AD0">
            <w:pPr>
              <w:pStyle w:val="Tableheading"/>
              <w:spacing w:before="0" w:after="0"/>
              <w:ind w:left="29"/>
              <w:jc w:val="left"/>
              <w:rPr>
                <w:sz w:val="18"/>
                <w:szCs w:val="18"/>
              </w:rPr>
            </w:pPr>
            <w:r w:rsidRPr="00916E16">
              <w:rPr>
                <w:sz w:val="18"/>
                <w:szCs w:val="18"/>
              </w:rPr>
              <w:t>Graduate students</w:t>
            </w:r>
          </w:p>
        </w:tc>
        <w:tc>
          <w:tcPr>
            <w:tcW w:w="802" w:type="dxa"/>
            <w:tcBorders>
              <w:left w:val="single" w:sz="4" w:space="0" w:color="auto"/>
              <w:bottom w:val="single" w:sz="6" w:space="0" w:color="auto"/>
            </w:tcBorders>
            <w:textDirection w:val="btLr"/>
            <w:vAlign w:val="bottom"/>
          </w:tcPr>
          <w:p w:rsidR="007C5423" w:rsidRPr="00916E16" w:rsidRDefault="007C5423" w:rsidP="00847AD0">
            <w:pPr>
              <w:pStyle w:val="Tableheading"/>
              <w:spacing w:before="0" w:after="0"/>
              <w:ind w:left="29"/>
              <w:jc w:val="left"/>
              <w:rPr>
                <w:sz w:val="18"/>
                <w:szCs w:val="18"/>
              </w:rPr>
            </w:pPr>
            <w:r w:rsidRPr="00916E16">
              <w:rPr>
                <w:sz w:val="18"/>
                <w:szCs w:val="18"/>
              </w:rPr>
              <w:t>Total</w:t>
            </w:r>
          </w:p>
        </w:tc>
        <w:tc>
          <w:tcPr>
            <w:tcW w:w="858" w:type="dxa"/>
            <w:tcBorders>
              <w:bottom w:val="single" w:sz="6" w:space="0" w:color="auto"/>
            </w:tcBorders>
            <w:textDirection w:val="btLr"/>
            <w:vAlign w:val="bottom"/>
          </w:tcPr>
          <w:p w:rsidR="007C5423" w:rsidRPr="00916E16" w:rsidRDefault="007C5423" w:rsidP="00847AD0">
            <w:pPr>
              <w:pStyle w:val="Tableheading"/>
              <w:spacing w:before="0" w:after="0"/>
              <w:ind w:left="29"/>
              <w:jc w:val="left"/>
              <w:rPr>
                <w:sz w:val="18"/>
                <w:szCs w:val="18"/>
              </w:rPr>
            </w:pPr>
            <w:r w:rsidRPr="00916E16">
              <w:rPr>
                <w:sz w:val="18"/>
                <w:szCs w:val="18"/>
              </w:rPr>
              <w:t>FTBs</w:t>
            </w:r>
          </w:p>
        </w:tc>
        <w:tc>
          <w:tcPr>
            <w:tcW w:w="858" w:type="dxa"/>
            <w:tcBorders>
              <w:bottom w:val="single" w:sz="6" w:space="0" w:color="auto"/>
            </w:tcBorders>
            <w:textDirection w:val="btLr"/>
            <w:vAlign w:val="bottom"/>
          </w:tcPr>
          <w:p w:rsidR="007C5423" w:rsidRPr="00916E16" w:rsidRDefault="007C5423" w:rsidP="00847AD0">
            <w:pPr>
              <w:pStyle w:val="Tableheading"/>
              <w:spacing w:before="0" w:after="0"/>
              <w:ind w:left="29"/>
              <w:jc w:val="left"/>
              <w:rPr>
                <w:sz w:val="18"/>
                <w:szCs w:val="18"/>
              </w:rPr>
            </w:pPr>
            <w:r w:rsidRPr="00916E16">
              <w:rPr>
                <w:sz w:val="18"/>
                <w:szCs w:val="18"/>
              </w:rPr>
              <w:t>Other undergraduate students</w:t>
            </w:r>
          </w:p>
        </w:tc>
        <w:tc>
          <w:tcPr>
            <w:tcW w:w="689" w:type="dxa"/>
            <w:tcBorders>
              <w:bottom w:val="single" w:sz="6" w:space="0" w:color="auto"/>
              <w:right w:val="single" w:sz="4" w:space="0" w:color="auto"/>
            </w:tcBorders>
            <w:textDirection w:val="btLr"/>
            <w:vAlign w:val="bottom"/>
          </w:tcPr>
          <w:p w:rsidR="007C5423" w:rsidRPr="00916E16" w:rsidRDefault="007C5423" w:rsidP="00847AD0">
            <w:pPr>
              <w:pStyle w:val="Tableheading"/>
              <w:spacing w:before="0" w:after="0"/>
              <w:ind w:left="29"/>
              <w:jc w:val="left"/>
              <w:rPr>
                <w:sz w:val="18"/>
                <w:szCs w:val="18"/>
              </w:rPr>
            </w:pPr>
            <w:r w:rsidRPr="00916E16">
              <w:rPr>
                <w:sz w:val="18"/>
                <w:szCs w:val="18"/>
              </w:rPr>
              <w:t>Graduate students</w:t>
            </w:r>
          </w:p>
        </w:tc>
        <w:tc>
          <w:tcPr>
            <w:tcW w:w="713" w:type="dxa"/>
            <w:vMerge/>
            <w:tcBorders>
              <w:left w:val="single" w:sz="4" w:space="0" w:color="auto"/>
              <w:bottom w:val="single" w:sz="6" w:space="0" w:color="auto"/>
            </w:tcBorders>
            <w:vAlign w:val="bottom"/>
          </w:tcPr>
          <w:p w:rsidR="007C5423" w:rsidRPr="00916E16" w:rsidRDefault="007C5423" w:rsidP="00847AD0">
            <w:pPr>
              <w:pStyle w:val="Tableheading"/>
              <w:rPr>
                <w:sz w:val="18"/>
                <w:szCs w:val="18"/>
              </w:rPr>
            </w:pPr>
          </w:p>
        </w:tc>
      </w:tr>
      <w:tr w:rsidR="007C5423" w:rsidRPr="00916E16">
        <w:trPr>
          <w:trHeight w:val="273"/>
        </w:trPr>
        <w:tc>
          <w:tcPr>
            <w:tcW w:w="2759" w:type="dxa"/>
            <w:vAlign w:val="bottom"/>
          </w:tcPr>
          <w:p w:rsidR="007C5423" w:rsidRPr="00916E16" w:rsidRDefault="007C5423" w:rsidP="00847AD0">
            <w:pPr>
              <w:pStyle w:val="Tabletext"/>
              <w:rPr>
                <w:sz w:val="18"/>
                <w:szCs w:val="18"/>
              </w:rPr>
            </w:pPr>
            <w:r w:rsidRPr="00916E16">
              <w:rPr>
                <w:sz w:val="18"/>
                <w:szCs w:val="18"/>
              </w:rPr>
              <w:t>Total</w:t>
            </w:r>
          </w:p>
        </w:tc>
        <w:tc>
          <w:tcPr>
            <w:tcW w:w="943" w:type="dxa"/>
            <w:vAlign w:val="bottom"/>
          </w:tcPr>
          <w:p w:rsidR="007C5423" w:rsidRPr="00916E16" w:rsidRDefault="007C5423" w:rsidP="00847AD0">
            <w:pPr>
              <w:pStyle w:val="Tablebody"/>
              <w:rPr>
                <w:sz w:val="18"/>
                <w:szCs w:val="18"/>
              </w:rPr>
            </w:pPr>
            <w:r w:rsidRPr="00916E16">
              <w:rPr>
                <w:sz w:val="18"/>
                <w:szCs w:val="18"/>
              </w:rPr>
              <w:t>117,256</w:t>
            </w:r>
          </w:p>
        </w:tc>
        <w:tc>
          <w:tcPr>
            <w:tcW w:w="845" w:type="dxa"/>
            <w:vAlign w:val="bottom"/>
          </w:tcPr>
          <w:p w:rsidR="007C5423" w:rsidRPr="00916E16" w:rsidRDefault="007C5423" w:rsidP="00847AD0">
            <w:pPr>
              <w:pStyle w:val="Tablebody"/>
              <w:rPr>
                <w:sz w:val="18"/>
                <w:szCs w:val="18"/>
              </w:rPr>
            </w:pPr>
            <w:r w:rsidRPr="00916E16">
              <w:rPr>
                <w:sz w:val="18"/>
                <w:szCs w:val="18"/>
              </w:rPr>
              <w:t>39,404</w:t>
            </w:r>
          </w:p>
        </w:tc>
        <w:tc>
          <w:tcPr>
            <w:tcW w:w="908" w:type="dxa"/>
            <w:vAlign w:val="bottom"/>
          </w:tcPr>
          <w:p w:rsidR="007C5423" w:rsidRPr="00916E16" w:rsidRDefault="007C5423" w:rsidP="00847AD0">
            <w:pPr>
              <w:pStyle w:val="Tablebody"/>
              <w:rPr>
                <w:sz w:val="18"/>
                <w:szCs w:val="18"/>
              </w:rPr>
            </w:pPr>
            <w:r w:rsidRPr="00916E16">
              <w:rPr>
                <w:sz w:val="18"/>
                <w:szCs w:val="18"/>
              </w:rPr>
              <w:t>64,786</w:t>
            </w:r>
          </w:p>
        </w:tc>
        <w:tc>
          <w:tcPr>
            <w:tcW w:w="802" w:type="dxa"/>
            <w:tcBorders>
              <w:right w:val="single" w:sz="4" w:space="0" w:color="auto"/>
            </w:tcBorders>
            <w:vAlign w:val="bottom"/>
          </w:tcPr>
          <w:p w:rsidR="007C5423" w:rsidRPr="00916E16" w:rsidRDefault="007C5423" w:rsidP="00847AD0">
            <w:pPr>
              <w:pStyle w:val="Tablebody"/>
              <w:rPr>
                <w:sz w:val="18"/>
                <w:szCs w:val="18"/>
              </w:rPr>
            </w:pPr>
            <w:r w:rsidRPr="00916E16">
              <w:rPr>
                <w:sz w:val="18"/>
                <w:szCs w:val="18"/>
              </w:rPr>
              <w:t>13,067</w:t>
            </w:r>
          </w:p>
        </w:tc>
        <w:tc>
          <w:tcPr>
            <w:tcW w:w="891" w:type="dxa"/>
            <w:tcBorders>
              <w:left w:val="single" w:sz="4" w:space="0" w:color="auto"/>
            </w:tcBorders>
            <w:vAlign w:val="bottom"/>
          </w:tcPr>
          <w:p w:rsidR="007C5423" w:rsidRPr="00916E16" w:rsidRDefault="007C5423" w:rsidP="00A950CA">
            <w:pPr>
              <w:pStyle w:val="Tablebody"/>
              <w:rPr>
                <w:sz w:val="18"/>
                <w:szCs w:val="18"/>
              </w:rPr>
            </w:pPr>
            <w:r>
              <w:rPr>
                <w:sz w:val="18"/>
                <w:szCs w:val="18"/>
              </w:rPr>
              <w:t>111,420</w:t>
            </w:r>
          </w:p>
        </w:tc>
        <w:tc>
          <w:tcPr>
            <w:tcW w:w="802" w:type="dxa"/>
            <w:vAlign w:val="bottom"/>
          </w:tcPr>
          <w:p w:rsidR="007C5423" w:rsidRPr="00916E16" w:rsidRDefault="007C5423" w:rsidP="00A950CA">
            <w:pPr>
              <w:pStyle w:val="Tablebody"/>
              <w:rPr>
                <w:sz w:val="18"/>
                <w:szCs w:val="18"/>
              </w:rPr>
            </w:pPr>
            <w:r>
              <w:rPr>
                <w:sz w:val="18"/>
                <w:szCs w:val="18"/>
              </w:rPr>
              <w:t>37,191</w:t>
            </w:r>
          </w:p>
        </w:tc>
        <w:tc>
          <w:tcPr>
            <w:tcW w:w="802" w:type="dxa"/>
            <w:vAlign w:val="bottom"/>
          </w:tcPr>
          <w:p w:rsidR="007C5423" w:rsidRPr="00916E16" w:rsidRDefault="007C5423" w:rsidP="00A82AB0">
            <w:pPr>
              <w:pStyle w:val="Tablebody"/>
              <w:rPr>
                <w:sz w:val="18"/>
                <w:szCs w:val="18"/>
              </w:rPr>
            </w:pPr>
            <w:r>
              <w:rPr>
                <w:sz w:val="18"/>
                <w:szCs w:val="18"/>
              </w:rPr>
              <w:t>61,489</w:t>
            </w:r>
          </w:p>
        </w:tc>
        <w:tc>
          <w:tcPr>
            <w:tcW w:w="802" w:type="dxa"/>
            <w:tcBorders>
              <w:right w:val="single" w:sz="4" w:space="0" w:color="auto"/>
            </w:tcBorders>
            <w:vAlign w:val="bottom"/>
          </w:tcPr>
          <w:p w:rsidR="007C5423" w:rsidRPr="00916E16" w:rsidRDefault="007C5423" w:rsidP="00A82AB0">
            <w:pPr>
              <w:pStyle w:val="Tablebody"/>
              <w:rPr>
                <w:sz w:val="18"/>
                <w:szCs w:val="18"/>
              </w:rPr>
            </w:pPr>
            <w:r>
              <w:rPr>
                <w:sz w:val="18"/>
                <w:szCs w:val="18"/>
              </w:rPr>
              <w:t>12,740</w:t>
            </w:r>
          </w:p>
        </w:tc>
        <w:tc>
          <w:tcPr>
            <w:tcW w:w="802" w:type="dxa"/>
            <w:tcBorders>
              <w:left w:val="single" w:sz="4" w:space="0" w:color="auto"/>
            </w:tcBorders>
            <w:vAlign w:val="bottom"/>
          </w:tcPr>
          <w:p w:rsidR="007C5423" w:rsidRPr="00916E16" w:rsidRDefault="007C5423" w:rsidP="00A82AB0">
            <w:pPr>
              <w:pStyle w:val="Tablebody"/>
              <w:rPr>
                <w:color w:val="000000"/>
                <w:sz w:val="18"/>
                <w:szCs w:val="18"/>
              </w:rPr>
            </w:pPr>
            <w:r>
              <w:rPr>
                <w:color w:val="000000"/>
                <w:sz w:val="18"/>
                <w:szCs w:val="18"/>
              </w:rPr>
              <w:t>83,553</w:t>
            </w:r>
          </w:p>
        </w:tc>
        <w:tc>
          <w:tcPr>
            <w:tcW w:w="858" w:type="dxa"/>
            <w:vAlign w:val="bottom"/>
          </w:tcPr>
          <w:p w:rsidR="007C5423" w:rsidRPr="00916E16" w:rsidRDefault="007C5423" w:rsidP="00CB65F9">
            <w:pPr>
              <w:pStyle w:val="Tablebody"/>
              <w:rPr>
                <w:color w:val="000000"/>
                <w:sz w:val="18"/>
                <w:szCs w:val="18"/>
              </w:rPr>
            </w:pPr>
            <w:r>
              <w:rPr>
                <w:color w:val="000000"/>
                <w:sz w:val="18"/>
                <w:szCs w:val="18"/>
              </w:rPr>
              <w:t>28,867</w:t>
            </w:r>
          </w:p>
        </w:tc>
        <w:tc>
          <w:tcPr>
            <w:tcW w:w="858" w:type="dxa"/>
            <w:vAlign w:val="bottom"/>
          </w:tcPr>
          <w:p w:rsidR="007C5423" w:rsidRPr="00916E16" w:rsidRDefault="007C5423" w:rsidP="00203FDF">
            <w:pPr>
              <w:pStyle w:val="Tablebody"/>
              <w:rPr>
                <w:color w:val="000000"/>
                <w:sz w:val="18"/>
                <w:szCs w:val="18"/>
              </w:rPr>
            </w:pPr>
            <w:r>
              <w:rPr>
                <w:color w:val="000000"/>
                <w:sz w:val="18"/>
                <w:szCs w:val="18"/>
              </w:rPr>
              <w:t>45,492</w:t>
            </w:r>
          </w:p>
        </w:tc>
        <w:tc>
          <w:tcPr>
            <w:tcW w:w="689" w:type="dxa"/>
            <w:tcBorders>
              <w:right w:val="single" w:sz="4" w:space="0" w:color="auto"/>
            </w:tcBorders>
            <w:vAlign w:val="bottom"/>
          </w:tcPr>
          <w:p w:rsidR="007C5423" w:rsidRPr="00916E16" w:rsidRDefault="007C5423" w:rsidP="00203FDF">
            <w:pPr>
              <w:pStyle w:val="Tablebody"/>
              <w:rPr>
                <w:color w:val="000000"/>
                <w:sz w:val="18"/>
                <w:szCs w:val="18"/>
              </w:rPr>
            </w:pPr>
            <w:r>
              <w:rPr>
                <w:color w:val="000000"/>
                <w:sz w:val="18"/>
                <w:szCs w:val="18"/>
              </w:rPr>
              <w:t>9,194</w:t>
            </w:r>
          </w:p>
        </w:tc>
        <w:tc>
          <w:tcPr>
            <w:tcW w:w="713" w:type="dxa"/>
            <w:tcBorders>
              <w:left w:val="single" w:sz="4" w:space="0" w:color="auto"/>
            </w:tcBorders>
            <w:vAlign w:val="bottom"/>
          </w:tcPr>
          <w:p w:rsidR="007C5423" w:rsidRPr="00916E16" w:rsidRDefault="007C5423" w:rsidP="00081707">
            <w:pPr>
              <w:pStyle w:val="Tablebody"/>
              <w:rPr>
                <w:sz w:val="18"/>
                <w:szCs w:val="18"/>
              </w:rPr>
            </w:pPr>
            <w:r>
              <w:rPr>
                <w:sz w:val="18"/>
                <w:szCs w:val="18"/>
              </w:rPr>
              <w:t>60</w:t>
            </w:r>
          </w:p>
        </w:tc>
      </w:tr>
      <w:tr w:rsidR="007C5423" w:rsidRPr="00916E16">
        <w:trPr>
          <w:trHeight w:hRule="exact" w:val="152"/>
        </w:trPr>
        <w:tc>
          <w:tcPr>
            <w:tcW w:w="2759" w:type="dxa"/>
            <w:vAlign w:val="bottom"/>
          </w:tcPr>
          <w:p w:rsidR="007C5423" w:rsidRPr="00916E16" w:rsidRDefault="007C5423" w:rsidP="00847AD0">
            <w:pPr>
              <w:pStyle w:val="Tabletext"/>
              <w:rPr>
                <w:sz w:val="18"/>
                <w:szCs w:val="18"/>
              </w:rPr>
            </w:pPr>
          </w:p>
        </w:tc>
        <w:tc>
          <w:tcPr>
            <w:tcW w:w="943" w:type="dxa"/>
            <w:vAlign w:val="bottom"/>
          </w:tcPr>
          <w:p w:rsidR="007C5423" w:rsidRPr="00916E16" w:rsidRDefault="007C5423" w:rsidP="00847AD0">
            <w:pPr>
              <w:pStyle w:val="Tablebody"/>
              <w:rPr>
                <w:sz w:val="18"/>
                <w:szCs w:val="18"/>
              </w:rPr>
            </w:pPr>
          </w:p>
        </w:tc>
        <w:tc>
          <w:tcPr>
            <w:tcW w:w="845" w:type="dxa"/>
            <w:vAlign w:val="bottom"/>
          </w:tcPr>
          <w:p w:rsidR="007C5423" w:rsidRPr="00916E16" w:rsidRDefault="007C5423" w:rsidP="00847AD0">
            <w:pPr>
              <w:pStyle w:val="Tablebody"/>
              <w:rPr>
                <w:sz w:val="18"/>
                <w:szCs w:val="18"/>
              </w:rPr>
            </w:pPr>
          </w:p>
        </w:tc>
        <w:tc>
          <w:tcPr>
            <w:tcW w:w="908" w:type="dxa"/>
            <w:vAlign w:val="bottom"/>
          </w:tcPr>
          <w:p w:rsidR="007C5423" w:rsidRPr="00916E16" w:rsidRDefault="007C5423" w:rsidP="00847AD0">
            <w:pPr>
              <w:pStyle w:val="Tablebody"/>
              <w:rPr>
                <w:sz w:val="18"/>
                <w:szCs w:val="18"/>
              </w:rPr>
            </w:pPr>
          </w:p>
        </w:tc>
        <w:tc>
          <w:tcPr>
            <w:tcW w:w="802" w:type="dxa"/>
            <w:tcBorders>
              <w:right w:val="single" w:sz="4" w:space="0" w:color="auto"/>
            </w:tcBorders>
            <w:vAlign w:val="bottom"/>
          </w:tcPr>
          <w:p w:rsidR="007C5423" w:rsidRPr="00916E16" w:rsidRDefault="007C5423" w:rsidP="00847AD0">
            <w:pPr>
              <w:pStyle w:val="Tablebody"/>
              <w:rPr>
                <w:sz w:val="18"/>
                <w:szCs w:val="18"/>
              </w:rPr>
            </w:pPr>
          </w:p>
        </w:tc>
        <w:tc>
          <w:tcPr>
            <w:tcW w:w="891" w:type="dxa"/>
            <w:tcBorders>
              <w:left w:val="single" w:sz="4" w:space="0" w:color="auto"/>
            </w:tcBorders>
            <w:vAlign w:val="bottom"/>
          </w:tcPr>
          <w:p w:rsidR="007C5423" w:rsidRPr="00916E16" w:rsidRDefault="007C5423" w:rsidP="00847AD0">
            <w:pPr>
              <w:pStyle w:val="Tablebody"/>
              <w:rPr>
                <w:sz w:val="18"/>
                <w:szCs w:val="18"/>
              </w:rPr>
            </w:pPr>
          </w:p>
        </w:tc>
        <w:tc>
          <w:tcPr>
            <w:tcW w:w="802" w:type="dxa"/>
            <w:vAlign w:val="bottom"/>
          </w:tcPr>
          <w:p w:rsidR="007C5423" w:rsidRPr="00916E16" w:rsidRDefault="007C5423" w:rsidP="00847AD0">
            <w:pPr>
              <w:pStyle w:val="Tablebody"/>
              <w:rPr>
                <w:sz w:val="18"/>
                <w:szCs w:val="18"/>
              </w:rPr>
            </w:pPr>
          </w:p>
        </w:tc>
        <w:tc>
          <w:tcPr>
            <w:tcW w:w="802" w:type="dxa"/>
            <w:vAlign w:val="bottom"/>
          </w:tcPr>
          <w:p w:rsidR="007C5423" w:rsidRPr="00916E16" w:rsidRDefault="007C5423" w:rsidP="00847AD0">
            <w:pPr>
              <w:pStyle w:val="Tablebody"/>
              <w:rPr>
                <w:sz w:val="18"/>
                <w:szCs w:val="18"/>
              </w:rPr>
            </w:pPr>
          </w:p>
        </w:tc>
        <w:tc>
          <w:tcPr>
            <w:tcW w:w="802" w:type="dxa"/>
            <w:tcBorders>
              <w:right w:val="single" w:sz="4" w:space="0" w:color="auto"/>
            </w:tcBorders>
            <w:vAlign w:val="bottom"/>
          </w:tcPr>
          <w:p w:rsidR="007C5423" w:rsidRPr="00916E16" w:rsidRDefault="007C5423" w:rsidP="00847AD0">
            <w:pPr>
              <w:pStyle w:val="Tablebody"/>
              <w:rPr>
                <w:sz w:val="18"/>
                <w:szCs w:val="18"/>
              </w:rPr>
            </w:pPr>
          </w:p>
        </w:tc>
        <w:tc>
          <w:tcPr>
            <w:tcW w:w="802" w:type="dxa"/>
            <w:tcBorders>
              <w:left w:val="single" w:sz="4" w:space="0" w:color="auto"/>
            </w:tcBorders>
            <w:vAlign w:val="bottom"/>
          </w:tcPr>
          <w:p w:rsidR="007C5423" w:rsidRPr="00916E16" w:rsidRDefault="007C5423" w:rsidP="00847AD0">
            <w:pPr>
              <w:pStyle w:val="Tablebody"/>
              <w:rPr>
                <w:color w:val="000000"/>
                <w:sz w:val="18"/>
                <w:szCs w:val="18"/>
              </w:rPr>
            </w:pPr>
          </w:p>
        </w:tc>
        <w:tc>
          <w:tcPr>
            <w:tcW w:w="858" w:type="dxa"/>
            <w:vAlign w:val="bottom"/>
          </w:tcPr>
          <w:p w:rsidR="007C5423" w:rsidRPr="00916E16" w:rsidRDefault="007C5423" w:rsidP="00847AD0">
            <w:pPr>
              <w:pStyle w:val="Tablebody"/>
              <w:rPr>
                <w:sz w:val="18"/>
                <w:szCs w:val="18"/>
              </w:rPr>
            </w:pPr>
          </w:p>
        </w:tc>
        <w:tc>
          <w:tcPr>
            <w:tcW w:w="858" w:type="dxa"/>
            <w:vAlign w:val="bottom"/>
          </w:tcPr>
          <w:p w:rsidR="007C5423" w:rsidRPr="00916E16" w:rsidRDefault="007C5423" w:rsidP="00847AD0">
            <w:pPr>
              <w:pStyle w:val="Tablebody"/>
              <w:rPr>
                <w:color w:val="000000"/>
                <w:sz w:val="18"/>
                <w:szCs w:val="18"/>
              </w:rPr>
            </w:pPr>
          </w:p>
        </w:tc>
        <w:tc>
          <w:tcPr>
            <w:tcW w:w="689" w:type="dxa"/>
            <w:tcBorders>
              <w:right w:val="single" w:sz="4" w:space="0" w:color="auto"/>
            </w:tcBorders>
            <w:vAlign w:val="bottom"/>
          </w:tcPr>
          <w:p w:rsidR="007C5423" w:rsidRPr="00916E16" w:rsidRDefault="007C5423" w:rsidP="00847AD0">
            <w:pPr>
              <w:pStyle w:val="Tablebody"/>
              <w:rPr>
                <w:color w:val="000000"/>
                <w:sz w:val="18"/>
                <w:szCs w:val="18"/>
              </w:rPr>
            </w:pPr>
          </w:p>
        </w:tc>
        <w:tc>
          <w:tcPr>
            <w:tcW w:w="713" w:type="dxa"/>
            <w:tcBorders>
              <w:left w:val="single" w:sz="4" w:space="0" w:color="auto"/>
            </w:tcBorders>
            <w:vAlign w:val="bottom"/>
          </w:tcPr>
          <w:p w:rsidR="007C5423" w:rsidRPr="00916E16" w:rsidRDefault="007C5423" w:rsidP="00847AD0">
            <w:pPr>
              <w:pStyle w:val="Tablebody"/>
              <w:rPr>
                <w:sz w:val="18"/>
                <w:szCs w:val="18"/>
              </w:rPr>
            </w:pPr>
          </w:p>
        </w:tc>
      </w:tr>
      <w:tr w:rsidR="007C5423" w:rsidRPr="00916E16">
        <w:trPr>
          <w:trHeight w:val="273"/>
        </w:trPr>
        <w:tc>
          <w:tcPr>
            <w:tcW w:w="2759" w:type="dxa"/>
            <w:vAlign w:val="bottom"/>
          </w:tcPr>
          <w:p w:rsidR="007C5423" w:rsidRPr="00916E16" w:rsidRDefault="007C5423" w:rsidP="00847AD0">
            <w:pPr>
              <w:pStyle w:val="Tabletext"/>
              <w:rPr>
                <w:sz w:val="18"/>
                <w:szCs w:val="18"/>
              </w:rPr>
            </w:pPr>
            <w:r w:rsidRPr="00916E16">
              <w:rPr>
                <w:sz w:val="18"/>
                <w:szCs w:val="18"/>
              </w:rPr>
              <w:t>Public</w:t>
            </w:r>
          </w:p>
        </w:tc>
        <w:tc>
          <w:tcPr>
            <w:tcW w:w="943" w:type="dxa"/>
            <w:vAlign w:val="bottom"/>
          </w:tcPr>
          <w:p w:rsidR="007C5423" w:rsidRPr="00916E16" w:rsidRDefault="007C5423" w:rsidP="00847AD0">
            <w:pPr>
              <w:pStyle w:val="Tablebody"/>
              <w:rPr>
                <w:sz w:val="18"/>
                <w:szCs w:val="18"/>
              </w:rPr>
            </w:pPr>
          </w:p>
        </w:tc>
        <w:tc>
          <w:tcPr>
            <w:tcW w:w="845" w:type="dxa"/>
            <w:vAlign w:val="bottom"/>
          </w:tcPr>
          <w:p w:rsidR="007C5423" w:rsidRPr="00916E16" w:rsidRDefault="007C5423" w:rsidP="00847AD0">
            <w:pPr>
              <w:pStyle w:val="Tablebody"/>
              <w:rPr>
                <w:sz w:val="18"/>
                <w:szCs w:val="18"/>
              </w:rPr>
            </w:pPr>
          </w:p>
        </w:tc>
        <w:tc>
          <w:tcPr>
            <w:tcW w:w="908" w:type="dxa"/>
            <w:vAlign w:val="bottom"/>
          </w:tcPr>
          <w:p w:rsidR="007C5423" w:rsidRPr="00916E16" w:rsidRDefault="007C5423" w:rsidP="00847AD0">
            <w:pPr>
              <w:pStyle w:val="Tablebody"/>
              <w:rPr>
                <w:sz w:val="18"/>
                <w:szCs w:val="18"/>
              </w:rPr>
            </w:pPr>
          </w:p>
        </w:tc>
        <w:tc>
          <w:tcPr>
            <w:tcW w:w="802" w:type="dxa"/>
            <w:tcBorders>
              <w:right w:val="single" w:sz="4" w:space="0" w:color="auto"/>
            </w:tcBorders>
            <w:vAlign w:val="bottom"/>
          </w:tcPr>
          <w:p w:rsidR="007C5423" w:rsidRPr="00916E16" w:rsidRDefault="007C5423" w:rsidP="00847AD0">
            <w:pPr>
              <w:pStyle w:val="Tablebody"/>
              <w:rPr>
                <w:sz w:val="18"/>
                <w:szCs w:val="18"/>
              </w:rPr>
            </w:pPr>
          </w:p>
        </w:tc>
        <w:tc>
          <w:tcPr>
            <w:tcW w:w="891" w:type="dxa"/>
            <w:tcBorders>
              <w:left w:val="single" w:sz="4" w:space="0" w:color="auto"/>
            </w:tcBorders>
            <w:vAlign w:val="bottom"/>
          </w:tcPr>
          <w:p w:rsidR="007C5423" w:rsidRPr="00916E16" w:rsidRDefault="007C5423" w:rsidP="00847AD0">
            <w:pPr>
              <w:pStyle w:val="Tablebody"/>
              <w:rPr>
                <w:sz w:val="18"/>
                <w:szCs w:val="18"/>
              </w:rPr>
            </w:pPr>
          </w:p>
        </w:tc>
        <w:tc>
          <w:tcPr>
            <w:tcW w:w="802" w:type="dxa"/>
            <w:vAlign w:val="bottom"/>
          </w:tcPr>
          <w:p w:rsidR="007C5423" w:rsidRPr="00916E16" w:rsidRDefault="007C5423" w:rsidP="00847AD0">
            <w:pPr>
              <w:pStyle w:val="Tablebody"/>
              <w:rPr>
                <w:sz w:val="18"/>
                <w:szCs w:val="18"/>
              </w:rPr>
            </w:pPr>
          </w:p>
        </w:tc>
        <w:tc>
          <w:tcPr>
            <w:tcW w:w="802" w:type="dxa"/>
            <w:vAlign w:val="bottom"/>
          </w:tcPr>
          <w:p w:rsidR="007C5423" w:rsidRPr="00916E16" w:rsidRDefault="007C5423" w:rsidP="00847AD0">
            <w:pPr>
              <w:pStyle w:val="Tablebody"/>
              <w:rPr>
                <w:sz w:val="18"/>
                <w:szCs w:val="18"/>
              </w:rPr>
            </w:pPr>
          </w:p>
        </w:tc>
        <w:tc>
          <w:tcPr>
            <w:tcW w:w="802" w:type="dxa"/>
            <w:tcBorders>
              <w:right w:val="single" w:sz="4" w:space="0" w:color="auto"/>
            </w:tcBorders>
            <w:vAlign w:val="bottom"/>
          </w:tcPr>
          <w:p w:rsidR="007C5423" w:rsidRPr="00916E16" w:rsidRDefault="007C5423" w:rsidP="00847AD0">
            <w:pPr>
              <w:pStyle w:val="Tablebody"/>
              <w:rPr>
                <w:sz w:val="18"/>
                <w:szCs w:val="18"/>
              </w:rPr>
            </w:pPr>
          </w:p>
        </w:tc>
        <w:tc>
          <w:tcPr>
            <w:tcW w:w="802" w:type="dxa"/>
            <w:tcBorders>
              <w:left w:val="single" w:sz="4" w:space="0" w:color="auto"/>
            </w:tcBorders>
            <w:vAlign w:val="bottom"/>
          </w:tcPr>
          <w:p w:rsidR="007C5423" w:rsidRPr="00916E16" w:rsidRDefault="007C5423" w:rsidP="00847AD0">
            <w:pPr>
              <w:pStyle w:val="Tablebody"/>
              <w:rPr>
                <w:color w:val="000000"/>
                <w:sz w:val="18"/>
                <w:szCs w:val="18"/>
              </w:rPr>
            </w:pPr>
          </w:p>
        </w:tc>
        <w:tc>
          <w:tcPr>
            <w:tcW w:w="858" w:type="dxa"/>
            <w:vAlign w:val="bottom"/>
          </w:tcPr>
          <w:p w:rsidR="007C5423" w:rsidRPr="00916E16" w:rsidRDefault="007C5423" w:rsidP="00847AD0">
            <w:pPr>
              <w:pStyle w:val="Tablebody"/>
              <w:rPr>
                <w:sz w:val="18"/>
                <w:szCs w:val="18"/>
              </w:rPr>
            </w:pPr>
          </w:p>
        </w:tc>
        <w:tc>
          <w:tcPr>
            <w:tcW w:w="858" w:type="dxa"/>
            <w:vAlign w:val="bottom"/>
          </w:tcPr>
          <w:p w:rsidR="007C5423" w:rsidRPr="00916E16" w:rsidRDefault="007C5423" w:rsidP="00847AD0">
            <w:pPr>
              <w:pStyle w:val="Tablebody"/>
              <w:rPr>
                <w:color w:val="000000"/>
                <w:sz w:val="18"/>
                <w:szCs w:val="18"/>
              </w:rPr>
            </w:pPr>
          </w:p>
        </w:tc>
        <w:tc>
          <w:tcPr>
            <w:tcW w:w="689" w:type="dxa"/>
            <w:tcBorders>
              <w:right w:val="single" w:sz="4" w:space="0" w:color="auto"/>
            </w:tcBorders>
            <w:vAlign w:val="bottom"/>
          </w:tcPr>
          <w:p w:rsidR="007C5423" w:rsidRPr="00916E16" w:rsidRDefault="007C5423" w:rsidP="00847AD0">
            <w:pPr>
              <w:pStyle w:val="Tablebody"/>
              <w:rPr>
                <w:color w:val="000000"/>
                <w:sz w:val="18"/>
                <w:szCs w:val="18"/>
              </w:rPr>
            </w:pPr>
          </w:p>
        </w:tc>
        <w:tc>
          <w:tcPr>
            <w:tcW w:w="713" w:type="dxa"/>
            <w:tcBorders>
              <w:left w:val="single" w:sz="4" w:space="0" w:color="auto"/>
            </w:tcBorders>
            <w:vAlign w:val="bottom"/>
          </w:tcPr>
          <w:p w:rsidR="007C5423" w:rsidRPr="00916E16" w:rsidRDefault="007C5423" w:rsidP="00847AD0">
            <w:pPr>
              <w:pStyle w:val="Tablebody"/>
              <w:rPr>
                <w:sz w:val="18"/>
                <w:szCs w:val="18"/>
              </w:rPr>
            </w:pPr>
          </w:p>
        </w:tc>
      </w:tr>
      <w:tr w:rsidR="007C5423" w:rsidRPr="00916E16">
        <w:trPr>
          <w:trHeight w:val="273"/>
        </w:trPr>
        <w:tc>
          <w:tcPr>
            <w:tcW w:w="2759" w:type="dxa"/>
            <w:vAlign w:val="bottom"/>
          </w:tcPr>
          <w:p w:rsidR="007C5423" w:rsidRPr="00916E16" w:rsidRDefault="007C5423" w:rsidP="00847AD0">
            <w:pPr>
              <w:pStyle w:val="2enspsubgroup1"/>
              <w:rPr>
                <w:sz w:val="18"/>
                <w:szCs w:val="18"/>
              </w:rPr>
            </w:pPr>
            <w:r w:rsidRPr="00916E16">
              <w:rPr>
                <w:sz w:val="18"/>
                <w:szCs w:val="18"/>
              </w:rPr>
              <w:t>Less-than 2-year</w:t>
            </w:r>
          </w:p>
        </w:tc>
        <w:tc>
          <w:tcPr>
            <w:tcW w:w="943" w:type="dxa"/>
            <w:vAlign w:val="bottom"/>
          </w:tcPr>
          <w:p w:rsidR="007C5423" w:rsidRPr="00916E16" w:rsidRDefault="007C5423" w:rsidP="00826B2F">
            <w:pPr>
              <w:pStyle w:val="Tablebody"/>
              <w:rPr>
                <w:sz w:val="18"/>
                <w:szCs w:val="18"/>
              </w:rPr>
            </w:pPr>
            <w:r>
              <w:rPr>
                <w:sz w:val="18"/>
                <w:szCs w:val="18"/>
              </w:rPr>
              <w:t>1,250</w:t>
            </w:r>
          </w:p>
        </w:tc>
        <w:tc>
          <w:tcPr>
            <w:tcW w:w="845" w:type="dxa"/>
            <w:vAlign w:val="bottom"/>
          </w:tcPr>
          <w:p w:rsidR="007C5423" w:rsidRPr="00916E16" w:rsidRDefault="007C5423" w:rsidP="00826B2F">
            <w:pPr>
              <w:pStyle w:val="Tablebody"/>
              <w:rPr>
                <w:sz w:val="18"/>
                <w:szCs w:val="18"/>
              </w:rPr>
            </w:pPr>
            <w:r>
              <w:rPr>
                <w:sz w:val="18"/>
                <w:szCs w:val="18"/>
              </w:rPr>
              <w:t>652</w:t>
            </w:r>
          </w:p>
        </w:tc>
        <w:tc>
          <w:tcPr>
            <w:tcW w:w="908" w:type="dxa"/>
            <w:vAlign w:val="bottom"/>
          </w:tcPr>
          <w:p w:rsidR="007C5423" w:rsidRPr="00916E16" w:rsidRDefault="007C5423" w:rsidP="00744624">
            <w:pPr>
              <w:pStyle w:val="Tablebody"/>
              <w:rPr>
                <w:sz w:val="18"/>
                <w:szCs w:val="18"/>
              </w:rPr>
            </w:pPr>
            <w:r>
              <w:rPr>
                <w:sz w:val="18"/>
                <w:szCs w:val="18"/>
              </w:rPr>
              <w:t>598</w:t>
            </w:r>
          </w:p>
        </w:tc>
        <w:tc>
          <w:tcPr>
            <w:tcW w:w="802" w:type="dxa"/>
            <w:tcBorders>
              <w:right w:val="single" w:sz="4" w:space="0" w:color="auto"/>
            </w:tcBorders>
            <w:vAlign w:val="bottom"/>
          </w:tcPr>
          <w:p w:rsidR="007C5423" w:rsidRPr="00916E16" w:rsidRDefault="007C5423" w:rsidP="00847AD0">
            <w:pPr>
              <w:pStyle w:val="Tablebody"/>
              <w:rPr>
                <w:sz w:val="18"/>
                <w:szCs w:val="18"/>
              </w:rPr>
            </w:pPr>
            <w:r w:rsidRPr="00916E16">
              <w:rPr>
                <w:sz w:val="18"/>
                <w:szCs w:val="18"/>
              </w:rPr>
              <w:t>0</w:t>
            </w:r>
          </w:p>
        </w:tc>
        <w:tc>
          <w:tcPr>
            <w:tcW w:w="891" w:type="dxa"/>
            <w:tcBorders>
              <w:left w:val="single" w:sz="4" w:space="0" w:color="auto"/>
            </w:tcBorders>
            <w:vAlign w:val="bottom"/>
          </w:tcPr>
          <w:p w:rsidR="007C5423" w:rsidRPr="00916E16" w:rsidRDefault="007C5423" w:rsidP="00A950CA">
            <w:pPr>
              <w:pStyle w:val="Tablebody"/>
              <w:rPr>
                <w:sz w:val="18"/>
                <w:szCs w:val="18"/>
              </w:rPr>
            </w:pPr>
            <w:r>
              <w:rPr>
                <w:sz w:val="18"/>
                <w:szCs w:val="18"/>
              </w:rPr>
              <w:t>1,006</w:t>
            </w:r>
          </w:p>
        </w:tc>
        <w:tc>
          <w:tcPr>
            <w:tcW w:w="802" w:type="dxa"/>
            <w:vAlign w:val="bottom"/>
          </w:tcPr>
          <w:p w:rsidR="007C5423" w:rsidRPr="00916E16" w:rsidRDefault="007C5423" w:rsidP="00A950CA">
            <w:pPr>
              <w:pStyle w:val="Tablebody"/>
              <w:rPr>
                <w:sz w:val="18"/>
                <w:szCs w:val="18"/>
              </w:rPr>
            </w:pPr>
            <w:r>
              <w:rPr>
                <w:sz w:val="18"/>
                <w:szCs w:val="18"/>
              </w:rPr>
              <w:t>525</w:t>
            </w:r>
          </w:p>
        </w:tc>
        <w:tc>
          <w:tcPr>
            <w:tcW w:w="802" w:type="dxa"/>
            <w:vAlign w:val="bottom"/>
          </w:tcPr>
          <w:p w:rsidR="007C5423" w:rsidRPr="00916E16" w:rsidRDefault="007C5423" w:rsidP="00A82AB0">
            <w:pPr>
              <w:pStyle w:val="Tablebody"/>
              <w:rPr>
                <w:sz w:val="18"/>
                <w:szCs w:val="18"/>
              </w:rPr>
            </w:pPr>
            <w:r>
              <w:rPr>
                <w:sz w:val="18"/>
                <w:szCs w:val="18"/>
              </w:rPr>
              <w:t>482</w:t>
            </w:r>
          </w:p>
        </w:tc>
        <w:tc>
          <w:tcPr>
            <w:tcW w:w="802" w:type="dxa"/>
            <w:tcBorders>
              <w:right w:val="single" w:sz="4" w:space="0" w:color="auto"/>
            </w:tcBorders>
            <w:vAlign w:val="bottom"/>
          </w:tcPr>
          <w:p w:rsidR="007C5423" w:rsidRPr="00916E16" w:rsidRDefault="007C5423" w:rsidP="00847AD0">
            <w:pPr>
              <w:pStyle w:val="Tablebody"/>
              <w:rPr>
                <w:sz w:val="18"/>
                <w:szCs w:val="18"/>
              </w:rPr>
            </w:pPr>
            <w:r w:rsidRPr="00916E16">
              <w:rPr>
                <w:sz w:val="18"/>
                <w:szCs w:val="18"/>
              </w:rPr>
              <w:t>0</w:t>
            </w:r>
          </w:p>
        </w:tc>
        <w:tc>
          <w:tcPr>
            <w:tcW w:w="802" w:type="dxa"/>
            <w:tcBorders>
              <w:left w:val="single" w:sz="4" w:space="0" w:color="auto"/>
            </w:tcBorders>
            <w:vAlign w:val="bottom"/>
          </w:tcPr>
          <w:p w:rsidR="007C5423" w:rsidRPr="00916E16" w:rsidRDefault="007C5423" w:rsidP="00A82AB0">
            <w:pPr>
              <w:pStyle w:val="Tablebody"/>
              <w:rPr>
                <w:color w:val="000000"/>
                <w:sz w:val="18"/>
                <w:szCs w:val="18"/>
              </w:rPr>
            </w:pPr>
            <w:r>
              <w:rPr>
                <w:color w:val="000000"/>
                <w:sz w:val="18"/>
                <w:szCs w:val="18"/>
              </w:rPr>
              <w:t>643</w:t>
            </w:r>
          </w:p>
        </w:tc>
        <w:tc>
          <w:tcPr>
            <w:tcW w:w="858" w:type="dxa"/>
            <w:vAlign w:val="bottom"/>
          </w:tcPr>
          <w:p w:rsidR="007C5423" w:rsidRPr="00916E16" w:rsidRDefault="007C5423" w:rsidP="0042224C">
            <w:pPr>
              <w:pStyle w:val="Tablebody"/>
              <w:rPr>
                <w:sz w:val="18"/>
                <w:szCs w:val="18"/>
              </w:rPr>
            </w:pPr>
            <w:r>
              <w:rPr>
                <w:sz w:val="18"/>
                <w:szCs w:val="18"/>
              </w:rPr>
              <w:t>353</w:t>
            </w:r>
          </w:p>
        </w:tc>
        <w:tc>
          <w:tcPr>
            <w:tcW w:w="858" w:type="dxa"/>
            <w:vAlign w:val="bottom"/>
          </w:tcPr>
          <w:p w:rsidR="007C5423" w:rsidRPr="00916E16" w:rsidRDefault="007C5423" w:rsidP="00203FDF">
            <w:pPr>
              <w:pStyle w:val="Tablebody"/>
              <w:rPr>
                <w:color w:val="000000"/>
                <w:sz w:val="18"/>
                <w:szCs w:val="18"/>
              </w:rPr>
            </w:pPr>
            <w:r>
              <w:rPr>
                <w:color w:val="000000"/>
                <w:sz w:val="18"/>
                <w:szCs w:val="18"/>
              </w:rPr>
              <w:t>289</w:t>
            </w:r>
          </w:p>
        </w:tc>
        <w:tc>
          <w:tcPr>
            <w:tcW w:w="689" w:type="dxa"/>
            <w:tcBorders>
              <w:right w:val="single" w:sz="4" w:space="0" w:color="auto"/>
            </w:tcBorders>
            <w:vAlign w:val="bottom"/>
          </w:tcPr>
          <w:p w:rsidR="007C5423" w:rsidRPr="00916E16" w:rsidRDefault="007C5423" w:rsidP="00847AD0">
            <w:pPr>
              <w:pStyle w:val="Tablebody"/>
              <w:rPr>
                <w:color w:val="000000"/>
                <w:sz w:val="18"/>
                <w:szCs w:val="18"/>
              </w:rPr>
            </w:pPr>
            <w:r w:rsidRPr="00916E16">
              <w:rPr>
                <w:color w:val="000000"/>
                <w:sz w:val="18"/>
                <w:szCs w:val="18"/>
              </w:rPr>
              <w:t>0</w:t>
            </w:r>
          </w:p>
        </w:tc>
        <w:tc>
          <w:tcPr>
            <w:tcW w:w="713" w:type="dxa"/>
            <w:tcBorders>
              <w:left w:val="single" w:sz="4" w:space="0" w:color="auto"/>
            </w:tcBorders>
            <w:vAlign w:val="bottom"/>
          </w:tcPr>
          <w:p w:rsidR="007C5423" w:rsidRPr="00916E16" w:rsidRDefault="007C5423" w:rsidP="00081707">
            <w:pPr>
              <w:pStyle w:val="Tablebody"/>
              <w:rPr>
                <w:sz w:val="18"/>
                <w:szCs w:val="18"/>
              </w:rPr>
            </w:pPr>
            <w:r>
              <w:rPr>
                <w:sz w:val="18"/>
                <w:szCs w:val="18"/>
              </w:rPr>
              <w:t>51</w:t>
            </w:r>
          </w:p>
        </w:tc>
      </w:tr>
      <w:tr w:rsidR="007C5423" w:rsidRPr="00916E16">
        <w:trPr>
          <w:trHeight w:val="287"/>
        </w:trPr>
        <w:tc>
          <w:tcPr>
            <w:tcW w:w="2759" w:type="dxa"/>
            <w:vAlign w:val="bottom"/>
          </w:tcPr>
          <w:p w:rsidR="007C5423" w:rsidRPr="00916E16" w:rsidRDefault="007C5423" w:rsidP="00847AD0">
            <w:pPr>
              <w:pStyle w:val="2enspsubgroup1"/>
              <w:rPr>
                <w:sz w:val="18"/>
                <w:szCs w:val="18"/>
              </w:rPr>
            </w:pPr>
            <w:r w:rsidRPr="00916E16">
              <w:rPr>
                <w:sz w:val="18"/>
                <w:szCs w:val="18"/>
              </w:rPr>
              <w:t>2-year</w:t>
            </w:r>
          </w:p>
        </w:tc>
        <w:tc>
          <w:tcPr>
            <w:tcW w:w="943" w:type="dxa"/>
            <w:vAlign w:val="bottom"/>
          </w:tcPr>
          <w:p w:rsidR="007C5423" w:rsidRPr="00916E16" w:rsidRDefault="007C5423" w:rsidP="00826B2F">
            <w:pPr>
              <w:pStyle w:val="Tablebody"/>
              <w:rPr>
                <w:sz w:val="18"/>
                <w:szCs w:val="18"/>
              </w:rPr>
            </w:pPr>
            <w:r>
              <w:rPr>
                <w:sz w:val="18"/>
                <w:szCs w:val="18"/>
              </w:rPr>
              <w:t>41,626</w:t>
            </w:r>
          </w:p>
        </w:tc>
        <w:tc>
          <w:tcPr>
            <w:tcW w:w="845" w:type="dxa"/>
            <w:vAlign w:val="bottom"/>
          </w:tcPr>
          <w:p w:rsidR="007C5423" w:rsidRPr="00916E16" w:rsidRDefault="007C5423" w:rsidP="00826B2F">
            <w:pPr>
              <w:pStyle w:val="Tablebody"/>
              <w:rPr>
                <w:sz w:val="18"/>
                <w:szCs w:val="18"/>
              </w:rPr>
            </w:pPr>
            <w:r>
              <w:rPr>
                <w:sz w:val="18"/>
                <w:szCs w:val="18"/>
              </w:rPr>
              <w:t>13,482</w:t>
            </w:r>
          </w:p>
        </w:tc>
        <w:tc>
          <w:tcPr>
            <w:tcW w:w="908" w:type="dxa"/>
            <w:vAlign w:val="bottom"/>
          </w:tcPr>
          <w:p w:rsidR="007C5423" w:rsidRPr="00916E16" w:rsidRDefault="007C5423" w:rsidP="00744624">
            <w:pPr>
              <w:pStyle w:val="Tablebody"/>
              <w:rPr>
                <w:sz w:val="18"/>
                <w:szCs w:val="18"/>
              </w:rPr>
            </w:pPr>
            <w:r>
              <w:rPr>
                <w:sz w:val="18"/>
                <w:szCs w:val="18"/>
              </w:rPr>
              <w:t>28,145</w:t>
            </w:r>
          </w:p>
        </w:tc>
        <w:tc>
          <w:tcPr>
            <w:tcW w:w="802" w:type="dxa"/>
            <w:tcBorders>
              <w:right w:val="single" w:sz="4" w:space="0" w:color="auto"/>
            </w:tcBorders>
            <w:vAlign w:val="bottom"/>
          </w:tcPr>
          <w:p w:rsidR="007C5423" w:rsidRPr="00916E16" w:rsidRDefault="007C5423" w:rsidP="00847AD0">
            <w:pPr>
              <w:pStyle w:val="Tablebody"/>
              <w:rPr>
                <w:sz w:val="18"/>
                <w:szCs w:val="18"/>
              </w:rPr>
            </w:pPr>
            <w:r w:rsidRPr="00916E16">
              <w:rPr>
                <w:sz w:val="18"/>
                <w:szCs w:val="18"/>
              </w:rPr>
              <w:t>0</w:t>
            </w:r>
          </w:p>
        </w:tc>
        <w:tc>
          <w:tcPr>
            <w:tcW w:w="891" w:type="dxa"/>
            <w:tcBorders>
              <w:left w:val="single" w:sz="4" w:space="0" w:color="auto"/>
            </w:tcBorders>
            <w:vAlign w:val="bottom"/>
          </w:tcPr>
          <w:p w:rsidR="007C5423" w:rsidRPr="00916E16" w:rsidRDefault="007C5423" w:rsidP="00A950CA">
            <w:pPr>
              <w:pStyle w:val="Tablebody"/>
              <w:rPr>
                <w:sz w:val="18"/>
                <w:szCs w:val="18"/>
              </w:rPr>
            </w:pPr>
            <w:r>
              <w:rPr>
                <w:sz w:val="18"/>
                <w:szCs w:val="18"/>
              </w:rPr>
              <w:t>38,875</w:t>
            </w:r>
          </w:p>
        </w:tc>
        <w:tc>
          <w:tcPr>
            <w:tcW w:w="802" w:type="dxa"/>
            <w:vAlign w:val="bottom"/>
          </w:tcPr>
          <w:p w:rsidR="007C5423" w:rsidRPr="00916E16" w:rsidRDefault="007C5423" w:rsidP="00A950CA">
            <w:pPr>
              <w:pStyle w:val="Tablebody"/>
              <w:rPr>
                <w:sz w:val="18"/>
                <w:szCs w:val="18"/>
              </w:rPr>
            </w:pPr>
            <w:r>
              <w:rPr>
                <w:sz w:val="18"/>
                <w:szCs w:val="18"/>
              </w:rPr>
              <w:t>12,590</w:t>
            </w:r>
          </w:p>
        </w:tc>
        <w:tc>
          <w:tcPr>
            <w:tcW w:w="802" w:type="dxa"/>
            <w:vAlign w:val="bottom"/>
          </w:tcPr>
          <w:p w:rsidR="007C5423" w:rsidRPr="00916E16" w:rsidRDefault="007C5423" w:rsidP="00A82AB0">
            <w:pPr>
              <w:pStyle w:val="Tablebody"/>
              <w:rPr>
                <w:sz w:val="18"/>
                <w:szCs w:val="18"/>
              </w:rPr>
            </w:pPr>
            <w:r>
              <w:rPr>
                <w:sz w:val="18"/>
                <w:szCs w:val="18"/>
              </w:rPr>
              <w:t>26,284</w:t>
            </w:r>
          </w:p>
        </w:tc>
        <w:tc>
          <w:tcPr>
            <w:tcW w:w="802" w:type="dxa"/>
            <w:tcBorders>
              <w:right w:val="single" w:sz="4" w:space="0" w:color="auto"/>
            </w:tcBorders>
            <w:vAlign w:val="bottom"/>
          </w:tcPr>
          <w:p w:rsidR="007C5423" w:rsidRPr="00916E16" w:rsidRDefault="007C5423" w:rsidP="00847AD0">
            <w:pPr>
              <w:pStyle w:val="Tablebody"/>
              <w:rPr>
                <w:sz w:val="18"/>
                <w:szCs w:val="18"/>
              </w:rPr>
            </w:pPr>
            <w:r w:rsidRPr="00916E16">
              <w:rPr>
                <w:sz w:val="18"/>
                <w:szCs w:val="18"/>
              </w:rPr>
              <w:t>0</w:t>
            </w:r>
          </w:p>
        </w:tc>
        <w:tc>
          <w:tcPr>
            <w:tcW w:w="802" w:type="dxa"/>
            <w:tcBorders>
              <w:left w:val="single" w:sz="4" w:space="0" w:color="auto"/>
            </w:tcBorders>
            <w:vAlign w:val="bottom"/>
          </w:tcPr>
          <w:p w:rsidR="007C5423" w:rsidRPr="00916E16" w:rsidRDefault="007C5423" w:rsidP="00A82AB0">
            <w:pPr>
              <w:pStyle w:val="Tablebody"/>
              <w:rPr>
                <w:color w:val="000000"/>
                <w:sz w:val="18"/>
                <w:szCs w:val="18"/>
              </w:rPr>
            </w:pPr>
            <w:r>
              <w:rPr>
                <w:color w:val="000000"/>
                <w:sz w:val="18"/>
                <w:szCs w:val="18"/>
              </w:rPr>
              <w:t>28,035</w:t>
            </w:r>
          </w:p>
        </w:tc>
        <w:tc>
          <w:tcPr>
            <w:tcW w:w="858" w:type="dxa"/>
            <w:vAlign w:val="bottom"/>
          </w:tcPr>
          <w:p w:rsidR="007C5423" w:rsidRPr="00916E16" w:rsidRDefault="007C5423" w:rsidP="0042224C">
            <w:pPr>
              <w:pStyle w:val="Tablebody"/>
              <w:rPr>
                <w:sz w:val="18"/>
                <w:szCs w:val="18"/>
              </w:rPr>
            </w:pPr>
            <w:r>
              <w:rPr>
                <w:sz w:val="18"/>
                <w:szCs w:val="18"/>
              </w:rPr>
              <w:t>9,690</w:t>
            </w:r>
          </w:p>
        </w:tc>
        <w:tc>
          <w:tcPr>
            <w:tcW w:w="858" w:type="dxa"/>
            <w:vAlign w:val="bottom"/>
          </w:tcPr>
          <w:p w:rsidR="007C5423" w:rsidRPr="00916E16" w:rsidRDefault="007C5423" w:rsidP="00203FDF">
            <w:pPr>
              <w:pStyle w:val="Tablebody"/>
              <w:rPr>
                <w:color w:val="000000"/>
                <w:sz w:val="18"/>
                <w:szCs w:val="18"/>
              </w:rPr>
            </w:pPr>
            <w:r>
              <w:rPr>
                <w:color w:val="000000"/>
                <w:sz w:val="18"/>
                <w:szCs w:val="18"/>
              </w:rPr>
              <w:t>18,345</w:t>
            </w:r>
          </w:p>
        </w:tc>
        <w:tc>
          <w:tcPr>
            <w:tcW w:w="689" w:type="dxa"/>
            <w:tcBorders>
              <w:right w:val="single" w:sz="4" w:space="0" w:color="auto"/>
            </w:tcBorders>
            <w:vAlign w:val="bottom"/>
          </w:tcPr>
          <w:p w:rsidR="007C5423" w:rsidRPr="00916E16" w:rsidRDefault="007C5423" w:rsidP="00847AD0">
            <w:pPr>
              <w:pStyle w:val="Tablebody"/>
              <w:rPr>
                <w:color w:val="000000"/>
                <w:sz w:val="18"/>
                <w:szCs w:val="18"/>
              </w:rPr>
            </w:pPr>
            <w:r w:rsidRPr="00916E16">
              <w:rPr>
                <w:color w:val="000000"/>
                <w:sz w:val="18"/>
                <w:szCs w:val="18"/>
              </w:rPr>
              <w:t>0</w:t>
            </w:r>
          </w:p>
        </w:tc>
        <w:tc>
          <w:tcPr>
            <w:tcW w:w="713" w:type="dxa"/>
            <w:tcBorders>
              <w:left w:val="single" w:sz="4" w:space="0" w:color="auto"/>
            </w:tcBorders>
            <w:vAlign w:val="bottom"/>
          </w:tcPr>
          <w:p w:rsidR="007C5423" w:rsidRPr="00916E16" w:rsidRDefault="007C5423" w:rsidP="00081707">
            <w:pPr>
              <w:pStyle w:val="Tablebody"/>
              <w:rPr>
                <w:sz w:val="18"/>
                <w:szCs w:val="18"/>
              </w:rPr>
            </w:pPr>
            <w:r>
              <w:rPr>
                <w:sz w:val="18"/>
                <w:szCs w:val="18"/>
              </w:rPr>
              <w:t>84</w:t>
            </w:r>
          </w:p>
        </w:tc>
      </w:tr>
      <w:tr w:rsidR="007C5423" w:rsidRPr="00916E16">
        <w:trPr>
          <w:trHeight w:val="464"/>
        </w:trPr>
        <w:tc>
          <w:tcPr>
            <w:tcW w:w="2759" w:type="dxa"/>
            <w:vAlign w:val="bottom"/>
          </w:tcPr>
          <w:p w:rsidR="007C5423" w:rsidRPr="00916E16" w:rsidRDefault="007C5423" w:rsidP="00847AD0">
            <w:pPr>
              <w:pStyle w:val="2enspsubgroup1"/>
              <w:rPr>
                <w:sz w:val="18"/>
                <w:szCs w:val="18"/>
              </w:rPr>
            </w:pPr>
            <w:r w:rsidRPr="00916E16">
              <w:rPr>
                <w:sz w:val="18"/>
                <w:szCs w:val="18"/>
              </w:rPr>
              <w:t>4-year non-doctorate-granting</w:t>
            </w:r>
          </w:p>
        </w:tc>
        <w:tc>
          <w:tcPr>
            <w:tcW w:w="943" w:type="dxa"/>
            <w:vAlign w:val="bottom"/>
          </w:tcPr>
          <w:p w:rsidR="007C5423" w:rsidRPr="00916E16" w:rsidRDefault="007C5423" w:rsidP="00826B2F">
            <w:pPr>
              <w:pStyle w:val="Tablebody"/>
              <w:rPr>
                <w:sz w:val="18"/>
                <w:szCs w:val="18"/>
              </w:rPr>
            </w:pPr>
            <w:r>
              <w:rPr>
                <w:sz w:val="18"/>
                <w:szCs w:val="18"/>
              </w:rPr>
              <w:t>8,190</w:t>
            </w:r>
          </w:p>
        </w:tc>
        <w:tc>
          <w:tcPr>
            <w:tcW w:w="845" w:type="dxa"/>
            <w:vAlign w:val="bottom"/>
          </w:tcPr>
          <w:p w:rsidR="007C5423" w:rsidRPr="00916E16" w:rsidRDefault="007C5423" w:rsidP="00744624">
            <w:pPr>
              <w:pStyle w:val="Tablebody"/>
              <w:rPr>
                <w:sz w:val="18"/>
                <w:szCs w:val="18"/>
              </w:rPr>
            </w:pPr>
            <w:r>
              <w:rPr>
                <w:sz w:val="18"/>
                <w:szCs w:val="18"/>
              </w:rPr>
              <w:t>1,777</w:t>
            </w:r>
          </w:p>
        </w:tc>
        <w:tc>
          <w:tcPr>
            <w:tcW w:w="908" w:type="dxa"/>
            <w:vAlign w:val="bottom"/>
          </w:tcPr>
          <w:p w:rsidR="007C5423" w:rsidRPr="00916E16" w:rsidRDefault="007C5423" w:rsidP="00744624">
            <w:pPr>
              <w:pStyle w:val="Tablebody"/>
              <w:rPr>
                <w:sz w:val="18"/>
                <w:szCs w:val="18"/>
              </w:rPr>
            </w:pPr>
            <w:r>
              <w:rPr>
                <w:sz w:val="18"/>
                <w:szCs w:val="18"/>
              </w:rPr>
              <w:t>5,274</w:t>
            </w:r>
          </w:p>
        </w:tc>
        <w:tc>
          <w:tcPr>
            <w:tcW w:w="802" w:type="dxa"/>
            <w:tcBorders>
              <w:right w:val="single" w:sz="4" w:space="0" w:color="auto"/>
            </w:tcBorders>
            <w:vAlign w:val="bottom"/>
          </w:tcPr>
          <w:p w:rsidR="007C5423" w:rsidRPr="00916E16" w:rsidRDefault="007C5423" w:rsidP="00A950CA">
            <w:pPr>
              <w:pStyle w:val="Tablebody"/>
              <w:rPr>
                <w:sz w:val="18"/>
                <w:szCs w:val="18"/>
              </w:rPr>
            </w:pPr>
            <w:r>
              <w:rPr>
                <w:sz w:val="18"/>
                <w:szCs w:val="18"/>
              </w:rPr>
              <w:t>1,140</w:t>
            </w:r>
          </w:p>
        </w:tc>
        <w:tc>
          <w:tcPr>
            <w:tcW w:w="891" w:type="dxa"/>
            <w:tcBorders>
              <w:left w:val="single" w:sz="4" w:space="0" w:color="auto"/>
            </w:tcBorders>
            <w:vAlign w:val="bottom"/>
          </w:tcPr>
          <w:p w:rsidR="007C5423" w:rsidRPr="00916E16" w:rsidRDefault="007C5423" w:rsidP="00A950CA">
            <w:pPr>
              <w:pStyle w:val="Tablebody"/>
              <w:rPr>
                <w:sz w:val="18"/>
                <w:szCs w:val="18"/>
              </w:rPr>
            </w:pPr>
            <w:r>
              <w:rPr>
                <w:sz w:val="18"/>
                <w:szCs w:val="18"/>
              </w:rPr>
              <w:t>7,994</w:t>
            </w:r>
          </w:p>
        </w:tc>
        <w:tc>
          <w:tcPr>
            <w:tcW w:w="802" w:type="dxa"/>
            <w:vAlign w:val="bottom"/>
          </w:tcPr>
          <w:p w:rsidR="007C5423" w:rsidRPr="00916E16" w:rsidRDefault="007C5423" w:rsidP="00A950CA">
            <w:pPr>
              <w:pStyle w:val="Tablebody"/>
              <w:rPr>
                <w:sz w:val="18"/>
                <w:szCs w:val="18"/>
              </w:rPr>
            </w:pPr>
            <w:r>
              <w:rPr>
                <w:sz w:val="18"/>
                <w:szCs w:val="18"/>
              </w:rPr>
              <w:t>1,734</w:t>
            </w:r>
          </w:p>
        </w:tc>
        <w:tc>
          <w:tcPr>
            <w:tcW w:w="802" w:type="dxa"/>
            <w:vAlign w:val="bottom"/>
          </w:tcPr>
          <w:p w:rsidR="007C5423" w:rsidRPr="00916E16" w:rsidRDefault="007C5423" w:rsidP="00A82AB0">
            <w:pPr>
              <w:pStyle w:val="Tablebody"/>
              <w:rPr>
                <w:sz w:val="18"/>
                <w:szCs w:val="18"/>
              </w:rPr>
            </w:pPr>
            <w:r>
              <w:rPr>
                <w:sz w:val="18"/>
                <w:szCs w:val="18"/>
              </w:rPr>
              <w:t>5,147</w:t>
            </w:r>
          </w:p>
        </w:tc>
        <w:tc>
          <w:tcPr>
            <w:tcW w:w="802" w:type="dxa"/>
            <w:tcBorders>
              <w:right w:val="single" w:sz="4" w:space="0" w:color="auto"/>
            </w:tcBorders>
            <w:vAlign w:val="bottom"/>
          </w:tcPr>
          <w:p w:rsidR="007C5423" w:rsidRPr="00916E16" w:rsidRDefault="007C5423" w:rsidP="00A82AB0">
            <w:pPr>
              <w:pStyle w:val="Tablebody"/>
              <w:rPr>
                <w:sz w:val="18"/>
                <w:szCs w:val="18"/>
              </w:rPr>
            </w:pPr>
            <w:r>
              <w:rPr>
                <w:sz w:val="18"/>
                <w:szCs w:val="18"/>
              </w:rPr>
              <w:t>1,112</w:t>
            </w:r>
          </w:p>
        </w:tc>
        <w:tc>
          <w:tcPr>
            <w:tcW w:w="802" w:type="dxa"/>
            <w:tcBorders>
              <w:left w:val="single" w:sz="4" w:space="0" w:color="auto"/>
            </w:tcBorders>
            <w:vAlign w:val="bottom"/>
          </w:tcPr>
          <w:p w:rsidR="007C5423" w:rsidRPr="00916E16" w:rsidRDefault="007C5423" w:rsidP="00A82AB0">
            <w:pPr>
              <w:pStyle w:val="Tablebody"/>
              <w:rPr>
                <w:color w:val="000000"/>
                <w:sz w:val="18"/>
                <w:szCs w:val="18"/>
              </w:rPr>
            </w:pPr>
            <w:r>
              <w:rPr>
                <w:color w:val="000000"/>
                <w:sz w:val="18"/>
                <w:szCs w:val="18"/>
              </w:rPr>
              <w:t>6,458</w:t>
            </w:r>
          </w:p>
        </w:tc>
        <w:tc>
          <w:tcPr>
            <w:tcW w:w="858" w:type="dxa"/>
            <w:vAlign w:val="bottom"/>
          </w:tcPr>
          <w:p w:rsidR="007C5423" w:rsidRPr="00916E16" w:rsidRDefault="007C5423" w:rsidP="0042224C">
            <w:pPr>
              <w:pStyle w:val="Tablebody"/>
              <w:rPr>
                <w:sz w:val="18"/>
                <w:szCs w:val="18"/>
              </w:rPr>
            </w:pPr>
            <w:r>
              <w:rPr>
                <w:sz w:val="18"/>
                <w:szCs w:val="18"/>
              </w:rPr>
              <w:t>1,503</w:t>
            </w:r>
          </w:p>
        </w:tc>
        <w:tc>
          <w:tcPr>
            <w:tcW w:w="858" w:type="dxa"/>
            <w:vAlign w:val="bottom"/>
          </w:tcPr>
          <w:p w:rsidR="007C5423" w:rsidRPr="00916E16" w:rsidRDefault="007C5423" w:rsidP="00203FDF">
            <w:pPr>
              <w:pStyle w:val="Tablebody"/>
              <w:rPr>
                <w:color w:val="000000"/>
                <w:sz w:val="18"/>
                <w:szCs w:val="18"/>
              </w:rPr>
            </w:pPr>
            <w:r>
              <w:rPr>
                <w:color w:val="000000"/>
                <w:sz w:val="18"/>
                <w:szCs w:val="18"/>
              </w:rPr>
              <w:t>4,307</w:t>
            </w:r>
          </w:p>
        </w:tc>
        <w:tc>
          <w:tcPr>
            <w:tcW w:w="689" w:type="dxa"/>
            <w:tcBorders>
              <w:right w:val="single" w:sz="4" w:space="0" w:color="auto"/>
            </w:tcBorders>
            <w:vAlign w:val="bottom"/>
          </w:tcPr>
          <w:p w:rsidR="007C5423" w:rsidRPr="00916E16" w:rsidRDefault="007C5423" w:rsidP="00203FDF">
            <w:pPr>
              <w:pStyle w:val="Tablebody"/>
              <w:rPr>
                <w:color w:val="000000"/>
                <w:sz w:val="18"/>
                <w:szCs w:val="18"/>
              </w:rPr>
            </w:pPr>
            <w:r>
              <w:rPr>
                <w:color w:val="000000"/>
                <w:sz w:val="18"/>
                <w:szCs w:val="18"/>
              </w:rPr>
              <w:t>648</w:t>
            </w:r>
          </w:p>
        </w:tc>
        <w:tc>
          <w:tcPr>
            <w:tcW w:w="713" w:type="dxa"/>
            <w:tcBorders>
              <w:left w:val="single" w:sz="4" w:space="0" w:color="auto"/>
            </w:tcBorders>
            <w:vAlign w:val="bottom"/>
          </w:tcPr>
          <w:p w:rsidR="007C5423" w:rsidRPr="00916E16" w:rsidRDefault="007C5423" w:rsidP="00081707">
            <w:pPr>
              <w:pStyle w:val="Tablebody"/>
              <w:rPr>
                <w:sz w:val="18"/>
                <w:szCs w:val="18"/>
              </w:rPr>
            </w:pPr>
            <w:r>
              <w:rPr>
                <w:sz w:val="18"/>
                <w:szCs w:val="18"/>
              </w:rPr>
              <w:t>55</w:t>
            </w:r>
          </w:p>
        </w:tc>
      </w:tr>
      <w:tr w:rsidR="007C5423" w:rsidRPr="00916E16">
        <w:trPr>
          <w:trHeight w:val="273"/>
        </w:trPr>
        <w:tc>
          <w:tcPr>
            <w:tcW w:w="2759" w:type="dxa"/>
            <w:vAlign w:val="bottom"/>
          </w:tcPr>
          <w:p w:rsidR="007C5423" w:rsidRPr="00916E16" w:rsidRDefault="007C5423" w:rsidP="00847AD0">
            <w:pPr>
              <w:pStyle w:val="2enspsubgroup1"/>
              <w:rPr>
                <w:sz w:val="18"/>
                <w:szCs w:val="18"/>
              </w:rPr>
            </w:pPr>
            <w:r w:rsidRPr="00916E16">
              <w:rPr>
                <w:sz w:val="18"/>
                <w:szCs w:val="18"/>
              </w:rPr>
              <w:t>4-year doctorate-granting</w:t>
            </w:r>
          </w:p>
        </w:tc>
        <w:tc>
          <w:tcPr>
            <w:tcW w:w="943" w:type="dxa"/>
            <w:vAlign w:val="bottom"/>
          </w:tcPr>
          <w:p w:rsidR="007C5423" w:rsidRPr="00916E16" w:rsidRDefault="007C5423" w:rsidP="00826B2F">
            <w:pPr>
              <w:pStyle w:val="Tablebody"/>
              <w:rPr>
                <w:sz w:val="18"/>
                <w:szCs w:val="18"/>
              </w:rPr>
            </w:pPr>
            <w:r>
              <w:rPr>
                <w:sz w:val="18"/>
                <w:szCs w:val="18"/>
              </w:rPr>
              <w:t>19,560</w:t>
            </w:r>
          </w:p>
        </w:tc>
        <w:tc>
          <w:tcPr>
            <w:tcW w:w="845" w:type="dxa"/>
            <w:vAlign w:val="bottom"/>
          </w:tcPr>
          <w:p w:rsidR="007C5423" w:rsidRPr="00916E16" w:rsidRDefault="007C5423" w:rsidP="00744624">
            <w:pPr>
              <w:pStyle w:val="Tablebody"/>
              <w:rPr>
                <w:sz w:val="18"/>
                <w:szCs w:val="18"/>
              </w:rPr>
            </w:pPr>
            <w:r>
              <w:rPr>
                <w:sz w:val="18"/>
                <w:szCs w:val="18"/>
              </w:rPr>
              <w:t>3,514</w:t>
            </w:r>
          </w:p>
        </w:tc>
        <w:tc>
          <w:tcPr>
            <w:tcW w:w="908" w:type="dxa"/>
            <w:vAlign w:val="bottom"/>
          </w:tcPr>
          <w:p w:rsidR="007C5423" w:rsidRPr="00916E16" w:rsidRDefault="007C5423" w:rsidP="00A950CA">
            <w:pPr>
              <w:pStyle w:val="Tablebody"/>
              <w:rPr>
                <w:sz w:val="18"/>
                <w:szCs w:val="18"/>
              </w:rPr>
            </w:pPr>
            <w:r>
              <w:rPr>
                <w:sz w:val="18"/>
                <w:szCs w:val="18"/>
              </w:rPr>
              <w:t>11,883</w:t>
            </w:r>
          </w:p>
        </w:tc>
        <w:tc>
          <w:tcPr>
            <w:tcW w:w="802" w:type="dxa"/>
            <w:tcBorders>
              <w:right w:val="single" w:sz="4" w:space="0" w:color="auto"/>
            </w:tcBorders>
            <w:vAlign w:val="bottom"/>
          </w:tcPr>
          <w:p w:rsidR="007C5423" w:rsidRPr="00916E16" w:rsidRDefault="007C5423" w:rsidP="00A950CA">
            <w:pPr>
              <w:pStyle w:val="Tablebody"/>
              <w:rPr>
                <w:sz w:val="18"/>
                <w:szCs w:val="18"/>
              </w:rPr>
            </w:pPr>
            <w:r>
              <w:rPr>
                <w:sz w:val="18"/>
                <w:szCs w:val="18"/>
              </w:rPr>
              <w:t>4,162</w:t>
            </w:r>
          </w:p>
        </w:tc>
        <w:tc>
          <w:tcPr>
            <w:tcW w:w="891" w:type="dxa"/>
            <w:tcBorders>
              <w:left w:val="single" w:sz="4" w:space="0" w:color="auto"/>
            </w:tcBorders>
            <w:vAlign w:val="bottom"/>
          </w:tcPr>
          <w:p w:rsidR="007C5423" w:rsidRPr="00916E16" w:rsidRDefault="007C5423" w:rsidP="00A950CA">
            <w:pPr>
              <w:pStyle w:val="Tablebody"/>
              <w:rPr>
                <w:sz w:val="18"/>
                <w:szCs w:val="18"/>
              </w:rPr>
            </w:pPr>
            <w:r>
              <w:rPr>
                <w:sz w:val="18"/>
                <w:szCs w:val="18"/>
              </w:rPr>
              <w:t>19,180</w:t>
            </w:r>
          </w:p>
        </w:tc>
        <w:tc>
          <w:tcPr>
            <w:tcW w:w="802" w:type="dxa"/>
            <w:vAlign w:val="bottom"/>
          </w:tcPr>
          <w:p w:rsidR="007C5423" w:rsidRPr="00916E16" w:rsidRDefault="007C5423" w:rsidP="00A950CA">
            <w:pPr>
              <w:pStyle w:val="Tablebody"/>
              <w:rPr>
                <w:sz w:val="18"/>
                <w:szCs w:val="18"/>
              </w:rPr>
            </w:pPr>
            <w:r>
              <w:rPr>
                <w:sz w:val="18"/>
                <w:szCs w:val="18"/>
              </w:rPr>
              <w:t>3,446</w:t>
            </w:r>
          </w:p>
        </w:tc>
        <w:tc>
          <w:tcPr>
            <w:tcW w:w="802" w:type="dxa"/>
            <w:vAlign w:val="bottom"/>
          </w:tcPr>
          <w:p w:rsidR="007C5423" w:rsidRPr="00916E16" w:rsidRDefault="007C5423" w:rsidP="00A82AB0">
            <w:pPr>
              <w:pStyle w:val="Tablebody"/>
              <w:rPr>
                <w:sz w:val="18"/>
                <w:szCs w:val="18"/>
              </w:rPr>
            </w:pPr>
            <w:r>
              <w:rPr>
                <w:sz w:val="18"/>
                <w:szCs w:val="18"/>
              </w:rPr>
              <w:t>11,652</w:t>
            </w:r>
          </w:p>
        </w:tc>
        <w:tc>
          <w:tcPr>
            <w:tcW w:w="802" w:type="dxa"/>
            <w:tcBorders>
              <w:right w:val="single" w:sz="4" w:space="0" w:color="auto"/>
            </w:tcBorders>
            <w:vAlign w:val="bottom"/>
          </w:tcPr>
          <w:p w:rsidR="007C5423" w:rsidRPr="00916E16" w:rsidRDefault="007C5423" w:rsidP="00A82AB0">
            <w:pPr>
              <w:pStyle w:val="Tablebody"/>
              <w:rPr>
                <w:sz w:val="18"/>
                <w:szCs w:val="18"/>
              </w:rPr>
            </w:pPr>
            <w:r>
              <w:rPr>
                <w:sz w:val="18"/>
                <w:szCs w:val="18"/>
              </w:rPr>
              <w:t>4,081</w:t>
            </w:r>
          </w:p>
        </w:tc>
        <w:tc>
          <w:tcPr>
            <w:tcW w:w="802" w:type="dxa"/>
            <w:tcBorders>
              <w:left w:val="single" w:sz="4" w:space="0" w:color="auto"/>
            </w:tcBorders>
            <w:vAlign w:val="bottom"/>
          </w:tcPr>
          <w:p w:rsidR="007C5423" w:rsidRPr="00916E16" w:rsidRDefault="007C5423" w:rsidP="00CB65F9">
            <w:pPr>
              <w:pStyle w:val="Tablebody"/>
              <w:rPr>
                <w:color w:val="000000"/>
                <w:sz w:val="18"/>
                <w:szCs w:val="18"/>
              </w:rPr>
            </w:pPr>
            <w:r>
              <w:rPr>
                <w:color w:val="000000"/>
                <w:sz w:val="18"/>
                <w:szCs w:val="18"/>
              </w:rPr>
              <w:t>15,842</w:t>
            </w:r>
          </w:p>
        </w:tc>
        <w:tc>
          <w:tcPr>
            <w:tcW w:w="858" w:type="dxa"/>
            <w:vAlign w:val="bottom"/>
          </w:tcPr>
          <w:p w:rsidR="007C5423" w:rsidRPr="00916E16" w:rsidRDefault="007C5423" w:rsidP="0042224C">
            <w:pPr>
              <w:pStyle w:val="Tablebody"/>
              <w:rPr>
                <w:sz w:val="18"/>
                <w:szCs w:val="18"/>
              </w:rPr>
            </w:pPr>
            <w:r>
              <w:rPr>
                <w:sz w:val="18"/>
                <w:szCs w:val="18"/>
              </w:rPr>
              <w:t>3,053</w:t>
            </w:r>
          </w:p>
        </w:tc>
        <w:tc>
          <w:tcPr>
            <w:tcW w:w="858" w:type="dxa"/>
            <w:vAlign w:val="bottom"/>
          </w:tcPr>
          <w:p w:rsidR="007C5423" w:rsidRPr="00916E16" w:rsidRDefault="007C5423" w:rsidP="00203FDF">
            <w:pPr>
              <w:pStyle w:val="Tablebody"/>
              <w:rPr>
                <w:color w:val="000000"/>
                <w:sz w:val="18"/>
                <w:szCs w:val="18"/>
              </w:rPr>
            </w:pPr>
            <w:r>
              <w:rPr>
                <w:color w:val="000000"/>
                <w:sz w:val="18"/>
                <w:szCs w:val="18"/>
              </w:rPr>
              <w:t>9,708</w:t>
            </w:r>
          </w:p>
        </w:tc>
        <w:tc>
          <w:tcPr>
            <w:tcW w:w="689" w:type="dxa"/>
            <w:tcBorders>
              <w:right w:val="single" w:sz="4" w:space="0" w:color="auto"/>
            </w:tcBorders>
            <w:vAlign w:val="bottom"/>
          </w:tcPr>
          <w:p w:rsidR="007C5423" w:rsidRPr="00916E16" w:rsidRDefault="007C5423" w:rsidP="00203FDF">
            <w:pPr>
              <w:pStyle w:val="Tablebody"/>
              <w:rPr>
                <w:color w:val="000000"/>
                <w:sz w:val="18"/>
                <w:szCs w:val="18"/>
              </w:rPr>
            </w:pPr>
            <w:r>
              <w:rPr>
                <w:color w:val="000000"/>
                <w:sz w:val="18"/>
                <w:szCs w:val="18"/>
              </w:rPr>
              <w:t>3,081</w:t>
            </w:r>
          </w:p>
        </w:tc>
        <w:tc>
          <w:tcPr>
            <w:tcW w:w="713" w:type="dxa"/>
            <w:tcBorders>
              <w:left w:val="single" w:sz="4" w:space="0" w:color="auto"/>
            </w:tcBorders>
            <w:vAlign w:val="bottom"/>
          </w:tcPr>
          <w:p w:rsidR="007C5423" w:rsidRPr="00916E16" w:rsidRDefault="007C5423" w:rsidP="00081707">
            <w:pPr>
              <w:pStyle w:val="Tablebody"/>
              <w:rPr>
                <w:sz w:val="18"/>
                <w:szCs w:val="18"/>
              </w:rPr>
            </w:pPr>
            <w:r>
              <w:rPr>
                <w:sz w:val="18"/>
                <w:szCs w:val="18"/>
              </w:rPr>
              <w:t>79</w:t>
            </w:r>
          </w:p>
        </w:tc>
      </w:tr>
      <w:tr w:rsidR="007C5423" w:rsidRPr="00916E16">
        <w:trPr>
          <w:trHeight w:hRule="exact" w:val="152"/>
        </w:trPr>
        <w:tc>
          <w:tcPr>
            <w:tcW w:w="2759" w:type="dxa"/>
            <w:vAlign w:val="bottom"/>
          </w:tcPr>
          <w:p w:rsidR="007C5423" w:rsidRPr="00916E16" w:rsidRDefault="007C5423" w:rsidP="00847AD0">
            <w:pPr>
              <w:pStyle w:val="Tabletext"/>
              <w:rPr>
                <w:sz w:val="18"/>
                <w:szCs w:val="18"/>
              </w:rPr>
            </w:pPr>
          </w:p>
        </w:tc>
        <w:tc>
          <w:tcPr>
            <w:tcW w:w="943" w:type="dxa"/>
            <w:vAlign w:val="bottom"/>
          </w:tcPr>
          <w:p w:rsidR="007C5423" w:rsidRPr="00916E16" w:rsidRDefault="007C5423" w:rsidP="00847AD0">
            <w:pPr>
              <w:pStyle w:val="Tablebody"/>
              <w:rPr>
                <w:sz w:val="18"/>
                <w:szCs w:val="18"/>
              </w:rPr>
            </w:pPr>
          </w:p>
        </w:tc>
        <w:tc>
          <w:tcPr>
            <w:tcW w:w="845" w:type="dxa"/>
            <w:vAlign w:val="bottom"/>
          </w:tcPr>
          <w:p w:rsidR="007C5423" w:rsidRPr="00916E16" w:rsidRDefault="007C5423" w:rsidP="00847AD0">
            <w:pPr>
              <w:pStyle w:val="Tablebody"/>
              <w:rPr>
                <w:sz w:val="18"/>
                <w:szCs w:val="18"/>
              </w:rPr>
            </w:pPr>
          </w:p>
        </w:tc>
        <w:tc>
          <w:tcPr>
            <w:tcW w:w="908" w:type="dxa"/>
            <w:vAlign w:val="bottom"/>
          </w:tcPr>
          <w:p w:rsidR="007C5423" w:rsidRPr="00916E16" w:rsidRDefault="007C5423" w:rsidP="00847AD0">
            <w:pPr>
              <w:pStyle w:val="Tablebody"/>
              <w:rPr>
                <w:sz w:val="18"/>
                <w:szCs w:val="18"/>
              </w:rPr>
            </w:pPr>
          </w:p>
        </w:tc>
        <w:tc>
          <w:tcPr>
            <w:tcW w:w="802" w:type="dxa"/>
            <w:tcBorders>
              <w:right w:val="single" w:sz="4" w:space="0" w:color="auto"/>
            </w:tcBorders>
            <w:vAlign w:val="bottom"/>
          </w:tcPr>
          <w:p w:rsidR="007C5423" w:rsidRPr="00916E16" w:rsidRDefault="007C5423" w:rsidP="00847AD0">
            <w:pPr>
              <w:pStyle w:val="Tablebody"/>
              <w:rPr>
                <w:sz w:val="18"/>
                <w:szCs w:val="18"/>
              </w:rPr>
            </w:pPr>
          </w:p>
        </w:tc>
        <w:tc>
          <w:tcPr>
            <w:tcW w:w="891" w:type="dxa"/>
            <w:tcBorders>
              <w:left w:val="single" w:sz="4" w:space="0" w:color="auto"/>
            </w:tcBorders>
            <w:vAlign w:val="bottom"/>
          </w:tcPr>
          <w:p w:rsidR="007C5423" w:rsidRPr="00916E16" w:rsidRDefault="007C5423" w:rsidP="00847AD0">
            <w:pPr>
              <w:pStyle w:val="Tablebody"/>
              <w:rPr>
                <w:sz w:val="18"/>
                <w:szCs w:val="18"/>
              </w:rPr>
            </w:pPr>
          </w:p>
        </w:tc>
        <w:tc>
          <w:tcPr>
            <w:tcW w:w="802" w:type="dxa"/>
            <w:vAlign w:val="bottom"/>
          </w:tcPr>
          <w:p w:rsidR="007C5423" w:rsidRPr="00916E16" w:rsidRDefault="007C5423" w:rsidP="00847AD0">
            <w:pPr>
              <w:pStyle w:val="Tablebody"/>
              <w:rPr>
                <w:sz w:val="18"/>
                <w:szCs w:val="18"/>
              </w:rPr>
            </w:pPr>
          </w:p>
        </w:tc>
        <w:tc>
          <w:tcPr>
            <w:tcW w:w="802" w:type="dxa"/>
            <w:vAlign w:val="bottom"/>
          </w:tcPr>
          <w:p w:rsidR="007C5423" w:rsidRPr="00916E16" w:rsidRDefault="007C5423" w:rsidP="00847AD0">
            <w:pPr>
              <w:pStyle w:val="Tablebody"/>
              <w:rPr>
                <w:sz w:val="18"/>
                <w:szCs w:val="18"/>
              </w:rPr>
            </w:pPr>
          </w:p>
        </w:tc>
        <w:tc>
          <w:tcPr>
            <w:tcW w:w="802" w:type="dxa"/>
            <w:tcBorders>
              <w:right w:val="single" w:sz="4" w:space="0" w:color="auto"/>
            </w:tcBorders>
            <w:vAlign w:val="bottom"/>
          </w:tcPr>
          <w:p w:rsidR="007C5423" w:rsidRPr="00916E16" w:rsidRDefault="007C5423" w:rsidP="00847AD0">
            <w:pPr>
              <w:pStyle w:val="Tablebody"/>
              <w:rPr>
                <w:sz w:val="18"/>
                <w:szCs w:val="18"/>
              </w:rPr>
            </w:pPr>
          </w:p>
        </w:tc>
        <w:tc>
          <w:tcPr>
            <w:tcW w:w="802" w:type="dxa"/>
            <w:tcBorders>
              <w:left w:val="single" w:sz="4" w:space="0" w:color="auto"/>
            </w:tcBorders>
            <w:vAlign w:val="bottom"/>
          </w:tcPr>
          <w:p w:rsidR="007C5423" w:rsidRPr="00916E16" w:rsidRDefault="007C5423" w:rsidP="00847AD0">
            <w:pPr>
              <w:pStyle w:val="Tablebody"/>
              <w:rPr>
                <w:color w:val="000000"/>
                <w:sz w:val="18"/>
                <w:szCs w:val="18"/>
              </w:rPr>
            </w:pPr>
          </w:p>
        </w:tc>
        <w:tc>
          <w:tcPr>
            <w:tcW w:w="858" w:type="dxa"/>
            <w:vAlign w:val="bottom"/>
          </w:tcPr>
          <w:p w:rsidR="007C5423" w:rsidRPr="00916E16" w:rsidRDefault="007C5423" w:rsidP="00847AD0">
            <w:pPr>
              <w:pStyle w:val="Tablebody"/>
              <w:rPr>
                <w:sz w:val="18"/>
                <w:szCs w:val="18"/>
              </w:rPr>
            </w:pPr>
          </w:p>
        </w:tc>
        <w:tc>
          <w:tcPr>
            <w:tcW w:w="858" w:type="dxa"/>
            <w:vAlign w:val="bottom"/>
          </w:tcPr>
          <w:p w:rsidR="007C5423" w:rsidRPr="00916E16" w:rsidRDefault="007C5423" w:rsidP="00847AD0">
            <w:pPr>
              <w:pStyle w:val="Tablebody"/>
              <w:rPr>
                <w:color w:val="000000"/>
                <w:sz w:val="18"/>
                <w:szCs w:val="18"/>
              </w:rPr>
            </w:pPr>
          </w:p>
        </w:tc>
        <w:tc>
          <w:tcPr>
            <w:tcW w:w="689" w:type="dxa"/>
            <w:tcBorders>
              <w:right w:val="single" w:sz="4" w:space="0" w:color="auto"/>
            </w:tcBorders>
            <w:vAlign w:val="bottom"/>
          </w:tcPr>
          <w:p w:rsidR="007C5423" w:rsidRPr="00916E16" w:rsidRDefault="007C5423" w:rsidP="00847AD0">
            <w:pPr>
              <w:pStyle w:val="Tablebody"/>
              <w:rPr>
                <w:color w:val="000000"/>
                <w:sz w:val="18"/>
                <w:szCs w:val="18"/>
              </w:rPr>
            </w:pPr>
          </w:p>
        </w:tc>
        <w:tc>
          <w:tcPr>
            <w:tcW w:w="713" w:type="dxa"/>
            <w:tcBorders>
              <w:left w:val="single" w:sz="4" w:space="0" w:color="auto"/>
            </w:tcBorders>
            <w:vAlign w:val="bottom"/>
          </w:tcPr>
          <w:p w:rsidR="007C5423" w:rsidRPr="00916E16" w:rsidRDefault="007C5423" w:rsidP="00847AD0">
            <w:pPr>
              <w:pStyle w:val="Tablebody"/>
              <w:rPr>
                <w:sz w:val="18"/>
                <w:szCs w:val="18"/>
              </w:rPr>
            </w:pPr>
          </w:p>
        </w:tc>
      </w:tr>
      <w:tr w:rsidR="007C5423" w:rsidRPr="00916E16">
        <w:trPr>
          <w:trHeight w:val="273"/>
        </w:trPr>
        <w:tc>
          <w:tcPr>
            <w:tcW w:w="2759" w:type="dxa"/>
            <w:vAlign w:val="bottom"/>
          </w:tcPr>
          <w:p w:rsidR="007C5423" w:rsidRPr="00916E16" w:rsidRDefault="007C5423" w:rsidP="00847AD0">
            <w:pPr>
              <w:pStyle w:val="Tabletext"/>
              <w:rPr>
                <w:sz w:val="18"/>
                <w:szCs w:val="18"/>
              </w:rPr>
            </w:pPr>
            <w:r w:rsidRPr="00916E16">
              <w:rPr>
                <w:sz w:val="18"/>
                <w:szCs w:val="18"/>
              </w:rPr>
              <w:t>Private not-for-profit</w:t>
            </w:r>
          </w:p>
        </w:tc>
        <w:tc>
          <w:tcPr>
            <w:tcW w:w="943" w:type="dxa"/>
            <w:vAlign w:val="bottom"/>
          </w:tcPr>
          <w:p w:rsidR="007C5423" w:rsidRPr="00916E16" w:rsidRDefault="007C5423" w:rsidP="00847AD0">
            <w:pPr>
              <w:pStyle w:val="Tablebody"/>
              <w:rPr>
                <w:sz w:val="18"/>
                <w:szCs w:val="18"/>
              </w:rPr>
            </w:pPr>
          </w:p>
        </w:tc>
        <w:tc>
          <w:tcPr>
            <w:tcW w:w="845" w:type="dxa"/>
            <w:vAlign w:val="bottom"/>
          </w:tcPr>
          <w:p w:rsidR="007C5423" w:rsidRPr="00916E16" w:rsidRDefault="007C5423" w:rsidP="00847AD0">
            <w:pPr>
              <w:pStyle w:val="Tablebody"/>
              <w:rPr>
                <w:sz w:val="18"/>
                <w:szCs w:val="18"/>
              </w:rPr>
            </w:pPr>
          </w:p>
        </w:tc>
        <w:tc>
          <w:tcPr>
            <w:tcW w:w="908" w:type="dxa"/>
            <w:vAlign w:val="bottom"/>
          </w:tcPr>
          <w:p w:rsidR="007C5423" w:rsidRPr="00916E16" w:rsidRDefault="007C5423" w:rsidP="00847AD0">
            <w:pPr>
              <w:pStyle w:val="Tablebody"/>
              <w:rPr>
                <w:sz w:val="18"/>
                <w:szCs w:val="18"/>
              </w:rPr>
            </w:pPr>
          </w:p>
        </w:tc>
        <w:tc>
          <w:tcPr>
            <w:tcW w:w="802" w:type="dxa"/>
            <w:tcBorders>
              <w:right w:val="single" w:sz="4" w:space="0" w:color="auto"/>
            </w:tcBorders>
            <w:vAlign w:val="bottom"/>
          </w:tcPr>
          <w:p w:rsidR="007C5423" w:rsidRPr="00916E16" w:rsidRDefault="007C5423" w:rsidP="00847AD0">
            <w:pPr>
              <w:pStyle w:val="Tablebody"/>
              <w:rPr>
                <w:sz w:val="18"/>
                <w:szCs w:val="18"/>
              </w:rPr>
            </w:pPr>
          </w:p>
        </w:tc>
        <w:tc>
          <w:tcPr>
            <w:tcW w:w="891" w:type="dxa"/>
            <w:tcBorders>
              <w:left w:val="single" w:sz="4" w:space="0" w:color="auto"/>
            </w:tcBorders>
            <w:vAlign w:val="bottom"/>
          </w:tcPr>
          <w:p w:rsidR="007C5423" w:rsidRPr="00916E16" w:rsidRDefault="007C5423" w:rsidP="00847AD0">
            <w:pPr>
              <w:pStyle w:val="Tablebody"/>
              <w:rPr>
                <w:sz w:val="18"/>
                <w:szCs w:val="18"/>
              </w:rPr>
            </w:pPr>
          </w:p>
        </w:tc>
        <w:tc>
          <w:tcPr>
            <w:tcW w:w="802" w:type="dxa"/>
            <w:vAlign w:val="bottom"/>
          </w:tcPr>
          <w:p w:rsidR="007C5423" w:rsidRPr="00916E16" w:rsidRDefault="007C5423" w:rsidP="00847AD0">
            <w:pPr>
              <w:pStyle w:val="Tablebody"/>
              <w:rPr>
                <w:sz w:val="18"/>
                <w:szCs w:val="18"/>
              </w:rPr>
            </w:pPr>
          </w:p>
        </w:tc>
        <w:tc>
          <w:tcPr>
            <w:tcW w:w="802" w:type="dxa"/>
            <w:vAlign w:val="bottom"/>
          </w:tcPr>
          <w:p w:rsidR="007C5423" w:rsidRPr="00916E16" w:rsidRDefault="007C5423" w:rsidP="00847AD0">
            <w:pPr>
              <w:pStyle w:val="Tablebody"/>
              <w:rPr>
                <w:sz w:val="18"/>
                <w:szCs w:val="18"/>
              </w:rPr>
            </w:pPr>
          </w:p>
        </w:tc>
        <w:tc>
          <w:tcPr>
            <w:tcW w:w="802" w:type="dxa"/>
            <w:tcBorders>
              <w:right w:val="single" w:sz="4" w:space="0" w:color="auto"/>
            </w:tcBorders>
            <w:vAlign w:val="bottom"/>
          </w:tcPr>
          <w:p w:rsidR="007C5423" w:rsidRPr="00916E16" w:rsidRDefault="007C5423" w:rsidP="00847AD0">
            <w:pPr>
              <w:pStyle w:val="Tablebody"/>
              <w:rPr>
                <w:sz w:val="18"/>
                <w:szCs w:val="18"/>
              </w:rPr>
            </w:pPr>
          </w:p>
        </w:tc>
        <w:tc>
          <w:tcPr>
            <w:tcW w:w="802" w:type="dxa"/>
            <w:tcBorders>
              <w:left w:val="single" w:sz="4" w:space="0" w:color="auto"/>
            </w:tcBorders>
            <w:vAlign w:val="bottom"/>
          </w:tcPr>
          <w:p w:rsidR="007C5423" w:rsidRPr="00916E16" w:rsidRDefault="007C5423" w:rsidP="00847AD0">
            <w:pPr>
              <w:pStyle w:val="Tablebody"/>
              <w:rPr>
                <w:color w:val="000000"/>
                <w:sz w:val="18"/>
                <w:szCs w:val="18"/>
              </w:rPr>
            </w:pPr>
          </w:p>
        </w:tc>
        <w:tc>
          <w:tcPr>
            <w:tcW w:w="858" w:type="dxa"/>
            <w:vAlign w:val="bottom"/>
          </w:tcPr>
          <w:p w:rsidR="007C5423" w:rsidRPr="00916E16" w:rsidRDefault="007C5423" w:rsidP="00847AD0">
            <w:pPr>
              <w:pStyle w:val="Tablebody"/>
              <w:rPr>
                <w:sz w:val="18"/>
                <w:szCs w:val="18"/>
              </w:rPr>
            </w:pPr>
          </w:p>
        </w:tc>
        <w:tc>
          <w:tcPr>
            <w:tcW w:w="858" w:type="dxa"/>
            <w:vAlign w:val="bottom"/>
          </w:tcPr>
          <w:p w:rsidR="007C5423" w:rsidRPr="00916E16" w:rsidRDefault="007C5423" w:rsidP="00847AD0">
            <w:pPr>
              <w:pStyle w:val="Tablebody"/>
              <w:rPr>
                <w:color w:val="000000"/>
                <w:sz w:val="18"/>
                <w:szCs w:val="18"/>
              </w:rPr>
            </w:pPr>
          </w:p>
        </w:tc>
        <w:tc>
          <w:tcPr>
            <w:tcW w:w="689" w:type="dxa"/>
            <w:tcBorders>
              <w:right w:val="single" w:sz="4" w:space="0" w:color="auto"/>
            </w:tcBorders>
            <w:vAlign w:val="bottom"/>
          </w:tcPr>
          <w:p w:rsidR="007C5423" w:rsidRPr="00916E16" w:rsidRDefault="007C5423" w:rsidP="00847AD0">
            <w:pPr>
              <w:pStyle w:val="Tablebody"/>
              <w:rPr>
                <w:color w:val="000000"/>
                <w:sz w:val="18"/>
                <w:szCs w:val="18"/>
              </w:rPr>
            </w:pPr>
          </w:p>
        </w:tc>
        <w:tc>
          <w:tcPr>
            <w:tcW w:w="713" w:type="dxa"/>
            <w:tcBorders>
              <w:left w:val="single" w:sz="4" w:space="0" w:color="auto"/>
            </w:tcBorders>
            <w:vAlign w:val="bottom"/>
          </w:tcPr>
          <w:p w:rsidR="007C5423" w:rsidRPr="00916E16" w:rsidRDefault="007C5423" w:rsidP="00847AD0">
            <w:pPr>
              <w:pStyle w:val="Tablebody"/>
              <w:rPr>
                <w:sz w:val="18"/>
                <w:szCs w:val="18"/>
              </w:rPr>
            </w:pPr>
          </w:p>
        </w:tc>
      </w:tr>
      <w:tr w:rsidR="007C5423" w:rsidRPr="00916E16">
        <w:trPr>
          <w:trHeight w:val="273"/>
        </w:trPr>
        <w:tc>
          <w:tcPr>
            <w:tcW w:w="2759" w:type="dxa"/>
            <w:vAlign w:val="bottom"/>
          </w:tcPr>
          <w:p w:rsidR="007C5423" w:rsidRPr="00916E16" w:rsidRDefault="007C5423" w:rsidP="00847AD0">
            <w:pPr>
              <w:pStyle w:val="2enspsubgroup1"/>
              <w:rPr>
                <w:sz w:val="18"/>
                <w:szCs w:val="18"/>
              </w:rPr>
            </w:pPr>
            <w:r w:rsidRPr="00916E16">
              <w:rPr>
                <w:sz w:val="18"/>
                <w:szCs w:val="18"/>
              </w:rPr>
              <w:t>Less-than-4-year</w:t>
            </w:r>
          </w:p>
        </w:tc>
        <w:tc>
          <w:tcPr>
            <w:tcW w:w="943" w:type="dxa"/>
            <w:vAlign w:val="bottom"/>
          </w:tcPr>
          <w:p w:rsidR="007C5423" w:rsidRPr="00916E16" w:rsidRDefault="007C5423" w:rsidP="00826B2F">
            <w:pPr>
              <w:pStyle w:val="Tablebody"/>
              <w:rPr>
                <w:sz w:val="18"/>
                <w:szCs w:val="18"/>
              </w:rPr>
            </w:pPr>
            <w:r>
              <w:rPr>
                <w:sz w:val="18"/>
                <w:szCs w:val="18"/>
              </w:rPr>
              <w:t>1,606</w:t>
            </w:r>
          </w:p>
        </w:tc>
        <w:tc>
          <w:tcPr>
            <w:tcW w:w="845" w:type="dxa"/>
            <w:vAlign w:val="bottom"/>
          </w:tcPr>
          <w:p w:rsidR="007C5423" w:rsidRPr="00916E16" w:rsidRDefault="007C5423" w:rsidP="00744624">
            <w:pPr>
              <w:pStyle w:val="Tablebody"/>
              <w:rPr>
                <w:sz w:val="18"/>
                <w:szCs w:val="18"/>
              </w:rPr>
            </w:pPr>
            <w:r>
              <w:rPr>
                <w:sz w:val="18"/>
                <w:szCs w:val="18"/>
              </w:rPr>
              <w:t>852</w:t>
            </w:r>
          </w:p>
        </w:tc>
        <w:tc>
          <w:tcPr>
            <w:tcW w:w="908" w:type="dxa"/>
            <w:vAlign w:val="bottom"/>
          </w:tcPr>
          <w:p w:rsidR="007C5423" w:rsidRPr="00916E16" w:rsidRDefault="007C5423" w:rsidP="00A950CA">
            <w:pPr>
              <w:pStyle w:val="Tablebody"/>
              <w:rPr>
                <w:sz w:val="18"/>
                <w:szCs w:val="18"/>
              </w:rPr>
            </w:pPr>
            <w:r>
              <w:rPr>
                <w:sz w:val="18"/>
                <w:szCs w:val="18"/>
              </w:rPr>
              <w:t>754</w:t>
            </w:r>
          </w:p>
        </w:tc>
        <w:tc>
          <w:tcPr>
            <w:tcW w:w="802" w:type="dxa"/>
            <w:tcBorders>
              <w:right w:val="single" w:sz="4" w:space="0" w:color="auto"/>
            </w:tcBorders>
            <w:vAlign w:val="bottom"/>
          </w:tcPr>
          <w:p w:rsidR="007C5423" w:rsidRPr="00916E16" w:rsidRDefault="007C5423" w:rsidP="00847AD0">
            <w:pPr>
              <w:pStyle w:val="Tablebody"/>
              <w:rPr>
                <w:sz w:val="18"/>
                <w:szCs w:val="18"/>
              </w:rPr>
            </w:pPr>
            <w:r w:rsidRPr="00916E16">
              <w:rPr>
                <w:sz w:val="18"/>
                <w:szCs w:val="18"/>
              </w:rPr>
              <w:t>0</w:t>
            </w:r>
          </w:p>
        </w:tc>
        <w:tc>
          <w:tcPr>
            <w:tcW w:w="891" w:type="dxa"/>
            <w:tcBorders>
              <w:left w:val="single" w:sz="4" w:space="0" w:color="auto"/>
            </w:tcBorders>
            <w:vAlign w:val="bottom"/>
          </w:tcPr>
          <w:p w:rsidR="007C5423" w:rsidRPr="00916E16" w:rsidRDefault="007C5423" w:rsidP="00A950CA">
            <w:pPr>
              <w:pStyle w:val="Tablebody"/>
              <w:rPr>
                <w:sz w:val="18"/>
                <w:szCs w:val="18"/>
              </w:rPr>
            </w:pPr>
            <w:r>
              <w:rPr>
                <w:sz w:val="18"/>
                <w:szCs w:val="18"/>
              </w:rPr>
              <w:t>1,443</w:t>
            </w:r>
          </w:p>
        </w:tc>
        <w:tc>
          <w:tcPr>
            <w:tcW w:w="802" w:type="dxa"/>
            <w:vAlign w:val="bottom"/>
          </w:tcPr>
          <w:p w:rsidR="007C5423" w:rsidRPr="00916E16" w:rsidRDefault="007C5423" w:rsidP="00A950CA">
            <w:pPr>
              <w:pStyle w:val="Tablebody"/>
              <w:rPr>
                <w:sz w:val="18"/>
                <w:szCs w:val="18"/>
              </w:rPr>
            </w:pPr>
            <w:r>
              <w:rPr>
                <w:sz w:val="18"/>
                <w:szCs w:val="18"/>
              </w:rPr>
              <w:t>766</w:t>
            </w:r>
          </w:p>
        </w:tc>
        <w:tc>
          <w:tcPr>
            <w:tcW w:w="802" w:type="dxa"/>
            <w:vAlign w:val="bottom"/>
          </w:tcPr>
          <w:p w:rsidR="007C5423" w:rsidRPr="00916E16" w:rsidRDefault="007C5423" w:rsidP="00A82AB0">
            <w:pPr>
              <w:pStyle w:val="Tablebody"/>
              <w:rPr>
                <w:sz w:val="18"/>
                <w:szCs w:val="18"/>
              </w:rPr>
            </w:pPr>
            <w:r>
              <w:rPr>
                <w:sz w:val="18"/>
                <w:szCs w:val="18"/>
              </w:rPr>
              <w:t>677</w:t>
            </w:r>
          </w:p>
        </w:tc>
        <w:tc>
          <w:tcPr>
            <w:tcW w:w="802" w:type="dxa"/>
            <w:tcBorders>
              <w:right w:val="single" w:sz="4" w:space="0" w:color="auto"/>
            </w:tcBorders>
            <w:vAlign w:val="bottom"/>
          </w:tcPr>
          <w:p w:rsidR="007C5423" w:rsidRPr="00916E16" w:rsidRDefault="007C5423" w:rsidP="00847AD0">
            <w:pPr>
              <w:pStyle w:val="Tablebody"/>
              <w:rPr>
                <w:sz w:val="18"/>
                <w:szCs w:val="18"/>
              </w:rPr>
            </w:pPr>
            <w:r w:rsidRPr="00916E16">
              <w:rPr>
                <w:sz w:val="18"/>
                <w:szCs w:val="18"/>
              </w:rPr>
              <w:t>0</w:t>
            </w:r>
          </w:p>
        </w:tc>
        <w:tc>
          <w:tcPr>
            <w:tcW w:w="802" w:type="dxa"/>
            <w:tcBorders>
              <w:left w:val="single" w:sz="4" w:space="0" w:color="auto"/>
            </w:tcBorders>
            <w:vAlign w:val="bottom"/>
          </w:tcPr>
          <w:p w:rsidR="007C5423" w:rsidRPr="00916E16" w:rsidRDefault="007C5423" w:rsidP="00A82AB0">
            <w:pPr>
              <w:pStyle w:val="Tablebody"/>
              <w:rPr>
                <w:color w:val="000000"/>
                <w:sz w:val="18"/>
                <w:szCs w:val="18"/>
              </w:rPr>
            </w:pPr>
            <w:r>
              <w:rPr>
                <w:color w:val="000000"/>
                <w:sz w:val="18"/>
                <w:szCs w:val="18"/>
              </w:rPr>
              <w:t>838</w:t>
            </w:r>
          </w:p>
        </w:tc>
        <w:tc>
          <w:tcPr>
            <w:tcW w:w="858" w:type="dxa"/>
            <w:vAlign w:val="bottom"/>
          </w:tcPr>
          <w:p w:rsidR="007C5423" w:rsidRPr="00916E16" w:rsidRDefault="007C5423" w:rsidP="0042224C">
            <w:pPr>
              <w:pStyle w:val="Tablebody"/>
              <w:rPr>
                <w:sz w:val="18"/>
                <w:szCs w:val="18"/>
              </w:rPr>
            </w:pPr>
            <w:r>
              <w:rPr>
                <w:sz w:val="18"/>
                <w:szCs w:val="18"/>
              </w:rPr>
              <w:t>471</w:t>
            </w:r>
          </w:p>
        </w:tc>
        <w:tc>
          <w:tcPr>
            <w:tcW w:w="858" w:type="dxa"/>
            <w:vAlign w:val="bottom"/>
          </w:tcPr>
          <w:p w:rsidR="007C5423" w:rsidRPr="00916E16" w:rsidRDefault="007C5423" w:rsidP="00203FDF">
            <w:pPr>
              <w:pStyle w:val="Tablebody"/>
              <w:rPr>
                <w:color w:val="000000"/>
                <w:sz w:val="18"/>
                <w:szCs w:val="18"/>
              </w:rPr>
            </w:pPr>
            <w:r>
              <w:rPr>
                <w:color w:val="000000"/>
                <w:sz w:val="18"/>
                <w:szCs w:val="18"/>
              </w:rPr>
              <w:t>368</w:t>
            </w:r>
          </w:p>
        </w:tc>
        <w:tc>
          <w:tcPr>
            <w:tcW w:w="689" w:type="dxa"/>
            <w:tcBorders>
              <w:right w:val="single" w:sz="4" w:space="0" w:color="auto"/>
            </w:tcBorders>
            <w:vAlign w:val="bottom"/>
          </w:tcPr>
          <w:p w:rsidR="007C5423" w:rsidRPr="00916E16" w:rsidRDefault="007C5423" w:rsidP="00847AD0">
            <w:pPr>
              <w:pStyle w:val="Tablebody"/>
              <w:rPr>
                <w:color w:val="000000"/>
                <w:sz w:val="18"/>
                <w:szCs w:val="18"/>
              </w:rPr>
            </w:pPr>
            <w:r w:rsidRPr="00916E16">
              <w:rPr>
                <w:color w:val="000000"/>
                <w:sz w:val="18"/>
                <w:szCs w:val="18"/>
              </w:rPr>
              <w:t>0</w:t>
            </w:r>
          </w:p>
        </w:tc>
        <w:tc>
          <w:tcPr>
            <w:tcW w:w="713" w:type="dxa"/>
            <w:tcBorders>
              <w:left w:val="single" w:sz="4" w:space="0" w:color="auto"/>
            </w:tcBorders>
            <w:vAlign w:val="bottom"/>
          </w:tcPr>
          <w:p w:rsidR="007C5423" w:rsidRPr="00916E16" w:rsidRDefault="007C5423" w:rsidP="00081707">
            <w:pPr>
              <w:pStyle w:val="Tablebody"/>
              <w:rPr>
                <w:sz w:val="18"/>
                <w:szCs w:val="18"/>
              </w:rPr>
            </w:pPr>
            <w:r>
              <w:rPr>
                <w:sz w:val="18"/>
                <w:szCs w:val="18"/>
              </w:rPr>
              <w:t>49</w:t>
            </w:r>
          </w:p>
        </w:tc>
      </w:tr>
      <w:tr w:rsidR="007C5423" w:rsidRPr="00916E16">
        <w:trPr>
          <w:trHeight w:val="479"/>
        </w:trPr>
        <w:tc>
          <w:tcPr>
            <w:tcW w:w="2759" w:type="dxa"/>
            <w:vAlign w:val="bottom"/>
          </w:tcPr>
          <w:p w:rsidR="007C5423" w:rsidRPr="00916E16" w:rsidRDefault="007C5423" w:rsidP="00847AD0">
            <w:pPr>
              <w:pStyle w:val="2enspsubgroup1"/>
              <w:rPr>
                <w:sz w:val="18"/>
                <w:szCs w:val="18"/>
              </w:rPr>
            </w:pPr>
            <w:r w:rsidRPr="00916E16">
              <w:rPr>
                <w:sz w:val="18"/>
                <w:szCs w:val="18"/>
              </w:rPr>
              <w:t>4-year non-doctorate-granting</w:t>
            </w:r>
          </w:p>
        </w:tc>
        <w:tc>
          <w:tcPr>
            <w:tcW w:w="943" w:type="dxa"/>
            <w:vAlign w:val="bottom"/>
          </w:tcPr>
          <w:p w:rsidR="007C5423" w:rsidRPr="00916E16" w:rsidRDefault="007C5423" w:rsidP="00826B2F">
            <w:pPr>
              <w:pStyle w:val="Tablebody"/>
              <w:rPr>
                <w:sz w:val="18"/>
                <w:szCs w:val="18"/>
              </w:rPr>
            </w:pPr>
            <w:r>
              <w:rPr>
                <w:sz w:val="18"/>
                <w:szCs w:val="18"/>
              </w:rPr>
              <w:t>8,460</w:t>
            </w:r>
          </w:p>
        </w:tc>
        <w:tc>
          <w:tcPr>
            <w:tcW w:w="845" w:type="dxa"/>
            <w:vAlign w:val="bottom"/>
          </w:tcPr>
          <w:p w:rsidR="007C5423" w:rsidRPr="00916E16" w:rsidRDefault="007C5423" w:rsidP="00744624">
            <w:pPr>
              <w:pStyle w:val="Tablebody"/>
              <w:rPr>
                <w:sz w:val="18"/>
                <w:szCs w:val="18"/>
              </w:rPr>
            </w:pPr>
            <w:r>
              <w:rPr>
                <w:sz w:val="18"/>
                <w:szCs w:val="18"/>
              </w:rPr>
              <w:t>2,410</w:t>
            </w:r>
          </w:p>
        </w:tc>
        <w:tc>
          <w:tcPr>
            <w:tcW w:w="908" w:type="dxa"/>
            <w:vAlign w:val="bottom"/>
          </w:tcPr>
          <w:p w:rsidR="007C5423" w:rsidRPr="00916E16" w:rsidRDefault="007C5423" w:rsidP="00A950CA">
            <w:pPr>
              <w:pStyle w:val="Tablebody"/>
              <w:rPr>
                <w:sz w:val="18"/>
                <w:szCs w:val="18"/>
              </w:rPr>
            </w:pPr>
            <w:r>
              <w:rPr>
                <w:sz w:val="18"/>
                <w:szCs w:val="18"/>
              </w:rPr>
              <w:t>3,888</w:t>
            </w:r>
          </w:p>
        </w:tc>
        <w:tc>
          <w:tcPr>
            <w:tcW w:w="802" w:type="dxa"/>
            <w:tcBorders>
              <w:right w:val="single" w:sz="4" w:space="0" w:color="auto"/>
            </w:tcBorders>
            <w:vAlign w:val="bottom"/>
          </w:tcPr>
          <w:p w:rsidR="007C5423" w:rsidRPr="00916E16" w:rsidRDefault="007C5423" w:rsidP="00A950CA">
            <w:pPr>
              <w:pStyle w:val="Tablebody"/>
              <w:rPr>
                <w:sz w:val="18"/>
                <w:szCs w:val="18"/>
              </w:rPr>
            </w:pPr>
            <w:r>
              <w:rPr>
                <w:sz w:val="18"/>
                <w:szCs w:val="18"/>
              </w:rPr>
              <w:t>2,162</w:t>
            </w:r>
          </w:p>
        </w:tc>
        <w:tc>
          <w:tcPr>
            <w:tcW w:w="891" w:type="dxa"/>
            <w:tcBorders>
              <w:left w:val="single" w:sz="4" w:space="0" w:color="auto"/>
            </w:tcBorders>
            <w:vAlign w:val="bottom"/>
          </w:tcPr>
          <w:p w:rsidR="007C5423" w:rsidRPr="00916E16" w:rsidRDefault="007C5423" w:rsidP="00A950CA">
            <w:pPr>
              <w:pStyle w:val="Tablebody"/>
              <w:rPr>
                <w:sz w:val="18"/>
                <w:szCs w:val="18"/>
              </w:rPr>
            </w:pPr>
            <w:r>
              <w:rPr>
                <w:sz w:val="18"/>
                <w:szCs w:val="18"/>
              </w:rPr>
              <w:t>8,238</w:t>
            </w:r>
          </w:p>
        </w:tc>
        <w:tc>
          <w:tcPr>
            <w:tcW w:w="802" w:type="dxa"/>
            <w:vAlign w:val="bottom"/>
          </w:tcPr>
          <w:p w:rsidR="007C5423" w:rsidRPr="00916E16" w:rsidRDefault="007C5423" w:rsidP="00A950CA">
            <w:pPr>
              <w:pStyle w:val="Tablebody"/>
              <w:rPr>
                <w:sz w:val="18"/>
                <w:szCs w:val="18"/>
              </w:rPr>
            </w:pPr>
            <w:r>
              <w:rPr>
                <w:sz w:val="18"/>
                <w:szCs w:val="18"/>
              </w:rPr>
              <w:t>2,347</w:t>
            </w:r>
          </w:p>
        </w:tc>
        <w:tc>
          <w:tcPr>
            <w:tcW w:w="802" w:type="dxa"/>
            <w:vAlign w:val="bottom"/>
          </w:tcPr>
          <w:p w:rsidR="007C5423" w:rsidRPr="00916E16" w:rsidRDefault="007C5423" w:rsidP="00A82AB0">
            <w:pPr>
              <w:pStyle w:val="Tablebody"/>
              <w:rPr>
                <w:sz w:val="18"/>
                <w:szCs w:val="18"/>
              </w:rPr>
            </w:pPr>
            <w:r>
              <w:rPr>
                <w:sz w:val="18"/>
                <w:szCs w:val="18"/>
              </w:rPr>
              <w:t>3,786</w:t>
            </w:r>
          </w:p>
        </w:tc>
        <w:tc>
          <w:tcPr>
            <w:tcW w:w="802" w:type="dxa"/>
            <w:tcBorders>
              <w:right w:val="single" w:sz="4" w:space="0" w:color="auto"/>
            </w:tcBorders>
            <w:vAlign w:val="bottom"/>
          </w:tcPr>
          <w:p w:rsidR="007C5423" w:rsidRPr="00916E16" w:rsidRDefault="007C5423" w:rsidP="00A82AB0">
            <w:pPr>
              <w:pStyle w:val="Tablebody"/>
              <w:rPr>
                <w:sz w:val="18"/>
                <w:szCs w:val="18"/>
              </w:rPr>
            </w:pPr>
            <w:r>
              <w:rPr>
                <w:sz w:val="18"/>
                <w:szCs w:val="18"/>
              </w:rPr>
              <w:t>2,105</w:t>
            </w:r>
          </w:p>
        </w:tc>
        <w:tc>
          <w:tcPr>
            <w:tcW w:w="802" w:type="dxa"/>
            <w:tcBorders>
              <w:left w:val="single" w:sz="4" w:space="0" w:color="auto"/>
            </w:tcBorders>
            <w:vAlign w:val="bottom"/>
          </w:tcPr>
          <w:p w:rsidR="007C5423" w:rsidRPr="00916E16" w:rsidRDefault="007C5423" w:rsidP="00A82AB0">
            <w:pPr>
              <w:pStyle w:val="Tablebody"/>
              <w:rPr>
                <w:color w:val="000000"/>
                <w:sz w:val="18"/>
                <w:szCs w:val="18"/>
              </w:rPr>
            </w:pPr>
            <w:r>
              <w:rPr>
                <w:color w:val="000000"/>
                <w:sz w:val="18"/>
                <w:szCs w:val="18"/>
              </w:rPr>
              <w:t>6,847</w:t>
            </w:r>
          </w:p>
        </w:tc>
        <w:tc>
          <w:tcPr>
            <w:tcW w:w="858" w:type="dxa"/>
            <w:vAlign w:val="bottom"/>
          </w:tcPr>
          <w:p w:rsidR="007C5423" w:rsidRPr="00916E16" w:rsidRDefault="007C5423" w:rsidP="0042224C">
            <w:pPr>
              <w:pStyle w:val="Tablebody"/>
              <w:rPr>
                <w:sz w:val="18"/>
                <w:szCs w:val="18"/>
              </w:rPr>
            </w:pPr>
            <w:r>
              <w:rPr>
                <w:sz w:val="18"/>
                <w:szCs w:val="18"/>
              </w:rPr>
              <w:t>2,080</w:t>
            </w:r>
          </w:p>
        </w:tc>
        <w:tc>
          <w:tcPr>
            <w:tcW w:w="858" w:type="dxa"/>
            <w:vAlign w:val="bottom"/>
          </w:tcPr>
          <w:p w:rsidR="007C5423" w:rsidRPr="00916E16" w:rsidRDefault="007C5423" w:rsidP="00203FDF">
            <w:pPr>
              <w:pStyle w:val="Tablebody"/>
              <w:rPr>
                <w:color w:val="000000"/>
                <w:sz w:val="18"/>
                <w:szCs w:val="18"/>
              </w:rPr>
            </w:pPr>
            <w:r>
              <w:rPr>
                <w:color w:val="000000"/>
                <w:sz w:val="18"/>
                <w:szCs w:val="18"/>
              </w:rPr>
              <w:t>3,269</w:t>
            </w:r>
          </w:p>
        </w:tc>
        <w:tc>
          <w:tcPr>
            <w:tcW w:w="689" w:type="dxa"/>
            <w:tcBorders>
              <w:right w:val="single" w:sz="4" w:space="0" w:color="auto"/>
            </w:tcBorders>
            <w:vAlign w:val="bottom"/>
          </w:tcPr>
          <w:p w:rsidR="007C5423" w:rsidRPr="00916E16" w:rsidRDefault="007C5423" w:rsidP="00203FDF">
            <w:pPr>
              <w:pStyle w:val="Tablebody"/>
              <w:rPr>
                <w:color w:val="000000"/>
                <w:sz w:val="18"/>
                <w:szCs w:val="18"/>
              </w:rPr>
            </w:pPr>
            <w:r>
              <w:rPr>
                <w:color w:val="000000"/>
                <w:sz w:val="18"/>
                <w:szCs w:val="18"/>
              </w:rPr>
              <w:t>1,499</w:t>
            </w:r>
          </w:p>
        </w:tc>
        <w:tc>
          <w:tcPr>
            <w:tcW w:w="713" w:type="dxa"/>
            <w:tcBorders>
              <w:left w:val="single" w:sz="4" w:space="0" w:color="auto"/>
            </w:tcBorders>
            <w:vAlign w:val="bottom"/>
          </w:tcPr>
          <w:p w:rsidR="007C5423" w:rsidRPr="00916E16" w:rsidRDefault="007C5423" w:rsidP="00081707">
            <w:pPr>
              <w:pStyle w:val="Tablebody"/>
              <w:rPr>
                <w:sz w:val="18"/>
                <w:szCs w:val="18"/>
              </w:rPr>
            </w:pPr>
            <w:r>
              <w:rPr>
                <w:sz w:val="18"/>
                <w:szCs w:val="18"/>
              </w:rPr>
              <w:t>31</w:t>
            </w:r>
          </w:p>
        </w:tc>
      </w:tr>
      <w:tr w:rsidR="007C5423" w:rsidRPr="00916E16">
        <w:trPr>
          <w:trHeight w:val="273"/>
        </w:trPr>
        <w:tc>
          <w:tcPr>
            <w:tcW w:w="2759" w:type="dxa"/>
            <w:vAlign w:val="bottom"/>
          </w:tcPr>
          <w:p w:rsidR="007C5423" w:rsidRPr="00916E16" w:rsidRDefault="007C5423" w:rsidP="00847AD0">
            <w:pPr>
              <w:pStyle w:val="2enspsubgroup1"/>
              <w:rPr>
                <w:sz w:val="18"/>
                <w:szCs w:val="18"/>
              </w:rPr>
            </w:pPr>
            <w:r w:rsidRPr="00916E16">
              <w:rPr>
                <w:sz w:val="18"/>
                <w:szCs w:val="18"/>
              </w:rPr>
              <w:t>4-year doctorate-granting</w:t>
            </w:r>
          </w:p>
        </w:tc>
        <w:tc>
          <w:tcPr>
            <w:tcW w:w="943" w:type="dxa"/>
            <w:vAlign w:val="bottom"/>
          </w:tcPr>
          <w:p w:rsidR="007C5423" w:rsidRPr="00916E16" w:rsidRDefault="007C5423" w:rsidP="00826B2F">
            <w:pPr>
              <w:pStyle w:val="Tablebody"/>
              <w:rPr>
                <w:sz w:val="18"/>
                <w:szCs w:val="18"/>
              </w:rPr>
            </w:pPr>
            <w:r>
              <w:rPr>
                <w:sz w:val="18"/>
                <w:szCs w:val="18"/>
              </w:rPr>
              <w:t>7,275</w:t>
            </w:r>
          </w:p>
        </w:tc>
        <w:tc>
          <w:tcPr>
            <w:tcW w:w="845" w:type="dxa"/>
            <w:vAlign w:val="bottom"/>
          </w:tcPr>
          <w:p w:rsidR="007C5423" w:rsidRPr="00916E16" w:rsidRDefault="007C5423" w:rsidP="00744624">
            <w:pPr>
              <w:pStyle w:val="Tablebody"/>
              <w:rPr>
                <w:sz w:val="18"/>
                <w:szCs w:val="18"/>
              </w:rPr>
            </w:pPr>
            <w:r>
              <w:rPr>
                <w:sz w:val="18"/>
                <w:szCs w:val="18"/>
              </w:rPr>
              <w:t>1,546</w:t>
            </w:r>
          </w:p>
        </w:tc>
        <w:tc>
          <w:tcPr>
            <w:tcW w:w="908" w:type="dxa"/>
            <w:vAlign w:val="bottom"/>
          </w:tcPr>
          <w:p w:rsidR="007C5423" w:rsidRPr="00916E16" w:rsidRDefault="007C5423" w:rsidP="00A950CA">
            <w:pPr>
              <w:pStyle w:val="Tablebody"/>
              <w:rPr>
                <w:sz w:val="18"/>
                <w:szCs w:val="18"/>
              </w:rPr>
            </w:pPr>
            <w:r>
              <w:rPr>
                <w:sz w:val="18"/>
                <w:szCs w:val="18"/>
              </w:rPr>
              <w:t>1,629</w:t>
            </w:r>
          </w:p>
        </w:tc>
        <w:tc>
          <w:tcPr>
            <w:tcW w:w="802" w:type="dxa"/>
            <w:tcBorders>
              <w:right w:val="single" w:sz="4" w:space="0" w:color="auto"/>
            </w:tcBorders>
            <w:vAlign w:val="bottom"/>
          </w:tcPr>
          <w:p w:rsidR="007C5423" w:rsidRPr="00916E16" w:rsidRDefault="007C5423" w:rsidP="00A950CA">
            <w:pPr>
              <w:pStyle w:val="Tablebody"/>
              <w:rPr>
                <w:sz w:val="18"/>
                <w:szCs w:val="18"/>
              </w:rPr>
            </w:pPr>
            <w:r>
              <w:rPr>
                <w:sz w:val="18"/>
                <w:szCs w:val="18"/>
              </w:rPr>
              <w:t>4,100</w:t>
            </w:r>
          </w:p>
        </w:tc>
        <w:tc>
          <w:tcPr>
            <w:tcW w:w="891" w:type="dxa"/>
            <w:tcBorders>
              <w:left w:val="single" w:sz="4" w:space="0" w:color="auto"/>
            </w:tcBorders>
            <w:vAlign w:val="bottom"/>
          </w:tcPr>
          <w:p w:rsidR="007C5423" w:rsidRPr="00916E16" w:rsidRDefault="007C5423" w:rsidP="00A950CA">
            <w:pPr>
              <w:pStyle w:val="Tablebody"/>
              <w:rPr>
                <w:sz w:val="18"/>
                <w:szCs w:val="18"/>
              </w:rPr>
            </w:pPr>
            <w:r>
              <w:rPr>
                <w:sz w:val="18"/>
                <w:szCs w:val="18"/>
              </w:rPr>
              <w:t>7,112</w:t>
            </w:r>
          </w:p>
        </w:tc>
        <w:tc>
          <w:tcPr>
            <w:tcW w:w="802" w:type="dxa"/>
            <w:vAlign w:val="bottom"/>
          </w:tcPr>
          <w:p w:rsidR="007C5423" w:rsidRPr="00916E16" w:rsidRDefault="007C5423" w:rsidP="00A950CA">
            <w:pPr>
              <w:pStyle w:val="Tablebody"/>
              <w:rPr>
                <w:sz w:val="18"/>
                <w:szCs w:val="18"/>
              </w:rPr>
            </w:pPr>
            <w:r>
              <w:rPr>
                <w:sz w:val="18"/>
                <w:szCs w:val="18"/>
              </w:rPr>
              <w:t>1,512</w:t>
            </w:r>
          </w:p>
        </w:tc>
        <w:tc>
          <w:tcPr>
            <w:tcW w:w="802" w:type="dxa"/>
            <w:vAlign w:val="bottom"/>
          </w:tcPr>
          <w:p w:rsidR="007C5423" w:rsidRPr="00916E16" w:rsidRDefault="007C5423" w:rsidP="00A82AB0">
            <w:pPr>
              <w:pStyle w:val="Tablebody"/>
              <w:rPr>
                <w:sz w:val="18"/>
                <w:szCs w:val="18"/>
              </w:rPr>
            </w:pPr>
            <w:r>
              <w:rPr>
                <w:sz w:val="18"/>
                <w:szCs w:val="18"/>
              </w:rPr>
              <w:t>1,593</w:t>
            </w:r>
          </w:p>
        </w:tc>
        <w:tc>
          <w:tcPr>
            <w:tcW w:w="802" w:type="dxa"/>
            <w:tcBorders>
              <w:right w:val="single" w:sz="4" w:space="0" w:color="auto"/>
            </w:tcBorders>
            <w:vAlign w:val="bottom"/>
          </w:tcPr>
          <w:p w:rsidR="007C5423" w:rsidRPr="00916E16" w:rsidRDefault="007C5423" w:rsidP="00A82AB0">
            <w:pPr>
              <w:pStyle w:val="Tablebody"/>
              <w:rPr>
                <w:sz w:val="18"/>
                <w:szCs w:val="18"/>
              </w:rPr>
            </w:pPr>
            <w:r>
              <w:rPr>
                <w:sz w:val="18"/>
                <w:szCs w:val="18"/>
              </w:rPr>
              <w:t>4,008</w:t>
            </w:r>
          </w:p>
        </w:tc>
        <w:tc>
          <w:tcPr>
            <w:tcW w:w="802" w:type="dxa"/>
            <w:tcBorders>
              <w:left w:val="single" w:sz="4" w:space="0" w:color="auto"/>
            </w:tcBorders>
            <w:vAlign w:val="bottom"/>
          </w:tcPr>
          <w:p w:rsidR="007C5423" w:rsidRPr="00916E16" w:rsidRDefault="007C5423" w:rsidP="00A82AB0">
            <w:pPr>
              <w:pStyle w:val="Tablebody"/>
              <w:rPr>
                <w:color w:val="000000"/>
                <w:sz w:val="18"/>
                <w:szCs w:val="18"/>
              </w:rPr>
            </w:pPr>
            <w:r>
              <w:rPr>
                <w:color w:val="000000"/>
                <w:sz w:val="18"/>
                <w:szCs w:val="18"/>
              </w:rPr>
              <w:t>5,756</w:t>
            </w:r>
          </w:p>
        </w:tc>
        <w:tc>
          <w:tcPr>
            <w:tcW w:w="858" w:type="dxa"/>
            <w:vAlign w:val="bottom"/>
          </w:tcPr>
          <w:p w:rsidR="007C5423" w:rsidRPr="00916E16" w:rsidRDefault="007C5423" w:rsidP="0042224C">
            <w:pPr>
              <w:pStyle w:val="Tablebody"/>
              <w:rPr>
                <w:sz w:val="18"/>
                <w:szCs w:val="18"/>
              </w:rPr>
            </w:pPr>
            <w:r>
              <w:rPr>
                <w:sz w:val="18"/>
                <w:szCs w:val="18"/>
              </w:rPr>
              <w:t>1,325</w:t>
            </w:r>
          </w:p>
        </w:tc>
        <w:tc>
          <w:tcPr>
            <w:tcW w:w="858" w:type="dxa"/>
            <w:vAlign w:val="bottom"/>
          </w:tcPr>
          <w:p w:rsidR="007C5423" w:rsidRPr="00916E16" w:rsidRDefault="007C5423" w:rsidP="00203FDF">
            <w:pPr>
              <w:pStyle w:val="Tablebody"/>
              <w:rPr>
                <w:color w:val="000000"/>
                <w:sz w:val="18"/>
                <w:szCs w:val="18"/>
              </w:rPr>
            </w:pPr>
            <w:r>
              <w:rPr>
                <w:color w:val="000000"/>
                <w:sz w:val="18"/>
                <w:szCs w:val="18"/>
              </w:rPr>
              <w:t>1,416</w:t>
            </w:r>
          </w:p>
        </w:tc>
        <w:tc>
          <w:tcPr>
            <w:tcW w:w="689" w:type="dxa"/>
            <w:tcBorders>
              <w:right w:val="single" w:sz="4" w:space="0" w:color="auto"/>
            </w:tcBorders>
            <w:vAlign w:val="bottom"/>
          </w:tcPr>
          <w:p w:rsidR="007C5423" w:rsidRPr="00916E16" w:rsidRDefault="007C5423" w:rsidP="00203FDF">
            <w:pPr>
              <w:pStyle w:val="Tablebody"/>
              <w:rPr>
                <w:color w:val="000000"/>
                <w:sz w:val="18"/>
                <w:szCs w:val="18"/>
              </w:rPr>
            </w:pPr>
            <w:r>
              <w:rPr>
                <w:color w:val="000000"/>
                <w:sz w:val="18"/>
                <w:szCs w:val="18"/>
              </w:rPr>
              <w:t>3,014</w:t>
            </w:r>
          </w:p>
        </w:tc>
        <w:tc>
          <w:tcPr>
            <w:tcW w:w="713" w:type="dxa"/>
            <w:tcBorders>
              <w:left w:val="single" w:sz="4" w:space="0" w:color="auto"/>
            </w:tcBorders>
            <w:vAlign w:val="bottom"/>
          </w:tcPr>
          <w:p w:rsidR="007C5423" w:rsidRPr="00916E16" w:rsidRDefault="007C5423" w:rsidP="00081707">
            <w:pPr>
              <w:pStyle w:val="Tablebody"/>
              <w:rPr>
                <w:sz w:val="18"/>
                <w:szCs w:val="18"/>
              </w:rPr>
            </w:pPr>
            <w:r>
              <w:rPr>
                <w:sz w:val="18"/>
                <w:szCs w:val="18"/>
              </w:rPr>
              <w:t>32</w:t>
            </w:r>
          </w:p>
        </w:tc>
      </w:tr>
      <w:tr w:rsidR="007C5423" w:rsidRPr="00916E16">
        <w:trPr>
          <w:trHeight w:hRule="exact" w:val="152"/>
        </w:trPr>
        <w:tc>
          <w:tcPr>
            <w:tcW w:w="2759" w:type="dxa"/>
            <w:vAlign w:val="bottom"/>
          </w:tcPr>
          <w:p w:rsidR="007C5423" w:rsidRPr="00916E16" w:rsidRDefault="007C5423" w:rsidP="00847AD0">
            <w:pPr>
              <w:pStyle w:val="Tabletext"/>
              <w:rPr>
                <w:sz w:val="18"/>
                <w:szCs w:val="18"/>
              </w:rPr>
            </w:pPr>
          </w:p>
        </w:tc>
        <w:tc>
          <w:tcPr>
            <w:tcW w:w="943" w:type="dxa"/>
            <w:vAlign w:val="bottom"/>
          </w:tcPr>
          <w:p w:rsidR="007C5423" w:rsidRPr="00916E16" w:rsidRDefault="007C5423" w:rsidP="00847AD0">
            <w:pPr>
              <w:pStyle w:val="Tablebody"/>
              <w:rPr>
                <w:sz w:val="18"/>
                <w:szCs w:val="18"/>
              </w:rPr>
            </w:pPr>
          </w:p>
        </w:tc>
        <w:tc>
          <w:tcPr>
            <w:tcW w:w="845" w:type="dxa"/>
            <w:vAlign w:val="bottom"/>
          </w:tcPr>
          <w:p w:rsidR="007C5423" w:rsidRPr="00916E16" w:rsidRDefault="007C5423" w:rsidP="00847AD0">
            <w:pPr>
              <w:pStyle w:val="Tablebody"/>
              <w:rPr>
                <w:sz w:val="18"/>
                <w:szCs w:val="18"/>
              </w:rPr>
            </w:pPr>
          </w:p>
        </w:tc>
        <w:tc>
          <w:tcPr>
            <w:tcW w:w="908" w:type="dxa"/>
            <w:vAlign w:val="bottom"/>
          </w:tcPr>
          <w:p w:rsidR="007C5423" w:rsidRPr="00916E16" w:rsidRDefault="007C5423" w:rsidP="00847AD0">
            <w:pPr>
              <w:pStyle w:val="Tablebody"/>
              <w:rPr>
                <w:sz w:val="18"/>
                <w:szCs w:val="18"/>
              </w:rPr>
            </w:pPr>
          </w:p>
        </w:tc>
        <w:tc>
          <w:tcPr>
            <w:tcW w:w="802" w:type="dxa"/>
            <w:tcBorders>
              <w:right w:val="single" w:sz="4" w:space="0" w:color="auto"/>
            </w:tcBorders>
            <w:vAlign w:val="bottom"/>
          </w:tcPr>
          <w:p w:rsidR="007C5423" w:rsidRPr="00916E16" w:rsidRDefault="007C5423" w:rsidP="00847AD0">
            <w:pPr>
              <w:pStyle w:val="Tablebody"/>
              <w:rPr>
                <w:sz w:val="18"/>
                <w:szCs w:val="18"/>
              </w:rPr>
            </w:pPr>
          </w:p>
        </w:tc>
        <w:tc>
          <w:tcPr>
            <w:tcW w:w="891" w:type="dxa"/>
            <w:tcBorders>
              <w:left w:val="single" w:sz="4" w:space="0" w:color="auto"/>
            </w:tcBorders>
            <w:vAlign w:val="bottom"/>
          </w:tcPr>
          <w:p w:rsidR="007C5423" w:rsidRPr="00916E16" w:rsidRDefault="007C5423" w:rsidP="00847AD0">
            <w:pPr>
              <w:pStyle w:val="Tablebody"/>
              <w:rPr>
                <w:sz w:val="18"/>
                <w:szCs w:val="18"/>
              </w:rPr>
            </w:pPr>
          </w:p>
        </w:tc>
        <w:tc>
          <w:tcPr>
            <w:tcW w:w="802" w:type="dxa"/>
            <w:vAlign w:val="bottom"/>
          </w:tcPr>
          <w:p w:rsidR="007C5423" w:rsidRPr="00916E16" w:rsidRDefault="007C5423" w:rsidP="00847AD0">
            <w:pPr>
              <w:pStyle w:val="Tablebody"/>
              <w:rPr>
                <w:sz w:val="18"/>
                <w:szCs w:val="18"/>
              </w:rPr>
            </w:pPr>
          </w:p>
        </w:tc>
        <w:tc>
          <w:tcPr>
            <w:tcW w:w="802" w:type="dxa"/>
            <w:vAlign w:val="bottom"/>
          </w:tcPr>
          <w:p w:rsidR="007C5423" w:rsidRPr="00916E16" w:rsidRDefault="007C5423" w:rsidP="00847AD0">
            <w:pPr>
              <w:pStyle w:val="Tablebody"/>
              <w:rPr>
                <w:sz w:val="18"/>
                <w:szCs w:val="18"/>
              </w:rPr>
            </w:pPr>
          </w:p>
        </w:tc>
        <w:tc>
          <w:tcPr>
            <w:tcW w:w="802" w:type="dxa"/>
            <w:tcBorders>
              <w:right w:val="single" w:sz="4" w:space="0" w:color="auto"/>
            </w:tcBorders>
            <w:vAlign w:val="bottom"/>
          </w:tcPr>
          <w:p w:rsidR="007C5423" w:rsidRPr="00916E16" w:rsidRDefault="007C5423" w:rsidP="00847AD0">
            <w:pPr>
              <w:pStyle w:val="Tablebody"/>
              <w:rPr>
                <w:sz w:val="18"/>
                <w:szCs w:val="18"/>
              </w:rPr>
            </w:pPr>
          </w:p>
        </w:tc>
        <w:tc>
          <w:tcPr>
            <w:tcW w:w="802" w:type="dxa"/>
            <w:tcBorders>
              <w:left w:val="single" w:sz="4" w:space="0" w:color="auto"/>
            </w:tcBorders>
            <w:vAlign w:val="bottom"/>
          </w:tcPr>
          <w:p w:rsidR="007C5423" w:rsidRPr="00916E16" w:rsidRDefault="007C5423" w:rsidP="00847AD0">
            <w:pPr>
              <w:pStyle w:val="Tablebody"/>
              <w:rPr>
                <w:color w:val="000000"/>
                <w:sz w:val="18"/>
                <w:szCs w:val="18"/>
              </w:rPr>
            </w:pPr>
          </w:p>
        </w:tc>
        <w:tc>
          <w:tcPr>
            <w:tcW w:w="858" w:type="dxa"/>
            <w:vAlign w:val="bottom"/>
          </w:tcPr>
          <w:p w:rsidR="007C5423" w:rsidRPr="00916E16" w:rsidRDefault="007C5423" w:rsidP="00847AD0">
            <w:pPr>
              <w:pStyle w:val="Tablebody"/>
              <w:rPr>
                <w:sz w:val="18"/>
                <w:szCs w:val="18"/>
              </w:rPr>
            </w:pPr>
          </w:p>
        </w:tc>
        <w:tc>
          <w:tcPr>
            <w:tcW w:w="858" w:type="dxa"/>
            <w:vAlign w:val="bottom"/>
          </w:tcPr>
          <w:p w:rsidR="007C5423" w:rsidRPr="00916E16" w:rsidRDefault="007C5423" w:rsidP="00847AD0">
            <w:pPr>
              <w:pStyle w:val="Tablebody"/>
              <w:rPr>
                <w:color w:val="000000"/>
                <w:sz w:val="18"/>
                <w:szCs w:val="18"/>
              </w:rPr>
            </w:pPr>
          </w:p>
        </w:tc>
        <w:tc>
          <w:tcPr>
            <w:tcW w:w="689" w:type="dxa"/>
            <w:tcBorders>
              <w:right w:val="single" w:sz="4" w:space="0" w:color="auto"/>
            </w:tcBorders>
            <w:vAlign w:val="bottom"/>
          </w:tcPr>
          <w:p w:rsidR="007C5423" w:rsidRPr="00916E16" w:rsidRDefault="007C5423" w:rsidP="00847AD0">
            <w:pPr>
              <w:pStyle w:val="Tablebody"/>
              <w:rPr>
                <w:color w:val="000000"/>
                <w:sz w:val="18"/>
                <w:szCs w:val="18"/>
              </w:rPr>
            </w:pPr>
          </w:p>
        </w:tc>
        <w:tc>
          <w:tcPr>
            <w:tcW w:w="713" w:type="dxa"/>
            <w:tcBorders>
              <w:left w:val="single" w:sz="4" w:space="0" w:color="auto"/>
            </w:tcBorders>
            <w:vAlign w:val="bottom"/>
          </w:tcPr>
          <w:p w:rsidR="007C5423" w:rsidRPr="00916E16" w:rsidRDefault="007C5423" w:rsidP="00847AD0">
            <w:pPr>
              <w:pStyle w:val="Tablebody"/>
              <w:rPr>
                <w:sz w:val="18"/>
                <w:szCs w:val="18"/>
              </w:rPr>
            </w:pPr>
          </w:p>
        </w:tc>
      </w:tr>
      <w:tr w:rsidR="007C5423" w:rsidRPr="00916E16">
        <w:trPr>
          <w:trHeight w:val="273"/>
        </w:trPr>
        <w:tc>
          <w:tcPr>
            <w:tcW w:w="2759" w:type="dxa"/>
            <w:vAlign w:val="bottom"/>
          </w:tcPr>
          <w:p w:rsidR="007C5423" w:rsidRPr="00916E16" w:rsidRDefault="007C5423" w:rsidP="00847AD0">
            <w:pPr>
              <w:pStyle w:val="Tabletext"/>
              <w:rPr>
                <w:sz w:val="18"/>
                <w:szCs w:val="18"/>
              </w:rPr>
            </w:pPr>
            <w:r w:rsidRPr="00916E16">
              <w:rPr>
                <w:sz w:val="18"/>
                <w:szCs w:val="18"/>
              </w:rPr>
              <w:t>Private for-profit</w:t>
            </w:r>
          </w:p>
        </w:tc>
        <w:tc>
          <w:tcPr>
            <w:tcW w:w="943" w:type="dxa"/>
            <w:vAlign w:val="bottom"/>
          </w:tcPr>
          <w:p w:rsidR="007C5423" w:rsidRPr="00916E16" w:rsidRDefault="007C5423" w:rsidP="00847AD0">
            <w:pPr>
              <w:pStyle w:val="Tablebody"/>
              <w:rPr>
                <w:sz w:val="18"/>
                <w:szCs w:val="18"/>
              </w:rPr>
            </w:pPr>
          </w:p>
        </w:tc>
        <w:tc>
          <w:tcPr>
            <w:tcW w:w="845" w:type="dxa"/>
            <w:vAlign w:val="bottom"/>
          </w:tcPr>
          <w:p w:rsidR="007C5423" w:rsidRPr="00916E16" w:rsidRDefault="007C5423" w:rsidP="00847AD0">
            <w:pPr>
              <w:pStyle w:val="Tablebody"/>
              <w:rPr>
                <w:sz w:val="18"/>
                <w:szCs w:val="18"/>
              </w:rPr>
            </w:pPr>
          </w:p>
        </w:tc>
        <w:tc>
          <w:tcPr>
            <w:tcW w:w="908" w:type="dxa"/>
            <w:vAlign w:val="bottom"/>
          </w:tcPr>
          <w:p w:rsidR="007C5423" w:rsidRPr="00916E16" w:rsidRDefault="007C5423" w:rsidP="00847AD0">
            <w:pPr>
              <w:pStyle w:val="Tablebody"/>
              <w:rPr>
                <w:sz w:val="18"/>
                <w:szCs w:val="18"/>
              </w:rPr>
            </w:pPr>
          </w:p>
        </w:tc>
        <w:tc>
          <w:tcPr>
            <w:tcW w:w="802" w:type="dxa"/>
            <w:tcBorders>
              <w:right w:val="single" w:sz="4" w:space="0" w:color="auto"/>
            </w:tcBorders>
            <w:vAlign w:val="bottom"/>
          </w:tcPr>
          <w:p w:rsidR="007C5423" w:rsidRPr="00916E16" w:rsidRDefault="007C5423" w:rsidP="00847AD0">
            <w:pPr>
              <w:pStyle w:val="Tablebody"/>
              <w:rPr>
                <w:sz w:val="18"/>
                <w:szCs w:val="18"/>
              </w:rPr>
            </w:pPr>
          </w:p>
        </w:tc>
        <w:tc>
          <w:tcPr>
            <w:tcW w:w="891" w:type="dxa"/>
            <w:tcBorders>
              <w:left w:val="single" w:sz="4" w:space="0" w:color="auto"/>
            </w:tcBorders>
            <w:vAlign w:val="bottom"/>
          </w:tcPr>
          <w:p w:rsidR="007C5423" w:rsidRPr="00916E16" w:rsidRDefault="007C5423" w:rsidP="00847AD0">
            <w:pPr>
              <w:pStyle w:val="Tablebody"/>
              <w:rPr>
                <w:sz w:val="18"/>
                <w:szCs w:val="18"/>
              </w:rPr>
            </w:pPr>
          </w:p>
        </w:tc>
        <w:tc>
          <w:tcPr>
            <w:tcW w:w="802" w:type="dxa"/>
            <w:vAlign w:val="bottom"/>
          </w:tcPr>
          <w:p w:rsidR="007C5423" w:rsidRPr="00916E16" w:rsidRDefault="007C5423" w:rsidP="00847AD0">
            <w:pPr>
              <w:pStyle w:val="Tablebody"/>
              <w:rPr>
                <w:sz w:val="18"/>
                <w:szCs w:val="18"/>
              </w:rPr>
            </w:pPr>
          </w:p>
        </w:tc>
        <w:tc>
          <w:tcPr>
            <w:tcW w:w="802" w:type="dxa"/>
            <w:vAlign w:val="bottom"/>
          </w:tcPr>
          <w:p w:rsidR="007C5423" w:rsidRPr="00916E16" w:rsidRDefault="007C5423" w:rsidP="00847AD0">
            <w:pPr>
              <w:pStyle w:val="Tablebody"/>
              <w:rPr>
                <w:sz w:val="18"/>
                <w:szCs w:val="18"/>
              </w:rPr>
            </w:pPr>
          </w:p>
        </w:tc>
        <w:tc>
          <w:tcPr>
            <w:tcW w:w="802" w:type="dxa"/>
            <w:tcBorders>
              <w:right w:val="single" w:sz="4" w:space="0" w:color="auto"/>
            </w:tcBorders>
            <w:vAlign w:val="bottom"/>
          </w:tcPr>
          <w:p w:rsidR="007C5423" w:rsidRPr="00916E16" w:rsidRDefault="007C5423" w:rsidP="00847AD0">
            <w:pPr>
              <w:pStyle w:val="Tablebody"/>
              <w:rPr>
                <w:sz w:val="18"/>
                <w:szCs w:val="18"/>
              </w:rPr>
            </w:pPr>
          </w:p>
        </w:tc>
        <w:tc>
          <w:tcPr>
            <w:tcW w:w="802" w:type="dxa"/>
            <w:tcBorders>
              <w:left w:val="single" w:sz="4" w:space="0" w:color="auto"/>
            </w:tcBorders>
            <w:vAlign w:val="bottom"/>
          </w:tcPr>
          <w:p w:rsidR="007C5423" w:rsidRPr="00916E16" w:rsidRDefault="007C5423" w:rsidP="00847AD0">
            <w:pPr>
              <w:pStyle w:val="Tablebody"/>
              <w:rPr>
                <w:color w:val="000000"/>
                <w:sz w:val="18"/>
                <w:szCs w:val="18"/>
              </w:rPr>
            </w:pPr>
          </w:p>
        </w:tc>
        <w:tc>
          <w:tcPr>
            <w:tcW w:w="858" w:type="dxa"/>
            <w:vAlign w:val="bottom"/>
          </w:tcPr>
          <w:p w:rsidR="007C5423" w:rsidRPr="00916E16" w:rsidRDefault="007C5423" w:rsidP="00847AD0">
            <w:pPr>
              <w:pStyle w:val="Tablebody"/>
              <w:rPr>
                <w:sz w:val="18"/>
                <w:szCs w:val="18"/>
              </w:rPr>
            </w:pPr>
          </w:p>
        </w:tc>
        <w:tc>
          <w:tcPr>
            <w:tcW w:w="858" w:type="dxa"/>
            <w:vAlign w:val="bottom"/>
          </w:tcPr>
          <w:p w:rsidR="007C5423" w:rsidRPr="00916E16" w:rsidRDefault="007C5423" w:rsidP="00847AD0">
            <w:pPr>
              <w:pStyle w:val="Tablebody"/>
              <w:rPr>
                <w:color w:val="000000"/>
                <w:sz w:val="18"/>
                <w:szCs w:val="18"/>
              </w:rPr>
            </w:pPr>
          </w:p>
        </w:tc>
        <w:tc>
          <w:tcPr>
            <w:tcW w:w="689" w:type="dxa"/>
            <w:tcBorders>
              <w:right w:val="single" w:sz="4" w:space="0" w:color="auto"/>
            </w:tcBorders>
            <w:vAlign w:val="bottom"/>
          </w:tcPr>
          <w:p w:rsidR="007C5423" w:rsidRPr="00916E16" w:rsidRDefault="007C5423" w:rsidP="00847AD0">
            <w:pPr>
              <w:pStyle w:val="Tablebody"/>
              <w:rPr>
                <w:color w:val="000000"/>
                <w:sz w:val="18"/>
                <w:szCs w:val="18"/>
              </w:rPr>
            </w:pPr>
          </w:p>
        </w:tc>
        <w:tc>
          <w:tcPr>
            <w:tcW w:w="713" w:type="dxa"/>
            <w:tcBorders>
              <w:left w:val="single" w:sz="4" w:space="0" w:color="auto"/>
            </w:tcBorders>
            <w:vAlign w:val="bottom"/>
          </w:tcPr>
          <w:p w:rsidR="007C5423" w:rsidRPr="00916E16" w:rsidRDefault="007C5423" w:rsidP="00847AD0">
            <w:pPr>
              <w:pStyle w:val="Tablebody"/>
              <w:rPr>
                <w:sz w:val="18"/>
                <w:szCs w:val="18"/>
              </w:rPr>
            </w:pPr>
          </w:p>
        </w:tc>
      </w:tr>
      <w:tr w:rsidR="007C5423" w:rsidRPr="001C6AAC">
        <w:trPr>
          <w:trHeight w:val="273"/>
        </w:trPr>
        <w:tc>
          <w:tcPr>
            <w:tcW w:w="2759" w:type="dxa"/>
            <w:vAlign w:val="bottom"/>
          </w:tcPr>
          <w:p w:rsidR="007C5423" w:rsidRPr="00916E16" w:rsidRDefault="007C5423" w:rsidP="00EB5ACE">
            <w:pPr>
              <w:pStyle w:val="2enspsubgroup1"/>
              <w:rPr>
                <w:sz w:val="18"/>
                <w:szCs w:val="18"/>
              </w:rPr>
            </w:pPr>
            <w:r w:rsidRPr="00916E16">
              <w:rPr>
                <w:sz w:val="18"/>
                <w:szCs w:val="18"/>
              </w:rPr>
              <w:t xml:space="preserve">Less-than-2-year </w:t>
            </w:r>
          </w:p>
        </w:tc>
        <w:tc>
          <w:tcPr>
            <w:tcW w:w="943" w:type="dxa"/>
            <w:vAlign w:val="bottom"/>
          </w:tcPr>
          <w:p w:rsidR="007C5423" w:rsidRPr="00916E16" w:rsidRDefault="007C5423" w:rsidP="00826B2F">
            <w:pPr>
              <w:pStyle w:val="Tablebody"/>
              <w:rPr>
                <w:sz w:val="18"/>
                <w:szCs w:val="18"/>
              </w:rPr>
            </w:pPr>
            <w:r>
              <w:rPr>
                <w:sz w:val="18"/>
                <w:szCs w:val="18"/>
              </w:rPr>
              <w:t>3,888</w:t>
            </w:r>
          </w:p>
        </w:tc>
        <w:tc>
          <w:tcPr>
            <w:tcW w:w="845" w:type="dxa"/>
            <w:vAlign w:val="bottom"/>
          </w:tcPr>
          <w:p w:rsidR="007C5423" w:rsidRPr="00916E16" w:rsidRDefault="007C5423" w:rsidP="00744624">
            <w:pPr>
              <w:pStyle w:val="Tablebody"/>
              <w:rPr>
                <w:sz w:val="18"/>
                <w:szCs w:val="18"/>
              </w:rPr>
            </w:pPr>
            <w:r>
              <w:rPr>
                <w:sz w:val="18"/>
                <w:szCs w:val="18"/>
              </w:rPr>
              <w:t>2,123</w:t>
            </w:r>
          </w:p>
        </w:tc>
        <w:tc>
          <w:tcPr>
            <w:tcW w:w="908" w:type="dxa"/>
            <w:vAlign w:val="bottom"/>
          </w:tcPr>
          <w:p w:rsidR="007C5423" w:rsidRPr="00916E16" w:rsidRDefault="007C5423" w:rsidP="00A950CA">
            <w:pPr>
              <w:pStyle w:val="Tablebody"/>
              <w:rPr>
                <w:sz w:val="18"/>
                <w:szCs w:val="18"/>
              </w:rPr>
            </w:pPr>
            <w:r>
              <w:rPr>
                <w:sz w:val="18"/>
                <w:szCs w:val="18"/>
              </w:rPr>
              <w:t>1,765</w:t>
            </w:r>
          </w:p>
        </w:tc>
        <w:tc>
          <w:tcPr>
            <w:tcW w:w="802" w:type="dxa"/>
            <w:tcBorders>
              <w:right w:val="single" w:sz="4" w:space="0" w:color="auto"/>
            </w:tcBorders>
            <w:vAlign w:val="bottom"/>
          </w:tcPr>
          <w:p w:rsidR="007C5423" w:rsidRPr="001C6AAC" w:rsidRDefault="007C5423" w:rsidP="00847AD0">
            <w:pPr>
              <w:pStyle w:val="Tablebody"/>
              <w:rPr>
                <w:sz w:val="18"/>
                <w:szCs w:val="18"/>
              </w:rPr>
            </w:pPr>
            <w:r w:rsidRPr="001C6AAC">
              <w:rPr>
                <w:sz w:val="18"/>
                <w:szCs w:val="18"/>
              </w:rPr>
              <w:t>0</w:t>
            </w:r>
          </w:p>
        </w:tc>
        <w:tc>
          <w:tcPr>
            <w:tcW w:w="891" w:type="dxa"/>
            <w:tcBorders>
              <w:left w:val="single" w:sz="4" w:space="0" w:color="auto"/>
            </w:tcBorders>
            <w:vAlign w:val="bottom"/>
          </w:tcPr>
          <w:p w:rsidR="007C5423" w:rsidRPr="001C6AAC" w:rsidRDefault="007C5423" w:rsidP="00A950CA">
            <w:pPr>
              <w:pStyle w:val="Tablebody"/>
              <w:rPr>
                <w:sz w:val="18"/>
                <w:szCs w:val="18"/>
              </w:rPr>
            </w:pPr>
            <w:r>
              <w:rPr>
                <w:sz w:val="18"/>
                <w:szCs w:val="18"/>
              </w:rPr>
              <w:t>3,343</w:t>
            </w:r>
          </w:p>
        </w:tc>
        <w:tc>
          <w:tcPr>
            <w:tcW w:w="802" w:type="dxa"/>
            <w:vAlign w:val="bottom"/>
          </w:tcPr>
          <w:p w:rsidR="007C5423" w:rsidRPr="001C6AAC" w:rsidRDefault="007C5423" w:rsidP="00A950CA">
            <w:pPr>
              <w:pStyle w:val="Tablebody"/>
              <w:rPr>
                <w:sz w:val="18"/>
                <w:szCs w:val="18"/>
              </w:rPr>
            </w:pPr>
            <w:r>
              <w:rPr>
                <w:sz w:val="18"/>
                <w:szCs w:val="18"/>
              </w:rPr>
              <w:t>1,825</w:t>
            </w:r>
          </w:p>
        </w:tc>
        <w:tc>
          <w:tcPr>
            <w:tcW w:w="802" w:type="dxa"/>
            <w:vAlign w:val="bottom"/>
          </w:tcPr>
          <w:p w:rsidR="007C5423" w:rsidRPr="001C6AAC" w:rsidRDefault="007C5423" w:rsidP="00A82AB0">
            <w:pPr>
              <w:pStyle w:val="Tablebody"/>
              <w:rPr>
                <w:sz w:val="18"/>
                <w:szCs w:val="18"/>
              </w:rPr>
            </w:pPr>
            <w:r>
              <w:rPr>
                <w:sz w:val="18"/>
                <w:szCs w:val="18"/>
              </w:rPr>
              <w:t>1,518</w:t>
            </w:r>
          </w:p>
        </w:tc>
        <w:tc>
          <w:tcPr>
            <w:tcW w:w="802" w:type="dxa"/>
            <w:tcBorders>
              <w:right w:val="single" w:sz="4" w:space="0" w:color="auto"/>
            </w:tcBorders>
            <w:vAlign w:val="bottom"/>
          </w:tcPr>
          <w:p w:rsidR="007C5423" w:rsidRPr="001C6AAC" w:rsidRDefault="007C5423" w:rsidP="00847AD0">
            <w:pPr>
              <w:pStyle w:val="Tablebody"/>
              <w:rPr>
                <w:sz w:val="18"/>
                <w:szCs w:val="18"/>
              </w:rPr>
            </w:pPr>
            <w:r w:rsidRPr="001C6AAC">
              <w:rPr>
                <w:sz w:val="18"/>
                <w:szCs w:val="18"/>
              </w:rPr>
              <w:t>0</w:t>
            </w:r>
          </w:p>
        </w:tc>
        <w:tc>
          <w:tcPr>
            <w:tcW w:w="802" w:type="dxa"/>
            <w:tcBorders>
              <w:left w:val="single" w:sz="4" w:space="0" w:color="auto"/>
            </w:tcBorders>
            <w:vAlign w:val="bottom"/>
          </w:tcPr>
          <w:p w:rsidR="007C5423" w:rsidRPr="001C6AAC" w:rsidRDefault="007C5423" w:rsidP="00A82AB0">
            <w:pPr>
              <w:pStyle w:val="Tablebody"/>
              <w:rPr>
                <w:color w:val="000000"/>
                <w:sz w:val="18"/>
                <w:szCs w:val="18"/>
              </w:rPr>
            </w:pPr>
            <w:r>
              <w:rPr>
                <w:color w:val="000000"/>
                <w:sz w:val="18"/>
                <w:szCs w:val="18"/>
              </w:rPr>
              <w:t>1,816</w:t>
            </w:r>
          </w:p>
        </w:tc>
        <w:tc>
          <w:tcPr>
            <w:tcW w:w="858" w:type="dxa"/>
            <w:vAlign w:val="bottom"/>
          </w:tcPr>
          <w:p w:rsidR="007C5423" w:rsidRPr="001C6AAC" w:rsidRDefault="007C5423" w:rsidP="0042224C">
            <w:pPr>
              <w:pStyle w:val="Tablebody"/>
              <w:rPr>
                <w:sz w:val="18"/>
                <w:szCs w:val="18"/>
              </w:rPr>
            </w:pPr>
            <w:r>
              <w:rPr>
                <w:sz w:val="18"/>
                <w:szCs w:val="18"/>
              </w:rPr>
              <w:t>1,051</w:t>
            </w:r>
          </w:p>
        </w:tc>
        <w:tc>
          <w:tcPr>
            <w:tcW w:w="858" w:type="dxa"/>
            <w:vAlign w:val="bottom"/>
          </w:tcPr>
          <w:p w:rsidR="007C5423" w:rsidRPr="001C6AAC" w:rsidRDefault="007C5423" w:rsidP="00203FDF">
            <w:pPr>
              <w:pStyle w:val="Tablebody"/>
              <w:ind w:left="-115" w:firstLine="90"/>
              <w:outlineLvl w:val="2"/>
              <w:rPr>
                <w:color w:val="000000"/>
                <w:sz w:val="18"/>
                <w:szCs w:val="18"/>
              </w:rPr>
            </w:pPr>
            <w:r>
              <w:rPr>
                <w:color w:val="000000"/>
                <w:sz w:val="18"/>
                <w:szCs w:val="18"/>
              </w:rPr>
              <w:t>765</w:t>
            </w:r>
          </w:p>
        </w:tc>
        <w:tc>
          <w:tcPr>
            <w:tcW w:w="689" w:type="dxa"/>
            <w:tcBorders>
              <w:right w:val="single" w:sz="4" w:space="0" w:color="auto"/>
            </w:tcBorders>
            <w:vAlign w:val="bottom"/>
          </w:tcPr>
          <w:p w:rsidR="007C5423" w:rsidRPr="001C6AAC" w:rsidRDefault="007C5423" w:rsidP="00847AD0">
            <w:pPr>
              <w:pStyle w:val="Tablebody"/>
              <w:rPr>
                <w:color w:val="000000"/>
                <w:sz w:val="18"/>
                <w:szCs w:val="18"/>
              </w:rPr>
            </w:pPr>
            <w:r w:rsidRPr="001C6AAC">
              <w:rPr>
                <w:color w:val="000000"/>
                <w:sz w:val="18"/>
                <w:szCs w:val="18"/>
              </w:rPr>
              <w:t>0</w:t>
            </w:r>
          </w:p>
        </w:tc>
        <w:tc>
          <w:tcPr>
            <w:tcW w:w="713" w:type="dxa"/>
            <w:tcBorders>
              <w:left w:val="single" w:sz="4" w:space="0" w:color="auto"/>
            </w:tcBorders>
            <w:vAlign w:val="bottom"/>
          </w:tcPr>
          <w:p w:rsidR="007C5423" w:rsidRPr="001C6AAC" w:rsidRDefault="007C5423" w:rsidP="00081707">
            <w:pPr>
              <w:pStyle w:val="Tablebody"/>
              <w:rPr>
                <w:sz w:val="18"/>
                <w:szCs w:val="18"/>
              </w:rPr>
            </w:pPr>
            <w:r>
              <w:rPr>
                <w:sz w:val="18"/>
                <w:szCs w:val="18"/>
              </w:rPr>
              <w:t>48</w:t>
            </w:r>
          </w:p>
        </w:tc>
      </w:tr>
      <w:tr w:rsidR="007C5423" w:rsidRPr="001C6AAC">
        <w:trPr>
          <w:trHeight w:val="287"/>
        </w:trPr>
        <w:tc>
          <w:tcPr>
            <w:tcW w:w="2759" w:type="dxa"/>
            <w:vAlign w:val="bottom"/>
          </w:tcPr>
          <w:p w:rsidR="007C5423" w:rsidRPr="00916E16" w:rsidRDefault="007C5423" w:rsidP="00847AD0">
            <w:pPr>
              <w:pStyle w:val="2enspsubgroup1"/>
              <w:rPr>
                <w:sz w:val="18"/>
                <w:szCs w:val="18"/>
              </w:rPr>
            </w:pPr>
            <w:r w:rsidRPr="00916E16">
              <w:rPr>
                <w:sz w:val="18"/>
                <w:szCs w:val="18"/>
              </w:rPr>
              <w:t>2 year</w:t>
            </w:r>
          </w:p>
        </w:tc>
        <w:tc>
          <w:tcPr>
            <w:tcW w:w="943" w:type="dxa"/>
            <w:vAlign w:val="bottom"/>
          </w:tcPr>
          <w:p w:rsidR="007C5423" w:rsidRPr="00916E16" w:rsidRDefault="007C5423" w:rsidP="00826B2F">
            <w:pPr>
              <w:pStyle w:val="Tablebody"/>
              <w:rPr>
                <w:sz w:val="18"/>
                <w:szCs w:val="18"/>
              </w:rPr>
            </w:pPr>
            <w:r>
              <w:rPr>
                <w:sz w:val="18"/>
                <w:szCs w:val="18"/>
              </w:rPr>
              <w:t>6,245</w:t>
            </w:r>
          </w:p>
        </w:tc>
        <w:tc>
          <w:tcPr>
            <w:tcW w:w="845" w:type="dxa"/>
            <w:vAlign w:val="bottom"/>
          </w:tcPr>
          <w:p w:rsidR="007C5423" w:rsidRPr="00916E16" w:rsidRDefault="007C5423" w:rsidP="00744624">
            <w:pPr>
              <w:pStyle w:val="Tablebody"/>
              <w:rPr>
                <w:sz w:val="18"/>
                <w:szCs w:val="18"/>
              </w:rPr>
            </w:pPr>
            <w:r>
              <w:rPr>
                <w:sz w:val="18"/>
                <w:szCs w:val="18"/>
              </w:rPr>
              <w:t>3,410</w:t>
            </w:r>
          </w:p>
        </w:tc>
        <w:tc>
          <w:tcPr>
            <w:tcW w:w="908" w:type="dxa"/>
            <w:vAlign w:val="bottom"/>
          </w:tcPr>
          <w:p w:rsidR="007C5423" w:rsidRPr="00916E16" w:rsidRDefault="007C5423" w:rsidP="00A950CA">
            <w:pPr>
              <w:pStyle w:val="Tablebody"/>
              <w:rPr>
                <w:sz w:val="18"/>
                <w:szCs w:val="18"/>
              </w:rPr>
            </w:pPr>
            <w:r>
              <w:rPr>
                <w:sz w:val="18"/>
                <w:szCs w:val="18"/>
              </w:rPr>
              <w:t>2,836</w:t>
            </w:r>
          </w:p>
        </w:tc>
        <w:tc>
          <w:tcPr>
            <w:tcW w:w="802" w:type="dxa"/>
            <w:tcBorders>
              <w:right w:val="single" w:sz="4" w:space="0" w:color="auto"/>
            </w:tcBorders>
            <w:vAlign w:val="bottom"/>
          </w:tcPr>
          <w:p w:rsidR="007C5423" w:rsidRPr="001C6AAC" w:rsidRDefault="007C5423" w:rsidP="00847AD0">
            <w:pPr>
              <w:pStyle w:val="Tablebody"/>
              <w:rPr>
                <w:sz w:val="18"/>
                <w:szCs w:val="18"/>
              </w:rPr>
            </w:pPr>
            <w:r w:rsidRPr="001C6AAC">
              <w:rPr>
                <w:sz w:val="18"/>
                <w:szCs w:val="18"/>
              </w:rPr>
              <w:t>0</w:t>
            </w:r>
          </w:p>
        </w:tc>
        <w:tc>
          <w:tcPr>
            <w:tcW w:w="891" w:type="dxa"/>
            <w:tcBorders>
              <w:left w:val="single" w:sz="4" w:space="0" w:color="auto"/>
            </w:tcBorders>
            <w:vAlign w:val="bottom"/>
          </w:tcPr>
          <w:p w:rsidR="007C5423" w:rsidRPr="001C6AAC" w:rsidRDefault="007C5423" w:rsidP="00A950CA">
            <w:pPr>
              <w:pStyle w:val="Tablebody"/>
              <w:rPr>
                <w:sz w:val="18"/>
                <w:szCs w:val="18"/>
              </w:rPr>
            </w:pPr>
            <w:r>
              <w:rPr>
                <w:sz w:val="18"/>
                <w:szCs w:val="18"/>
              </w:rPr>
              <w:t>5,973</w:t>
            </w:r>
          </w:p>
        </w:tc>
        <w:tc>
          <w:tcPr>
            <w:tcW w:w="802" w:type="dxa"/>
            <w:vAlign w:val="bottom"/>
          </w:tcPr>
          <w:p w:rsidR="007C5423" w:rsidRPr="001C6AAC" w:rsidRDefault="007C5423" w:rsidP="00A950CA">
            <w:pPr>
              <w:pStyle w:val="Tablebody"/>
              <w:rPr>
                <w:sz w:val="18"/>
                <w:szCs w:val="18"/>
              </w:rPr>
            </w:pPr>
            <w:r>
              <w:rPr>
                <w:sz w:val="18"/>
                <w:szCs w:val="18"/>
              </w:rPr>
              <w:t>3,261</w:t>
            </w:r>
          </w:p>
        </w:tc>
        <w:tc>
          <w:tcPr>
            <w:tcW w:w="802" w:type="dxa"/>
            <w:vAlign w:val="bottom"/>
          </w:tcPr>
          <w:p w:rsidR="007C5423" w:rsidRPr="001C6AAC" w:rsidRDefault="007C5423" w:rsidP="00A82AB0">
            <w:pPr>
              <w:pStyle w:val="Tablebody"/>
              <w:rPr>
                <w:sz w:val="18"/>
                <w:szCs w:val="18"/>
              </w:rPr>
            </w:pPr>
            <w:r>
              <w:rPr>
                <w:sz w:val="18"/>
                <w:szCs w:val="18"/>
              </w:rPr>
              <w:t>2,712</w:t>
            </w:r>
          </w:p>
        </w:tc>
        <w:tc>
          <w:tcPr>
            <w:tcW w:w="802" w:type="dxa"/>
            <w:tcBorders>
              <w:right w:val="single" w:sz="4" w:space="0" w:color="auto"/>
            </w:tcBorders>
            <w:vAlign w:val="bottom"/>
          </w:tcPr>
          <w:p w:rsidR="007C5423" w:rsidRPr="001C6AAC" w:rsidRDefault="007C5423" w:rsidP="00847AD0">
            <w:pPr>
              <w:pStyle w:val="Tablebody"/>
              <w:rPr>
                <w:sz w:val="18"/>
                <w:szCs w:val="18"/>
              </w:rPr>
            </w:pPr>
            <w:r w:rsidRPr="001C6AAC">
              <w:rPr>
                <w:sz w:val="18"/>
                <w:szCs w:val="18"/>
              </w:rPr>
              <w:t>0</w:t>
            </w:r>
          </w:p>
        </w:tc>
        <w:tc>
          <w:tcPr>
            <w:tcW w:w="802" w:type="dxa"/>
            <w:tcBorders>
              <w:left w:val="single" w:sz="4" w:space="0" w:color="auto"/>
            </w:tcBorders>
            <w:vAlign w:val="bottom"/>
          </w:tcPr>
          <w:p w:rsidR="007C5423" w:rsidRPr="001C6AAC" w:rsidRDefault="007C5423" w:rsidP="00A82AB0">
            <w:pPr>
              <w:pStyle w:val="Tablebody"/>
              <w:rPr>
                <w:color w:val="000000"/>
                <w:sz w:val="18"/>
                <w:szCs w:val="18"/>
              </w:rPr>
            </w:pPr>
            <w:r>
              <w:rPr>
                <w:color w:val="000000"/>
                <w:sz w:val="18"/>
                <w:szCs w:val="18"/>
              </w:rPr>
              <w:t>4,288</w:t>
            </w:r>
          </w:p>
        </w:tc>
        <w:tc>
          <w:tcPr>
            <w:tcW w:w="858" w:type="dxa"/>
            <w:vAlign w:val="bottom"/>
          </w:tcPr>
          <w:p w:rsidR="007C5423" w:rsidRPr="001C6AAC" w:rsidRDefault="007C5423" w:rsidP="0042224C">
            <w:pPr>
              <w:pStyle w:val="Tablebody"/>
              <w:rPr>
                <w:sz w:val="18"/>
                <w:szCs w:val="18"/>
              </w:rPr>
            </w:pPr>
            <w:r>
              <w:rPr>
                <w:sz w:val="18"/>
                <w:szCs w:val="18"/>
              </w:rPr>
              <w:t>2,447</w:t>
            </w:r>
          </w:p>
        </w:tc>
        <w:tc>
          <w:tcPr>
            <w:tcW w:w="858" w:type="dxa"/>
            <w:vAlign w:val="bottom"/>
          </w:tcPr>
          <w:p w:rsidR="007C5423" w:rsidRPr="001C6AAC" w:rsidRDefault="007C5423" w:rsidP="00203FDF">
            <w:pPr>
              <w:pStyle w:val="Tablebody"/>
              <w:rPr>
                <w:color w:val="000000"/>
                <w:sz w:val="18"/>
                <w:szCs w:val="18"/>
              </w:rPr>
            </w:pPr>
            <w:r>
              <w:rPr>
                <w:color w:val="000000"/>
                <w:sz w:val="18"/>
                <w:szCs w:val="18"/>
              </w:rPr>
              <w:t>1,841</w:t>
            </w:r>
          </w:p>
        </w:tc>
        <w:tc>
          <w:tcPr>
            <w:tcW w:w="689" w:type="dxa"/>
            <w:tcBorders>
              <w:right w:val="single" w:sz="4" w:space="0" w:color="auto"/>
            </w:tcBorders>
            <w:vAlign w:val="bottom"/>
          </w:tcPr>
          <w:p w:rsidR="007C5423" w:rsidRPr="001C6AAC" w:rsidRDefault="007C5423" w:rsidP="00847AD0">
            <w:pPr>
              <w:pStyle w:val="Tablebody"/>
              <w:rPr>
                <w:color w:val="000000"/>
                <w:sz w:val="18"/>
                <w:szCs w:val="18"/>
              </w:rPr>
            </w:pPr>
            <w:r w:rsidRPr="001C6AAC">
              <w:rPr>
                <w:color w:val="000000"/>
                <w:sz w:val="18"/>
                <w:szCs w:val="18"/>
              </w:rPr>
              <w:t>0</w:t>
            </w:r>
          </w:p>
        </w:tc>
        <w:tc>
          <w:tcPr>
            <w:tcW w:w="713" w:type="dxa"/>
            <w:tcBorders>
              <w:left w:val="single" w:sz="4" w:space="0" w:color="auto"/>
            </w:tcBorders>
            <w:vAlign w:val="bottom"/>
          </w:tcPr>
          <w:p w:rsidR="007C5423" w:rsidRPr="001C6AAC" w:rsidRDefault="007C5423" w:rsidP="00081707">
            <w:pPr>
              <w:pStyle w:val="Tablebody"/>
              <w:rPr>
                <w:sz w:val="18"/>
                <w:szCs w:val="18"/>
              </w:rPr>
            </w:pPr>
            <w:r>
              <w:rPr>
                <w:sz w:val="18"/>
                <w:szCs w:val="18"/>
              </w:rPr>
              <w:t>50</w:t>
            </w:r>
          </w:p>
        </w:tc>
      </w:tr>
      <w:tr w:rsidR="007C5423" w:rsidRPr="001C6AAC">
        <w:trPr>
          <w:trHeight w:val="137"/>
        </w:trPr>
        <w:tc>
          <w:tcPr>
            <w:tcW w:w="2759" w:type="dxa"/>
            <w:tcBorders>
              <w:bottom w:val="single" w:sz="12" w:space="0" w:color="auto"/>
            </w:tcBorders>
            <w:vAlign w:val="bottom"/>
          </w:tcPr>
          <w:p w:rsidR="007C5423" w:rsidRPr="00916E16" w:rsidRDefault="007C5423" w:rsidP="00847AD0">
            <w:pPr>
              <w:pStyle w:val="2enspsubgroup1"/>
              <w:rPr>
                <w:sz w:val="18"/>
                <w:szCs w:val="18"/>
              </w:rPr>
            </w:pPr>
            <w:r>
              <w:rPr>
                <w:sz w:val="18"/>
                <w:szCs w:val="18"/>
              </w:rPr>
              <w:t xml:space="preserve">4 </w:t>
            </w:r>
            <w:r w:rsidRPr="00916E16">
              <w:rPr>
                <w:sz w:val="18"/>
                <w:szCs w:val="18"/>
              </w:rPr>
              <w:t xml:space="preserve"> year</w:t>
            </w:r>
          </w:p>
        </w:tc>
        <w:tc>
          <w:tcPr>
            <w:tcW w:w="943" w:type="dxa"/>
            <w:tcBorders>
              <w:bottom w:val="single" w:sz="12" w:space="0" w:color="auto"/>
            </w:tcBorders>
            <w:vAlign w:val="bottom"/>
          </w:tcPr>
          <w:p w:rsidR="007C5423" w:rsidRPr="00916E16" w:rsidRDefault="007C5423" w:rsidP="00826B2F">
            <w:pPr>
              <w:pStyle w:val="Tablebody"/>
              <w:rPr>
                <w:sz w:val="18"/>
                <w:szCs w:val="18"/>
              </w:rPr>
            </w:pPr>
            <w:r>
              <w:rPr>
                <w:sz w:val="18"/>
                <w:szCs w:val="18"/>
              </w:rPr>
              <w:t>19,156</w:t>
            </w:r>
          </w:p>
        </w:tc>
        <w:tc>
          <w:tcPr>
            <w:tcW w:w="845" w:type="dxa"/>
            <w:tcBorders>
              <w:bottom w:val="single" w:sz="12" w:space="0" w:color="auto"/>
            </w:tcBorders>
            <w:vAlign w:val="bottom"/>
          </w:tcPr>
          <w:p w:rsidR="007C5423" w:rsidRPr="00916E16" w:rsidRDefault="007C5423" w:rsidP="00CB65F9">
            <w:pPr>
              <w:pStyle w:val="Tablebody"/>
              <w:rPr>
                <w:sz w:val="18"/>
                <w:szCs w:val="18"/>
              </w:rPr>
            </w:pPr>
            <w:r>
              <w:rPr>
                <w:sz w:val="18"/>
                <w:szCs w:val="18"/>
              </w:rPr>
              <w:t>9,638</w:t>
            </w:r>
          </w:p>
        </w:tc>
        <w:tc>
          <w:tcPr>
            <w:tcW w:w="908" w:type="dxa"/>
            <w:tcBorders>
              <w:bottom w:val="single" w:sz="12" w:space="0" w:color="auto"/>
            </w:tcBorders>
            <w:vAlign w:val="bottom"/>
          </w:tcPr>
          <w:p w:rsidR="007C5423" w:rsidRPr="00916E16" w:rsidRDefault="007C5423" w:rsidP="00A950CA">
            <w:pPr>
              <w:pStyle w:val="Tablebody"/>
              <w:rPr>
                <w:sz w:val="18"/>
                <w:szCs w:val="18"/>
              </w:rPr>
            </w:pPr>
            <w:r>
              <w:rPr>
                <w:sz w:val="18"/>
                <w:szCs w:val="18"/>
              </w:rPr>
              <w:t>8,015</w:t>
            </w:r>
          </w:p>
        </w:tc>
        <w:tc>
          <w:tcPr>
            <w:tcW w:w="802" w:type="dxa"/>
            <w:tcBorders>
              <w:bottom w:val="single" w:sz="12" w:space="0" w:color="auto"/>
              <w:right w:val="single" w:sz="4" w:space="0" w:color="auto"/>
            </w:tcBorders>
            <w:vAlign w:val="bottom"/>
          </w:tcPr>
          <w:p w:rsidR="007C5423" w:rsidRPr="001C6AAC" w:rsidRDefault="007C5423" w:rsidP="00A950CA">
            <w:pPr>
              <w:pStyle w:val="Tablebody"/>
              <w:rPr>
                <w:sz w:val="18"/>
                <w:szCs w:val="18"/>
              </w:rPr>
            </w:pPr>
            <w:r>
              <w:rPr>
                <w:sz w:val="18"/>
                <w:szCs w:val="18"/>
              </w:rPr>
              <w:t>1,503</w:t>
            </w:r>
          </w:p>
        </w:tc>
        <w:tc>
          <w:tcPr>
            <w:tcW w:w="891" w:type="dxa"/>
            <w:tcBorders>
              <w:left w:val="single" w:sz="4" w:space="0" w:color="auto"/>
              <w:bottom w:val="single" w:sz="12" w:space="0" w:color="auto"/>
            </w:tcBorders>
            <w:vAlign w:val="bottom"/>
          </w:tcPr>
          <w:p w:rsidR="007C5423" w:rsidRPr="001C6AAC" w:rsidRDefault="007C5423" w:rsidP="00A950CA">
            <w:pPr>
              <w:pStyle w:val="Tablebody"/>
              <w:rPr>
                <w:sz w:val="18"/>
                <w:szCs w:val="18"/>
              </w:rPr>
            </w:pPr>
            <w:r>
              <w:rPr>
                <w:sz w:val="18"/>
                <w:szCs w:val="18"/>
              </w:rPr>
              <w:t>18,255</w:t>
            </w:r>
          </w:p>
        </w:tc>
        <w:tc>
          <w:tcPr>
            <w:tcW w:w="802" w:type="dxa"/>
            <w:tcBorders>
              <w:bottom w:val="single" w:sz="12" w:space="0" w:color="auto"/>
            </w:tcBorders>
            <w:vAlign w:val="bottom"/>
          </w:tcPr>
          <w:p w:rsidR="007C5423" w:rsidRPr="001C6AAC" w:rsidRDefault="007C5423" w:rsidP="00A82AB0">
            <w:pPr>
              <w:pStyle w:val="Tablebody"/>
              <w:rPr>
                <w:sz w:val="18"/>
                <w:szCs w:val="18"/>
              </w:rPr>
            </w:pPr>
            <w:r>
              <w:rPr>
                <w:sz w:val="18"/>
                <w:szCs w:val="18"/>
              </w:rPr>
              <w:t>9,185</w:t>
            </w:r>
          </w:p>
        </w:tc>
        <w:tc>
          <w:tcPr>
            <w:tcW w:w="802" w:type="dxa"/>
            <w:tcBorders>
              <w:bottom w:val="single" w:sz="12" w:space="0" w:color="auto"/>
            </w:tcBorders>
            <w:vAlign w:val="bottom"/>
          </w:tcPr>
          <w:p w:rsidR="007C5423" w:rsidRPr="001C6AAC" w:rsidRDefault="007C5423" w:rsidP="00A82AB0">
            <w:pPr>
              <w:pStyle w:val="Tablebody"/>
              <w:rPr>
                <w:sz w:val="18"/>
                <w:szCs w:val="18"/>
              </w:rPr>
            </w:pPr>
            <w:r>
              <w:rPr>
                <w:sz w:val="18"/>
                <w:szCs w:val="18"/>
              </w:rPr>
              <w:t>7,638</w:t>
            </w:r>
          </w:p>
        </w:tc>
        <w:tc>
          <w:tcPr>
            <w:tcW w:w="802" w:type="dxa"/>
            <w:tcBorders>
              <w:bottom w:val="single" w:sz="12" w:space="0" w:color="auto"/>
              <w:right w:val="single" w:sz="4" w:space="0" w:color="auto"/>
            </w:tcBorders>
            <w:vAlign w:val="bottom"/>
          </w:tcPr>
          <w:p w:rsidR="007C5423" w:rsidRPr="001C6AAC" w:rsidRDefault="007C5423" w:rsidP="00A82AB0">
            <w:pPr>
              <w:pStyle w:val="Tablebody"/>
              <w:rPr>
                <w:sz w:val="18"/>
                <w:szCs w:val="18"/>
              </w:rPr>
            </w:pPr>
            <w:r>
              <w:rPr>
                <w:sz w:val="18"/>
                <w:szCs w:val="18"/>
              </w:rPr>
              <w:t>1,432</w:t>
            </w:r>
          </w:p>
        </w:tc>
        <w:tc>
          <w:tcPr>
            <w:tcW w:w="802" w:type="dxa"/>
            <w:tcBorders>
              <w:left w:val="single" w:sz="4" w:space="0" w:color="auto"/>
              <w:bottom w:val="single" w:sz="12" w:space="0" w:color="auto"/>
            </w:tcBorders>
            <w:vAlign w:val="bottom"/>
          </w:tcPr>
          <w:p w:rsidR="007C5423" w:rsidRPr="001C6AAC" w:rsidRDefault="007C5423" w:rsidP="00A82AB0">
            <w:pPr>
              <w:pStyle w:val="Tablebody"/>
              <w:rPr>
                <w:color w:val="000000"/>
                <w:sz w:val="18"/>
                <w:szCs w:val="18"/>
              </w:rPr>
            </w:pPr>
            <w:r>
              <w:rPr>
                <w:color w:val="000000"/>
                <w:sz w:val="18"/>
                <w:szCs w:val="18"/>
              </w:rPr>
              <w:t>13,029</w:t>
            </w:r>
          </w:p>
        </w:tc>
        <w:tc>
          <w:tcPr>
            <w:tcW w:w="858" w:type="dxa"/>
            <w:tcBorders>
              <w:bottom w:val="single" w:sz="12" w:space="0" w:color="auto"/>
            </w:tcBorders>
            <w:vAlign w:val="bottom"/>
          </w:tcPr>
          <w:p w:rsidR="007C5423" w:rsidRPr="001C6AAC" w:rsidRDefault="007C5423" w:rsidP="0042224C">
            <w:pPr>
              <w:pStyle w:val="Tablebody"/>
              <w:rPr>
                <w:sz w:val="18"/>
                <w:szCs w:val="18"/>
              </w:rPr>
            </w:pPr>
            <w:r>
              <w:rPr>
                <w:sz w:val="18"/>
                <w:szCs w:val="18"/>
              </w:rPr>
              <w:t>6,893</w:t>
            </w:r>
          </w:p>
        </w:tc>
        <w:tc>
          <w:tcPr>
            <w:tcW w:w="858" w:type="dxa"/>
            <w:tcBorders>
              <w:bottom w:val="single" w:sz="12" w:space="0" w:color="auto"/>
            </w:tcBorders>
            <w:vAlign w:val="bottom"/>
          </w:tcPr>
          <w:p w:rsidR="007C5423" w:rsidRPr="001C6AAC" w:rsidRDefault="007C5423" w:rsidP="00203FDF">
            <w:pPr>
              <w:pStyle w:val="Tablebody"/>
              <w:rPr>
                <w:color w:val="000000"/>
                <w:sz w:val="18"/>
                <w:szCs w:val="18"/>
              </w:rPr>
            </w:pPr>
            <w:r>
              <w:rPr>
                <w:color w:val="000000"/>
                <w:sz w:val="18"/>
                <w:szCs w:val="18"/>
              </w:rPr>
              <w:t>5,184</w:t>
            </w:r>
          </w:p>
        </w:tc>
        <w:tc>
          <w:tcPr>
            <w:tcW w:w="689" w:type="dxa"/>
            <w:tcBorders>
              <w:bottom w:val="single" w:sz="12" w:space="0" w:color="auto"/>
              <w:right w:val="single" w:sz="4" w:space="0" w:color="auto"/>
            </w:tcBorders>
            <w:vAlign w:val="bottom"/>
          </w:tcPr>
          <w:p w:rsidR="007C5423" w:rsidRPr="001C6AAC" w:rsidRDefault="007C5423" w:rsidP="00203FDF">
            <w:pPr>
              <w:pStyle w:val="Tablebody"/>
              <w:rPr>
                <w:color w:val="000000"/>
                <w:sz w:val="18"/>
                <w:szCs w:val="18"/>
              </w:rPr>
            </w:pPr>
            <w:r>
              <w:rPr>
                <w:color w:val="000000"/>
                <w:sz w:val="18"/>
                <w:szCs w:val="18"/>
              </w:rPr>
              <w:t>952</w:t>
            </w:r>
          </w:p>
        </w:tc>
        <w:tc>
          <w:tcPr>
            <w:tcW w:w="713" w:type="dxa"/>
            <w:tcBorders>
              <w:left w:val="single" w:sz="4" w:space="0" w:color="auto"/>
              <w:bottom w:val="single" w:sz="12" w:space="0" w:color="auto"/>
            </w:tcBorders>
            <w:vAlign w:val="bottom"/>
          </w:tcPr>
          <w:p w:rsidR="007C5423" w:rsidRPr="001C6AAC" w:rsidRDefault="007C5423" w:rsidP="00081707">
            <w:pPr>
              <w:pStyle w:val="Tablebody"/>
              <w:rPr>
                <w:sz w:val="18"/>
                <w:szCs w:val="18"/>
              </w:rPr>
            </w:pPr>
            <w:r>
              <w:rPr>
                <w:sz w:val="18"/>
                <w:szCs w:val="18"/>
              </w:rPr>
              <w:t>67</w:t>
            </w:r>
          </w:p>
        </w:tc>
      </w:tr>
    </w:tbl>
    <w:p w:rsidR="007C5423" w:rsidRPr="00C12897" w:rsidRDefault="007C5423" w:rsidP="00847AD0">
      <w:pPr>
        <w:pStyle w:val="Source"/>
      </w:pPr>
      <w:r>
        <w:rPr>
          <w:sz w:val="16"/>
          <w:szCs w:val="16"/>
        </w:rPr>
        <w:t xml:space="preserve">NOTE: </w:t>
      </w:r>
      <w:r w:rsidRPr="009F14BA">
        <w:rPr>
          <w:sz w:val="16"/>
          <w:szCs w:val="16"/>
        </w:rPr>
        <w:t>FTB</w:t>
      </w:r>
      <w:r>
        <w:rPr>
          <w:sz w:val="16"/>
          <w:szCs w:val="16"/>
        </w:rPr>
        <w:t xml:space="preserve"> </w:t>
      </w:r>
      <w:r w:rsidRPr="009F14BA">
        <w:rPr>
          <w:sz w:val="16"/>
          <w:szCs w:val="16"/>
        </w:rPr>
        <w:t>= first time begi</w:t>
      </w:r>
      <w:r>
        <w:rPr>
          <w:sz w:val="16"/>
          <w:szCs w:val="16"/>
        </w:rPr>
        <w:t>nner</w:t>
      </w:r>
      <w:r w:rsidRPr="009F14BA">
        <w:rPr>
          <w:sz w:val="16"/>
          <w:szCs w:val="16"/>
        </w:rPr>
        <w:t>.</w:t>
      </w:r>
    </w:p>
    <w:p w:rsidR="007C5423" w:rsidRDefault="007C5423" w:rsidP="00F2495A">
      <w:pPr>
        <w:pStyle w:val="BodyText"/>
        <w:sectPr w:rsidR="007C5423" w:rsidSect="00362FEC">
          <w:headerReference w:type="even" r:id="rId18"/>
          <w:footerReference w:type="even" r:id="rId19"/>
          <w:headerReference w:type="first" r:id="rId20"/>
          <w:footerReference w:type="first" r:id="rId21"/>
          <w:pgSz w:w="15840" w:h="12240" w:orient="landscape" w:code="1"/>
          <w:pgMar w:top="1296" w:right="1440" w:bottom="1296" w:left="1296" w:header="720" w:footer="720" w:gutter="0"/>
          <w:cols w:space="720"/>
          <w:titlePg/>
          <w:docGrid w:linePitch="326"/>
        </w:sectPr>
      </w:pPr>
    </w:p>
    <w:p w:rsidR="007C5423" w:rsidRDefault="007C5423" w:rsidP="00EB5ACE">
      <w:pPr>
        <w:pStyle w:val="bulletround"/>
        <w:keepNext/>
        <w:keepLines/>
        <w:ind w:left="0" w:firstLine="0"/>
      </w:pPr>
      <w:r w:rsidRPr="00AC0BDB">
        <w:t xml:space="preserve">We will employ a variable-based (rather than source-based) definition of </w:t>
      </w:r>
      <w:r>
        <w:t xml:space="preserve">a </w:t>
      </w:r>
      <w:r w:rsidRPr="00AC0BDB">
        <w:t xml:space="preserve">study member, similar to that used in NPSAS:08 and NPSAS:04, with revisions deemed necessary by NCES. </w:t>
      </w:r>
      <w:r>
        <w:t>Specifically, a study member will be defined as any sample member who is determined to be eligible for the study and, minimally, has valid data from any source for the following:</w:t>
      </w:r>
    </w:p>
    <w:p w:rsidR="007C5423" w:rsidRPr="00373FE7" w:rsidRDefault="007C5423" w:rsidP="00847AD0">
      <w:pPr>
        <w:pStyle w:val="bulletround"/>
      </w:pPr>
      <w:r w:rsidRPr="00373FE7">
        <w:t xml:space="preserve">student type (undergraduate or graduate); </w:t>
      </w:r>
    </w:p>
    <w:p w:rsidR="007C5423" w:rsidRPr="00373FE7" w:rsidRDefault="007C5423" w:rsidP="00847AD0">
      <w:pPr>
        <w:pStyle w:val="bulletround"/>
      </w:pPr>
      <w:r w:rsidRPr="00373FE7">
        <w:t xml:space="preserve">date of birth or age; </w:t>
      </w:r>
    </w:p>
    <w:p w:rsidR="007C5423" w:rsidRPr="00373FE7" w:rsidRDefault="007C5423" w:rsidP="00373FE7">
      <w:pPr>
        <w:pStyle w:val="bulletround"/>
      </w:pPr>
      <w:r w:rsidRPr="00373FE7">
        <w:t>gender; and</w:t>
      </w:r>
    </w:p>
    <w:p w:rsidR="007C5423" w:rsidRDefault="007C5423" w:rsidP="006D175A">
      <w:pPr>
        <w:pStyle w:val="bulletround"/>
        <w:spacing w:after="0"/>
      </w:pPr>
      <w:r w:rsidRPr="00373FE7">
        <w:t xml:space="preserve">at least </w:t>
      </w:r>
      <w:r>
        <w:t>8 of the following 15 variables:</w:t>
      </w:r>
    </w:p>
    <w:p w:rsidR="007C5423" w:rsidRDefault="007C5423" w:rsidP="000830C6">
      <w:pPr>
        <w:pStyle w:val="bulletround"/>
        <w:numPr>
          <w:ilvl w:val="1"/>
          <w:numId w:val="14"/>
        </w:numPr>
        <w:spacing w:before="120" w:after="0"/>
        <w:sectPr w:rsidR="007C5423" w:rsidSect="00BD5CF4">
          <w:headerReference w:type="even" r:id="rId22"/>
          <w:headerReference w:type="default" r:id="rId23"/>
          <w:footerReference w:type="even" r:id="rId24"/>
          <w:footerReference w:type="default" r:id="rId25"/>
          <w:pgSz w:w="12240" w:h="15840" w:code="1"/>
          <w:pgMar w:top="1440" w:right="1440" w:bottom="1440" w:left="1440" w:header="720" w:footer="720" w:gutter="0"/>
          <w:cols w:space="720"/>
        </w:sectPr>
      </w:pPr>
    </w:p>
    <w:p w:rsidR="007C5423" w:rsidRPr="008F2704" w:rsidRDefault="007C5423" w:rsidP="000830C6">
      <w:pPr>
        <w:pStyle w:val="bulletround"/>
        <w:numPr>
          <w:ilvl w:val="1"/>
          <w:numId w:val="14"/>
        </w:numPr>
        <w:spacing w:before="120" w:after="0"/>
      </w:pPr>
      <w:r w:rsidRPr="008F2704">
        <w:t>dependency status;</w:t>
      </w:r>
    </w:p>
    <w:p w:rsidR="007C5423" w:rsidRPr="008F2704" w:rsidRDefault="007C5423" w:rsidP="000830C6">
      <w:pPr>
        <w:pStyle w:val="bulletround"/>
        <w:numPr>
          <w:ilvl w:val="1"/>
          <w:numId w:val="14"/>
        </w:numPr>
        <w:spacing w:before="120" w:after="0"/>
      </w:pPr>
      <w:r w:rsidRPr="008F2704">
        <w:t>marital status;</w:t>
      </w:r>
    </w:p>
    <w:p w:rsidR="007C5423" w:rsidRPr="008F2704" w:rsidRDefault="007C5423" w:rsidP="000830C6">
      <w:pPr>
        <w:pStyle w:val="bulletround"/>
        <w:numPr>
          <w:ilvl w:val="1"/>
          <w:numId w:val="14"/>
        </w:numPr>
        <w:spacing w:before="120" w:after="0"/>
      </w:pPr>
      <w:r w:rsidRPr="008F2704">
        <w:t>any dependents;</w:t>
      </w:r>
    </w:p>
    <w:p w:rsidR="007C5423" w:rsidRPr="008F2704" w:rsidRDefault="007C5423" w:rsidP="000830C6">
      <w:pPr>
        <w:pStyle w:val="bulletround"/>
        <w:numPr>
          <w:ilvl w:val="1"/>
          <w:numId w:val="14"/>
        </w:numPr>
        <w:spacing w:before="120" w:after="0"/>
      </w:pPr>
      <w:r w:rsidRPr="008F2704">
        <w:t>income;</w:t>
      </w:r>
    </w:p>
    <w:p w:rsidR="007C5423" w:rsidRPr="008F2704" w:rsidRDefault="007C5423" w:rsidP="000830C6">
      <w:pPr>
        <w:pStyle w:val="bulletround"/>
        <w:numPr>
          <w:ilvl w:val="1"/>
          <w:numId w:val="14"/>
        </w:numPr>
        <w:spacing w:before="120" w:after="0"/>
      </w:pPr>
      <w:r w:rsidRPr="008F2704">
        <w:t>expected family contribution (EFC);</w:t>
      </w:r>
    </w:p>
    <w:p w:rsidR="007C5423" w:rsidRPr="008F2704" w:rsidRDefault="007C5423" w:rsidP="000830C6">
      <w:pPr>
        <w:pStyle w:val="bulletround"/>
        <w:numPr>
          <w:ilvl w:val="1"/>
          <w:numId w:val="14"/>
        </w:numPr>
        <w:spacing w:before="120" w:after="0"/>
      </w:pPr>
      <w:r w:rsidRPr="008F2704">
        <w:t>degree program;</w:t>
      </w:r>
    </w:p>
    <w:p w:rsidR="007C5423" w:rsidRPr="008F2704" w:rsidRDefault="007C5423" w:rsidP="000830C6">
      <w:pPr>
        <w:pStyle w:val="bulletround"/>
        <w:numPr>
          <w:ilvl w:val="1"/>
          <w:numId w:val="14"/>
        </w:numPr>
        <w:spacing w:before="120" w:after="0"/>
      </w:pPr>
      <w:r w:rsidRPr="008F2704">
        <w:t>class level;</w:t>
      </w:r>
    </w:p>
    <w:p w:rsidR="007C5423" w:rsidRDefault="007C5423" w:rsidP="003D63E1">
      <w:pPr>
        <w:pStyle w:val="bulletround"/>
        <w:numPr>
          <w:ilvl w:val="1"/>
          <w:numId w:val="14"/>
        </w:numPr>
        <w:tabs>
          <w:tab w:val="left" w:pos="360"/>
        </w:tabs>
        <w:spacing w:before="120" w:after="0"/>
        <w:ind w:left="360"/>
      </w:pPr>
      <w:r>
        <w:br w:type="column"/>
        <w:t>first</w:t>
      </w:r>
      <w:r w:rsidRPr="008F2704">
        <w:t>-time beginner (FTB) status;</w:t>
      </w:r>
      <w:r>
        <w:t xml:space="preserve"> </w:t>
      </w:r>
    </w:p>
    <w:p w:rsidR="007C5423" w:rsidRPr="008F2704" w:rsidRDefault="007C5423" w:rsidP="003D63E1">
      <w:pPr>
        <w:pStyle w:val="bulletround"/>
        <w:numPr>
          <w:ilvl w:val="1"/>
          <w:numId w:val="14"/>
        </w:numPr>
        <w:tabs>
          <w:tab w:val="left" w:pos="360"/>
        </w:tabs>
        <w:spacing w:before="120" w:after="0"/>
        <w:ind w:left="360"/>
      </w:pPr>
      <w:r w:rsidRPr="008F2704">
        <w:t>months enrolled;</w:t>
      </w:r>
    </w:p>
    <w:p w:rsidR="007C5423" w:rsidRPr="008F2704" w:rsidRDefault="007C5423" w:rsidP="00024A14">
      <w:pPr>
        <w:pStyle w:val="bulletround"/>
        <w:numPr>
          <w:ilvl w:val="1"/>
          <w:numId w:val="14"/>
        </w:numPr>
        <w:tabs>
          <w:tab w:val="clear" w:pos="1440"/>
        </w:tabs>
        <w:spacing w:before="120" w:after="0"/>
        <w:ind w:left="360"/>
      </w:pPr>
      <w:r w:rsidRPr="008F2704">
        <w:t>tuition;</w:t>
      </w:r>
    </w:p>
    <w:p w:rsidR="007C5423" w:rsidRPr="008F2704" w:rsidRDefault="007C5423" w:rsidP="00024A14">
      <w:pPr>
        <w:pStyle w:val="bulletround"/>
        <w:numPr>
          <w:ilvl w:val="1"/>
          <w:numId w:val="14"/>
        </w:numPr>
        <w:tabs>
          <w:tab w:val="clear" w:pos="1440"/>
        </w:tabs>
        <w:spacing w:before="120" w:after="0"/>
        <w:ind w:left="360"/>
      </w:pPr>
      <w:r w:rsidRPr="008F2704">
        <w:t>received federal aid;</w:t>
      </w:r>
    </w:p>
    <w:p w:rsidR="007C5423" w:rsidRPr="008F2704" w:rsidRDefault="007C5423" w:rsidP="00024A14">
      <w:pPr>
        <w:pStyle w:val="bulletround"/>
        <w:numPr>
          <w:ilvl w:val="1"/>
          <w:numId w:val="14"/>
        </w:numPr>
        <w:tabs>
          <w:tab w:val="clear" w:pos="1440"/>
        </w:tabs>
        <w:spacing w:before="120" w:after="0"/>
        <w:ind w:left="360"/>
      </w:pPr>
      <w:r w:rsidRPr="008F2704">
        <w:t>received non-federal aid;</w:t>
      </w:r>
    </w:p>
    <w:p w:rsidR="007C5423" w:rsidRPr="008F2704" w:rsidRDefault="007C5423" w:rsidP="00024A14">
      <w:pPr>
        <w:pStyle w:val="bulletround"/>
        <w:numPr>
          <w:ilvl w:val="1"/>
          <w:numId w:val="14"/>
        </w:numPr>
        <w:tabs>
          <w:tab w:val="clear" w:pos="1440"/>
        </w:tabs>
        <w:spacing w:before="120" w:after="0"/>
        <w:ind w:left="360"/>
      </w:pPr>
      <w:r w:rsidRPr="008F2704">
        <w:t>student budget;</w:t>
      </w:r>
    </w:p>
    <w:p w:rsidR="007C5423" w:rsidRPr="008F2704" w:rsidRDefault="007C5423" w:rsidP="00024A14">
      <w:pPr>
        <w:pStyle w:val="bulletround"/>
        <w:numPr>
          <w:ilvl w:val="1"/>
          <w:numId w:val="14"/>
        </w:numPr>
        <w:tabs>
          <w:tab w:val="clear" w:pos="1440"/>
        </w:tabs>
        <w:spacing w:before="120" w:after="0"/>
        <w:ind w:left="360"/>
      </w:pPr>
      <w:r w:rsidRPr="008F2704">
        <w:t>race; and</w:t>
      </w:r>
    </w:p>
    <w:p w:rsidR="007C5423" w:rsidRDefault="007C5423" w:rsidP="00024A14">
      <w:pPr>
        <w:pStyle w:val="bulletround"/>
        <w:numPr>
          <w:ilvl w:val="1"/>
          <w:numId w:val="14"/>
        </w:numPr>
        <w:tabs>
          <w:tab w:val="clear" w:pos="1440"/>
        </w:tabs>
        <w:spacing w:before="120" w:after="0"/>
        <w:ind w:left="360"/>
      </w:pPr>
      <w:r w:rsidRPr="008F2704">
        <w:t>parent educatio</w:t>
      </w:r>
      <w:r w:rsidRPr="00C44971">
        <w:t>n</w:t>
      </w:r>
      <w:r>
        <w:t>.</w:t>
      </w:r>
    </w:p>
    <w:p w:rsidR="007C5423" w:rsidRDefault="007C5423" w:rsidP="00C84C69">
      <w:pPr>
        <w:pStyle w:val="Bodytextnoindent"/>
        <w:spacing w:before="240"/>
        <w:rPr>
          <w:noProof/>
        </w:rPr>
        <w:sectPr w:rsidR="007C5423" w:rsidSect="00D97578">
          <w:type w:val="continuous"/>
          <w:pgSz w:w="12240" w:h="15840" w:code="1"/>
          <w:pgMar w:top="1440" w:right="1440" w:bottom="1440" w:left="1440" w:header="720" w:footer="720" w:gutter="0"/>
          <w:cols w:num="2" w:space="720"/>
        </w:sectPr>
      </w:pPr>
    </w:p>
    <w:p w:rsidR="007C5423" w:rsidRDefault="007C5423" w:rsidP="00C84C69">
      <w:pPr>
        <w:pStyle w:val="Bodytextnoindent"/>
        <w:spacing w:before="240"/>
        <w:rPr>
          <w:noProof/>
        </w:rPr>
      </w:pPr>
    </w:p>
    <w:p w:rsidR="007C5423" w:rsidRPr="00AC0BDB" w:rsidRDefault="007C5423" w:rsidP="00C84C69">
      <w:pPr>
        <w:pStyle w:val="Bodytextnoindent"/>
        <w:spacing w:before="240"/>
      </w:pPr>
      <w:r>
        <w:rPr>
          <w:noProof/>
        </w:rPr>
        <w:t>We expect the rate of study membership to be about 90 percent.</w:t>
      </w:r>
      <w:r w:rsidRPr="002855DF">
        <w:rPr>
          <w:rStyle w:val="FootnoteReference"/>
        </w:rPr>
        <w:footnoteReference w:id="2"/>
      </w:r>
      <w:r w:rsidRPr="00AC0BDB">
        <w:t xml:space="preserve">   </w:t>
      </w:r>
    </w:p>
    <w:p w:rsidR="007C5423" w:rsidRPr="00A658B5" w:rsidRDefault="007C5423" w:rsidP="00F73B3E">
      <w:pPr>
        <w:pStyle w:val="BodyText"/>
      </w:pPr>
      <w:r w:rsidRPr="00A658B5">
        <w:t>The six student sampling strata will be:</w:t>
      </w:r>
    </w:p>
    <w:p w:rsidR="007C5423" w:rsidRPr="00A658B5" w:rsidRDefault="007C5423" w:rsidP="00096138">
      <w:pPr>
        <w:pStyle w:val="bulletround"/>
        <w:numPr>
          <w:ilvl w:val="0"/>
          <w:numId w:val="13"/>
        </w:numPr>
      </w:pPr>
      <w:r w:rsidRPr="00A658B5">
        <w:t>first-time beginning undergraduate students</w:t>
      </w:r>
    </w:p>
    <w:p w:rsidR="007C5423" w:rsidRPr="00A658B5" w:rsidRDefault="007C5423" w:rsidP="00F73B3E">
      <w:pPr>
        <w:pStyle w:val="bulletround"/>
        <w:numPr>
          <w:ilvl w:val="0"/>
          <w:numId w:val="13"/>
        </w:numPr>
      </w:pPr>
      <w:r w:rsidRPr="00A658B5">
        <w:t>other undergraduate students</w:t>
      </w:r>
    </w:p>
    <w:p w:rsidR="007C5423" w:rsidRPr="00A658B5" w:rsidRDefault="007C5423" w:rsidP="00F73B3E">
      <w:pPr>
        <w:pStyle w:val="bulletround"/>
        <w:numPr>
          <w:ilvl w:val="0"/>
          <w:numId w:val="13"/>
        </w:numPr>
      </w:pPr>
      <w:r w:rsidRPr="00A658B5">
        <w:t>masters students</w:t>
      </w:r>
    </w:p>
    <w:p w:rsidR="007C5423" w:rsidRPr="00A658B5" w:rsidRDefault="007C5423" w:rsidP="00F73B3E">
      <w:pPr>
        <w:pStyle w:val="bulletround"/>
        <w:numPr>
          <w:ilvl w:val="0"/>
          <w:numId w:val="13"/>
        </w:numPr>
      </w:pPr>
      <w:r w:rsidRPr="00A658B5">
        <w:t>doctoral-research/scholarship/other students</w:t>
      </w:r>
    </w:p>
    <w:p w:rsidR="007C5423" w:rsidRPr="00A658B5" w:rsidRDefault="007C5423" w:rsidP="00F73B3E">
      <w:pPr>
        <w:pStyle w:val="bulletround"/>
        <w:numPr>
          <w:ilvl w:val="0"/>
          <w:numId w:val="13"/>
        </w:numPr>
      </w:pPr>
      <w:r w:rsidRPr="00A658B5">
        <w:t>doctoral-professional practice students</w:t>
      </w:r>
      <w:r w:rsidRPr="00A658B5">
        <w:rPr>
          <w:rStyle w:val="FootnoteReference"/>
        </w:rPr>
        <w:footnoteReference w:id="3"/>
      </w:r>
    </w:p>
    <w:p w:rsidR="007C5423" w:rsidRPr="00A658B5" w:rsidRDefault="007C5423" w:rsidP="00F73B3E">
      <w:pPr>
        <w:pStyle w:val="bulletround"/>
        <w:numPr>
          <w:ilvl w:val="0"/>
          <w:numId w:val="13"/>
        </w:numPr>
      </w:pPr>
      <w:r w:rsidRPr="00A658B5">
        <w:t>other graduate students.</w:t>
      </w:r>
      <w:r w:rsidRPr="00A658B5">
        <w:rPr>
          <w:rStyle w:val="FootnoteReference"/>
        </w:rPr>
        <w:footnoteReference w:id="4"/>
      </w:r>
    </w:p>
    <w:p w:rsidR="007C5423" w:rsidRDefault="007C5423" w:rsidP="00E52775">
      <w:pPr>
        <w:pStyle w:val="BodyText"/>
      </w:pPr>
      <w:r w:rsidRPr="00A658B5">
        <w:t>As was done in past rounds of NPSAS, certain student types (potential FTBs, other undergraduates, masters students, doctoral-research/scholarship/other students, doctoral-professional practice students, and other graduate students) will be sampled at different rates to control the sample allocation. Differential sampling rates facilitate obtaining the target sample sizes necessary to meet analytic objectives for defined domain estimates in the full-scale study.</w:t>
      </w:r>
      <w:r>
        <w:t xml:space="preserve"> </w:t>
      </w:r>
    </w:p>
    <w:p w:rsidR="007C5423" w:rsidRPr="005B29AE" w:rsidRDefault="007C5423" w:rsidP="002036CF">
      <w:pPr>
        <w:pStyle w:val="BodyText"/>
      </w:pPr>
      <w:r w:rsidRPr="00174873">
        <w:rPr>
          <w:b/>
          <w:bCs/>
        </w:rPr>
        <w:t>Creating student sampling frames</w:t>
      </w:r>
      <w:r>
        <w:t xml:space="preserve">. Sample institutions will be asked to provide an electronic student enrollment list. The following data items will be requested for NPSAS-eligible students enrolled at each sample institution. Most of these items are similar to what was collected in past NPSAS studies.  </w:t>
      </w:r>
    </w:p>
    <w:p w:rsidR="007C5423" w:rsidRDefault="007C5423" w:rsidP="00F73B3E">
      <w:pPr>
        <w:pStyle w:val="bulletround"/>
      </w:pPr>
      <w:r>
        <w:t>Name</w:t>
      </w:r>
    </w:p>
    <w:p w:rsidR="007C5423" w:rsidRDefault="007C5423" w:rsidP="00F73B3E">
      <w:pPr>
        <w:pStyle w:val="bulletround"/>
      </w:pPr>
      <w:r>
        <w:t>Social Security number (SSN)</w:t>
      </w:r>
    </w:p>
    <w:p w:rsidR="007C5423" w:rsidRDefault="007C5423" w:rsidP="00F73B3E">
      <w:pPr>
        <w:pStyle w:val="bulletround"/>
      </w:pPr>
      <w:r>
        <w:t>Student ID number (if different from SSN)</w:t>
      </w:r>
    </w:p>
    <w:p w:rsidR="007C5423" w:rsidRDefault="007C5423" w:rsidP="00F73B3E">
      <w:pPr>
        <w:pStyle w:val="bulletround"/>
      </w:pPr>
      <w:r>
        <w:t xml:space="preserve">Student level </w:t>
      </w:r>
      <w:r w:rsidRPr="0015037C">
        <w:t>(undergraduate, masters, doctoral</w:t>
      </w:r>
      <w:r>
        <w:t>-research/scholarship/other</w:t>
      </w:r>
      <w:r w:rsidRPr="0015037C">
        <w:t>,</w:t>
      </w:r>
      <w:r>
        <w:t xml:space="preserve"> doctoral-professional practice,</w:t>
      </w:r>
      <w:r w:rsidRPr="0015037C">
        <w:t xml:space="preserve"> other graduate)</w:t>
      </w:r>
    </w:p>
    <w:p w:rsidR="007C5423" w:rsidRDefault="007C5423" w:rsidP="00F73B3E">
      <w:pPr>
        <w:pStyle w:val="bulletround"/>
      </w:pPr>
      <w:r>
        <w:t>First-time Beginner (FTB) indicator</w:t>
      </w:r>
    </w:p>
    <w:p w:rsidR="007C5423" w:rsidRDefault="007C5423" w:rsidP="00F73B3E">
      <w:pPr>
        <w:pStyle w:val="bulletround"/>
      </w:pPr>
      <w:r>
        <w:t>Class level of undergraduates (first year, second year, etc.)</w:t>
      </w:r>
    </w:p>
    <w:p w:rsidR="007C5423" w:rsidRDefault="007C5423" w:rsidP="00F73B3E">
      <w:pPr>
        <w:pStyle w:val="bulletround"/>
      </w:pPr>
      <w:r>
        <w:t>Date of birth (DOB)</w:t>
      </w:r>
    </w:p>
    <w:p w:rsidR="007C5423" w:rsidRDefault="007C5423" w:rsidP="00F73B3E">
      <w:pPr>
        <w:pStyle w:val="bulletround"/>
      </w:pPr>
      <w:r>
        <w:t xml:space="preserve">High school graduation date (month and year) </w:t>
      </w:r>
    </w:p>
    <w:p w:rsidR="007C5423" w:rsidRDefault="007C5423" w:rsidP="00F73B3E">
      <w:pPr>
        <w:pStyle w:val="bulletround"/>
      </w:pPr>
      <w:r>
        <w:t>CIP code or major</w:t>
      </w:r>
    </w:p>
    <w:p w:rsidR="007C5423" w:rsidRDefault="007C5423" w:rsidP="00FE1043">
      <w:pPr>
        <w:pStyle w:val="bulletround"/>
      </w:pPr>
      <w:r>
        <w:t>Indicator of whether the institution received an ISIR (electronic record summarizing the result of the student’s FAFSA processing) from CPS</w:t>
      </w:r>
    </w:p>
    <w:p w:rsidR="007C5423" w:rsidRDefault="007C5423" w:rsidP="00F73B3E">
      <w:pPr>
        <w:pStyle w:val="bulletround"/>
      </w:pPr>
      <w:r>
        <w:t>Contact information (local and permanent street address and phone number and school and home e-mail address)</w:t>
      </w:r>
    </w:p>
    <w:p w:rsidR="007C5423" w:rsidRDefault="007C5423" w:rsidP="00626331">
      <w:pPr>
        <w:pStyle w:val="Bodytextnoindent"/>
      </w:pPr>
      <w:r>
        <w:t xml:space="preserve">These data items are described in greater detail in section C. </w:t>
      </w:r>
    </w:p>
    <w:p w:rsidR="007C5423" w:rsidRDefault="007C5423" w:rsidP="00626331">
      <w:pPr>
        <w:pStyle w:val="BodyText"/>
      </w:pPr>
      <w:r>
        <w:t xml:space="preserve">As with NPSAS:04 and NPSAS:08, we will request locating data from institutions concurrent with the collection of student lists used for sample selection. This will allow web-based student record collection and interviewing to begin almost immediately after sample selection and thus help us meet the very tight schedule for data collection, data processing, and file development, especially in the full-scale study. For institutions unwilling to provide location data for all students on enrollment lists, we will request locating data only for sample students immediately after the sample is selected. </w:t>
      </w:r>
    </w:p>
    <w:p w:rsidR="007C5423" w:rsidRDefault="007C5423" w:rsidP="00626331">
      <w:pPr>
        <w:pStyle w:val="BodyText"/>
      </w:pPr>
      <w:r>
        <w:t xml:space="preserve">The FTB indicator, class level, date of birth, and high school graduation year will be used to identify and oversample potential FTBs, as described below. High school graduation year has not been requested on lists in the past for NPSAS, so we will test the feasibility of this request in the field test. </w:t>
      </w:r>
    </w:p>
    <w:p w:rsidR="007C5423" w:rsidRDefault="007C5423" w:rsidP="00626331">
      <w:pPr>
        <w:pStyle w:val="BodyText"/>
      </w:pPr>
      <w:r>
        <w:t>CIP code and major have been collected in the past for NPSAS in order to help identify baccalaureate recipients who are business majors, so that they could be undersampled in NPSAS years that spin off the B&amp;B Longitudinal Study. In NPSAS:08, CIP code and major were also used to oversample STEM majors who were not SMART grant recipients. Currently, there is no need to oversample or undersample any students based on CIP and major, but we plan to ask for CIP and major on the list in the field test in case a need arises. Our experience shows that institutions can easily provide this information on the list without added burden. For the full-scale study, we will re-visit this issue to see if it is necessary to ask for these items on the list.</w:t>
      </w:r>
    </w:p>
    <w:p w:rsidR="007C5423" w:rsidRDefault="007C5423" w:rsidP="00626331">
      <w:pPr>
        <w:pStyle w:val="BodyText"/>
      </w:pPr>
      <w:r>
        <w:t xml:space="preserve">The following section describes our planned procedures to securely obtain, store, and discard sensitive information collected for sampling purposes.  </w:t>
      </w:r>
    </w:p>
    <w:p w:rsidR="007C5423" w:rsidRDefault="007C5423" w:rsidP="0021121B">
      <w:pPr>
        <w:pStyle w:val="BodyText"/>
      </w:pPr>
      <w:r>
        <w:rPr>
          <w:b/>
          <w:bCs/>
        </w:rPr>
        <w:t>Obtaining student enrollment lists.</w:t>
      </w:r>
      <w:r>
        <w:t xml:space="preserve"> To ensure the secure transmission of sensitive information on the enrollment lists, we will provide the following options to institutions: (1) upload encrypted student enrollment list files to the project’s secure website using a login ID and “strong” password provided by RTI, (2) provide an appropriately encrypted list file via e-mail (RTI will provide guidelines on encryption and creating “strong” passwords).  </w:t>
      </w:r>
    </w:p>
    <w:p w:rsidR="007C5423" w:rsidRDefault="007C5423" w:rsidP="0021121B">
      <w:pPr>
        <w:pStyle w:val="BodyText"/>
      </w:pPr>
      <w:r>
        <w:t xml:space="preserve">We expect that few institutions will ask to provide a paper list. However, in the event that an institution is unable to transmit data via the secure electronic methods of transmission outlined above, we will accept faxes sent to a secure electronic fax machine. To ensure the fax transmission is sent to the appropriate destination, we will require a test run with nonsensitive data prior to submitting the transcripts to eliminate errors in transmission from misdialing. RTI will provide schools with a fax cover page that includes a confidentiality statement to use when transmitting individually identifiable information. </w:t>
      </w:r>
    </w:p>
    <w:p w:rsidR="007C5423" w:rsidRDefault="007C5423" w:rsidP="0021121B">
      <w:pPr>
        <w:pStyle w:val="BodyText"/>
      </w:pPr>
      <w:r>
        <w:t xml:space="preserve">List files received via e-fax are stored as electronic files on the e-fax server, which is housed in a secured data center at RTI. These files will be copied to a project folder that is only accessible to project staff members. Access to this project folder will be set so that only those who have authorized access will be able to see the included files. The folder will not even be visible to those without access. After being copied, the files will be deleted from the e-fax server. The files will be stored on the network that is backed up regularly to avoid the need to recontact the institution to provide the data again should a loss occur. RTI’s information technology service (ITS) will use standard procedures for backing up data, so the backup files will exist for 3 months. </w:t>
      </w:r>
    </w:p>
    <w:p w:rsidR="007C5423" w:rsidRDefault="007C5423" w:rsidP="00F73B3E">
      <w:pPr>
        <w:pStyle w:val="BodyText"/>
      </w:pPr>
      <w:r w:rsidRPr="006A098A">
        <w:rPr>
          <w:b/>
          <w:bCs/>
        </w:rPr>
        <w:t>Identifying FTBs during the base year.</w:t>
      </w:r>
      <w:r>
        <w:t xml:space="preserve"> Accurately qualifying sample members as FTBs is a continuing challenge. This is important because unacceptably high rates of misclassification (e.g., false positives) can and have resulted in (1) excessive cohort loss with too few eligible sample members to sustain the longitudinal study, (2) excessive cost to “replenish” the sample with little value added, and (3) inefficient sample design (excessive oversampling of “potential” FTBs) to compensate for anticipated misclassification error.</w:t>
      </w:r>
    </w:p>
    <w:p w:rsidR="007C5423" w:rsidRDefault="007C5423">
      <w:pPr>
        <w:pStyle w:val="BodyText"/>
        <w:spacing w:before="0" w:after="0"/>
      </w:pPr>
      <w:r w:rsidRPr="008A2E26">
        <w:t>W</w:t>
      </w:r>
      <w:r w:rsidRPr="002855DF">
        <w:t xml:space="preserve">e will take steps early in the NPSAS:12 listing and sampling processes to improve the rate at which FTBs are correctly classified for sampling. First, in addition to an FTB indicator, we will request that enrollment lists provided by institutions (or institution systems) include class level, student level, date of birth, and high school graduation date. Students identified by the school as FTBs but also identified as in their third year or higher and/or not an undergraduate student will not be classified as FTBs for sampling. Additionally, students appearing to be dually enrolled at the postsecondary school and in high school based on the high school graduation date will also not be eligible for sampling. If the FTB indicator is not provided for a student on the list but the student is 18 years old or younger and does not appear to be dually enrolled, the student will be </w:t>
      </w:r>
      <w:r>
        <w:t xml:space="preserve">classified as an FTB for </w:t>
      </w:r>
      <w:r w:rsidRPr="002855DF">
        <w:t>sampl</w:t>
      </w:r>
      <w:r>
        <w:t>ing</w:t>
      </w:r>
      <w:r w:rsidRPr="002855DF">
        <w:t>. Otherwise, if the FTB indicator is not provided for a student on the list and the student is over the age of 18, then the student will be sampled as an “other undergraduate” but will be part of the BPS cohort if identified during the interview as an FTB.</w:t>
      </w:r>
      <w:r>
        <w:t xml:space="preserve">  </w:t>
      </w:r>
    </w:p>
    <w:p w:rsidR="007C5423" w:rsidRDefault="007C5423" w:rsidP="001728C0">
      <w:pPr>
        <w:pStyle w:val="BodyText"/>
      </w:pPr>
      <w:r>
        <w:t xml:space="preserve">Second, prior to sampling we will match students over the age of 18 listed as potential FTBs to National Student Loan Data System (NSLDS) records to determine if any have a federal financial aid history pre-dating the NPSAS year (earlier than July 1, 2010 for the field test and July 1, 2011 for the full-scale). Since NSLDS maintains current records of all Title IV grant and loan funding, any students with data showing disbursements from the prior year can be reliably excluded from the sampling frame of FTBs. Given that about 60 percent of FTBs receive some form of Title IV aid in their first year, this matching process will not be able to exclude all listed FTBs with prior enrollment, but will significantly improve the accuracy of the listing prior to sampling, yielding fewer false positives. Only students over 18 years of age will be sent to NSLDS because most students 18 and younger are FTBs. Matching to NSLDS would be expected to identify about 22 percent of the cases matched as false positives (based on NPSAS:04 data). If it is not feasible to send all potential FTBs to NSLDS for matching, we will consider sending only potential FTBs in sectors with historically high false positive rates.   </w:t>
      </w:r>
    </w:p>
    <w:p w:rsidR="007C5423" w:rsidRPr="00B61509" w:rsidRDefault="007C5423" w:rsidP="001728C0">
      <w:pPr>
        <w:pStyle w:val="BodyText"/>
      </w:pPr>
      <w:r w:rsidRPr="002855DF">
        <w:t xml:space="preserve">An interim step under consideration is matching the remaining sample (or a subset thereof,) to the National Student Clearinghouse (NSC) for further narrowing of potential FTBs based on the presence of evidence of earlier enrollment. Due to the high cost of the NSC service, we are weighing the costs and benefits of sending all potential FTBs resulting from NSLDS matching who are 19 or older versus sending a subsample of these potential FTBs to NSC for matching. Matching to both NSC and NSLDS would be expected to </w:t>
      </w:r>
      <w:r>
        <w:t xml:space="preserve">identify about </w:t>
      </w:r>
      <w:r w:rsidRPr="002855DF">
        <w:t xml:space="preserve">35 percent </w:t>
      </w:r>
      <w:r>
        <w:t xml:space="preserve">of the cases matched as false positives </w:t>
      </w:r>
      <w:r w:rsidRPr="002855DF">
        <w:t>(based on NPSAS:0</w:t>
      </w:r>
      <w:r>
        <w:t>4</w:t>
      </w:r>
      <w:r w:rsidRPr="002855DF">
        <w:t xml:space="preserve"> data). </w:t>
      </w:r>
    </w:p>
    <w:p w:rsidR="007C5423" w:rsidRPr="00B61509" w:rsidRDefault="007C5423" w:rsidP="00F4103B">
      <w:pPr>
        <w:pStyle w:val="BodyText"/>
      </w:pPr>
      <w:r w:rsidRPr="00B61509">
        <w:t xml:space="preserve">Third, we will set our FTB selection rates taking into account the error rates observed in NPSAS:04 and BPS:04/06 within each sector. As shown in table </w:t>
      </w:r>
      <w:r>
        <w:t>9</w:t>
      </w:r>
      <w:r w:rsidRPr="00B61509">
        <w:t>, some institution sectors were better able to accurately identify their students as FTBs. While the sample selection rates will take into account these false positive error rates, we do anticipate achieving an improvement in accuracy from the NSLDS and NSC record matches and will adjust the selection rates accordingly. To the extent possible, we will examine the sector-level FTB error rates in the field test to determine the rates necessary for full-scale student sampling.</w:t>
      </w:r>
    </w:p>
    <w:p w:rsidR="007C5423" w:rsidRPr="00B61509" w:rsidRDefault="007C5423" w:rsidP="00B61509">
      <w:pPr>
        <w:pStyle w:val="BodyText"/>
      </w:pPr>
      <w:r w:rsidRPr="00B61509">
        <w:t xml:space="preserve">False starters are students who enrolled in a course at the postsecondary level but did not earn credit, and these students have been included as FTBs in the past. Because they are difficult to accurately identify, our experience has shown that many false positives are false starters. We have agreed with NCES to limit the FTB sample to pure FTBs. </w:t>
      </w:r>
    </w:p>
    <w:p w:rsidR="007C5423" w:rsidRPr="00B61509" w:rsidRDefault="007C5423" w:rsidP="002036CF">
      <w:pPr>
        <w:pStyle w:val="BodyText"/>
      </w:pPr>
      <w:r w:rsidRPr="00B61509">
        <w:t xml:space="preserve">Finally, we will revise the screening questions used to identify FTBs in institutional student records and </w:t>
      </w:r>
      <w:r>
        <w:t>the student interview</w:t>
      </w:r>
      <w:r w:rsidRPr="00B61509">
        <w:t>. Question wording to determine FTB eligibility will be pre-tested in focus groups and in RTI’s cognitive laboratory; both evaluations will be conducted in advance of the field test.</w:t>
      </w:r>
    </w:p>
    <w:p w:rsidR="007C5423" w:rsidRDefault="007C5423" w:rsidP="00DF03AA">
      <w:pPr>
        <w:pStyle w:val="tabletitle0"/>
      </w:pPr>
      <w:bookmarkStart w:id="7" w:name="_Toc254356389"/>
      <w:bookmarkStart w:id="8" w:name="_Toc255888156"/>
      <w:bookmarkStart w:id="9" w:name="_Toc268594016"/>
      <w:r>
        <w:t>Table 9.</w:t>
      </w:r>
      <w:r>
        <w:tab/>
        <w:t xml:space="preserve">Weighted false positive rate observed in FTB </w:t>
      </w:r>
      <w:r w:rsidRPr="00DF03AA">
        <w:t>identification</w:t>
      </w:r>
      <w:r>
        <w:t>, by sector: NPSAS:04</w:t>
      </w:r>
      <w:bookmarkEnd w:id="7"/>
      <w:bookmarkEnd w:id="8"/>
      <w:bookmarkEnd w:id="9"/>
    </w:p>
    <w:tbl>
      <w:tblPr>
        <w:tblW w:w="5000" w:type="pct"/>
        <w:tblBorders>
          <w:top w:val="single" w:sz="12" w:space="0" w:color="auto"/>
          <w:bottom w:val="single" w:sz="12" w:space="0" w:color="auto"/>
        </w:tblBorders>
        <w:tblLayout w:type="fixed"/>
        <w:tblLook w:val="01E0"/>
      </w:tblPr>
      <w:tblGrid>
        <w:gridCol w:w="7167"/>
        <w:gridCol w:w="2409"/>
      </w:tblGrid>
      <w:tr w:rsidR="007C5423" w:rsidRPr="003C0ACC">
        <w:trPr>
          <w:cantSplit/>
        </w:trPr>
        <w:tc>
          <w:tcPr>
            <w:tcW w:w="8484" w:type="dxa"/>
            <w:tcBorders>
              <w:top w:val="single" w:sz="12" w:space="0" w:color="auto"/>
              <w:bottom w:val="single" w:sz="6" w:space="0" w:color="auto"/>
            </w:tcBorders>
            <w:vAlign w:val="bottom"/>
          </w:tcPr>
          <w:p w:rsidR="007C5423" w:rsidRPr="003C0ACC" w:rsidRDefault="007C5423" w:rsidP="00F73B3E">
            <w:pPr>
              <w:keepNext/>
              <w:autoSpaceDE w:val="0"/>
              <w:autoSpaceDN w:val="0"/>
              <w:adjustRightInd w:val="0"/>
              <w:spacing w:before="60" w:after="60"/>
              <w:ind w:left="346" w:hanging="346"/>
              <w:rPr>
                <w:rFonts w:ascii="Arial" w:hAnsi="Arial" w:cs="Arial"/>
                <w:color w:val="000000"/>
                <w:sz w:val="20"/>
              </w:rPr>
            </w:pPr>
            <w:r w:rsidRPr="003C0ACC">
              <w:rPr>
                <w:rFonts w:ascii="Arial" w:hAnsi="Arial" w:cs="Arial"/>
                <w:color w:val="000000"/>
                <w:sz w:val="20"/>
              </w:rPr>
              <w:t>Sector in NPSAS:04</w:t>
            </w:r>
          </w:p>
        </w:tc>
        <w:tc>
          <w:tcPr>
            <w:tcW w:w="2822" w:type="dxa"/>
            <w:tcBorders>
              <w:top w:val="single" w:sz="12" w:space="0" w:color="auto"/>
              <w:bottom w:val="single" w:sz="6" w:space="0" w:color="auto"/>
            </w:tcBorders>
            <w:vAlign w:val="bottom"/>
          </w:tcPr>
          <w:p w:rsidR="007C5423" w:rsidRDefault="007C5423" w:rsidP="00F73B3E">
            <w:pPr>
              <w:pStyle w:val="Tablebody"/>
            </w:pPr>
            <w:r>
              <w:t>False positive rate (weighted)</w:t>
            </w:r>
          </w:p>
        </w:tc>
      </w:tr>
      <w:tr w:rsidR="007C5423" w:rsidRPr="003C0ACC">
        <w:trPr>
          <w:cantSplit/>
        </w:trPr>
        <w:tc>
          <w:tcPr>
            <w:tcW w:w="8484" w:type="dxa"/>
            <w:vAlign w:val="bottom"/>
          </w:tcPr>
          <w:p w:rsidR="007C5423" w:rsidRDefault="007C5423" w:rsidP="00F73B3E">
            <w:pPr>
              <w:pStyle w:val="Tabletext"/>
            </w:pPr>
            <w:r>
              <w:t>Public</w:t>
            </w:r>
          </w:p>
        </w:tc>
        <w:tc>
          <w:tcPr>
            <w:tcW w:w="2822" w:type="dxa"/>
            <w:vAlign w:val="bottom"/>
          </w:tcPr>
          <w:p w:rsidR="007C5423" w:rsidRDefault="007C5423" w:rsidP="00F73B3E">
            <w:pPr>
              <w:pStyle w:val="Tablebody"/>
            </w:pPr>
          </w:p>
        </w:tc>
      </w:tr>
      <w:tr w:rsidR="007C5423" w:rsidRPr="003C0ACC">
        <w:trPr>
          <w:cantSplit/>
        </w:trPr>
        <w:tc>
          <w:tcPr>
            <w:tcW w:w="8484" w:type="dxa"/>
            <w:vAlign w:val="bottom"/>
          </w:tcPr>
          <w:p w:rsidR="007C5423" w:rsidRDefault="007C5423" w:rsidP="00F73B3E">
            <w:pPr>
              <w:pStyle w:val="2enspsubgroup1"/>
            </w:pPr>
            <w:r>
              <w:t>Less-than 2</w:t>
            </w:r>
            <w:r w:rsidRPr="003C0ACC">
              <w:rPr>
                <w:rFonts w:cs="Arial"/>
              </w:rPr>
              <w:t>-year</w:t>
            </w:r>
          </w:p>
        </w:tc>
        <w:tc>
          <w:tcPr>
            <w:tcW w:w="2822" w:type="dxa"/>
            <w:vAlign w:val="bottom"/>
          </w:tcPr>
          <w:p w:rsidR="007C5423" w:rsidRDefault="007C5423" w:rsidP="00F73B3E">
            <w:pPr>
              <w:pStyle w:val="Tablebody"/>
            </w:pPr>
            <w:r>
              <w:t>64.4</w:t>
            </w:r>
          </w:p>
        </w:tc>
      </w:tr>
      <w:tr w:rsidR="007C5423" w:rsidRPr="003C0ACC">
        <w:trPr>
          <w:cantSplit/>
        </w:trPr>
        <w:tc>
          <w:tcPr>
            <w:tcW w:w="8484" w:type="dxa"/>
            <w:vAlign w:val="bottom"/>
          </w:tcPr>
          <w:p w:rsidR="007C5423" w:rsidRDefault="007C5423" w:rsidP="00F73B3E">
            <w:pPr>
              <w:pStyle w:val="2enspsubgroup1"/>
            </w:pPr>
            <w:r>
              <w:t>2</w:t>
            </w:r>
            <w:r w:rsidRPr="003C0ACC">
              <w:rPr>
                <w:rFonts w:cs="Arial"/>
              </w:rPr>
              <w:t>-year</w:t>
            </w:r>
          </w:p>
        </w:tc>
        <w:tc>
          <w:tcPr>
            <w:tcW w:w="2822" w:type="dxa"/>
            <w:vAlign w:val="bottom"/>
          </w:tcPr>
          <w:p w:rsidR="007C5423" w:rsidRDefault="007C5423" w:rsidP="00F73B3E">
            <w:pPr>
              <w:pStyle w:val="Tablebody"/>
            </w:pPr>
            <w:r>
              <w:t>72.5</w:t>
            </w:r>
          </w:p>
        </w:tc>
      </w:tr>
      <w:tr w:rsidR="007C5423" w:rsidRPr="003C0ACC">
        <w:trPr>
          <w:cantSplit/>
        </w:trPr>
        <w:tc>
          <w:tcPr>
            <w:tcW w:w="8484" w:type="dxa"/>
            <w:vAlign w:val="bottom"/>
          </w:tcPr>
          <w:p w:rsidR="007C5423" w:rsidRDefault="007C5423" w:rsidP="00F73B3E">
            <w:pPr>
              <w:pStyle w:val="2enspsubgroup1"/>
            </w:pPr>
            <w:r>
              <w:t>4</w:t>
            </w:r>
            <w:r w:rsidRPr="003C0ACC">
              <w:rPr>
                <w:rFonts w:cs="Arial"/>
              </w:rPr>
              <w:t>-year non-doctorate-granting</w:t>
            </w:r>
          </w:p>
        </w:tc>
        <w:tc>
          <w:tcPr>
            <w:tcW w:w="2822" w:type="dxa"/>
            <w:vAlign w:val="bottom"/>
          </w:tcPr>
          <w:p w:rsidR="007C5423" w:rsidRDefault="007C5423" w:rsidP="00F73B3E">
            <w:pPr>
              <w:pStyle w:val="Tablebody"/>
            </w:pPr>
            <w:r>
              <w:t>26.8</w:t>
            </w:r>
          </w:p>
        </w:tc>
      </w:tr>
      <w:tr w:rsidR="007C5423" w:rsidRPr="003C0ACC">
        <w:trPr>
          <w:cantSplit/>
        </w:trPr>
        <w:tc>
          <w:tcPr>
            <w:tcW w:w="8484" w:type="dxa"/>
            <w:vAlign w:val="bottom"/>
          </w:tcPr>
          <w:p w:rsidR="007C5423" w:rsidRDefault="007C5423" w:rsidP="00F73B3E">
            <w:pPr>
              <w:pStyle w:val="2enspsubgroup1"/>
            </w:pPr>
            <w:r>
              <w:t>4</w:t>
            </w:r>
            <w:r w:rsidRPr="003C0ACC">
              <w:rPr>
                <w:rFonts w:cs="Arial"/>
              </w:rPr>
              <w:t>-year doctorate-granting</w:t>
            </w:r>
          </w:p>
        </w:tc>
        <w:tc>
          <w:tcPr>
            <w:tcW w:w="2822" w:type="dxa"/>
            <w:vAlign w:val="bottom"/>
          </w:tcPr>
          <w:p w:rsidR="007C5423" w:rsidRDefault="007C5423" w:rsidP="00F73B3E">
            <w:pPr>
              <w:pStyle w:val="Tablebody"/>
            </w:pPr>
            <w:r>
              <w:t>27.0</w:t>
            </w:r>
          </w:p>
        </w:tc>
      </w:tr>
      <w:tr w:rsidR="007C5423" w:rsidRPr="003C0ACC">
        <w:trPr>
          <w:cantSplit/>
          <w:trHeight w:hRule="exact" w:val="160"/>
        </w:trPr>
        <w:tc>
          <w:tcPr>
            <w:tcW w:w="8484" w:type="dxa"/>
            <w:vAlign w:val="bottom"/>
          </w:tcPr>
          <w:p w:rsidR="007C5423" w:rsidRDefault="007C5423" w:rsidP="00F73B3E">
            <w:pPr>
              <w:pStyle w:val="2enspsubgroup1"/>
            </w:pPr>
          </w:p>
        </w:tc>
        <w:tc>
          <w:tcPr>
            <w:tcW w:w="2822" w:type="dxa"/>
            <w:vAlign w:val="bottom"/>
          </w:tcPr>
          <w:p w:rsidR="007C5423" w:rsidRDefault="007C5423" w:rsidP="00F73B3E">
            <w:pPr>
              <w:pStyle w:val="Tablebody"/>
            </w:pPr>
          </w:p>
        </w:tc>
      </w:tr>
      <w:tr w:rsidR="007C5423" w:rsidRPr="003C0ACC">
        <w:trPr>
          <w:cantSplit/>
        </w:trPr>
        <w:tc>
          <w:tcPr>
            <w:tcW w:w="8484" w:type="dxa"/>
            <w:vAlign w:val="bottom"/>
          </w:tcPr>
          <w:p w:rsidR="007C5423" w:rsidRDefault="007C5423" w:rsidP="00F73B3E">
            <w:pPr>
              <w:pStyle w:val="Tabletext"/>
            </w:pPr>
            <w:r>
              <w:t>Private not-for-profit</w:t>
            </w:r>
          </w:p>
        </w:tc>
        <w:tc>
          <w:tcPr>
            <w:tcW w:w="2822" w:type="dxa"/>
            <w:vAlign w:val="bottom"/>
          </w:tcPr>
          <w:p w:rsidR="007C5423" w:rsidRDefault="007C5423" w:rsidP="00F73B3E">
            <w:pPr>
              <w:pStyle w:val="Tablebody"/>
            </w:pPr>
          </w:p>
        </w:tc>
      </w:tr>
      <w:tr w:rsidR="007C5423" w:rsidRPr="003C0ACC">
        <w:trPr>
          <w:cantSplit/>
        </w:trPr>
        <w:tc>
          <w:tcPr>
            <w:tcW w:w="8484" w:type="dxa"/>
            <w:vAlign w:val="bottom"/>
          </w:tcPr>
          <w:p w:rsidR="007C5423" w:rsidRDefault="007C5423" w:rsidP="00F73B3E">
            <w:pPr>
              <w:pStyle w:val="2enspsubgroup1"/>
            </w:pPr>
            <w:r>
              <w:t>Less-than-4-year</w:t>
            </w:r>
          </w:p>
        </w:tc>
        <w:tc>
          <w:tcPr>
            <w:tcW w:w="2822" w:type="dxa"/>
            <w:vAlign w:val="bottom"/>
          </w:tcPr>
          <w:p w:rsidR="007C5423" w:rsidRDefault="007C5423" w:rsidP="00F73B3E">
            <w:pPr>
              <w:pStyle w:val="Tablebody"/>
            </w:pPr>
            <w:r>
              <w:t>63.1</w:t>
            </w:r>
          </w:p>
        </w:tc>
      </w:tr>
      <w:tr w:rsidR="007C5423" w:rsidRPr="003C0ACC">
        <w:trPr>
          <w:cantSplit/>
        </w:trPr>
        <w:tc>
          <w:tcPr>
            <w:tcW w:w="8484" w:type="dxa"/>
            <w:vAlign w:val="bottom"/>
          </w:tcPr>
          <w:p w:rsidR="007C5423" w:rsidRDefault="007C5423" w:rsidP="00F73B3E">
            <w:pPr>
              <w:pStyle w:val="2enspsubgroup1"/>
            </w:pPr>
            <w:r>
              <w:t>4-year non-doctorate-granting</w:t>
            </w:r>
          </w:p>
        </w:tc>
        <w:tc>
          <w:tcPr>
            <w:tcW w:w="2822" w:type="dxa"/>
            <w:vAlign w:val="bottom"/>
          </w:tcPr>
          <w:p w:rsidR="007C5423" w:rsidRDefault="007C5423" w:rsidP="00F73B3E">
            <w:pPr>
              <w:pStyle w:val="Tablebody"/>
            </w:pPr>
            <w:r>
              <w:t>43.4</w:t>
            </w:r>
          </w:p>
        </w:tc>
      </w:tr>
      <w:tr w:rsidR="007C5423" w:rsidRPr="003C0ACC">
        <w:trPr>
          <w:cantSplit/>
        </w:trPr>
        <w:tc>
          <w:tcPr>
            <w:tcW w:w="8484" w:type="dxa"/>
            <w:vAlign w:val="bottom"/>
          </w:tcPr>
          <w:p w:rsidR="007C5423" w:rsidRDefault="007C5423" w:rsidP="00F73B3E">
            <w:pPr>
              <w:pStyle w:val="2enspsubgroup1"/>
            </w:pPr>
            <w:r>
              <w:t>4-year doctorate-granting</w:t>
            </w:r>
          </w:p>
        </w:tc>
        <w:tc>
          <w:tcPr>
            <w:tcW w:w="2822" w:type="dxa"/>
            <w:vAlign w:val="bottom"/>
          </w:tcPr>
          <w:p w:rsidR="007C5423" w:rsidRDefault="007C5423" w:rsidP="00F73B3E">
            <w:pPr>
              <w:pStyle w:val="Tablebody"/>
            </w:pPr>
            <w:r>
              <w:t>15.2</w:t>
            </w:r>
          </w:p>
        </w:tc>
      </w:tr>
      <w:tr w:rsidR="007C5423" w:rsidRPr="003C0ACC">
        <w:trPr>
          <w:cantSplit/>
          <w:trHeight w:hRule="exact" w:val="160"/>
        </w:trPr>
        <w:tc>
          <w:tcPr>
            <w:tcW w:w="8484" w:type="dxa"/>
            <w:vAlign w:val="bottom"/>
          </w:tcPr>
          <w:p w:rsidR="007C5423" w:rsidRDefault="007C5423" w:rsidP="00F73B3E">
            <w:pPr>
              <w:pStyle w:val="2enspsubgroup1"/>
            </w:pPr>
          </w:p>
        </w:tc>
        <w:tc>
          <w:tcPr>
            <w:tcW w:w="2822" w:type="dxa"/>
            <w:vAlign w:val="bottom"/>
          </w:tcPr>
          <w:p w:rsidR="007C5423" w:rsidRDefault="007C5423" w:rsidP="00F73B3E">
            <w:pPr>
              <w:pStyle w:val="Tablebody"/>
            </w:pPr>
          </w:p>
        </w:tc>
      </w:tr>
      <w:tr w:rsidR="007C5423" w:rsidRPr="003C0ACC">
        <w:trPr>
          <w:cantSplit/>
        </w:trPr>
        <w:tc>
          <w:tcPr>
            <w:tcW w:w="8484" w:type="dxa"/>
            <w:vAlign w:val="bottom"/>
          </w:tcPr>
          <w:p w:rsidR="007C5423" w:rsidRDefault="007C5423" w:rsidP="00B61509">
            <w:pPr>
              <w:pStyle w:val="Tabletext"/>
            </w:pPr>
            <w:r>
              <w:t>Private for-profit</w:t>
            </w:r>
          </w:p>
        </w:tc>
        <w:tc>
          <w:tcPr>
            <w:tcW w:w="2822" w:type="dxa"/>
            <w:vAlign w:val="bottom"/>
          </w:tcPr>
          <w:p w:rsidR="007C5423" w:rsidRDefault="007C5423" w:rsidP="00F73B3E">
            <w:pPr>
              <w:pStyle w:val="Tablebody"/>
            </w:pPr>
          </w:p>
        </w:tc>
      </w:tr>
      <w:tr w:rsidR="007C5423" w:rsidRPr="003C0ACC">
        <w:trPr>
          <w:cantSplit/>
        </w:trPr>
        <w:tc>
          <w:tcPr>
            <w:tcW w:w="8484" w:type="dxa"/>
            <w:vAlign w:val="bottom"/>
          </w:tcPr>
          <w:p w:rsidR="007C5423" w:rsidRDefault="007C5423" w:rsidP="00F73B3E">
            <w:pPr>
              <w:pStyle w:val="2enspsubgroup1"/>
            </w:pPr>
            <w:r>
              <w:t>Less-than-2</w:t>
            </w:r>
            <w:r w:rsidRPr="003C0ACC">
              <w:rPr>
                <w:rFonts w:cs="Arial"/>
              </w:rPr>
              <w:t xml:space="preserve">-year </w:t>
            </w:r>
          </w:p>
        </w:tc>
        <w:tc>
          <w:tcPr>
            <w:tcW w:w="2822" w:type="dxa"/>
            <w:vAlign w:val="bottom"/>
          </w:tcPr>
          <w:p w:rsidR="007C5423" w:rsidRDefault="007C5423" w:rsidP="00F73B3E">
            <w:pPr>
              <w:pStyle w:val="Tablebody"/>
            </w:pPr>
            <w:r>
              <w:t>63.1</w:t>
            </w:r>
          </w:p>
        </w:tc>
      </w:tr>
      <w:tr w:rsidR="007C5423" w:rsidRPr="003C0ACC">
        <w:trPr>
          <w:cantSplit/>
        </w:trPr>
        <w:tc>
          <w:tcPr>
            <w:tcW w:w="8484" w:type="dxa"/>
            <w:tcBorders>
              <w:bottom w:val="single" w:sz="12" w:space="0" w:color="auto"/>
            </w:tcBorders>
            <w:vAlign w:val="bottom"/>
          </w:tcPr>
          <w:p w:rsidR="007C5423" w:rsidRDefault="007C5423" w:rsidP="00F73B3E">
            <w:pPr>
              <w:pStyle w:val="2enspsubgroup1"/>
            </w:pPr>
            <w:r>
              <w:t>2</w:t>
            </w:r>
            <w:r>
              <w:rPr>
                <w:rFonts w:cs="Arial"/>
              </w:rPr>
              <w:t xml:space="preserve"> </w:t>
            </w:r>
            <w:r w:rsidRPr="003C0ACC">
              <w:rPr>
                <w:rFonts w:cs="Arial"/>
              </w:rPr>
              <w:t>year</w:t>
            </w:r>
            <w:r>
              <w:rPr>
                <w:rFonts w:cs="Arial"/>
              </w:rPr>
              <w:t>s</w:t>
            </w:r>
            <w:r w:rsidRPr="003C0ACC">
              <w:rPr>
                <w:rFonts w:cs="Arial"/>
              </w:rPr>
              <w:t xml:space="preserve"> or more</w:t>
            </w:r>
          </w:p>
        </w:tc>
        <w:tc>
          <w:tcPr>
            <w:tcW w:w="2822" w:type="dxa"/>
            <w:tcBorders>
              <w:bottom w:val="single" w:sz="12" w:space="0" w:color="auto"/>
            </w:tcBorders>
            <w:vAlign w:val="bottom"/>
          </w:tcPr>
          <w:p w:rsidR="007C5423" w:rsidRDefault="007C5423" w:rsidP="00F73B3E">
            <w:pPr>
              <w:pStyle w:val="Tablebody"/>
            </w:pPr>
            <w:r>
              <w:t>70.0</w:t>
            </w:r>
          </w:p>
        </w:tc>
      </w:tr>
    </w:tbl>
    <w:p w:rsidR="007C5423" w:rsidRDefault="007C5423" w:rsidP="00F73B3E">
      <w:pPr>
        <w:pStyle w:val="Source"/>
      </w:pPr>
      <w:r>
        <w:t>FTB = first time beginner.</w:t>
      </w:r>
    </w:p>
    <w:p w:rsidR="007C5423" w:rsidRDefault="007C5423" w:rsidP="009D4913">
      <w:pPr>
        <w:pStyle w:val="BodyText"/>
        <w:spacing w:before="240"/>
      </w:pPr>
      <w:bookmarkStart w:id="10" w:name="OLE_LINK1"/>
      <w:bookmarkStart w:id="11" w:name="OLE_LINK2"/>
      <w:r w:rsidRPr="009D0AF9">
        <w:rPr>
          <w:b/>
          <w:bCs/>
        </w:rPr>
        <w:t>Quality control checks for lists</w:t>
      </w:r>
      <w:r>
        <w:t xml:space="preserve">. Several checks on quality and completeness of student lists will be implemented before the sample students are selected. The lists will fail quality control checks if student level and/or the FTB indicator are not included on the list. Additionally, the unduplicated total of students at the undergraduate and graduate levels on each institution’s student list will be checked against the latest IPEDS unduplicated </w:t>
      </w:r>
      <w:r w:rsidRPr="00B61509">
        <w:t>enrollment</w:t>
      </w:r>
      <w:r>
        <w:t xml:space="preserve"> data from the 12-Month Enrollment Survey. Lists will be unduplicated by student ID number. Based on past experience, only counts within 50 percent of non-imputed IPEDS counts will pass edit checks. </w:t>
      </w:r>
    </w:p>
    <w:p w:rsidR="007C5423" w:rsidRDefault="007C5423" w:rsidP="009D4913">
      <w:pPr>
        <w:pStyle w:val="BodyText"/>
        <w:spacing w:before="240"/>
      </w:pPr>
      <w:r>
        <w:t>B</w:t>
      </w:r>
      <w:r w:rsidRPr="009D4913">
        <w:t>ecause IPEDS does not ha</w:t>
      </w:r>
      <w:r>
        <w:t>ve unduplicated annual FTB count</w:t>
      </w:r>
      <w:r w:rsidRPr="009D4913">
        <w:t>s</w:t>
      </w:r>
      <w:r>
        <w:t>, t</w:t>
      </w:r>
      <w:r w:rsidRPr="009D4913">
        <w:t xml:space="preserve">he unduplicated FTB counts </w:t>
      </w:r>
      <w:r>
        <w:t xml:space="preserve">on each institution’s student list </w:t>
      </w:r>
      <w:r w:rsidRPr="009D4913">
        <w:t>will be checked separately against the fall enrollment counts from the IPEDS Fall Enrollment Survey. The check of FTBs will fail if the count for any unduplicated list is at least 50 percent less than the IPEDS FTB count. The list FTB counts are expected to almost always be more than the IPEDS counts because the IPEDS counts are not annual counts.</w:t>
      </w:r>
      <w:r>
        <w:t xml:space="preserve"> This check will identify institutional enrollment lists that under-report FTBs. We will re-evaluate these checks after the field test for use in the full-scale study.</w:t>
      </w:r>
    </w:p>
    <w:bookmarkEnd w:id="10"/>
    <w:bookmarkEnd w:id="11"/>
    <w:p w:rsidR="007C5423" w:rsidRPr="00B61509" w:rsidRDefault="007C5423" w:rsidP="00B61509">
      <w:pPr>
        <w:pStyle w:val="BodyText"/>
      </w:pPr>
      <w:r w:rsidRPr="00B61509">
        <w:t>Additionally, contact information will be checked carefully for each enrollment list as well as for each student sample. Past experience shows that some institutions may provide enrollment lists with contact information matched improperly with student name. Comparing e-mail addresses with student names will help ensure that each student’s contact information matches.</w:t>
      </w:r>
    </w:p>
    <w:p w:rsidR="007C5423" w:rsidRPr="00B61509" w:rsidRDefault="007C5423" w:rsidP="00B61509">
      <w:pPr>
        <w:pStyle w:val="BodyText"/>
      </w:pPr>
      <w:r w:rsidRPr="00B61509">
        <w:t>Institutions failing the edit checks will be re-contacted to resolve the discrepancy and verify that the institution coordinator who prepared the student list(s) clearly understood our request and provided a list of the appropriate students. When we determine that the initial list provided by the institution is not satisfactory, we will request a replacement list. We will proceed with selecting sample students when we have either confirmed that the list received is correct or have received a corrected list.</w:t>
      </w:r>
    </w:p>
    <w:p w:rsidR="007C5423" w:rsidRDefault="007C5423" w:rsidP="00CF57E2">
      <w:pPr>
        <w:pStyle w:val="BodyText"/>
      </w:pPr>
      <w:r w:rsidRPr="009D0AF9">
        <w:rPr>
          <w:b/>
          <w:bCs/>
        </w:rPr>
        <w:t>Selection of sample students.</w:t>
      </w:r>
      <w:r>
        <w:t xml:space="preserve"> Students will be sampled on a flow basis as student lists are received using a stratified systematic sampling procedure. </w:t>
      </w:r>
      <w:r w:rsidRPr="003829A9">
        <w:t>The student sampling strata will be</w:t>
      </w:r>
      <w:r>
        <w:t>:</w:t>
      </w:r>
    </w:p>
    <w:p w:rsidR="007C5423" w:rsidRDefault="007C5423" w:rsidP="00CF57E2">
      <w:pPr>
        <w:pStyle w:val="bulletround"/>
      </w:pPr>
      <w:r>
        <w:t xml:space="preserve">FTB undergraduate, </w:t>
      </w:r>
    </w:p>
    <w:p w:rsidR="007C5423" w:rsidRDefault="007C5423" w:rsidP="00CF57E2">
      <w:pPr>
        <w:pStyle w:val="bulletround"/>
      </w:pPr>
      <w:r>
        <w:t xml:space="preserve">other undergraduate </w:t>
      </w:r>
    </w:p>
    <w:p w:rsidR="007C5423" w:rsidRDefault="007C5423" w:rsidP="00CF57E2">
      <w:pPr>
        <w:pStyle w:val="bulletround"/>
      </w:pPr>
      <w:r>
        <w:t xml:space="preserve">masters, </w:t>
      </w:r>
    </w:p>
    <w:p w:rsidR="007C5423" w:rsidRDefault="007C5423" w:rsidP="00CF57E2">
      <w:pPr>
        <w:pStyle w:val="bulletround"/>
      </w:pPr>
      <w:r>
        <w:t xml:space="preserve">doctoral-research/scholarship/other, </w:t>
      </w:r>
    </w:p>
    <w:p w:rsidR="007C5423" w:rsidRDefault="007C5423" w:rsidP="00CF57E2">
      <w:pPr>
        <w:pStyle w:val="bulletround"/>
      </w:pPr>
      <w:r>
        <w:t xml:space="preserve">doctoral-professional practice, </w:t>
      </w:r>
    </w:p>
    <w:p w:rsidR="007C5423" w:rsidRDefault="007C5423" w:rsidP="00CF57E2">
      <w:pPr>
        <w:pStyle w:val="bulletround"/>
      </w:pPr>
      <w:r>
        <w:t>other graduate.</w:t>
      </w:r>
    </w:p>
    <w:p w:rsidR="007C5423" w:rsidRPr="00CF57E2" w:rsidRDefault="007C5423" w:rsidP="00CF57E2">
      <w:pPr>
        <w:pStyle w:val="BodyText"/>
      </w:pPr>
      <w:r w:rsidRPr="00CF57E2">
        <w:t>Lists will be unduplicated by student ID number prior to sample selection. In addition, all samples will be unduplicated by Social Security number (SSN) between institutions. In prior NPSAS studies, we found several instances in which this step avoided multiple selections of the same student. However, we also learned that the ID numbers assigned to non-citizens may not be unique across institutions; thus when duplicate IDs are detected, but the IDs are not standard SSNs (do not satisfy the appropriate range check), we will check the student names to verify that they are indeed duplicates before deleting the students.</w:t>
      </w:r>
    </w:p>
    <w:p w:rsidR="007C5423" w:rsidRPr="00CF57E2" w:rsidRDefault="007C5423" w:rsidP="00CF57E2">
      <w:pPr>
        <w:pStyle w:val="BodyText"/>
      </w:pPr>
      <w:r w:rsidRPr="00CF57E2">
        <w:t>Although no paper lists are expected to be received because there were none in NPSAS:08, we will still be prepared to sample students from paper lists. Any paper lists received will be keyed into an electronic format and then sampled in the same manner as electronic lists. QC will be done for both the keying and sampling of the students.</w:t>
      </w:r>
    </w:p>
    <w:p w:rsidR="007C5423" w:rsidRPr="00CF57E2" w:rsidRDefault="007C5423" w:rsidP="00CF57E2">
      <w:pPr>
        <w:pStyle w:val="BodyText"/>
      </w:pPr>
      <w:r w:rsidRPr="00CF57E2">
        <w:t>Sample yield for the field test and full-scale NPSAS data collections will be monitored by institutional and student sampling strata, and the sampling rates will be adjusted early, if necessary, to achieve the desired sample yield.</w:t>
      </w:r>
    </w:p>
    <w:p w:rsidR="007C5423" w:rsidRPr="00CF57E2" w:rsidRDefault="007C5423" w:rsidP="00CF57E2">
      <w:pPr>
        <w:pStyle w:val="BodyText"/>
      </w:pPr>
      <w:r w:rsidRPr="00CF57E2">
        <w:t xml:space="preserve">Although simpler procedures would suffice for the NPSAS:12 field test, the student sampling procedures planned for the field test will be comparable to those planned for the full-scale study to provide a thorough evaluation before being implemented for the full-scale sampling. </w:t>
      </w:r>
    </w:p>
    <w:p w:rsidR="007C5423" w:rsidDel="00787581" w:rsidRDefault="007C5423" w:rsidP="003740FB">
      <w:pPr>
        <w:pStyle w:val="BodyText"/>
      </w:pPr>
    </w:p>
    <w:p w:rsidR="007C5423" w:rsidRDefault="007C5423" w:rsidP="00787581">
      <w:pPr>
        <w:pStyle w:val="BodyText"/>
      </w:pPr>
      <w:r w:rsidRPr="009D0AF9">
        <w:rPr>
          <w:b/>
          <w:bCs/>
        </w:rPr>
        <w:t>Re-interview.</w:t>
      </w:r>
      <w:r>
        <w:t xml:space="preserve"> A subsample of about 300 interview respondents will be randomly selected to be re-interviewed</w:t>
      </w:r>
      <w:r>
        <w:rPr>
          <w:rStyle w:val="FootnoteReference"/>
        </w:rPr>
        <w:footnoteReference w:id="5"/>
      </w:r>
      <w:r>
        <w:t xml:space="preserve"> to enable analysis of the reliability of selected items in the field test instrument. Because most of the new field test interview items are for FTBs only, the selection of these new items comprise the majority of the re-interview. Including only FTBs in the sample for the re-interview maximizes the number of respondents administered the re-interview items. The Case Management System (CMS) will be programmed to randomly select this subsample. </w:t>
      </w:r>
    </w:p>
    <w:p w:rsidR="007C5423" w:rsidRPr="00CF57E2" w:rsidRDefault="007C5423" w:rsidP="00CF57E2">
      <w:pPr>
        <w:pStyle w:val="BodyText"/>
      </w:pPr>
      <w:r w:rsidRPr="00CF57E2">
        <w:rPr>
          <w:b/>
          <w:bCs/>
        </w:rPr>
        <w:t>Quality control checks for sampling.</w:t>
      </w:r>
      <w:r w:rsidRPr="00CF57E2">
        <w:t xml:space="preserve"> Quality control (QC) is very important for sampling and all statistical activities. Statistical procedures used in NPSAS:12 will undergo thorough quality control checks. RTI has developed technical operating procedures (TOPs) that describe how to properly implement statistical procedures and QC checks. We will employ a checklist for all statisticians to use to ensure that appropriate QC checks are performed. </w:t>
      </w:r>
    </w:p>
    <w:p w:rsidR="007C5423" w:rsidRDefault="007C5423" w:rsidP="00CF57E2">
      <w:pPr>
        <w:pStyle w:val="BodyText"/>
      </w:pPr>
      <w:r>
        <w:t xml:space="preserve">Some </w:t>
      </w:r>
      <w:r w:rsidRPr="00CF57E2">
        <w:t>specific</w:t>
      </w:r>
      <w:r>
        <w:t xml:space="preserve"> sampling QC checks will include, but will not be limited to, checking that the: </w:t>
      </w:r>
    </w:p>
    <w:p w:rsidR="007C5423" w:rsidRDefault="007C5423" w:rsidP="00A1468B">
      <w:pPr>
        <w:pStyle w:val="bulletround"/>
      </w:pPr>
      <w:r>
        <w:t>institutions and students on the sampling frames all have a known, non-zero probability of selection;</w:t>
      </w:r>
    </w:p>
    <w:p w:rsidR="007C5423" w:rsidRDefault="007C5423" w:rsidP="00F73B3E">
      <w:pPr>
        <w:pStyle w:val="bulletround"/>
      </w:pPr>
      <w:r>
        <w:t>distribution of implicit stratification for institutions is reasonable;</w:t>
      </w:r>
    </w:p>
    <w:p w:rsidR="007C5423" w:rsidRDefault="007C5423" w:rsidP="00F73B3E">
      <w:pPr>
        <w:pStyle w:val="bulletround"/>
      </w:pPr>
      <w:r>
        <w:t>weighted institution size measures sum to the frame size;</w:t>
      </w:r>
    </w:p>
    <w:p w:rsidR="007C5423" w:rsidRDefault="007C5423" w:rsidP="00F73B3E">
      <w:pPr>
        <w:pStyle w:val="bulletround"/>
      </w:pPr>
      <w:r>
        <w:t>number of institutions and students selected match the target sample sizes; and</w:t>
      </w:r>
    </w:p>
    <w:p w:rsidR="007C5423" w:rsidRDefault="007C5423" w:rsidP="00A1468B">
      <w:pPr>
        <w:pStyle w:val="bulletround"/>
      </w:pPr>
      <w:r>
        <w:t>sample weight for each institution and student is the inverse of the probability of selection.</w:t>
      </w:r>
    </w:p>
    <w:p w:rsidR="007C5423" w:rsidRDefault="007C5423" w:rsidP="002D5553">
      <w:pPr>
        <w:pStyle w:val="BodyText"/>
        <w:rPr>
          <w:szCs w:val="24"/>
        </w:rPr>
      </w:pPr>
      <w:r w:rsidRPr="00EF41A0">
        <w:rPr>
          <w:b/>
          <w:bCs/>
        </w:rPr>
        <w:t>Tracing prior to the start of data collection.</w:t>
      </w:r>
      <w:r w:rsidRPr="00EF41A0">
        <w:t xml:space="preserve"> </w:t>
      </w:r>
      <w:r>
        <w:rPr>
          <w:szCs w:val="24"/>
        </w:rPr>
        <w:t>Once the sample is selected, RTI will conduct several batch database searches to prepare the sample for the start of student interviews. The first steps in the batch tracing process will be to match to the U.S. Department of Education's Central Processing System (CPS) and the National Change of Address (NCOA) database to obtain updated contact information. Any new information collected from CPS or NCOA matches will be added to the NPSAS locator database and will be used to attempt to match to Telematch to capture any updated telephone numbers needed for the start of CATI data collection. Batch locating is the final step before the start of data collection.</w:t>
      </w:r>
    </w:p>
    <w:p w:rsidR="007C5423" w:rsidRPr="00F12AB8" w:rsidRDefault="007C5423" w:rsidP="00024A14">
      <w:pPr>
        <w:pStyle w:val="Heading2"/>
        <w:numPr>
          <w:ilvl w:val="1"/>
          <w:numId w:val="11"/>
        </w:numPr>
        <w:tabs>
          <w:tab w:val="clear" w:pos="1080"/>
        </w:tabs>
        <w:ind w:left="1080" w:hanging="540"/>
      </w:pPr>
      <w:bookmarkStart w:id="12" w:name="_Toc268593746"/>
      <w:r w:rsidRPr="00F12AB8">
        <w:t>Methods for Maximizing Response Rates</w:t>
      </w:r>
      <w:bookmarkEnd w:id="12"/>
    </w:p>
    <w:p w:rsidR="007C5423" w:rsidRDefault="007C5423" w:rsidP="00B50E4D">
      <w:pPr>
        <w:pStyle w:val="BodyText"/>
      </w:pPr>
      <w:r w:rsidRPr="00F12AB8">
        <w:t>Response rates in the NPSAS:</w:t>
      </w:r>
      <w:r>
        <w:t>12</w:t>
      </w:r>
      <w:r w:rsidRPr="00F12AB8">
        <w:t xml:space="preserve"> field test and full-scale study are a function of success in two basic activities: identifying and locating the sample members involved, then contacting them and gaining their cooperation. Two classes of respondents are involved: institutions, and students who were enrolled in those institutions. </w:t>
      </w:r>
      <w:r>
        <w:t xml:space="preserve"> Institutions will be asked to provide data from institutional records for sampled students.  In this section, we describe our plans for maximizing response to the request for data from institutional records. We also present our plans for maximizing response to the student survey.   </w:t>
      </w:r>
    </w:p>
    <w:p w:rsidR="007C5423" w:rsidRPr="00F12AB8" w:rsidRDefault="007C5423" w:rsidP="00024A14">
      <w:pPr>
        <w:pStyle w:val="Heading3"/>
        <w:numPr>
          <w:ilvl w:val="2"/>
          <w:numId w:val="11"/>
        </w:numPr>
        <w:ind w:left="1440" w:hanging="360"/>
      </w:pPr>
      <w:bookmarkStart w:id="13" w:name="_Toc268593747"/>
      <w:r>
        <w:t>Collection of Data from Institutional Records</w:t>
      </w:r>
      <w:bookmarkEnd w:id="13"/>
    </w:p>
    <w:p w:rsidR="007C5423" w:rsidRDefault="007C5423" w:rsidP="002D5553">
      <w:pPr>
        <w:pStyle w:val="BodyText"/>
      </w:pPr>
      <w:r>
        <w:t xml:space="preserve">Our plans for contacting and communicating with institutions, beginning with the process of list acquisition, are designed to </w:t>
      </w:r>
      <w:r w:rsidRPr="002D5553">
        <w:t>ensure</w:t>
      </w:r>
      <w:r>
        <w:t xml:space="preserve"> the cooperation of as many institutions as possible and to establish rapport with institutional staff. This process will include sending the chief administrator of each institution a package of descriptive materials about the study, follow-up telephone calls to obtain the chief administrator’s consent and cooperation, and asking the chief administrator to designate an Institutional Coordinator (IC) who will serve as our primary point of contact. </w:t>
      </w:r>
    </w:p>
    <w:p w:rsidR="007C5423" w:rsidRPr="002D5553" w:rsidRDefault="007C5423" w:rsidP="00B50E4D">
      <w:pPr>
        <w:pStyle w:val="BodyText"/>
      </w:pPr>
      <w:r w:rsidRPr="002D5553">
        <w:t xml:space="preserve">All institution coordinators receive </w:t>
      </w:r>
      <w:r>
        <w:t>information</w:t>
      </w:r>
      <w:r w:rsidRPr="002D5553">
        <w:t xml:space="preserve"> that informs them about the purposes of NPSAS, describes their tasks, and assures them of our commitment to maintaining the confidentiality of data. Written materials will be provided to coordinators explaining each phase of the study, as well as their role in each. Training of institution coordinators is geared toward the method of data collection selected by the institution (see below). The system used for collecting institutional record data is a World Wide Web application; and the website, accessible only with an ID and password, provides institution coordinators with instructions for all phases of study participation. Copies of all written materials, as well as answers to frequently asked questions, are available on the website. </w:t>
      </w:r>
    </w:p>
    <w:p w:rsidR="007C5423" w:rsidRPr="002D5553" w:rsidRDefault="007C5423" w:rsidP="002D5553">
      <w:pPr>
        <w:pStyle w:val="BodyText"/>
      </w:pPr>
      <w:r w:rsidRPr="002D5553">
        <w:t xml:space="preserve">Experienced RTI staff from RTI’s Call Center Services (CCS) carry out these contacts and are assigned to specific institutions, which remain their responsibility throughout the data collection process. This allows RTI staff members to establish rapport with the institution’s staff and provides those individuals with a consistent point of contact at RTI. Staff members are thoroughly trained in basic financial aid concepts and in the purposes and requirements of the study, which helps them establish credibility with the institution staff. </w:t>
      </w:r>
    </w:p>
    <w:p w:rsidR="007C5423" w:rsidRPr="002D5553" w:rsidRDefault="007C5423" w:rsidP="00571AAF">
      <w:pPr>
        <w:pStyle w:val="BodyText"/>
      </w:pPr>
      <w:r w:rsidRPr="002D5553">
        <w:t xml:space="preserve">As an additional means of maximizing institutional participation, we have secured endorsements from 26 professional associations for NPSAS:12 (see Appendix </w:t>
      </w:r>
      <w:r>
        <w:t>G</w:t>
      </w:r>
      <w:r w:rsidRPr="002D5553">
        <w:t>). RTI also sponsors an exhibit booth at NASFAA’s national conference, which allows project management to meet staff from participating institutions and to answer any questions regarding the study, collection of institutional record data or institution burden.</w:t>
      </w:r>
    </w:p>
    <w:p w:rsidR="007C5423" w:rsidRPr="002D5553" w:rsidRDefault="007C5423" w:rsidP="00C420DD">
      <w:pPr>
        <w:pStyle w:val="BodyText"/>
      </w:pPr>
      <w:r w:rsidRPr="002D5553">
        <w:t>RTI will offer several options for providing the Student Record</w:t>
      </w:r>
      <w:r>
        <w:t>s</w:t>
      </w:r>
      <w:r w:rsidRPr="002D5553">
        <w:t xml:space="preserve"> for sampled students</w:t>
      </w:r>
      <w:r>
        <w:t xml:space="preserve"> </w:t>
      </w:r>
      <w:r w:rsidRPr="002D5553">
        <w:t>(as in prior NPSAS studies), and invite the coordinator to select the methodology that is least burdensome and most convenient for the institution. The optional methods for providing student record data are:</w:t>
      </w:r>
    </w:p>
    <w:p w:rsidR="007C5423" w:rsidRDefault="007C5423" w:rsidP="000B443B">
      <w:pPr>
        <w:pStyle w:val="bulletround"/>
        <w:rPr>
          <w:b/>
          <w:bCs/>
        </w:rPr>
      </w:pPr>
      <w:r w:rsidRPr="00E00F20">
        <w:rPr>
          <w:i/>
          <w:iCs/>
        </w:rPr>
        <w:t xml:space="preserve">Student Records obtained via a web-based data entry </w:t>
      </w:r>
      <w:r>
        <w:rPr>
          <w:i/>
          <w:iCs/>
        </w:rPr>
        <w:t>interface</w:t>
      </w:r>
      <w:r w:rsidRPr="00E00F20">
        <w:rPr>
          <w:i/>
          <w:iCs/>
        </w:rPr>
        <w:t>.</w:t>
      </w:r>
      <w:r>
        <w:rPr>
          <w:b/>
          <w:bCs/>
        </w:rPr>
        <w:t xml:space="preserve"> </w:t>
      </w:r>
      <w:r>
        <w:t xml:space="preserve">The web-based data entry interface is flexible and allows the coordinator to enter data in one of two data entry modes. One data entry mode resembles a spreadsheet (referred to as “grid mode”) and as such, the coordinator can view and edit multiple student records at a time. The other data entry mode displays one student at a time, and the coordinator may enter data in a top to bottom fashion before moving onto the next student.  </w:t>
      </w:r>
    </w:p>
    <w:p w:rsidR="007C5423" w:rsidRDefault="007C5423" w:rsidP="00C420DD">
      <w:pPr>
        <w:pStyle w:val="bulletround"/>
      </w:pPr>
      <w:r w:rsidRPr="00E00F20">
        <w:rPr>
          <w:i/>
          <w:iCs/>
        </w:rPr>
        <w:t>Student Records obtained by completing an Excel workbook.</w:t>
      </w:r>
      <w:r>
        <w:t xml:space="preserve"> An Excel workbook will be created for each institution and will be preloaded with the sampled students’ ID, name, and SSN (if available). To facilitate simultaneous data entry by different offices within the institution, the workbook contains a separate worksheet for each of the following topic areas: Financial Aid, Enrollment, Locating and Contact info, Demographics. The user will download the Excel worksheet from the secure NPSAS institution website, enter the data, and then upload the data to the website. Validation checks occur both within Excel as data are entered and when the data are uploaded via the website. </w:t>
      </w:r>
    </w:p>
    <w:p w:rsidR="007C5423" w:rsidRDefault="007C5423" w:rsidP="00E00F20">
      <w:pPr>
        <w:pStyle w:val="bulletround"/>
      </w:pPr>
      <w:r w:rsidRPr="00E00F20">
        <w:rPr>
          <w:i/>
          <w:iCs/>
        </w:rPr>
        <w:t>Student Records obtained by uploading CSV (comma separated values) files.</w:t>
      </w:r>
      <w:r w:rsidRPr="00E00F20">
        <w:rPr>
          <w:b/>
          <w:bCs/>
        </w:rPr>
        <w:t xml:space="preserve"> </w:t>
      </w:r>
      <w:r>
        <w:t>Institutions with the means to export data from their internal database systems to a flat file may opt for this method of supplying Student Records. Over the past two NPSAS studies, the number of institutions providing data files has increased. Institutions that select this method will be provided with detailed import specifications, and all data uploading will occur through the project’s secure website.</w:t>
      </w:r>
    </w:p>
    <w:p w:rsidR="007C5423" w:rsidRDefault="007C5423" w:rsidP="00D5745B">
      <w:pPr>
        <w:pStyle w:val="bodytext-proposal"/>
      </w:pPr>
      <w:r>
        <w:t xml:space="preserve">Institution coordinators who elect to use the web-based data entry interface will receive a manual that provides detailed instructions for accessing and using the site.  This manual, which is currently under revision to reflect recent improvements in the system, will be available early in 2011.  In the interim, the manual used in NPSAS:08 is provided as Appendix I, for informational purposes.  </w:t>
      </w:r>
    </w:p>
    <w:p w:rsidR="007C5423" w:rsidRDefault="007C5423" w:rsidP="00C420DD">
      <w:pPr>
        <w:pStyle w:val="bodytext-proposal"/>
      </w:pPr>
      <w:r>
        <w:t>Prior to data collection, student records are matched to the U.S. Department of Education Central Processing System (CPS)—which contains data on federal financial aid applications—</w:t>
      </w:r>
      <w:r>
        <w:rPr>
          <w:color w:val="000000"/>
        </w:rPr>
        <w:t>for locating purposes and to reduce the burden on the institutions for the student record abstractions. The</w:t>
      </w:r>
      <w:r>
        <w:t xml:space="preserve"> vast majority of the federal aid applicants (about 95 percent) will match successfully to the CPS prior to Student Records data collection. During data collection, institutions will be asked to provide the student’s last name and Social Security number for the small number of federal aid applicants who did not match to the CPS on the first attempt. After Student Records data collection ends, we will submit the new names and Social Security numbers to CPS for file matching. Any new data obtained for the additional students will be delivered on the Electronic Code Book (ECB) with the data obtained prior to Student Records data collection. </w:t>
      </w:r>
    </w:p>
    <w:p w:rsidR="007C5423" w:rsidRDefault="007C5423" w:rsidP="00024A14">
      <w:pPr>
        <w:pStyle w:val="Heading3"/>
        <w:numPr>
          <w:ilvl w:val="2"/>
          <w:numId w:val="11"/>
        </w:numPr>
        <w:ind w:left="1440" w:hanging="360"/>
      </w:pPr>
      <w:bookmarkStart w:id="14" w:name="_Toc268593748"/>
      <w:r w:rsidRPr="00F12AB8">
        <w:t xml:space="preserve">Student </w:t>
      </w:r>
      <w:r>
        <w:t>Survey</w:t>
      </w:r>
      <w:r w:rsidRPr="00F12AB8">
        <w:t>: Self-Administered Web and CATI</w:t>
      </w:r>
      <w:bookmarkEnd w:id="14"/>
    </w:p>
    <w:p w:rsidR="007C5423" w:rsidRDefault="007C5423" w:rsidP="002D5553">
      <w:pPr>
        <w:pStyle w:val="BodyText"/>
      </w:pPr>
      <w:r>
        <w:t xml:space="preserve">Methods for maximizing response to the study survey include:  (1) tracing of sample members; (2) thorough training for all staff involved in data collection; (3) use of a sophisticated case management system; (4) a carefully designed survey instrument; and (5) detailed plans for averting and converting refusals. </w:t>
      </w:r>
    </w:p>
    <w:p w:rsidR="007C5423" w:rsidRPr="00B51A02" w:rsidRDefault="007C5423" w:rsidP="00A0741B">
      <w:pPr>
        <w:pStyle w:val="ListBullet"/>
      </w:pPr>
      <w:r w:rsidRPr="00B51A02">
        <w:t xml:space="preserve">Tracing of </w:t>
      </w:r>
      <w:r w:rsidRPr="008477F8">
        <w:t>Sample</w:t>
      </w:r>
      <w:r w:rsidRPr="00B51A02">
        <w:t xml:space="preserve"> Members</w:t>
      </w:r>
    </w:p>
    <w:p w:rsidR="007C5423" w:rsidRPr="00F12AB8" w:rsidRDefault="007C5423" w:rsidP="00846910">
      <w:pPr>
        <w:pStyle w:val="Bulletblocked"/>
      </w:pPr>
      <w:r w:rsidRPr="00F12AB8">
        <w:t>To achieve the desired response rate, we propose a</w:t>
      </w:r>
      <w:r>
        <w:t>n</w:t>
      </w:r>
      <w:r w:rsidRPr="00F12AB8">
        <w:t xml:space="preserve"> </w:t>
      </w:r>
      <w:r>
        <w:t xml:space="preserve">integrated </w:t>
      </w:r>
      <w:r w:rsidRPr="00F12AB8">
        <w:t xml:space="preserve">tracing approach that consists of up to </w:t>
      </w:r>
      <w:r>
        <w:t xml:space="preserve">12 </w:t>
      </w:r>
      <w:r w:rsidRPr="00F12AB8">
        <w:t>steps designed to yield the maximum number of locates with the least expense. During the field test, we will evaluate the effectiveness of these procedures for the full-scale study effort. The steps of our tracing plan include the following elements.</w:t>
      </w:r>
    </w:p>
    <w:p w:rsidR="007C5423" w:rsidRPr="00F12AB8" w:rsidRDefault="007C5423" w:rsidP="00153595">
      <w:pPr>
        <w:pStyle w:val="bulletround"/>
        <w:numPr>
          <w:ilvl w:val="1"/>
          <w:numId w:val="10"/>
        </w:numPr>
      </w:pPr>
      <w:r w:rsidRPr="00153595">
        <w:rPr>
          <w:i/>
          <w:iCs/>
        </w:rPr>
        <w:t>Matching student list information with NCOA, Telematch, CPS, and other databases,</w:t>
      </w:r>
      <w:r>
        <w:rPr>
          <w:i/>
          <w:iCs/>
        </w:rPr>
        <w:t xml:space="preserve"> </w:t>
      </w:r>
      <w:r>
        <w:t>which will yield locating information for the students sampled for NPSAS:12</w:t>
      </w:r>
      <w:r w:rsidRPr="00F12AB8">
        <w:t>.</w:t>
      </w:r>
    </w:p>
    <w:p w:rsidR="007C5423" w:rsidRPr="001521C0" w:rsidRDefault="007C5423" w:rsidP="007E3287">
      <w:pPr>
        <w:pStyle w:val="bullet2ndlevel"/>
        <w:numPr>
          <w:ilvl w:val="1"/>
          <w:numId w:val="16"/>
        </w:numPr>
        <w:rPr>
          <w:rStyle w:val="Hd04run-in"/>
          <w:rFonts w:ascii="Times New Roman" w:hAnsi="Times New Roman"/>
          <w:b w:val="0"/>
          <w:i w:val="0"/>
          <w:szCs w:val="24"/>
        </w:rPr>
      </w:pPr>
      <w:r>
        <w:rPr>
          <w:rStyle w:val="Hd04run-in"/>
          <w:rFonts w:ascii="Times New Roman" w:hAnsi="Times New Roman"/>
          <w:b w:val="0"/>
          <w:iCs/>
          <w:szCs w:val="24"/>
        </w:rPr>
        <w:t xml:space="preserve">Providing a system for moving locator information obtained during collection of student record data quickly into CATI </w:t>
      </w:r>
      <w:r w:rsidRPr="001521C0">
        <w:rPr>
          <w:rStyle w:val="Hd04run-in"/>
          <w:rFonts w:ascii="Times New Roman" w:hAnsi="Times New Roman"/>
          <w:b w:val="0"/>
          <w:i w:val="0"/>
          <w:szCs w:val="24"/>
        </w:rPr>
        <w:t>so that this new information can be put to immediate use</w:t>
      </w:r>
    </w:p>
    <w:p w:rsidR="007C5423" w:rsidRDefault="007C5423" w:rsidP="00D141F0">
      <w:pPr>
        <w:pStyle w:val="bullet2ndlevel"/>
        <w:numPr>
          <w:ilvl w:val="1"/>
          <w:numId w:val="16"/>
        </w:numPr>
        <w:rPr>
          <w:szCs w:val="24"/>
        </w:rPr>
      </w:pPr>
      <w:r w:rsidRPr="00A0741B">
        <w:rPr>
          <w:rStyle w:val="Hd04run-in"/>
          <w:rFonts w:ascii="Times New Roman" w:hAnsi="Times New Roman"/>
          <w:b w:val="0"/>
          <w:iCs/>
        </w:rPr>
        <w:t xml:space="preserve">Lead letter </w:t>
      </w:r>
      <w:r>
        <w:rPr>
          <w:rStyle w:val="Hd04run-in"/>
          <w:rFonts w:ascii="Times New Roman" w:hAnsi="Times New Roman"/>
          <w:b w:val="0"/>
          <w:iCs/>
        </w:rPr>
        <w:t xml:space="preserve">and other </w:t>
      </w:r>
      <w:r w:rsidRPr="00A0741B">
        <w:rPr>
          <w:rStyle w:val="Hd04run-in"/>
          <w:rFonts w:ascii="Times New Roman" w:hAnsi="Times New Roman"/>
          <w:b w:val="0"/>
          <w:iCs/>
        </w:rPr>
        <w:t xml:space="preserve">mailings </w:t>
      </w:r>
      <w:r>
        <w:rPr>
          <w:rStyle w:val="Hd04run-in"/>
          <w:rFonts w:ascii="Times New Roman" w:hAnsi="Times New Roman"/>
          <w:b w:val="0"/>
          <w:iCs/>
        </w:rPr>
        <w:t xml:space="preserve">as necessary </w:t>
      </w:r>
      <w:r w:rsidRPr="00A0741B">
        <w:rPr>
          <w:rStyle w:val="Hd04run-in"/>
          <w:rFonts w:ascii="Times New Roman" w:hAnsi="Times New Roman"/>
          <w:b w:val="0"/>
          <w:iCs/>
        </w:rPr>
        <w:t>to sample members.</w:t>
      </w:r>
      <w:r w:rsidRPr="00F12AB8">
        <w:rPr>
          <w:rStyle w:val="Hd04run-in"/>
          <w:rFonts w:ascii="Times New Roman" w:hAnsi="Times New Roman"/>
          <w:b w:val="0"/>
          <w:i w:val="0"/>
        </w:rPr>
        <w:t xml:space="preserve"> </w:t>
      </w:r>
      <w:r w:rsidRPr="00F12AB8">
        <w:t xml:space="preserve">A personalized letter (signed by an NCES official) </w:t>
      </w:r>
      <w:r>
        <w:t xml:space="preserve">and </w:t>
      </w:r>
      <w:r w:rsidRPr="00F12AB8">
        <w:t xml:space="preserve">study </w:t>
      </w:r>
      <w:r>
        <w:t>brochure</w:t>
      </w:r>
      <w:r w:rsidRPr="00F12AB8">
        <w:t xml:space="preserve"> will be mailed to all sample members to initiate data collection. This letter will include a toll-free 800 number, study website address, and study ID and password, and will request that sample members complete the self-administered interview</w:t>
      </w:r>
      <w:r>
        <w:t xml:space="preserve"> over the Internet</w:t>
      </w:r>
      <w:r w:rsidRPr="00F12AB8">
        <w:t xml:space="preserve">. </w:t>
      </w:r>
      <w:r>
        <w:t xml:space="preserve">A few days </w:t>
      </w:r>
      <w:r w:rsidRPr="00F12AB8">
        <w:rPr>
          <w:szCs w:val="24"/>
        </w:rPr>
        <w:t>after the lead letter mailing, a</w:t>
      </w:r>
      <w:r>
        <w:rPr>
          <w:szCs w:val="24"/>
        </w:rPr>
        <w:t>n</w:t>
      </w:r>
      <w:r w:rsidRPr="00F12AB8">
        <w:rPr>
          <w:szCs w:val="24"/>
        </w:rPr>
        <w:t xml:space="preserve"> </w:t>
      </w:r>
      <w:r>
        <w:rPr>
          <w:szCs w:val="24"/>
        </w:rPr>
        <w:t>email message mirroring the letter will also be sent to sample members</w:t>
      </w:r>
      <w:r w:rsidRPr="00F12AB8">
        <w:rPr>
          <w:szCs w:val="24"/>
        </w:rPr>
        <w:t>.</w:t>
      </w:r>
    </w:p>
    <w:p w:rsidR="007C5423" w:rsidRPr="00153595" w:rsidRDefault="007C5423" w:rsidP="00D141F0">
      <w:pPr>
        <w:pStyle w:val="bullet2ndlevel"/>
        <w:numPr>
          <w:ilvl w:val="1"/>
          <w:numId w:val="16"/>
        </w:numPr>
        <w:rPr>
          <w:rStyle w:val="Hd04run-in"/>
          <w:rFonts w:ascii="Times New Roman" w:hAnsi="Times New Roman"/>
          <w:b w:val="0"/>
          <w:i w:val="0"/>
          <w:szCs w:val="24"/>
        </w:rPr>
      </w:pPr>
      <w:r>
        <w:rPr>
          <w:rStyle w:val="Hd04run-in"/>
          <w:rFonts w:ascii="Times New Roman" w:hAnsi="Times New Roman"/>
          <w:b w:val="0"/>
          <w:iCs/>
        </w:rPr>
        <w:t>Conducting batch tracing before data collection and before and after the start of CATI as needed</w:t>
      </w:r>
    </w:p>
    <w:p w:rsidR="007C5423" w:rsidRPr="00153595" w:rsidRDefault="007C5423" w:rsidP="00F029AE">
      <w:pPr>
        <w:pStyle w:val="bullet2ndlevel"/>
        <w:numPr>
          <w:ilvl w:val="1"/>
          <w:numId w:val="16"/>
        </w:numPr>
        <w:rPr>
          <w:rStyle w:val="Hd04run-in"/>
          <w:rFonts w:ascii="Times New Roman" w:hAnsi="Times New Roman"/>
          <w:b w:val="0"/>
          <w:i w:val="0"/>
          <w:szCs w:val="24"/>
        </w:rPr>
      </w:pPr>
      <w:r>
        <w:rPr>
          <w:rStyle w:val="Hd04run-in"/>
          <w:rFonts w:ascii="Times New Roman" w:hAnsi="Times New Roman"/>
          <w:b w:val="0"/>
          <w:iCs/>
        </w:rPr>
        <w:t>Advance tracing prior to the start of CATI efforts</w:t>
      </w:r>
      <w:r>
        <w:rPr>
          <w:rStyle w:val="Hd04run-in"/>
          <w:rFonts w:ascii="Times New Roman" w:hAnsi="Times New Roman"/>
          <w:b w:val="0"/>
          <w:i w:val="0"/>
        </w:rPr>
        <w:t xml:space="preserve">.  Not all schools will be able to give complete or up-to-date locating information on each student, and some cases will require more advanced tracing, before mailings can be sent or the cases can be worked in CATI.  RTI plans to conduct batch tracing on all cases to obtain updated address information prior to mailing the lead letters. This step will minimize the number of returned letters and maximize the number of early completes.  To handle cases for which mailing address, phone number, or other contact information is invalid or unavailable, RTI plans to conduct advance tracing of the cases prior to lead letter mailout and data collection.  This advance tracing will involve searching for address and telephone information.  As lead information is found, additional searches will be conducted through interactive databases to expand on leads found.  This will be an important step in the tracing components because of the nature of this sample.  After locating information is found, more advanced database searches, such as Experian, will be used, to provide more comprehensive information for the individual.  </w:t>
      </w:r>
    </w:p>
    <w:p w:rsidR="007C5423" w:rsidRPr="00846910" w:rsidRDefault="007C5423" w:rsidP="00D141F0">
      <w:pPr>
        <w:pStyle w:val="bullet2ndlevel"/>
        <w:numPr>
          <w:ilvl w:val="1"/>
          <w:numId w:val="16"/>
        </w:numPr>
        <w:rPr>
          <w:rStyle w:val="Hd04run-in"/>
          <w:rFonts w:ascii="Times New Roman" w:hAnsi="Times New Roman"/>
          <w:b w:val="0"/>
          <w:i w:val="0"/>
          <w:szCs w:val="24"/>
        </w:rPr>
      </w:pPr>
      <w:r>
        <w:rPr>
          <w:rStyle w:val="Hd04run-in"/>
          <w:rFonts w:ascii="Times New Roman" w:hAnsi="Times New Roman"/>
          <w:b w:val="0"/>
          <w:iCs/>
        </w:rPr>
        <w:t>CATI tracing</w:t>
      </w:r>
    </w:p>
    <w:p w:rsidR="007C5423" w:rsidRPr="00153595" w:rsidRDefault="007C5423" w:rsidP="00D141F0">
      <w:pPr>
        <w:pStyle w:val="bullet2ndlevel"/>
        <w:numPr>
          <w:ilvl w:val="1"/>
          <w:numId w:val="16"/>
        </w:numPr>
        <w:rPr>
          <w:rStyle w:val="Hd04run-in"/>
          <w:rFonts w:ascii="Times New Roman" w:hAnsi="Times New Roman"/>
          <w:b w:val="0"/>
          <w:i w:val="0"/>
          <w:szCs w:val="24"/>
        </w:rPr>
      </w:pPr>
      <w:r>
        <w:rPr>
          <w:rStyle w:val="Hd04run-in"/>
          <w:rFonts w:ascii="Times New Roman" w:hAnsi="Times New Roman"/>
          <w:b w:val="0"/>
          <w:iCs/>
        </w:rPr>
        <w:t xml:space="preserve">Pre-intensive tracing including FastData and Accurint.  </w:t>
      </w:r>
      <w:r>
        <w:rPr>
          <w:rStyle w:val="Hd04run-in"/>
          <w:rFonts w:ascii="Times New Roman" w:hAnsi="Times New Roman"/>
          <w:b w:val="0"/>
          <w:i w:val="0"/>
        </w:rPr>
        <w:t xml:space="preserve">We plan to send cases to both FastData and Accurint to identify a new phone number, to minimize the number of cases requiring more expensive intensive interactive tracing.  Through FastData we can tap into 260 million consumer records and over 33 million public records.  We are also able to access a national directory assistance database—updated daily—of over 156 million phone numbers.  FastData has also recently added a more comprehensive cell phone search (SuperPhones &amp; Phone+Premium) built into existing searches; obtaining reliable cell phone numbers is becoming an increasingly critical component of locating and interviewing this population.  Accurint is a flexible search vendor capable of providing a variety of contact information for a very low cost per case.  This vendor provides an indicator that the phone number returned has been verified as accurate and belonging to a subject in the past 24 hours.  Accurint uses SSN to search, making it a viable tool for NPSAS:12 and the follow-up studies due to the high percentage of SSNs we expect to obtain on the student enrollment lists and through tracing sources and student interviews.  </w:t>
      </w:r>
    </w:p>
    <w:p w:rsidR="007C5423" w:rsidRPr="006402D6" w:rsidRDefault="007C5423" w:rsidP="0069553C">
      <w:pPr>
        <w:pStyle w:val="bullet2ndlevel"/>
        <w:numPr>
          <w:ilvl w:val="0"/>
          <w:numId w:val="0"/>
        </w:numPr>
        <w:ind w:left="1440" w:hanging="360"/>
        <w:rPr>
          <w:szCs w:val="24"/>
        </w:rPr>
      </w:pPr>
      <w:r w:rsidRPr="006402D6">
        <w:rPr>
          <w:rStyle w:val="Hd04run-in"/>
          <w:rFonts w:ascii="Times New Roman" w:hAnsi="Times New Roman"/>
          <w:b w:val="0"/>
          <w:iCs/>
        </w:rPr>
        <w:t xml:space="preserve">Conducting intensive in-house tracing, including proprietary database searches.  </w:t>
      </w:r>
      <w:r w:rsidRPr="006402D6">
        <w:rPr>
          <w:rStyle w:val="Hd04run-in"/>
          <w:rFonts w:ascii="Times New Roman" w:hAnsi="Times New Roman"/>
          <w:b w:val="0"/>
          <w:i w:val="0"/>
        </w:rPr>
        <w:t xml:space="preserve">RTI’s tracing specialists conduct intensive interactive searches to locate contact information for sample members.  </w:t>
      </w:r>
      <w:r>
        <w:rPr>
          <w:rStyle w:val="Hd04run-in"/>
          <w:rFonts w:ascii="Times New Roman" w:hAnsi="Times New Roman"/>
          <w:b w:val="0"/>
          <w:i w:val="0"/>
        </w:rPr>
        <w:t>I</w:t>
      </w:r>
      <w:r w:rsidRPr="006402D6">
        <w:rPr>
          <w:rStyle w:val="Hd04run-in"/>
          <w:rFonts w:ascii="Times New Roman" w:hAnsi="Times New Roman"/>
          <w:b w:val="0"/>
          <w:i w:val="0"/>
        </w:rPr>
        <w:t xml:space="preserve">n NPSAS:08, about 60 percent of sample members requiring intensive tracing were located, and about 59 percent of those located responded to the interview.  Intensive interactive tracing differs from batch tracing in that a tracer can assess each case on an individual basis to determine which resources are most appropriate and the order in which they should be used.  Intensive </w:t>
      </w:r>
      <w:r>
        <w:rPr>
          <w:rStyle w:val="Hd04run-in"/>
          <w:rFonts w:ascii="Times New Roman" w:hAnsi="Times New Roman"/>
          <w:b w:val="0"/>
          <w:i w:val="0"/>
        </w:rPr>
        <w:t xml:space="preserve">interactive tracing is also much more detailed due to the personal review of information.  During interactive tracing, tracers utilize all previously obtained contact information to make tracing decisions about each case.  These intensive interactive searches are completed using a special program that works with RTI’s CMS to provide organization and efficiency in the intensive tracing process.  Sources that may be used, as appropriate, </w:t>
      </w:r>
      <w:r w:rsidRPr="006402D6">
        <w:rPr>
          <w:rStyle w:val="Hd04run-in"/>
          <w:rFonts w:ascii="Times New Roman" w:hAnsi="Times New Roman"/>
          <w:b w:val="0"/>
          <w:i w:val="0"/>
        </w:rPr>
        <w:t xml:space="preserve">include credit database and insurance database searches through Experian, ChoicePoint, various public websites, and other integrated database services.  (Although LexisNexis and TransUnion have been used in the past on RTI studies, they are no longer used for batch or interactive searches because the costs have increased while the results have become substandard.  FastData has replaced TransUnion as a source for obtaining SSNs because FastData does this more cost-effectively.   </w:t>
      </w:r>
    </w:p>
    <w:p w:rsidR="007C5423" w:rsidRDefault="007C5423" w:rsidP="00153595">
      <w:pPr>
        <w:pStyle w:val="bullet2ndlevel"/>
        <w:numPr>
          <w:ilvl w:val="1"/>
          <w:numId w:val="16"/>
        </w:numPr>
      </w:pPr>
      <w:r w:rsidRPr="00153595">
        <w:rPr>
          <w:i/>
          <w:iCs/>
        </w:rPr>
        <w:t>Conducting NPSAS List Completer (NLC) searches.</w:t>
      </w:r>
      <w:r>
        <w:t xml:space="preserve">  NLC </w:t>
      </w:r>
      <w:r w:rsidRPr="00F97D96">
        <w:t xml:space="preserve">is an RTI software application that compiles all information available for the school and sample members to Tracing Services for additional address, phone, and e-mail searches to be made.  The application will send Tracing Services the school name, school web address, and total number of students to be worked.  If student name, address, and phone number are available, this information will also be sent to the NLC.  Tracing Services will then use the school web page directly to conduct searches and update records in the NLC for any new school or student information found.  This application was used on the most recent round of IES’s National Study of Postsecondary Faculty and more than 4,000 new email addresses were located.  Many major universities have student directory information available, and RTI feels this application could allow for additional success on NPSAS:12.   </w:t>
      </w:r>
    </w:p>
    <w:p w:rsidR="007C5423" w:rsidRPr="00171277" w:rsidRDefault="007C5423" w:rsidP="00153595">
      <w:pPr>
        <w:pStyle w:val="bullet2ndlevel"/>
        <w:numPr>
          <w:ilvl w:val="1"/>
          <w:numId w:val="16"/>
        </w:numPr>
        <w:rPr>
          <w:i/>
          <w:iCs/>
        </w:rPr>
      </w:pPr>
      <w:r w:rsidRPr="00171277">
        <w:rPr>
          <w:i/>
          <w:iCs/>
        </w:rPr>
        <w:t>Conducting searches for hard-</w:t>
      </w:r>
      <w:r>
        <w:rPr>
          <w:i/>
          <w:iCs/>
        </w:rPr>
        <w:t xml:space="preserve">to-locate sample members on social networking sites such as MySpace and Facebook.  </w:t>
      </w:r>
      <w:r>
        <w:t xml:space="preserve">We propose to set up a project Facebook page that can be used to send a message to sample members located on Facebook.  Facebook is currently the fastest-growing social networking site with about 125 million users at the time of this writing.  </w:t>
      </w:r>
    </w:p>
    <w:p w:rsidR="007C5423" w:rsidRPr="00171277" w:rsidRDefault="007C5423" w:rsidP="00153595">
      <w:pPr>
        <w:pStyle w:val="bullet2ndlevel"/>
        <w:numPr>
          <w:ilvl w:val="1"/>
          <w:numId w:val="16"/>
        </w:numPr>
        <w:rPr>
          <w:i/>
          <w:iCs/>
        </w:rPr>
      </w:pPr>
      <w:r>
        <w:rPr>
          <w:i/>
          <w:iCs/>
        </w:rPr>
        <w:t xml:space="preserve">University, college, or personal web pages.  </w:t>
      </w:r>
    </w:p>
    <w:p w:rsidR="007C5423" w:rsidRPr="001B0AFE" w:rsidRDefault="007C5423" w:rsidP="00BB47BB">
      <w:pPr>
        <w:pStyle w:val="bullet2ndlevel"/>
        <w:numPr>
          <w:ilvl w:val="1"/>
          <w:numId w:val="16"/>
        </w:numPr>
        <w:rPr>
          <w:rFonts w:ascii="Calibri" w:hAnsi="Calibri"/>
        </w:rPr>
      </w:pPr>
      <w:r w:rsidRPr="00A0741B">
        <w:rPr>
          <w:i/>
          <w:iCs/>
        </w:rPr>
        <w:t>An online video,</w:t>
      </w:r>
      <w:r>
        <w:rPr>
          <w:b/>
          <w:bCs/>
        </w:rPr>
        <w:t xml:space="preserve"> </w:t>
      </w:r>
      <w:r w:rsidRPr="00FD21B4">
        <w:t xml:space="preserve">using stop-motion filmmaking and Lego figures, to </w:t>
      </w:r>
      <w:r>
        <w:t>communicate information about NPSAS:12 to sample members. RTI will seek to collaborate with the Partnership for Public Service to ensure that the content and presentation of the video resonate with the NPSAS sample. An experiment will be conducted to determine whether use of the video increases participation rates.  Additionally, voluntary debriefing questions will be included to help better understand reactions to the video.</w:t>
      </w:r>
    </w:p>
    <w:p w:rsidR="007C5423" w:rsidRPr="00DA753C" w:rsidRDefault="007C5423" w:rsidP="00A0741B">
      <w:pPr>
        <w:pStyle w:val="ListBullet"/>
      </w:pPr>
      <w:r w:rsidRPr="00DA753C">
        <w:t xml:space="preserve">Training for Data Collection Staff </w:t>
      </w:r>
    </w:p>
    <w:p w:rsidR="007C5423" w:rsidRDefault="007C5423" w:rsidP="001458ED">
      <w:pPr>
        <w:pStyle w:val="Bulletblocked"/>
      </w:pPr>
      <w:r>
        <w:t xml:space="preserve">Telephone data collection will be conducted by staff in RTI’s Call Center Services unit, including Quality Control Supervisors (QCSs), Help Desk Agents (HDAs), Telephone Interviewers (TIs), and Refusal Conversion Specialists.  </w:t>
      </w:r>
      <w:r w:rsidRPr="00F12AB8">
        <w:t>Training programs for th</w:t>
      </w:r>
      <w:r>
        <w:t xml:space="preserve">ese staff members </w:t>
      </w:r>
      <w:r w:rsidRPr="00F12AB8">
        <w:t xml:space="preserve">are critical </w:t>
      </w:r>
      <w:r>
        <w:t>to maximizing response rates and collecting accurate and reliable data</w:t>
      </w:r>
      <w:r w:rsidRPr="00F12AB8">
        <w:t xml:space="preserve">. </w:t>
      </w:r>
    </w:p>
    <w:p w:rsidR="007C5423" w:rsidRDefault="007C5423" w:rsidP="0036352C">
      <w:pPr>
        <w:pStyle w:val="Bulletblocked"/>
      </w:pPr>
      <w:r>
        <w:t xml:space="preserve">Quality control supervisors, who are responsible for all supervisory tasks, will attend project-specific training for QCSs, in addition to the content of the HDS and TI training.  They will receive an overview of the study, background and objectives, and the data collection instrument through a question-by-question review.  Supervisors will also receive training in the following areas:  providing direct supervision during data collection; handling refusals; monitoring interviews and maintaining records of monitoring results; problem resolution; case review; specific project procedures and protocols; reviewing CATI reports; and monitoring data collection progress.  </w:t>
      </w:r>
    </w:p>
    <w:p w:rsidR="007C5423" w:rsidRDefault="007C5423" w:rsidP="00383E47">
      <w:pPr>
        <w:pStyle w:val="Bulletblocked"/>
      </w:pPr>
      <w:r>
        <w:t xml:space="preserve">Training for HDAs, who assist sample members who call the project-specific toll-free line, and Telephone Interviewers is designed to help staff become familiar with and practice using the Help Desk application and survey instrument, as well as to learn project procedures and requirements.  Particular attention will be paid to quality control initiatives, including refusal avoidance and methods to ensure that quality data are collected.  Both HDAs and TIs will receive project-specific training on telephone interviewing, and HDAs will receive additional training specifically geared toward solving technical problems and answering questions from web participants regarding the study or related to specific items within the interview.  They will also be able to unlock cases, reissue passwords, and respond to sample member e-mail messages, using prepared text approved by the NCES Contracting Officer’s Representative.  At the conclusion of training, all HDAs and TIs must meet certification requirements by successfully completing a certification interview.  This evaluation consists of a full-length interview with project staff observing and evaluating interviewers, as well as an oral evaluation of interviewers’ knowledge of the study’s Frequently Asked Questions.   </w:t>
      </w:r>
    </w:p>
    <w:p w:rsidR="007C5423" w:rsidRPr="00F12AB8" w:rsidRDefault="007C5423" w:rsidP="00165BCC">
      <w:pPr>
        <w:pStyle w:val="Bulletblocked"/>
      </w:pPr>
      <w:r>
        <w:t xml:space="preserve"> </w:t>
      </w:r>
    </w:p>
    <w:p w:rsidR="007C5423" w:rsidRPr="004A290F" w:rsidRDefault="007C5423" w:rsidP="00A0741B">
      <w:pPr>
        <w:pStyle w:val="ListBullet"/>
      </w:pPr>
      <w:r w:rsidRPr="004A290F">
        <w:t>Case Management System</w:t>
      </w:r>
    </w:p>
    <w:p w:rsidR="007C5423" w:rsidRPr="00F12AB8" w:rsidRDefault="007C5423" w:rsidP="00A33831">
      <w:pPr>
        <w:pStyle w:val="Bulletblocked"/>
      </w:pPr>
      <w:r w:rsidRPr="00F12AB8">
        <w:t>Student interviews will be conducted using a single web-based survey instrument for both self-administered and CATI data collection. The data collection activities will be accomplished through the Case Management System (CMS), which is equipped with the following capabilities:</w:t>
      </w:r>
    </w:p>
    <w:p w:rsidR="007C5423" w:rsidRPr="00F12AB8" w:rsidRDefault="007C5423" w:rsidP="00A33831">
      <w:pPr>
        <w:pStyle w:val="bullet2ndlevel"/>
        <w:numPr>
          <w:ilvl w:val="1"/>
          <w:numId w:val="16"/>
        </w:numPr>
      </w:pPr>
      <w:r w:rsidRPr="00F12AB8">
        <w:rPr>
          <w:szCs w:val="24"/>
        </w:rPr>
        <w:t>on-line access</w:t>
      </w:r>
      <w:r w:rsidRPr="00F12AB8">
        <w:t xml:space="preserve"> to locating information and histories of locating efforts for each case;</w:t>
      </w:r>
    </w:p>
    <w:p w:rsidR="007C5423" w:rsidRPr="00F12AB8" w:rsidRDefault="007C5423" w:rsidP="00A33831">
      <w:pPr>
        <w:pStyle w:val="bullet2ndlevel"/>
        <w:numPr>
          <w:ilvl w:val="1"/>
          <w:numId w:val="16"/>
        </w:numPr>
      </w:pPr>
      <w:r w:rsidRPr="00F12AB8">
        <w:t>state-of-the-art questionnaire administration module with full “front-end cleaning” capabilities (i.e., editing as information is obtained from respondents);</w:t>
      </w:r>
    </w:p>
    <w:p w:rsidR="007C5423" w:rsidRPr="00F12AB8" w:rsidRDefault="007C5423" w:rsidP="00A33831">
      <w:pPr>
        <w:pStyle w:val="bullet2ndlevel"/>
        <w:numPr>
          <w:ilvl w:val="1"/>
          <w:numId w:val="16"/>
        </w:numPr>
      </w:pPr>
      <w:r w:rsidRPr="00F12AB8">
        <w:t xml:space="preserve">sample management module for tracking case progress and status; and </w:t>
      </w:r>
    </w:p>
    <w:p w:rsidR="007C5423" w:rsidRPr="00F12AB8" w:rsidRDefault="007C5423" w:rsidP="00A33831">
      <w:pPr>
        <w:pStyle w:val="bullet2ndlevel"/>
        <w:numPr>
          <w:ilvl w:val="1"/>
          <w:numId w:val="16"/>
        </w:numPr>
      </w:pPr>
      <w:r w:rsidRPr="00F12AB8">
        <w:t>automated scheduling module which delivers cases to interviewers and incorporates the following features:</w:t>
      </w:r>
    </w:p>
    <w:p w:rsidR="007C5423" w:rsidRPr="00F12AB8" w:rsidRDefault="007C5423" w:rsidP="00A33831">
      <w:pPr>
        <w:pStyle w:val="bullet2ndlevel"/>
        <w:numPr>
          <w:ilvl w:val="1"/>
          <w:numId w:val="16"/>
        </w:numPr>
      </w:pPr>
      <w:r w:rsidRPr="00F12AB8">
        <w:rPr>
          <w:i/>
        </w:rPr>
        <w:t>Automatic delivery of appointment and call-back cases at specified times</w:t>
      </w:r>
      <w:r w:rsidRPr="00F12AB8">
        <w:t>. This reduces the need for tracking appointments and helps ensure the interviewer is punctual. The scheduler automatically calculates the delivery time of the case in reference to the appropriate time zone.</w:t>
      </w:r>
    </w:p>
    <w:p w:rsidR="007C5423" w:rsidRPr="00F12AB8" w:rsidRDefault="007C5423" w:rsidP="00A33831">
      <w:pPr>
        <w:pStyle w:val="bullet2ndlevel"/>
        <w:numPr>
          <w:ilvl w:val="1"/>
          <w:numId w:val="16"/>
        </w:numPr>
      </w:pPr>
      <w:r w:rsidRPr="00F12AB8">
        <w:rPr>
          <w:i/>
        </w:rPr>
        <w:t>Sorting of non-appointment cases according to parameters and priorities set by project staff</w:t>
      </w:r>
      <w:r w:rsidRPr="00F12AB8">
        <w:t xml:space="preserve">. For instance, priorities may be set to give first preference to cases within certain sub-samples or geographic areas; cases may be sorted to establish priorities between cases of differing status. Furthermore, the historic pattern of calling outcomes may be used to set priorities (e.g., cases with more than a certain number of unsuccessful attempts during a given time of day may be passed over until the next time period). These parameters ensure that cases are delivered to interviewers in a consistent manner according to specified project priorities. </w:t>
      </w:r>
    </w:p>
    <w:p w:rsidR="007C5423" w:rsidRPr="00F12AB8" w:rsidRDefault="007C5423" w:rsidP="00A33831">
      <w:pPr>
        <w:pStyle w:val="bullet2ndlevel"/>
        <w:numPr>
          <w:ilvl w:val="1"/>
          <w:numId w:val="16"/>
        </w:numPr>
      </w:pPr>
      <w:r w:rsidRPr="00F12AB8">
        <w:rPr>
          <w:i/>
        </w:rPr>
        <w:t>Restriction on allowable interviewers</w:t>
      </w:r>
      <w:r w:rsidRPr="00F12AB8">
        <w:t xml:space="preserve">. Groups of cases (or individual cases) may be designated for delivery to specific interviewers or groups of interviewers. This feature is most commonly used in filtering refusal cases, locating problems, or foreign language cases to specific interviewers with specialized skills. </w:t>
      </w:r>
    </w:p>
    <w:p w:rsidR="007C5423" w:rsidRPr="00F12AB8" w:rsidRDefault="007C5423" w:rsidP="00A33831">
      <w:pPr>
        <w:pStyle w:val="bullet2ndlevel"/>
        <w:numPr>
          <w:ilvl w:val="1"/>
          <w:numId w:val="16"/>
        </w:numPr>
      </w:pPr>
      <w:r w:rsidRPr="00F12AB8">
        <w:rPr>
          <w:i/>
        </w:rPr>
        <w:t>Complete records of calls and tracking of all previous outcomes</w:t>
      </w:r>
      <w:r w:rsidRPr="00F12AB8">
        <w:t xml:space="preserve">. The scheduler tracks all outcomes for each case, labeling each with type, date, and time. These are easily accessed by the interviewer upon entering the individual case, along with interviewer notes, thereby eliminating the need for a paper record of calls of any kind. </w:t>
      </w:r>
    </w:p>
    <w:p w:rsidR="007C5423" w:rsidRPr="00F12AB8" w:rsidRDefault="007C5423" w:rsidP="00A33831">
      <w:pPr>
        <w:pStyle w:val="bullet2ndlevel"/>
        <w:numPr>
          <w:ilvl w:val="1"/>
          <w:numId w:val="16"/>
        </w:numPr>
      </w:pPr>
      <w:r w:rsidRPr="00F12AB8">
        <w:rPr>
          <w:i/>
        </w:rPr>
        <w:t>Flagging of problem cases for supervisor action or supervisor review</w:t>
      </w:r>
      <w:r w:rsidRPr="00F12AB8">
        <w:t xml:space="preserve">. For example, refusal cases may be routed to supervisors for decisions about whether and when a refusal letter should be mailed, or whether another interviewer should be assigned. </w:t>
      </w:r>
    </w:p>
    <w:p w:rsidR="007C5423" w:rsidRPr="00F12AB8" w:rsidRDefault="007C5423" w:rsidP="00A33831">
      <w:pPr>
        <w:pStyle w:val="bullet2ndlevel"/>
        <w:numPr>
          <w:ilvl w:val="1"/>
          <w:numId w:val="16"/>
        </w:numPr>
      </w:pPr>
      <w:r w:rsidRPr="00F12AB8">
        <w:rPr>
          <w:i/>
        </w:rPr>
        <w:t>Complete reporting capabilities</w:t>
      </w:r>
      <w:r w:rsidRPr="00F12AB8">
        <w:t xml:space="preserve">. These include default reports on the aggregate status of cases and custom report generation capabilities. </w:t>
      </w:r>
    </w:p>
    <w:p w:rsidR="007C5423" w:rsidRPr="00F12AB8" w:rsidRDefault="007C5423" w:rsidP="00A33831">
      <w:pPr>
        <w:pStyle w:val="Bulletblocked"/>
      </w:pPr>
      <w:r w:rsidRPr="00F12AB8">
        <w:t xml:space="preserve">The integration of these capabilities reduces the number of discrete stages required in data collection and data preparation activities and increases capabilities for immediate error reconciliation, which results in better data quality and reduced cost. Overall, the scheduler provides a highly efficient case assignment and delivery function by reducing supervisory and clerical time, improving execution on the part of interviewers and supervisors by automatically monitoring appointments and call-backs, and reducing variation in implementing survey priorities and objectives. </w:t>
      </w:r>
    </w:p>
    <w:p w:rsidR="007C5423" w:rsidRPr="004A290F" w:rsidRDefault="007C5423" w:rsidP="00A0741B">
      <w:pPr>
        <w:pStyle w:val="ListBullet"/>
      </w:pPr>
      <w:r w:rsidRPr="004A290F">
        <w:t>Survey Instrument</w:t>
      </w:r>
      <w:r>
        <w:t xml:space="preserve"> Design</w:t>
      </w:r>
    </w:p>
    <w:p w:rsidR="007C5423" w:rsidRDefault="007C5423" w:rsidP="00BC5DCB">
      <w:pPr>
        <w:pStyle w:val="Bulletblocked"/>
      </w:pPr>
      <w:r w:rsidRPr="002855DF">
        <w:t>In January 2010, NCES received approval to conduct focus groups – the first stage in a multistage qualitative evaluation compris</w:t>
      </w:r>
      <w:r>
        <w:t xml:space="preserve">ing </w:t>
      </w:r>
      <w:r w:rsidRPr="002855DF">
        <w:t>focus groups and cognitive interviews. This qualitative evaluation will inform refinement of items used in previous surveys as well as the development of items which will help to elaborate the postsecondary choices of the first-time beginning (FTB) population.  Focus groups were conducted to help the redesign team move from conceptualization to instrument development.  Additionally, the focus groups were used to improve a select set of existing questions in the NPSAS and BPS interviews, particularly items involving financial aid terminology that is possibly unfamiliar to students (e.g. private loans) and items used to determine eligibility for the BPS cohort. The first stage has been completed and the project team is preparing for the second stage –cognitive testing</w:t>
      </w:r>
      <w:r>
        <w:t>, which is scheduled to take place in September 2010. Results of the focus groups and cognitive testing will guide the development of final survey wording</w:t>
      </w:r>
      <w:r>
        <w:rPr>
          <w:rStyle w:val="FootnoteReference"/>
        </w:rPr>
        <w:footnoteReference w:id="6"/>
      </w:r>
      <w:r w:rsidRPr="002855DF">
        <w:t xml:space="preserve"> </w:t>
      </w:r>
    </w:p>
    <w:p w:rsidR="007C5423" w:rsidRDefault="007C5423" w:rsidP="00A33831">
      <w:pPr>
        <w:pStyle w:val="Bulletblocked"/>
      </w:pPr>
      <w:r>
        <w:t xml:space="preserve">To specify and program the survey, NPSAS:12 will employ a cutting-edge web-based instrument and deployment system, created by RTI, known as Hatteras.  NPSAS:08 was the first NCES study to use Hatteras, which has proven to be a flexible, collaborative system allowing for instrument designers, programmers, and NCES management to work together on instrument development.  The instrument specifications stored in database tables are used to produce web pages dynamically.  Hatteras provides multimode functionality, whereby the survey instrument is created one time and can be used for self-administration, CATI, CAPI, or data entry.  Hatteras provides multilanguage support and is compatible with RTI’s Instrument Development and Documentation System (IDADS) to provide NCES-specific data documentation directly from the instrument specifications.  </w:t>
      </w:r>
    </w:p>
    <w:p w:rsidR="007C5423" w:rsidRPr="00F12AB8" w:rsidRDefault="007C5423" w:rsidP="00A33831">
      <w:pPr>
        <w:pStyle w:val="Bulletblocked"/>
      </w:pPr>
      <w:r w:rsidRPr="00F12AB8">
        <w:t>Below are some of the basic questionnaire administration features of the web-based instrument:</w:t>
      </w:r>
    </w:p>
    <w:p w:rsidR="007C5423" w:rsidRPr="00F12AB8" w:rsidRDefault="007C5423" w:rsidP="00A33831">
      <w:pPr>
        <w:pStyle w:val="bullet2ndlevel"/>
        <w:numPr>
          <w:ilvl w:val="1"/>
          <w:numId w:val="16"/>
        </w:numPr>
      </w:pPr>
      <w:r w:rsidRPr="00F12AB8">
        <w:t>Based on responses to previous questions, the respondent or interviewer is automatically routed to the next appropriate question, according to predesignated skip patterns.</w:t>
      </w:r>
    </w:p>
    <w:p w:rsidR="007C5423" w:rsidRPr="00F12AB8" w:rsidRDefault="007C5423" w:rsidP="00A33831">
      <w:pPr>
        <w:pStyle w:val="bullet2ndlevel"/>
        <w:numPr>
          <w:ilvl w:val="1"/>
          <w:numId w:val="16"/>
        </w:numPr>
      </w:pPr>
      <w:r w:rsidRPr="00F12AB8">
        <w:t xml:space="preserve">The web-based interview automatically inserts “text substitutions” or “text fills” where alternate wording is appropriate depending on the characteristics of the respondent or his/her responses to previous questions. </w:t>
      </w:r>
    </w:p>
    <w:p w:rsidR="007C5423" w:rsidRPr="00F12AB8" w:rsidRDefault="007C5423" w:rsidP="00A33831">
      <w:pPr>
        <w:pStyle w:val="bullet2ndlevel"/>
        <w:numPr>
          <w:ilvl w:val="1"/>
          <w:numId w:val="16"/>
        </w:numPr>
      </w:pPr>
      <w:r w:rsidRPr="00F12AB8">
        <w:t xml:space="preserve">The web-based interview can incorporate or preload data about the individual respondent from outside sources (e.g., previous interviews, sample frame files, etc.). Such data are often used to drive skip patterns or define text substitutions. In some cases, the information is presented to the respondent for verification or to reconcile inconsistencies. </w:t>
      </w:r>
    </w:p>
    <w:p w:rsidR="007C5423" w:rsidRPr="00F12AB8" w:rsidRDefault="007C5423" w:rsidP="00A33831">
      <w:pPr>
        <w:pStyle w:val="bullet2ndlevel"/>
        <w:numPr>
          <w:ilvl w:val="1"/>
          <w:numId w:val="16"/>
        </w:numPr>
      </w:pPr>
      <w:r w:rsidRPr="00F12AB8">
        <w:t xml:space="preserve">With the web/CATI instrument, numerous question-specific probes may be incorporated to explore unusual responses for reconciliation with the respondent, to probe “don’t know” responses as a way of reducing item non-response, or to clarify inconsistencies across questions. </w:t>
      </w:r>
    </w:p>
    <w:p w:rsidR="007C5423" w:rsidRPr="00F12AB8" w:rsidRDefault="007C5423" w:rsidP="00A33831">
      <w:pPr>
        <w:pStyle w:val="bullet2ndlevel"/>
        <w:numPr>
          <w:ilvl w:val="1"/>
          <w:numId w:val="16"/>
        </w:numPr>
      </w:pPr>
      <w:r w:rsidRPr="00F12AB8">
        <w:t>Coding of multi-level variables. An innovative improvement to previous NPSAS data collections, the web-based instrument uses an assisted coding mechanism to code text strings provided by respondents. Drawing from a database of potential codes, the assisted coder derives a list of options from which the interviewer or respondent can choose an appropriate code (or codes if it is a multi-level variable with general, specific, and/or detail components) corresponding to the text string.</w:t>
      </w:r>
    </w:p>
    <w:p w:rsidR="007C5423" w:rsidRPr="00F12AB8" w:rsidRDefault="007C5423" w:rsidP="00A33831">
      <w:pPr>
        <w:pStyle w:val="bullet2ndlevel"/>
        <w:numPr>
          <w:ilvl w:val="1"/>
          <w:numId w:val="16"/>
        </w:numPr>
      </w:pPr>
      <w:r w:rsidRPr="00F12AB8">
        <w:t xml:space="preserve">Iterations. When identical sets of questions will be repeated for an unidentified number of entities, such as children, jobs, schools, and so on, the system allows respondents to cycle through these questions as often as is needed. </w:t>
      </w:r>
    </w:p>
    <w:p w:rsidR="007C5423" w:rsidRPr="00F12AB8" w:rsidRDefault="007C5423" w:rsidP="00A33831">
      <w:pPr>
        <w:pStyle w:val="Bulletblocked"/>
      </w:pPr>
      <w:r w:rsidRPr="00F12AB8">
        <w:t>In addition to the functional capabilities of the CMS and web instrument described above, our efforts to achieve the desired response rate will include using established procedures proven effective in other large-scale studies we have completed. These include:</w:t>
      </w:r>
    </w:p>
    <w:p w:rsidR="007C5423" w:rsidRPr="00F12AB8" w:rsidRDefault="007C5423" w:rsidP="00A33831">
      <w:pPr>
        <w:pStyle w:val="bullet2ndlevel"/>
        <w:numPr>
          <w:ilvl w:val="1"/>
          <w:numId w:val="16"/>
        </w:numPr>
      </w:pPr>
      <w:r w:rsidRPr="00F12AB8">
        <w:t>Providing multiple response modes, including self-administered and interviewer-administered options.</w:t>
      </w:r>
    </w:p>
    <w:p w:rsidR="007C5423" w:rsidRPr="00F12AB8" w:rsidRDefault="007C5423" w:rsidP="00A33831">
      <w:pPr>
        <w:pStyle w:val="bullet2ndlevel"/>
        <w:numPr>
          <w:ilvl w:val="1"/>
          <w:numId w:val="16"/>
        </w:numPr>
      </w:pPr>
      <w:r w:rsidRPr="00F12AB8">
        <w:t>Offering incentives to encourage response (see incentive structure described below).</w:t>
      </w:r>
    </w:p>
    <w:p w:rsidR="007C5423" w:rsidRPr="00F12AB8" w:rsidRDefault="007C5423" w:rsidP="00A33831">
      <w:pPr>
        <w:pStyle w:val="bullet2ndlevel"/>
        <w:numPr>
          <w:ilvl w:val="1"/>
          <w:numId w:val="16"/>
        </w:numPr>
      </w:pPr>
      <w:r w:rsidRPr="00F12AB8">
        <w:t>Prompting calls initiated prior to the start of data collection to remind sample members about the study and the importance of their participation.</w:t>
      </w:r>
    </w:p>
    <w:p w:rsidR="007C5423" w:rsidRPr="00F12AB8" w:rsidRDefault="007C5423" w:rsidP="00A33831">
      <w:pPr>
        <w:pStyle w:val="bullet2ndlevel"/>
        <w:numPr>
          <w:ilvl w:val="1"/>
          <w:numId w:val="16"/>
        </w:numPr>
      </w:pPr>
      <w:r w:rsidRPr="00F12AB8">
        <w:t xml:space="preserve">Assigning experienced CATI data collectors who have proven their ability to contact and obtain cooperation from a high proportion of sample members. </w:t>
      </w:r>
    </w:p>
    <w:p w:rsidR="007C5423" w:rsidRPr="00F12AB8" w:rsidRDefault="007C5423" w:rsidP="00A33831">
      <w:pPr>
        <w:pStyle w:val="bullet2ndlevel"/>
        <w:numPr>
          <w:ilvl w:val="1"/>
          <w:numId w:val="16"/>
        </w:numPr>
      </w:pPr>
      <w:r w:rsidRPr="00F12AB8">
        <w:t xml:space="preserve">Training the interviewers thoroughly on study objectives, study population characteristics, and approaches that will help gain cooperation from sample members. </w:t>
      </w:r>
    </w:p>
    <w:p w:rsidR="007C5423" w:rsidRPr="00F12AB8" w:rsidRDefault="007C5423" w:rsidP="00A33831">
      <w:pPr>
        <w:pStyle w:val="bullet2ndlevel"/>
        <w:numPr>
          <w:ilvl w:val="1"/>
          <w:numId w:val="16"/>
        </w:numPr>
      </w:pPr>
      <w:r w:rsidRPr="00F12AB8">
        <w:t xml:space="preserve">Providing the interviewing staff with a comprehensive set of questions and answers that will provide encouraging responses to questions that sample members may ask. </w:t>
      </w:r>
    </w:p>
    <w:p w:rsidR="007C5423" w:rsidRPr="00F12AB8" w:rsidRDefault="007C5423" w:rsidP="00A33831">
      <w:pPr>
        <w:pStyle w:val="bullet2ndlevel"/>
        <w:numPr>
          <w:ilvl w:val="1"/>
          <w:numId w:val="16"/>
        </w:numPr>
      </w:pPr>
      <w:r w:rsidRPr="00F12AB8">
        <w:t xml:space="preserve">Maintaining a high level of monitoring and direct supervision so that interviewers who are experiencing low cooperation rates are identified quickly and corrective action is taken. </w:t>
      </w:r>
    </w:p>
    <w:p w:rsidR="007C5423" w:rsidRPr="00F12AB8" w:rsidRDefault="007C5423" w:rsidP="00A33831">
      <w:pPr>
        <w:pStyle w:val="bullet2ndlevel"/>
        <w:numPr>
          <w:ilvl w:val="1"/>
          <w:numId w:val="16"/>
        </w:numPr>
      </w:pPr>
      <w:r w:rsidRPr="00F12AB8">
        <w:t xml:space="preserve">Making every reasonable effort to obtain an interview at the initial contact, but allowing respondent flexibility in scheduling appointments to be interviewed. </w:t>
      </w:r>
    </w:p>
    <w:p w:rsidR="007C5423" w:rsidRPr="00F12AB8" w:rsidRDefault="007C5423" w:rsidP="00A33831">
      <w:pPr>
        <w:pStyle w:val="bullet2ndlevel"/>
        <w:numPr>
          <w:ilvl w:val="1"/>
          <w:numId w:val="16"/>
        </w:numPr>
      </w:pPr>
      <w:r w:rsidRPr="00F12AB8">
        <w:t xml:space="preserve">Providing hesitant respondents with a toll-free number to use to telephone RTI and discuss the study with the project director or other senior project staff. </w:t>
      </w:r>
    </w:p>
    <w:p w:rsidR="007C5423" w:rsidRPr="00F12AB8" w:rsidRDefault="007C5423" w:rsidP="00A33831">
      <w:pPr>
        <w:pStyle w:val="bullet2ndlevel"/>
        <w:numPr>
          <w:ilvl w:val="1"/>
          <w:numId w:val="16"/>
        </w:numPr>
      </w:pPr>
      <w:r w:rsidRPr="00F12AB8">
        <w:t>Thoroughly reviewing all refusal cases and making special conversion efforts whenever feasible (see next section).</w:t>
      </w:r>
    </w:p>
    <w:p w:rsidR="007C5423" w:rsidRPr="004A290F" w:rsidRDefault="007C5423" w:rsidP="00A0741B">
      <w:pPr>
        <w:pStyle w:val="ListBullet"/>
      </w:pPr>
      <w:r w:rsidRPr="004A290F">
        <w:t>Refusal Aversion and Conversion</w:t>
      </w:r>
    </w:p>
    <w:p w:rsidR="007C5423" w:rsidRPr="00F12AB8" w:rsidRDefault="007C5423" w:rsidP="00A33831">
      <w:pPr>
        <w:pStyle w:val="Bulletblocked"/>
      </w:pPr>
      <w:r w:rsidRPr="00F12AB8">
        <w:t>Recognizing and avoiding refusals is important to maximize the response rate. We will emphasize this and other topics related to obtaining cooperation during data collector training. Supervisors will monitor interviewers intensely during the early days of data collection and provide retraining as necessary. In addition, the supervisors will review daily interviewer production reports produced by the CATI system to identify and retrain any data collectors who are producing unacceptable numbers of refusals or other problems.</w:t>
      </w:r>
    </w:p>
    <w:p w:rsidR="007C5423" w:rsidRPr="00F12AB8" w:rsidRDefault="007C5423" w:rsidP="00A33831">
      <w:pPr>
        <w:pStyle w:val="Bulletblocked"/>
      </w:pPr>
      <w:r w:rsidRPr="00F12AB8">
        <w:t>After encountering a refusal, the data collector enters comments into the CMS record. These comments include all pertinent data regarding the refusal situation, including any unusual circumstances and any reasons given by the sample member for refusing. Supervisors will review these comments to determine what action to take with each refusal. No refusal or partial interview will be coded as final without supervisory review and approval. In completing the review, the supervisor will consider all available information about the case and will initiate appropriate action.</w:t>
      </w:r>
    </w:p>
    <w:p w:rsidR="007C5423" w:rsidRPr="00F12AB8" w:rsidRDefault="007C5423" w:rsidP="00A33831">
      <w:pPr>
        <w:pStyle w:val="Bulletblocked"/>
      </w:pPr>
      <w:r w:rsidRPr="00F12AB8">
        <w:t>If a follow-up is clearly inappropriate (e.g., there are extenuating circumstances, such as illness or the sample member firmly requested that no further contact be made), the case will be coded as final and will not be recontacted. If the case appears to be a “soft” refusal, follow-up will be assigned to an interviewer other than the one who received the initial refusal. The case will be assigned to a member of a special refusal conversion team made up of interviewers who have proven especially adept at converting refusals.</w:t>
      </w:r>
    </w:p>
    <w:p w:rsidR="007C5423" w:rsidRPr="00F12AB8" w:rsidRDefault="007C5423" w:rsidP="00A33831">
      <w:pPr>
        <w:pStyle w:val="Bulletblocked"/>
      </w:pPr>
      <w:r w:rsidRPr="00F12AB8">
        <w:t>Refusal conversion efforts will be delayed for at least one week to give the respondent some time after the initial refusal. Attempts at refusal conversion will not be made with individuals who become verbally aggressive or who threaten to take legal or other action. Refusal conversion efforts will not be conducted to a degree that would constitute harassment. We will respect a sample member’s right to decide not to participate and will not impinge this right by carrying conversion efforts beyond the bounds of propriety.</w:t>
      </w:r>
    </w:p>
    <w:p w:rsidR="007C5423" w:rsidRPr="00F12AB8" w:rsidRDefault="007C5423" w:rsidP="00767044">
      <w:pPr>
        <w:pStyle w:val="BodyText"/>
      </w:pPr>
      <w:r w:rsidRPr="007270D4">
        <w:rPr>
          <w:b/>
          <w:bCs/>
        </w:rPr>
        <w:t>Incentives</w:t>
      </w:r>
      <w:r w:rsidRPr="007270D4">
        <w:t xml:space="preserve">. As described in the justification section (section A), we have proposed to offer incentive payments </w:t>
      </w:r>
      <w:r>
        <w:t xml:space="preserve">differentially </w:t>
      </w:r>
      <w:r w:rsidRPr="007270D4">
        <w:t>to members of the sample population</w:t>
      </w:r>
      <w:r>
        <w:t xml:space="preserve"> depending on their modeled likelihood of participation</w:t>
      </w:r>
      <w:r w:rsidRPr="007270D4">
        <w:t xml:space="preserve">. Our approach to maximizing the response of </w:t>
      </w:r>
      <w:r>
        <w:t>all sample members</w:t>
      </w:r>
      <w:r w:rsidRPr="007270D4">
        <w:t>—and thereby limiting potential bias—involves an incentive payment to reimburse the respondent for time and expenses. The NPSAS:</w:t>
      </w:r>
      <w:r>
        <w:t>12</w:t>
      </w:r>
      <w:r w:rsidRPr="007270D4">
        <w:t xml:space="preserve"> field test will be used to conduct an experiment to </w:t>
      </w:r>
      <w:r>
        <w:t xml:space="preserve">examine the effectiveness of this methodology, which is hypothesized to increase weighted response rates and reduce nonresponse bias. </w:t>
      </w:r>
      <w:r w:rsidRPr="007270D4">
        <w:t xml:space="preserve">Additional detail about </w:t>
      </w:r>
      <w:r>
        <w:t xml:space="preserve">the </w:t>
      </w:r>
      <w:r w:rsidRPr="007270D4">
        <w:t>planned field test experiment is provided in section B.4.</w:t>
      </w:r>
    </w:p>
    <w:p w:rsidR="007C5423" w:rsidRPr="00F12AB8" w:rsidRDefault="007C5423" w:rsidP="00024A14">
      <w:pPr>
        <w:pStyle w:val="Heading2"/>
        <w:numPr>
          <w:ilvl w:val="1"/>
          <w:numId w:val="11"/>
        </w:numPr>
        <w:tabs>
          <w:tab w:val="clear" w:pos="1080"/>
        </w:tabs>
        <w:ind w:left="1080" w:hanging="540"/>
      </w:pPr>
      <w:bookmarkStart w:id="15" w:name="_Toc268593749"/>
      <w:r w:rsidRPr="00F12AB8">
        <w:t>Tests of Procedures and Methods</w:t>
      </w:r>
      <w:bookmarkEnd w:id="15"/>
    </w:p>
    <w:p w:rsidR="007C5423" w:rsidRDefault="007C5423" w:rsidP="007D7996">
      <w:pPr>
        <w:pStyle w:val="BodyText"/>
      </w:pPr>
      <w:r>
        <w:t xml:space="preserve">The NPSAS:12 field test will include </w:t>
      </w:r>
      <w:r w:rsidRPr="00141A6B">
        <w:t>two planned data collection experiments: the first involves the use of an informational video during the initial contact with sample members to increase participation by sample members and to establish “branding” for the new longitudinal BPS cohort</w:t>
      </w:r>
      <w:r>
        <w:t>. An experiment will be conducted to determine whether the sample members who view the video have higher rates of participation than those who do not view the video.</w:t>
      </w:r>
    </w:p>
    <w:p w:rsidR="007C5423" w:rsidRPr="00141A6B" w:rsidRDefault="007C5423" w:rsidP="001A7AED">
      <w:pPr>
        <w:pStyle w:val="BodyText"/>
      </w:pPr>
      <w:r>
        <w:t>Th</w:t>
      </w:r>
      <w:r w:rsidRPr="00141A6B">
        <w:t xml:space="preserve">e second </w:t>
      </w:r>
      <w:r>
        <w:t xml:space="preserve">experiment </w:t>
      </w:r>
      <w:r w:rsidRPr="00141A6B">
        <w:t xml:space="preserve">involves testing a new approach aimed specifically at using incentives to minimize </w:t>
      </w:r>
      <w:r>
        <w:t xml:space="preserve"> </w:t>
      </w:r>
      <w:r w:rsidRPr="00141A6B">
        <w:t xml:space="preserve">bias rather than to increase response rates. </w:t>
      </w:r>
      <w:r>
        <w:t xml:space="preserve">The two experiments, which are described below, </w:t>
      </w:r>
      <w:r w:rsidRPr="00141A6B">
        <w:t xml:space="preserve">are independent of each other and both procedures are planned for use in the NPSAS:12 full scale study, subject to demonstration of their </w:t>
      </w:r>
      <w:r>
        <w:t>effectiveness in the field test.</w:t>
      </w:r>
    </w:p>
    <w:p w:rsidR="007C5423" w:rsidRPr="00141A6B" w:rsidRDefault="007C5423" w:rsidP="00024A14">
      <w:pPr>
        <w:pStyle w:val="Heading3"/>
        <w:numPr>
          <w:ilvl w:val="2"/>
          <w:numId w:val="11"/>
        </w:numPr>
        <w:tabs>
          <w:tab w:val="clear" w:pos="1890"/>
          <w:tab w:val="num" w:pos="1440"/>
        </w:tabs>
        <w:ind w:left="1440" w:hanging="360"/>
        <w:rPr>
          <w:rFonts w:ascii="Times New Roman" w:hAnsi="Times New Roman" w:cs="Times New Roman"/>
        </w:rPr>
      </w:pPr>
      <w:bookmarkStart w:id="16" w:name="_Toc268593750"/>
      <w:r w:rsidRPr="00141A6B">
        <w:rPr>
          <w:rFonts w:ascii="Times New Roman" w:hAnsi="Times New Roman" w:cs="Times New Roman"/>
        </w:rPr>
        <w:t>Experiment # 1</w:t>
      </w:r>
      <w:r>
        <w:rPr>
          <w:rFonts w:ascii="Times New Roman" w:hAnsi="Times New Roman" w:cs="Times New Roman"/>
        </w:rPr>
        <w:t>:</w:t>
      </w:r>
      <w:r w:rsidRPr="00141A6B">
        <w:rPr>
          <w:rFonts w:ascii="Times New Roman" w:hAnsi="Times New Roman" w:cs="Times New Roman"/>
        </w:rPr>
        <w:t xml:space="preserve"> Increasing Survey Participation</w:t>
      </w:r>
      <w:r>
        <w:rPr>
          <w:rFonts w:ascii="Times New Roman" w:hAnsi="Times New Roman" w:cs="Times New Roman"/>
        </w:rPr>
        <w:t xml:space="preserve"> </w:t>
      </w:r>
      <w:r w:rsidRPr="00141A6B">
        <w:rPr>
          <w:rFonts w:ascii="Times New Roman" w:hAnsi="Times New Roman" w:cs="Times New Roman"/>
        </w:rPr>
        <w:t>Using Informational Video</w:t>
      </w:r>
      <w:bookmarkEnd w:id="16"/>
    </w:p>
    <w:p w:rsidR="007C5423" w:rsidRPr="00141A6B" w:rsidRDefault="007C5423" w:rsidP="00A0741B">
      <w:pPr>
        <w:pStyle w:val="BodyText"/>
      </w:pPr>
      <w:r w:rsidRPr="00141A6B">
        <w:t>Initial contacts with sample members at the start of a data collection have traditionally been made using letters, e</w:t>
      </w:r>
      <w:r>
        <w:t>-</w:t>
      </w:r>
      <w:r w:rsidRPr="00141A6B">
        <w:t xml:space="preserve">mails, and sometimes </w:t>
      </w:r>
      <w:r>
        <w:t>telephone</w:t>
      </w:r>
      <w:r w:rsidRPr="00141A6B">
        <w:t xml:space="preserve"> calls, with each form of communication including similar information about the study. These communications were designed to inform the sample member about the survey, how to complete the survey, and what incentives or benefits would be associated with participation.  </w:t>
      </w:r>
    </w:p>
    <w:p w:rsidR="007C5423" w:rsidRPr="00141A6B" w:rsidRDefault="007C5423" w:rsidP="00A0741B">
      <w:pPr>
        <w:pStyle w:val="BodyText"/>
      </w:pPr>
      <w:r w:rsidRPr="00141A6B">
        <w:t>RTI proposes to perform an experiment using an online video to communicate survey information</w:t>
      </w:r>
      <w:r>
        <w:rPr>
          <w:rStyle w:val="FootnoteReference"/>
        </w:rPr>
        <w:footnoteReference w:id="7"/>
      </w:r>
      <w:r w:rsidRPr="00141A6B">
        <w:t>, and to include characters and images from the video in communications to sample members. This communication technique was used late in data collection on a sample of B&amp;B:09 survey non-participants. A link to the video, posted on YouTube, was e</w:t>
      </w:r>
      <w:r>
        <w:t>-</w:t>
      </w:r>
      <w:r w:rsidRPr="00141A6B">
        <w:t xml:space="preserve">mailed to the non-participants and during the week following the </w:t>
      </w:r>
      <w:r>
        <w:t>e-mail</w:t>
      </w:r>
      <w:r w:rsidRPr="00141A6B">
        <w:t xml:space="preserve"> response rates doubled compared to the previous week. </w:t>
      </w:r>
      <w:r w:rsidRPr="00A0741B">
        <w:rPr>
          <w:szCs w:val="24"/>
        </w:rPr>
        <w:t>Later</w:t>
      </w:r>
      <w:r w:rsidRPr="00141A6B">
        <w:t>, a postcard featuring characters from the video was mailed to remaining non-participants and resulted in 2.4 times as many survey completions during the week after the mailing as the previous week. However, because the video and postcard were mailed to all non-participant sample members, the impact of the video (versus traditional non-video) reminders on respon</w:t>
      </w:r>
      <w:r>
        <w:t>se rates could not be assessed.</w:t>
      </w:r>
    </w:p>
    <w:p w:rsidR="007C5423" w:rsidRPr="00141A6B" w:rsidRDefault="007C5423" w:rsidP="00A0741B">
      <w:pPr>
        <w:ind w:firstLine="720"/>
        <w:rPr>
          <w:szCs w:val="24"/>
        </w:rPr>
      </w:pPr>
      <w:r w:rsidRPr="00141A6B">
        <w:rPr>
          <w:szCs w:val="24"/>
        </w:rPr>
        <w:t>The hypothesis is that video and visual images are more effective methods of communicating information to, and engaging, sample members, than are the traditional methods of contact. To test this hypothesis, half of the field test sample, selected at random, will receive the treatment (a link to a video will be included in initial contact materials) and their participation rates</w:t>
      </w:r>
      <w:r w:rsidRPr="00141A6B">
        <w:rPr>
          <w:vertAlign w:val="superscript"/>
        </w:rPr>
        <w:footnoteReference w:id="8"/>
      </w:r>
      <w:r w:rsidRPr="00141A6B">
        <w:rPr>
          <w:vertAlign w:val="superscript"/>
        </w:rPr>
        <w:t xml:space="preserve"> </w:t>
      </w:r>
      <w:r w:rsidRPr="00141A6B">
        <w:rPr>
          <w:szCs w:val="24"/>
        </w:rPr>
        <w:t xml:space="preserve"> will be compared to a control group, the other half of the field test sample, who will receive the materials in the traditional format (postal mail or e-mail without a link to the video). Support for this hypothesis would be manifested in an increased participation rate for the treatment group</w:t>
      </w:r>
      <w:r w:rsidRPr="00141A6B">
        <w:rPr>
          <w:rStyle w:val="FootnoteReference"/>
          <w:sz w:val="24"/>
          <w:szCs w:val="24"/>
        </w:rPr>
        <w:footnoteReference w:id="9"/>
      </w:r>
      <w:r>
        <w:rPr>
          <w:szCs w:val="24"/>
        </w:rPr>
        <w:t>.</w:t>
      </w:r>
    </w:p>
    <w:p w:rsidR="007C5423" w:rsidRPr="00141A6B" w:rsidRDefault="007C5423" w:rsidP="00A0741B">
      <w:pPr>
        <w:pStyle w:val="BodyText"/>
      </w:pPr>
      <w:r w:rsidRPr="00141A6B">
        <w:t xml:space="preserve">A second hypothesis to be tested is that the use of recognizable characters and themes from the video will improve recognition of, and response to, follow-up surveys. Such “branding” would be particularly beneficial to longitudinal studies, such as BPS and B&amp;B, which require one or more follow-up interviews following the NPSAS base year data collection. Branding is the application of names, designs, symbols, and recognizable characters to products to increase recognition and identification in users (Gladden, Milne, &amp; Sutton, 1998). Through branding, related products can be conceptualized as a single entity in a consumer’s memory (Aaker, 1991).  </w:t>
      </w:r>
    </w:p>
    <w:p w:rsidR="007C5423" w:rsidRPr="00141A6B" w:rsidRDefault="007C5423" w:rsidP="00F55A0D">
      <w:pPr>
        <w:pStyle w:val="BodyText"/>
      </w:pPr>
      <w:r w:rsidRPr="00141A6B">
        <w:t>Presented without a unifying “brand</w:t>
      </w:r>
      <w:r>
        <w:t>,</w:t>
      </w:r>
      <w:r w:rsidRPr="00141A6B">
        <w:t>” sample members initially contacted to participate in NPSAS may not easily recognize the connection between it and the differently</w:t>
      </w:r>
      <w:r>
        <w:t xml:space="preserve"> </w:t>
      </w:r>
      <w:r w:rsidRPr="00141A6B">
        <w:t xml:space="preserve">named follow-ups, BPS or B&amp;B. The hypothesis is that “branding” using the NPSAS video will improve survey participation in subsequent rounds of the longitudinal study. To test this hypothesis, RTI proposes to use characters from the NPSAS:12 field test video in subsequent communications with those members of the BPS:12 field test cohort who were initially exposed to the video during NPSAS:12. Treatment group participation rates for panel maintenance and interviewing will be compared to the control group to evaluate the effectiveness of the branding.  </w:t>
      </w:r>
    </w:p>
    <w:p w:rsidR="007C5423" w:rsidRPr="00141A6B" w:rsidRDefault="007C5423" w:rsidP="0063156D">
      <w:pPr>
        <w:pStyle w:val="BodyText"/>
      </w:pPr>
      <w:r w:rsidRPr="00141A6B">
        <w:t>The experimental design to test the second hypothesis will be informed by the outcome of the first experiment. If the treatment group’s participation rate is greater than the control, the treatment may be given to the entire sample in the follow-up study to increase overall participation rates. Participation would be measured between the NPSAS treatment and control groups to assess the impact of branding.</w:t>
      </w:r>
    </w:p>
    <w:p w:rsidR="007C5423" w:rsidRPr="00141A6B" w:rsidRDefault="007C5423" w:rsidP="00F55A0D">
      <w:pPr>
        <w:pStyle w:val="BodyText"/>
      </w:pPr>
      <w:r w:rsidRPr="0063156D">
        <w:rPr>
          <w:rStyle w:val="Strong"/>
          <w:szCs w:val="24"/>
        </w:rPr>
        <w:t>Video design</w:t>
      </w:r>
      <w:r>
        <w:rPr>
          <w:rStyle w:val="Strong"/>
          <w:i/>
          <w:iCs/>
          <w:szCs w:val="24"/>
        </w:rPr>
        <w:t xml:space="preserve">. </w:t>
      </w:r>
      <w:r w:rsidRPr="00141A6B">
        <w:t>Video has long been recognized as an effective way to communicate information and the proliferation of high-speed internet connections, digital video, and user-friendly software has made the task of creating and sharing video much easier. Traditional-aged postsecondary students, members of “Generation Y” or the “Net Generation</w:t>
      </w:r>
      <w:r>
        <w:t>,</w:t>
      </w:r>
      <w:r w:rsidRPr="00141A6B">
        <w:t xml:space="preserve">” the most technology savvy generation in U.S. history, are accustomed to viewing videos for entertainment and educational purposes, and many have experience creating and sharing their own videos (Shaw &amp; Fairhurst, 2008). The video proposed for this experiment will use stop-motion filmmaking and Lego figures, blocks, and accessories. Along with audio dialogue, the Lego materials will be used to visually represent key information such as the methods of completing the survey and major themes the survey will address. In addition to its cost effectiveness this method is selected because it is an entertaining and perhaps unexpected method of communication, which increases the likelihood that sample members will watch the video.  </w:t>
      </w:r>
    </w:p>
    <w:p w:rsidR="007C5423" w:rsidRPr="00141A6B" w:rsidRDefault="007C5423" w:rsidP="0063156D">
      <w:pPr>
        <w:pStyle w:val="BodyText"/>
        <w:rPr>
          <w:rStyle w:val="Strong"/>
          <w:i/>
          <w:iCs/>
          <w:szCs w:val="24"/>
        </w:rPr>
      </w:pPr>
      <w:r w:rsidRPr="00141A6B">
        <w:t xml:space="preserve">Use of characters from the NPSAS:12 video in communications to sample members may help draw their attention to these materials. For example, a postcard containing a close-up photo of a Lego figure may be more eye-catching than more traditional stock photos and graphics. Furthermore, sample members may begin to associate recognizable characters from the videos and mailings with the Department of Education survey.  </w:t>
      </w:r>
    </w:p>
    <w:p w:rsidR="007C5423" w:rsidRPr="00141A6B" w:rsidRDefault="007C5423" w:rsidP="0063156D">
      <w:pPr>
        <w:pStyle w:val="BodyText"/>
      </w:pPr>
      <w:r w:rsidRPr="0063156D">
        <w:rPr>
          <w:rStyle w:val="Strong"/>
          <w:szCs w:val="24"/>
        </w:rPr>
        <w:t>Implementation.</w:t>
      </w:r>
      <w:r>
        <w:rPr>
          <w:rStyle w:val="Strong"/>
          <w:i/>
          <w:iCs/>
          <w:szCs w:val="24"/>
        </w:rPr>
        <w:t xml:space="preserve"> </w:t>
      </w:r>
      <w:r w:rsidRPr="00141A6B">
        <w:t>For the first hypothesis, that an informational video will increase survey participation rates, a randomly-assigned treatment group will receive an initial letter (as described in the data collection overview) that includes an invitation to view an informational video about the survey. The video will be posted to YouTube and a URL will be included in the letter. YouTube will be used rather than an RTI website because of its likely familiarity to sample members. E-mails sent to sample members subsequent to the initial letter will include hyperlinks to the video on YouTube, and may include g</w:t>
      </w:r>
      <w:r>
        <w:t>raphics from the video as well.</w:t>
      </w:r>
    </w:p>
    <w:p w:rsidR="007C5423" w:rsidRPr="00141A6B" w:rsidRDefault="007C5423" w:rsidP="0063156D">
      <w:pPr>
        <w:pStyle w:val="BodyText"/>
      </w:pPr>
      <w:r w:rsidRPr="00141A6B">
        <w:t>Testing of the second hypothesis, that characters from the video will increase recognition of follow-up NCES studies and thereby improve participation rates, cannot be tested until future field tests are designed for these studies (e.g. in the BPS:12/14 field test). However, this hypothesis could be tested by placing the BPS-qualifying NPSAS treatment group sample members in a second, BPS-specific treatment group. Communications with this BPS treatment group would again make use of the Lego characters and a BPS-s</w:t>
      </w:r>
      <w:r>
        <w:t>pecific video would be offered.</w:t>
      </w:r>
    </w:p>
    <w:p w:rsidR="007C5423" w:rsidRDefault="007C5423" w:rsidP="0063156D">
      <w:pPr>
        <w:pStyle w:val="BodyText"/>
      </w:pPr>
      <w:r w:rsidRPr="00141A6B">
        <w:t xml:space="preserve">For each hypothesis, participation rates for the treatment and control groups will be compared, with significance testing performed on the results.  </w:t>
      </w:r>
    </w:p>
    <w:p w:rsidR="007C5423" w:rsidRPr="00141A6B" w:rsidRDefault="007C5423" w:rsidP="009755EA">
      <w:pPr>
        <w:pStyle w:val="BodyText"/>
      </w:pPr>
      <w:r>
        <w:t>In addition to the experimental analysis, survey respondents will also be asked voluntary debriefing questions to help better understand their reactions to the video.</w:t>
      </w:r>
    </w:p>
    <w:p w:rsidR="007C5423" w:rsidRPr="00141A6B" w:rsidRDefault="007C5423" w:rsidP="00024A14">
      <w:pPr>
        <w:pStyle w:val="Heading3"/>
        <w:numPr>
          <w:ilvl w:val="2"/>
          <w:numId w:val="11"/>
        </w:numPr>
        <w:tabs>
          <w:tab w:val="clear" w:pos="1890"/>
          <w:tab w:val="num" w:pos="1440"/>
        </w:tabs>
        <w:ind w:left="1440" w:hanging="720"/>
        <w:rPr>
          <w:rFonts w:ascii="Times New Roman" w:hAnsi="Times New Roman" w:cs="Times New Roman"/>
        </w:rPr>
      </w:pPr>
      <w:bookmarkStart w:id="17" w:name="_Toc268593751"/>
      <w:r w:rsidRPr="00141A6B">
        <w:rPr>
          <w:rFonts w:ascii="Times New Roman" w:hAnsi="Times New Roman" w:cs="Times New Roman"/>
        </w:rPr>
        <w:t>Experiment #</w:t>
      </w:r>
      <w:r>
        <w:rPr>
          <w:rFonts w:ascii="Times New Roman" w:hAnsi="Times New Roman" w:cs="Times New Roman"/>
        </w:rPr>
        <w:t xml:space="preserve"> </w:t>
      </w:r>
      <w:r w:rsidRPr="00141A6B">
        <w:rPr>
          <w:rFonts w:ascii="Times New Roman" w:hAnsi="Times New Roman" w:cs="Times New Roman"/>
        </w:rPr>
        <w:t>2: Response Propensity Approach</w:t>
      </w:r>
      <w:bookmarkEnd w:id="17"/>
    </w:p>
    <w:p w:rsidR="007C5423" w:rsidRDefault="007C5423" w:rsidP="0063156D">
      <w:pPr>
        <w:pStyle w:val="BodyText"/>
      </w:pPr>
      <w:r>
        <w:t xml:space="preserve">Nonresponse bias in sample surveys can lead to inaccurate estimates and compromise data quality. In the NPSAS:12 field test, we plan to test a new methodology, developed by RTI, that will minimize nonresponse bias by targeting cases that have a low likelihood of responding and a high likelihood of contributing to nonresponse bias. We describe this methodology, and </w:t>
      </w:r>
      <w:r w:rsidRPr="00F12AB8">
        <w:t xml:space="preserve">our plans </w:t>
      </w:r>
      <w:r>
        <w:t>f</w:t>
      </w:r>
      <w:r w:rsidRPr="00F12AB8">
        <w:t>o</w:t>
      </w:r>
      <w:r>
        <w:t>r</w:t>
      </w:r>
      <w:r w:rsidRPr="00F12AB8">
        <w:t xml:space="preserve"> conduct</w:t>
      </w:r>
      <w:r>
        <w:t>ing</w:t>
      </w:r>
      <w:r w:rsidRPr="00F12AB8">
        <w:t xml:space="preserve"> </w:t>
      </w:r>
      <w:r>
        <w:t xml:space="preserve">an </w:t>
      </w:r>
      <w:r w:rsidRPr="00F12AB8">
        <w:t>experiment</w:t>
      </w:r>
      <w:r>
        <w:t xml:space="preserve">al </w:t>
      </w:r>
      <w:r w:rsidRPr="00F12AB8">
        <w:t>evaluat</w:t>
      </w:r>
      <w:r>
        <w:t xml:space="preserve">ion of its </w:t>
      </w:r>
      <w:r w:rsidRPr="00F12AB8">
        <w:t>effectiveness</w:t>
      </w:r>
      <w:r>
        <w:t xml:space="preserve">, in this section.  </w:t>
      </w:r>
    </w:p>
    <w:p w:rsidR="007C5423" w:rsidRPr="000F68CB" w:rsidRDefault="007C5423" w:rsidP="0063156D">
      <w:pPr>
        <w:pStyle w:val="BodyText"/>
      </w:pPr>
      <w:r>
        <w:t>S</w:t>
      </w:r>
      <w:r w:rsidRPr="000F68CB">
        <w:t xml:space="preserve">urvey organizations </w:t>
      </w:r>
      <w:r>
        <w:t xml:space="preserve">commonly </w:t>
      </w:r>
      <w:r w:rsidRPr="000F68CB">
        <w:t>address nonresponse bias by attempting to increase the survey response rate. This step is usually accomplished by pursuing the nonresponse cases most likely to be interviewed. However, this approach may not be successful in reducing nonresponse bias even if higher response rates are achieved–in fact, nonresponse bias could even be increased by adding more cases that are similar to those that have already responded (</w:t>
      </w:r>
      <w:r w:rsidRPr="000F68CB">
        <w:fldChar w:fldCharType="begin"/>
      </w:r>
      <w:r w:rsidRPr="000F68CB">
        <w:instrText xml:space="preserve"> ADDIN EN.CITE &lt;EndNote&gt;&lt;Cite&gt;&lt;Author&gt;Merkle&lt;/Author&gt;&lt;Year&gt;2009&lt;/Year&gt;&lt;RecNum&gt;638&lt;/RecNum&gt;&lt;record&gt;&lt;rec-number&gt;638&lt;/rec-number&gt;&lt;foreign-keys&gt;&lt;key app="EN" db-id="pxe0eptdr05fxpepweypvst6sz9xrps9r55a"&gt;638&lt;/key&gt;&lt;/foreign-keys&gt;&lt;ref-type name="Electronic Article"&gt;43&lt;/ref-type&gt;&lt;contributors&gt;&lt;authors&gt;&lt;author&gt;Daniel M. Merkle&lt;/author&gt;&lt;author&gt;Murray Edelman&lt;/author&gt;&lt;/authors&gt;&lt;/contributors&gt;&lt;titles&gt;&lt;title&gt;An Experiment on Improving Response Rates and Its Unintended Impact on Survey Error&lt;/title&gt;&lt;secondary-title&gt;Survey Practice&lt;/secondary-title&gt;&lt;/titles&gt;&lt;periodical&gt;&lt;full-title&gt;Survey Practice&lt;/full-title&gt;&lt;/periodical&gt;&lt;number&gt;March&lt;/number&gt;&lt;dates&gt;&lt;year&gt;2009&lt;/year&gt;&lt;pub-dates&gt;&lt;date&gt;March 26, 2009&lt;/date&gt;&lt;/pub-dates&gt;&lt;/dates&gt;&lt;urls&gt;&lt;/urls&gt;&lt;/record&gt;&lt;/Cite&gt;&lt;/EndNote&gt;</w:instrText>
      </w:r>
      <w:r w:rsidRPr="000F68CB">
        <w:fldChar w:fldCharType="separate"/>
      </w:r>
      <w:r w:rsidRPr="000F68CB">
        <w:t>Merkle and Edelman 2009</w:t>
      </w:r>
      <w:r w:rsidRPr="000F68CB">
        <w:fldChar w:fldCharType="end"/>
      </w:r>
      <w:r w:rsidRPr="000F68CB">
        <w:t>).  If low propensity (i.e.</w:t>
      </w:r>
      <w:r>
        <w:t>,</w:t>
      </w:r>
      <w:r w:rsidRPr="000F68CB">
        <w:t xml:space="preserve"> difficult to complete) cases are brought into the response pool, we </w:t>
      </w:r>
      <w:r w:rsidRPr="000F68CB">
        <w:rPr>
          <w:i/>
          <w:iCs/>
        </w:rPr>
        <w:t xml:space="preserve">anticipate </w:t>
      </w:r>
      <w:r w:rsidRPr="000F68CB">
        <w:t xml:space="preserve">that this will not only increase the weighted response rate and result in less biased survey estimates. This is the hypothesis we intend to test with this experiment.  </w:t>
      </w:r>
    </w:p>
    <w:p w:rsidR="007C5423" w:rsidRPr="000F68CB" w:rsidRDefault="007C5423" w:rsidP="00674ED3">
      <w:pPr>
        <w:pStyle w:val="BodyText"/>
      </w:pPr>
      <w:r w:rsidRPr="000F68CB">
        <w:t xml:space="preserve">RTI is currently undertaking an initiative, modeled on the Responsive Design methodologies developed by Groves (Groves and Heeringa, 2006), to develop new approaches to improve survey outcomes that incorporate different responsive and adaptive features.  Although still in the development phase, RTI has implemented several of these procedures on recent studies and have published preliminary results (Rosen, et al., </w:t>
      </w:r>
      <w:r>
        <w:t>2011</w:t>
      </w:r>
      <w:r w:rsidRPr="000F68CB">
        <w:t>;</w:t>
      </w:r>
      <w:r w:rsidRPr="000F68CB" w:rsidDel="003F45D2">
        <w:t xml:space="preserve"> </w:t>
      </w:r>
      <w:r w:rsidRPr="000F68CB">
        <w:t xml:space="preserve">Peytchev, et al., 2010). RTI’s experimental approach aims to reduce nonresponse bias by using multiple sources of data to produce models that estimate a sample member’s </w:t>
      </w:r>
      <w:r w:rsidRPr="000F68CB">
        <w:rPr>
          <w:i/>
          <w:iCs/>
        </w:rPr>
        <w:t xml:space="preserve">response propensity </w:t>
      </w:r>
      <w:r w:rsidRPr="000F68CB">
        <w:t xml:space="preserve">prior to the commencement of data collection. After we empirically identify sample members </w:t>
      </w:r>
      <w:r>
        <w:t xml:space="preserve">as </w:t>
      </w:r>
      <w:r w:rsidRPr="000F68CB">
        <w:t xml:space="preserve">low </w:t>
      </w:r>
      <w:r>
        <w:t xml:space="preserve">and high </w:t>
      </w:r>
      <w:r w:rsidRPr="000F68CB">
        <w:t>response propensit</w:t>
      </w:r>
      <w:r>
        <w:t>y</w:t>
      </w:r>
      <w:r w:rsidRPr="000F68CB">
        <w:t xml:space="preserve">, we </w:t>
      </w:r>
      <w:r>
        <w:t xml:space="preserve">will apply incentive amounts differentially by experimental group, and use other data collection </w:t>
      </w:r>
      <w:r w:rsidRPr="000F68CB">
        <w:t xml:space="preserve">interventions (such as prompting, </w:t>
      </w:r>
      <w:r>
        <w:t>multiple email contacts</w:t>
      </w:r>
      <w:r w:rsidRPr="000F68CB">
        <w:t>, whatever may be appropriate for the sample) in an attempt to maximize the average response propensity</w:t>
      </w:r>
      <w:r>
        <w:t xml:space="preserve"> across all sample members</w:t>
      </w:r>
      <w:r w:rsidRPr="000F68CB">
        <w:t>.</w:t>
      </w:r>
    </w:p>
    <w:p w:rsidR="007C5423" w:rsidRPr="000F68CB" w:rsidRDefault="007C5423" w:rsidP="006D292A">
      <w:pPr>
        <w:pStyle w:val="BodyText"/>
      </w:pPr>
      <w:r w:rsidRPr="000F68CB">
        <w:t xml:space="preserve">The ultimate goal of the approach is to minimize bias by targeting the cases that, based on the available data, are expected to have a low response propensity and a high likelihood of contributing to nonresponse bias. Because the propensity-modeling plan considers respondent information  more inclusively and broadly, it is expected that it will also be able to determine which cases would potentially contribute most to minimization of bias in estimates, and ensure that these cases receive priority, via an effective treatment. </w:t>
      </w:r>
    </w:p>
    <w:p w:rsidR="007C5423" w:rsidRPr="000F68CB" w:rsidRDefault="007C5423" w:rsidP="0063156D">
      <w:pPr>
        <w:pStyle w:val="BodyText"/>
      </w:pPr>
      <w:r w:rsidRPr="0063156D">
        <w:rPr>
          <w:b/>
          <w:bCs/>
        </w:rPr>
        <w:t>The Methodology.</w:t>
      </w:r>
      <w:r>
        <w:rPr>
          <w:b/>
          <w:bCs/>
          <w:i/>
          <w:iCs/>
        </w:rPr>
        <w:t xml:space="preserve"> </w:t>
      </w:r>
      <w:r>
        <w:t>Ideally, t</w:t>
      </w:r>
      <w:r w:rsidRPr="000F68CB">
        <w:t>he first objective of the response propensity approach is to use information that is known prior to data collection (e.g.</w:t>
      </w:r>
      <w:r>
        <w:t>,</w:t>
      </w:r>
      <w:r w:rsidRPr="000F68CB">
        <w:t xml:space="preserve"> frame variables) and incorporate information obtained during data collection (e.g.</w:t>
      </w:r>
      <w:r>
        <w:t>,</w:t>
      </w:r>
      <w:r w:rsidRPr="000F68CB">
        <w:t xml:space="preserve"> data that describes the survey process, for example) to develop a predictive model of a given sample member’s propensity to respond. The methodology proceeds as follows: </w:t>
      </w:r>
    </w:p>
    <w:p w:rsidR="007C5423" w:rsidRPr="000F68CB" w:rsidRDefault="007C5423" w:rsidP="002514DB">
      <w:pPr>
        <w:pStyle w:val="Bullet-nosymbol"/>
      </w:pPr>
      <w:r w:rsidRPr="000F68CB">
        <w:t>Step 1</w:t>
      </w:r>
      <w:r>
        <w:t>:</w:t>
      </w:r>
      <w:r>
        <w:tab/>
      </w:r>
      <w:r w:rsidRPr="000F68CB">
        <w:t>Identify variables which predict propensity to respond</w:t>
      </w:r>
      <w:r>
        <w:t xml:space="preserve"> and e</w:t>
      </w:r>
      <w:r w:rsidRPr="000F68CB">
        <w:t>stimate a case’s propensity to respond to an interview.</w:t>
      </w:r>
    </w:p>
    <w:p w:rsidR="007C5423" w:rsidRPr="000F68CB" w:rsidRDefault="007C5423" w:rsidP="005B5475">
      <w:pPr>
        <w:pStyle w:val="Bullet-nosymbol"/>
      </w:pPr>
      <w:r w:rsidRPr="000F68CB">
        <w:t xml:space="preserve">Step </w:t>
      </w:r>
      <w:r>
        <w:t>2:</w:t>
      </w:r>
      <w:r>
        <w:tab/>
      </w:r>
      <w:r w:rsidRPr="000F68CB">
        <w:t xml:space="preserve">Target </w:t>
      </w:r>
      <w:r>
        <w:t xml:space="preserve">high and </w:t>
      </w:r>
      <w:r w:rsidRPr="000F68CB">
        <w:t xml:space="preserve">low propensity cases </w:t>
      </w:r>
      <w:r>
        <w:t xml:space="preserve">appropriately </w:t>
      </w:r>
      <w:r w:rsidRPr="000F68CB">
        <w:t>with special interventions to encourage participation.</w:t>
      </w:r>
    </w:p>
    <w:p w:rsidR="007C5423" w:rsidRPr="000F68CB" w:rsidRDefault="007C5423" w:rsidP="005B5475">
      <w:pPr>
        <w:pStyle w:val="Bullet-nosymbol"/>
      </w:pPr>
      <w:r w:rsidRPr="000F68CB">
        <w:t xml:space="preserve">Step </w:t>
      </w:r>
      <w:r>
        <w:t>3:</w:t>
      </w:r>
      <w:r>
        <w:tab/>
      </w:r>
      <w:r w:rsidRPr="000F68CB">
        <w:t>Evaluate the predictive ability of the response propensity model and determine if bias is reduced in</w:t>
      </w:r>
      <w:r>
        <w:t xml:space="preserve"> key survey variables</w:t>
      </w:r>
      <w:r w:rsidRPr="000F68CB">
        <w:t xml:space="preserve">.  </w:t>
      </w:r>
    </w:p>
    <w:p w:rsidR="007C5423" w:rsidRPr="00E00F20" w:rsidRDefault="007C5423" w:rsidP="00BC3E73">
      <w:pPr>
        <w:pStyle w:val="BodyText"/>
      </w:pPr>
      <w:r w:rsidRPr="000F68CB">
        <w:t xml:space="preserve">In theory, a good response propensity model will predict </w:t>
      </w:r>
      <w:r>
        <w:t xml:space="preserve">high and </w:t>
      </w:r>
      <w:r w:rsidRPr="000F68CB">
        <w:t>low propensity cases (i.e.</w:t>
      </w:r>
      <w:r>
        <w:t>,</w:t>
      </w:r>
      <w:r w:rsidRPr="000F68CB">
        <w:t xml:space="preserve"> those that are predicted to be less likely to respond.)</w:t>
      </w:r>
      <w:r>
        <w:t>.</w:t>
      </w:r>
      <w:r w:rsidRPr="000F68CB">
        <w:t xml:space="preserve"> Targeting </w:t>
      </w:r>
      <w:r>
        <w:t xml:space="preserve">low likelihood </w:t>
      </w:r>
      <w:r w:rsidRPr="000F68CB">
        <w:t xml:space="preserve">cases for special treatment should increase the presence of low propensity cases in the response pool, </w:t>
      </w:r>
      <w:r>
        <w:t>which could in turn, reduce bias in the survey estimates</w:t>
      </w:r>
      <w:r w:rsidRPr="00E00F20">
        <w:t xml:space="preserve">.  </w:t>
      </w:r>
      <w:r>
        <w:t>We seek to test our assumptions in the NPSAS:12 field test.</w:t>
      </w:r>
    </w:p>
    <w:p w:rsidR="007C5423" w:rsidRPr="00E00F20" w:rsidRDefault="007C5423" w:rsidP="00AA36C6">
      <w:pPr>
        <w:pStyle w:val="BodyText"/>
      </w:pPr>
    </w:p>
    <w:p w:rsidR="007C5423" w:rsidRPr="00E00F20" w:rsidRDefault="007C5423" w:rsidP="00E00F20">
      <w:pPr>
        <w:pStyle w:val="Bodytextnoindent"/>
        <w:rPr>
          <w:i/>
          <w:iCs/>
        </w:rPr>
      </w:pPr>
      <w:r w:rsidRPr="00E00F20">
        <w:rPr>
          <w:i/>
          <w:iCs/>
        </w:rPr>
        <w:t>Step 1. Mining past rounds of NPSAS and external data sources</w:t>
      </w:r>
    </w:p>
    <w:p w:rsidR="007C5423" w:rsidRDefault="007C5423" w:rsidP="00626051">
      <w:pPr>
        <w:pStyle w:val="BlockText"/>
      </w:pPr>
      <w:r w:rsidRPr="000F68CB">
        <w:t>NPSAS:12 provides an opportunity to examine the utility of the response propensity approach for a cross-sectional study when sample member data are more limited than in other survey designs (such as longitudinal studies). As the base-year of a longitudinal study (BPS:12/14/17), NPSAS:12 can also further inform the design and use of propensity models in longitudinal studies. To our knowledge, NPSAS:12 will be the first cross-sectional study in which this approach is tested. While prior round survey response data for the NPSAS:12 sample members will not be available, data for similar populations are available from previous rounds of NPSAS (since NPSAS is a periodically repeated cross-sectional study). Thus, our investigation begins prior to the start of the field test. Data from prior waves of NPSAS</w:t>
      </w:r>
      <w:r>
        <w:t>, specifically, NPSAS:04,</w:t>
      </w:r>
      <w:r w:rsidRPr="000F68CB">
        <w:t xml:space="preserve"> </w:t>
      </w:r>
      <w:r>
        <w:t>have</w:t>
      </w:r>
      <w:r w:rsidRPr="000F68CB">
        <w:t xml:space="preserve"> be</w:t>
      </w:r>
      <w:r>
        <w:t>en</w:t>
      </w:r>
      <w:r w:rsidRPr="000F68CB">
        <w:t xml:space="preserve"> examined to detect predictors of a sample member’s eventual response outcome.  </w:t>
      </w:r>
      <w:r>
        <w:t>In preliminary modeling, we found the following NPSAS:04 variables to be predictive of a sample member’s response propensity:</w:t>
      </w:r>
    </w:p>
    <w:p w:rsidR="007C5423" w:rsidRPr="00797221" w:rsidRDefault="007C5423" w:rsidP="00626051">
      <w:pPr>
        <w:pStyle w:val="ListParagraph"/>
        <w:numPr>
          <w:ilvl w:val="2"/>
          <w:numId w:val="21"/>
        </w:numPr>
        <w:rPr>
          <w:color w:val="000000"/>
        </w:rPr>
      </w:pPr>
      <w:r w:rsidRPr="00797221">
        <w:rPr>
          <w:color w:val="000000"/>
        </w:rPr>
        <w:t xml:space="preserve">Student attends a 4-year institution; </w:t>
      </w:r>
    </w:p>
    <w:p w:rsidR="007C5423" w:rsidRPr="00797221" w:rsidRDefault="007C5423" w:rsidP="00626051">
      <w:pPr>
        <w:rPr>
          <w:color w:val="000000"/>
        </w:rPr>
      </w:pPr>
    </w:p>
    <w:p w:rsidR="007C5423" w:rsidRPr="00797221" w:rsidRDefault="007C5423" w:rsidP="00626051">
      <w:pPr>
        <w:pStyle w:val="ListParagraph"/>
        <w:numPr>
          <w:ilvl w:val="2"/>
          <w:numId w:val="21"/>
        </w:numPr>
        <w:rPr>
          <w:color w:val="000000"/>
        </w:rPr>
      </w:pPr>
      <w:r w:rsidRPr="00797221">
        <w:rPr>
          <w:color w:val="000000"/>
        </w:rPr>
        <w:t xml:space="preserve">Student attends a less –than-2- year institution; </w:t>
      </w:r>
    </w:p>
    <w:p w:rsidR="007C5423" w:rsidRPr="00797221" w:rsidRDefault="007C5423" w:rsidP="00626051">
      <w:pPr>
        <w:rPr>
          <w:color w:val="000000"/>
        </w:rPr>
      </w:pPr>
    </w:p>
    <w:p w:rsidR="007C5423" w:rsidRPr="00797221" w:rsidRDefault="007C5423" w:rsidP="00626051">
      <w:pPr>
        <w:pStyle w:val="ListParagraph"/>
        <w:numPr>
          <w:ilvl w:val="2"/>
          <w:numId w:val="21"/>
        </w:numPr>
        <w:rPr>
          <w:color w:val="000000"/>
        </w:rPr>
      </w:pPr>
      <w:r w:rsidRPr="00797221">
        <w:rPr>
          <w:color w:val="000000"/>
        </w:rPr>
        <w:t xml:space="preserve">Student attends a public school; </w:t>
      </w:r>
    </w:p>
    <w:p w:rsidR="007C5423" w:rsidRPr="00797221" w:rsidRDefault="007C5423" w:rsidP="00626051">
      <w:pPr>
        <w:rPr>
          <w:color w:val="000000"/>
        </w:rPr>
      </w:pPr>
    </w:p>
    <w:p w:rsidR="007C5423" w:rsidRPr="00797221" w:rsidRDefault="007C5423" w:rsidP="00626051">
      <w:pPr>
        <w:pStyle w:val="ListParagraph"/>
        <w:numPr>
          <w:ilvl w:val="2"/>
          <w:numId w:val="21"/>
        </w:numPr>
        <w:rPr>
          <w:color w:val="000000"/>
        </w:rPr>
      </w:pPr>
      <w:r w:rsidRPr="00797221">
        <w:rPr>
          <w:color w:val="000000"/>
        </w:rPr>
        <w:t xml:space="preserve">Student attends a private-for-profit school; </w:t>
      </w:r>
    </w:p>
    <w:p w:rsidR="007C5423" w:rsidRPr="00797221" w:rsidRDefault="007C5423" w:rsidP="00626051">
      <w:pPr>
        <w:rPr>
          <w:color w:val="000000"/>
        </w:rPr>
      </w:pPr>
    </w:p>
    <w:p w:rsidR="007C5423" w:rsidRPr="00797221" w:rsidRDefault="007C5423" w:rsidP="00626051">
      <w:pPr>
        <w:pStyle w:val="ListParagraph"/>
        <w:numPr>
          <w:ilvl w:val="2"/>
          <w:numId w:val="21"/>
        </w:numPr>
        <w:rPr>
          <w:color w:val="000000"/>
        </w:rPr>
      </w:pPr>
      <w:r w:rsidRPr="00797221">
        <w:rPr>
          <w:color w:val="000000"/>
        </w:rPr>
        <w:t xml:space="preserve">Student is a first-time-beginner; </w:t>
      </w:r>
    </w:p>
    <w:p w:rsidR="007C5423" w:rsidRPr="00797221" w:rsidRDefault="007C5423" w:rsidP="00626051">
      <w:pPr>
        <w:rPr>
          <w:color w:val="000000"/>
        </w:rPr>
      </w:pPr>
    </w:p>
    <w:p w:rsidR="007C5423" w:rsidRPr="00797221" w:rsidRDefault="007C5423" w:rsidP="00626051">
      <w:pPr>
        <w:pStyle w:val="ListParagraph"/>
        <w:numPr>
          <w:ilvl w:val="2"/>
          <w:numId w:val="21"/>
        </w:numPr>
        <w:rPr>
          <w:color w:val="000000"/>
        </w:rPr>
      </w:pPr>
      <w:r w:rsidRPr="00797221">
        <w:rPr>
          <w:color w:val="000000"/>
        </w:rPr>
        <w:t xml:space="preserve">Student is in a doctoral program; </w:t>
      </w:r>
    </w:p>
    <w:p w:rsidR="007C5423" w:rsidRPr="00797221" w:rsidRDefault="007C5423" w:rsidP="00626051">
      <w:pPr>
        <w:rPr>
          <w:color w:val="000000"/>
        </w:rPr>
      </w:pPr>
    </w:p>
    <w:p w:rsidR="007C5423" w:rsidRPr="00797221" w:rsidRDefault="007C5423" w:rsidP="00626051">
      <w:pPr>
        <w:pStyle w:val="ListParagraph"/>
        <w:numPr>
          <w:ilvl w:val="2"/>
          <w:numId w:val="21"/>
        </w:numPr>
        <w:rPr>
          <w:color w:val="000000"/>
        </w:rPr>
      </w:pPr>
      <w:r w:rsidRPr="00797221">
        <w:rPr>
          <w:color w:val="000000"/>
        </w:rPr>
        <w:t xml:space="preserve">Student is an undergraduate; </w:t>
      </w:r>
    </w:p>
    <w:p w:rsidR="007C5423" w:rsidRPr="00797221" w:rsidRDefault="007C5423" w:rsidP="00626051">
      <w:pPr>
        <w:rPr>
          <w:color w:val="000000"/>
        </w:rPr>
      </w:pPr>
    </w:p>
    <w:p w:rsidR="007C5423" w:rsidRPr="00797221" w:rsidRDefault="007C5423" w:rsidP="00626051">
      <w:pPr>
        <w:pStyle w:val="ListParagraph"/>
        <w:numPr>
          <w:ilvl w:val="2"/>
          <w:numId w:val="21"/>
        </w:numPr>
        <w:rPr>
          <w:color w:val="000000"/>
        </w:rPr>
      </w:pPr>
      <w:r w:rsidRPr="00797221">
        <w:rPr>
          <w:color w:val="000000"/>
        </w:rPr>
        <w:t xml:space="preserve">Student is in school full-time; </w:t>
      </w:r>
    </w:p>
    <w:p w:rsidR="007C5423" w:rsidRPr="00797221" w:rsidRDefault="007C5423" w:rsidP="00626051">
      <w:pPr>
        <w:rPr>
          <w:color w:val="000000"/>
        </w:rPr>
      </w:pPr>
    </w:p>
    <w:p w:rsidR="007C5423" w:rsidRPr="00797221" w:rsidRDefault="007C5423" w:rsidP="00626051">
      <w:pPr>
        <w:pStyle w:val="ListParagraph"/>
        <w:numPr>
          <w:ilvl w:val="2"/>
          <w:numId w:val="21"/>
        </w:numPr>
        <w:rPr>
          <w:color w:val="000000"/>
        </w:rPr>
      </w:pPr>
      <w:r w:rsidRPr="00797221">
        <w:rPr>
          <w:color w:val="000000"/>
        </w:rPr>
        <w:t xml:space="preserve">Mother is a college graduate; </w:t>
      </w:r>
    </w:p>
    <w:p w:rsidR="007C5423" w:rsidRPr="00797221" w:rsidRDefault="007C5423" w:rsidP="00626051">
      <w:pPr>
        <w:rPr>
          <w:color w:val="000000"/>
        </w:rPr>
      </w:pPr>
    </w:p>
    <w:p w:rsidR="007C5423" w:rsidRPr="00797221" w:rsidRDefault="007C5423" w:rsidP="00626051">
      <w:pPr>
        <w:pStyle w:val="ListParagraph"/>
        <w:numPr>
          <w:ilvl w:val="2"/>
          <w:numId w:val="21"/>
        </w:numPr>
        <w:rPr>
          <w:color w:val="000000"/>
        </w:rPr>
      </w:pPr>
      <w:r w:rsidRPr="00797221">
        <w:rPr>
          <w:color w:val="000000"/>
        </w:rPr>
        <w:t xml:space="preserve">Father is a college graduate; </w:t>
      </w:r>
    </w:p>
    <w:p w:rsidR="007C5423" w:rsidRPr="00797221" w:rsidRDefault="007C5423" w:rsidP="00626051">
      <w:pPr>
        <w:rPr>
          <w:color w:val="000000"/>
        </w:rPr>
      </w:pPr>
    </w:p>
    <w:p w:rsidR="007C5423" w:rsidRPr="00CB7827" w:rsidRDefault="007C5423" w:rsidP="00626051">
      <w:pPr>
        <w:pStyle w:val="ListParagraph"/>
        <w:numPr>
          <w:ilvl w:val="2"/>
          <w:numId w:val="21"/>
        </w:numPr>
        <w:rPr>
          <w:color w:val="000000"/>
        </w:rPr>
      </w:pPr>
      <w:r w:rsidRPr="00CB7827">
        <w:rPr>
          <w:color w:val="000000"/>
        </w:rPr>
        <w:t xml:space="preserve">Student has missing  CPS data.  </w:t>
      </w:r>
    </w:p>
    <w:p w:rsidR="007C5423" w:rsidRDefault="007C5423" w:rsidP="00626051">
      <w:pPr>
        <w:pStyle w:val="BlockText"/>
      </w:pPr>
    </w:p>
    <w:p w:rsidR="007C5423" w:rsidRPr="000F68CB" w:rsidRDefault="007C5423" w:rsidP="00626051">
      <w:pPr>
        <w:pStyle w:val="BlockText"/>
      </w:pPr>
    </w:p>
    <w:p w:rsidR="007C5423" w:rsidRPr="00E00F20" w:rsidRDefault="007C5423" w:rsidP="0006264F">
      <w:pPr>
        <w:pStyle w:val="Bodytextnoindent"/>
        <w:rPr>
          <w:i/>
          <w:iCs/>
        </w:rPr>
      </w:pPr>
      <w:r w:rsidRPr="00E00F20">
        <w:rPr>
          <w:i/>
          <w:iCs/>
        </w:rPr>
        <w:t xml:space="preserve">Step </w:t>
      </w:r>
      <w:r>
        <w:rPr>
          <w:i/>
          <w:iCs/>
        </w:rPr>
        <w:t>2</w:t>
      </w:r>
      <w:r w:rsidRPr="00E00F20">
        <w:rPr>
          <w:i/>
          <w:iCs/>
        </w:rPr>
        <w:t>. Setting Up Experimental and Control Groups</w:t>
      </w:r>
    </w:p>
    <w:p w:rsidR="007C5423" w:rsidRPr="000F68CB" w:rsidRDefault="007C5423" w:rsidP="002751AB">
      <w:pPr>
        <w:pStyle w:val="BlockText"/>
      </w:pPr>
      <w:r w:rsidRPr="000F68CB">
        <w:t xml:space="preserve">Estimated response propensities will be used to divide the sample into two, roughly equal groups: a low and a high response propensity group. </w:t>
      </w:r>
      <w:r>
        <w:t xml:space="preserve">We will use </w:t>
      </w:r>
      <w:r>
        <w:rPr>
          <w:color w:val="000000"/>
        </w:rPr>
        <w:t>t</w:t>
      </w:r>
      <w:r w:rsidRPr="00CB7827">
        <w:rPr>
          <w:color w:val="000000"/>
        </w:rPr>
        <w:t xml:space="preserve">he median calculated response propensity from the NPSAS:04 modeling work as our high/low cutoff in NPSAS:12.   The median response propensity from NPSAS04 is </w:t>
      </w:r>
      <w:r>
        <w:rPr>
          <w:color w:val="000000"/>
        </w:rPr>
        <w:t>0.6102</w:t>
      </w:r>
      <w:r w:rsidRPr="00CB7827">
        <w:rPr>
          <w:color w:val="000000"/>
        </w:rPr>
        <w:t xml:space="preserve"> which is reflective of the overall response rate. </w:t>
      </w:r>
      <w:r w:rsidRPr="000F68CB">
        <w:t xml:space="preserve">The low propensity group will be those sample cases we predict will be difficult to complete and likely to introduce nonresponse bias if they remain nonrespondents. </w:t>
      </w:r>
      <w:r>
        <w:t>Within the low propensity group, c</w:t>
      </w:r>
      <w:r w:rsidRPr="000F68CB">
        <w:t xml:space="preserve">ases </w:t>
      </w:r>
      <w:r>
        <w:t xml:space="preserve">will be </w:t>
      </w:r>
      <w:r w:rsidRPr="000F68CB">
        <w:t>assigned</w:t>
      </w:r>
      <w:r>
        <w:t>, at random,</w:t>
      </w:r>
      <w:r w:rsidRPr="000F68CB">
        <w:t xml:space="preserve"> to </w:t>
      </w:r>
      <w:r>
        <w:t xml:space="preserve">either a </w:t>
      </w:r>
      <w:r w:rsidRPr="000F68CB">
        <w:t xml:space="preserve">“low propensity experimental” </w:t>
      </w:r>
      <w:r>
        <w:t xml:space="preserve">group, which </w:t>
      </w:r>
      <w:r w:rsidRPr="000F68CB">
        <w:t>will be offered a</w:t>
      </w:r>
      <w:r>
        <w:t xml:space="preserve"> $45</w:t>
      </w:r>
      <w:r w:rsidRPr="000F68CB">
        <w:t xml:space="preserve"> incentive</w:t>
      </w:r>
      <w:r>
        <w:t xml:space="preserve"> or a “low propensity control” group, which will be offered a $30 incentive</w:t>
      </w:r>
      <w:r w:rsidRPr="000F68CB">
        <w:t xml:space="preserve">. </w:t>
      </w:r>
      <w:r>
        <w:t xml:space="preserve">For the “high propensity control” group, we will offer the same level, $30, and for the “high propensity experimental” group, offer an incentive of $15.  </w:t>
      </w:r>
      <w:r w:rsidRPr="000F68CB">
        <w:t>Based on our prior experience with NPSAS, we believe that a higher respondent incentive will encourage participation from low propensity cases</w:t>
      </w:r>
      <w:r>
        <w:t>, and we know from experience that $30 is effective with this population</w:t>
      </w:r>
      <w:r w:rsidRPr="000F68CB">
        <w:t xml:space="preserve">. Figure </w:t>
      </w:r>
      <w:r>
        <w:t>2</w:t>
      </w:r>
      <w:r w:rsidRPr="000F68CB">
        <w:t xml:space="preserve"> outlines the data collection </w:t>
      </w:r>
      <w:r>
        <w:t xml:space="preserve">design </w:t>
      </w:r>
      <w:r w:rsidRPr="000F68CB">
        <w:t>and the associated incentive offers.</w:t>
      </w:r>
    </w:p>
    <w:p w:rsidR="007C5423" w:rsidRPr="001B0AFE" w:rsidRDefault="007C5423" w:rsidP="00976835">
      <w:pPr>
        <w:pStyle w:val="Figuretitle"/>
      </w:pPr>
      <w:bookmarkStart w:id="18" w:name="_Toc268594050"/>
      <w:r w:rsidRPr="001B0AFE">
        <w:t>Figure</w:t>
      </w:r>
      <w:r>
        <w:t xml:space="preserve"> 2.</w:t>
      </w:r>
      <w:r>
        <w:tab/>
      </w:r>
      <w:r w:rsidRPr="001B0AFE">
        <w:t>NPSAS:12</w:t>
      </w:r>
      <w:r>
        <w:t xml:space="preserve"> field test propensity </w:t>
      </w:r>
      <w:r w:rsidRPr="001B0AFE">
        <w:t xml:space="preserve">experiment </w:t>
      </w:r>
      <w:bookmarkEnd w:id="18"/>
      <w:r>
        <w:t>design</w:t>
      </w:r>
    </w:p>
    <w:p w:rsidR="007C5423" w:rsidRPr="001B0AFE" w:rsidRDefault="007C5423" w:rsidP="00947CA0">
      <w:pPr>
        <w:keepNext/>
        <w:spacing w:after="240" w:line="320" w:lineRule="atLeast"/>
        <w:ind w:left="720"/>
        <w:rPr>
          <w:rFonts w:ascii="Calibri" w:hAnsi="Calibri"/>
        </w:rPr>
      </w:pPr>
      <w:r>
        <w:object w:dxaOrig="7473" w:dyaOrig="45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3.5pt;height:227.25pt" o:ole="">
            <v:imagedata r:id="rId26" o:title=""/>
          </v:shape>
          <o:OLEObject Type="Embed" ProgID="Visio.Drawing.11" ShapeID="_x0000_i1025" DrawAspect="Content" ObjectID="_1362224713" r:id="rId27"/>
        </w:object>
      </w:r>
    </w:p>
    <w:p w:rsidR="007C5423" w:rsidRPr="00E00F20" w:rsidRDefault="007C5423" w:rsidP="00AA62EF">
      <w:pPr>
        <w:pStyle w:val="Bodytextnoindent"/>
        <w:spacing w:before="360"/>
        <w:rPr>
          <w:i/>
          <w:iCs/>
        </w:rPr>
      </w:pPr>
      <w:r w:rsidRPr="00E00F20">
        <w:rPr>
          <w:i/>
          <w:iCs/>
        </w:rPr>
        <w:t xml:space="preserve">Step </w:t>
      </w:r>
      <w:r>
        <w:rPr>
          <w:i/>
          <w:iCs/>
        </w:rPr>
        <w:t>3</w:t>
      </w:r>
      <w:r w:rsidRPr="00E00F20">
        <w:rPr>
          <w:i/>
          <w:iCs/>
        </w:rPr>
        <w:t>. Evaluating the Results</w:t>
      </w:r>
    </w:p>
    <w:p w:rsidR="007C5423" w:rsidRPr="0056433E" w:rsidRDefault="007C5423" w:rsidP="00380822">
      <w:pPr>
        <w:pStyle w:val="BlockText"/>
      </w:pPr>
      <w:r w:rsidRPr="0056433E">
        <w:t xml:space="preserve">We intend to evaluate the experimental results by examining how well our model predicts response outcomes and by investigating whether our treatments </w:t>
      </w:r>
      <w:r>
        <w:t xml:space="preserve">affected response rates and, </w:t>
      </w:r>
      <w:r w:rsidRPr="0056433E">
        <w:t>minimized bias</w:t>
      </w:r>
      <w:r>
        <w:t xml:space="preserve"> in key survey estimates</w:t>
      </w:r>
      <w:r w:rsidRPr="0056433E">
        <w:t>. First, we will examine response rates for each group defined by the estimated response propensity to determine how well our assigned response propensities actually predicted the survey outcome. Response rates will also be examined to ensure that the</w:t>
      </w:r>
      <w:r>
        <w:t xml:space="preserve"> </w:t>
      </w:r>
      <w:r w:rsidRPr="0056433E">
        <w:t>overall response rate</w:t>
      </w:r>
      <w:r>
        <w:t>s</w:t>
      </w:r>
      <w:r w:rsidRPr="0056433E">
        <w:t xml:space="preserve"> for the experimental group</w:t>
      </w:r>
      <w:r>
        <w:t>s</w:t>
      </w:r>
      <w:r w:rsidRPr="0056433E">
        <w:t xml:space="preserve"> is equal to or better than </w:t>
      </w:r>
      <w:r>
        <w:t xml:space="preserve">to </w:t>
      </w:r>
      <w:r w:rsidRPr="0056433E">
        <w:t>the control group</w:t>
      </w:r>
      <w:r>
        <w:t>s and the control groups with each other’s</w:t>
      </w:r>
      <w:r w:rsidRPr="0056433E">
        <w:t xml:space="preserve"> response rate. While the goal of this approach is to minimize bias (and not necessarily to increase response rates), </w:t>
      </w:r>
      <w:r>
        <w:t>w</w:t>
      </w:r>
      <w:r w:rsidRPr="0056433E">
        <w:t xml:space="preserve">e want to be sure that there is no negative impact to response rates </w:t>
      </w:r>
      <w:r>
        <w:t xml:space="preserve">for either the high or low propensity group, and that bias is minimized in the low propensity group </w:t>
      </w:r>
      <w:r w:rsidRPr="0056433E">
        <w:t>as a result of the response propensity approach.</w:t>
      </w:r>
    </w:p>
    <w:p w:rsidR="007C5423" w:rsidRPr="0056433E" w:rsidRDefault="007C5423" w:rsidP="006A5990">
      <w:pPr>
        <w:pStyle w:val="BlockText"/>
      </w:pPr>
      <w:r>
        <w:t>W</w:t>
      </w:r>
      <w:r w:rsidRPr="0056433E">
        <w:t>e will then address whether the variance of the response propensity,</w:t>
      </w:r>
      <w:r w:rsidRPr="007C66D7">
        <w:rPr>
          <w:noProof/>
          <w:position w:val="-10"/>
        </w:rPr>
        <w:pict>
          <v:shape id="Picture 3" o:spid="_x0000_i1026" type="#_x0000_t75" style="width:33pt;height:15pt;visibility:visible">
            <v:imagedata r:id="rId28" o:title=""/>
          </v:shape>
        </w:pict>
      </w:r>
      <w:r w:rsidRPr="0056433E">
        <w:t xml:space="preserve">, was lowered, and whether the association between the response propensity and selected </w:t>
      </w:r>
      <w:r>
        <w:t xml:space="preserve">key </w:t>
      </w:r>
      <w:r w:rsidRPr="0056433E">
        <w:t xml:space="preserve">survey variables, </w:t>
      </w:r>
      <w:r w:rsidRPr="007C66D7">
        <w:rPr>
          <w:noProof/>
          <w:position w:val="-10"/>
        </w:rPr>
        <w:pict>
          <v:shape id="Picture 4" o:spid="_x0000_i1027" type="#_x0000_t75" style="width:42.75pt;height:10.5pt;visibility:visible">
            <v:imagedata r:id="rId29" o:title=""/>
          </v:shape>
        </w:pict>
      </w:r>
      <w:r w:rsidRPr="0056433E">
        <w:t>, was reduced, thus minimizing nonresponse bias in survey estimates of means and proportions.</w:t>
      </w:r>
      <w:r w:rsidRPr="0056433E" w:rsidDel="009C4AB5">
        <w:t xml:space="preserve"> </w:t>
      </w:r>
      <w:r w:rsidRPr="0056433E">
        <w:t>Nonresponse bias analyses will be conducted to estimate the bias prior to any weight adjustments to compare the magnitude of bias between the treatment and control groups. This analysis will compare respondents and nonrespondents to the interview and will inform data collection procedures for the full-scale study. While there are no plans to compute an interview weight or do nonresponse bias analysis between interview respondents and nonrespondents in the full-scale study, it will be important to know whether item-level bias can be reduced by increasing interview response among low-propensity cases.</w:t>
      </w:r>
    </w:p>
    <w:p w:rsidR="007C5423" w:rsidRPr="0056433E" w:rsidRDefault="007C5423" w:rsidP="00E00F20">
      <w:pPr>
        <w:pStyle w:val="BlockText"/>
      </w:pPr>
      <w:r w:rsidRPr="0056433E">
        <w:t>The full-scale analysis file will contain study members, where a study member is based on having sufficient data regardless of data source. That is, there will be study members who do not respond to the interview, but for whom key data from other sources are available. The full-scale response rates, weights, and nonresponse bias analysis will be based on study members. Therefore, we will estimate bias at the item level (rather than at the interview response level) and compare the magnitude of the bias between the treatment and control groups. While we will compute nonresponse weight adjustments (as described in section 1) to make the field test sample representative of the population, the nonresponse bias analysis will use the unadjusted base weights in order to properly measure the bias reduction associated with the experimental treatment.</w:t>
      </w:r>
    </w:p>
    <w:p w:rsidR="007C5423" w:rsidRPr="00266DEE" w:rsidRDefault="007C5423" w:rsidP="00E00F20">
      <w:pPr>
        <w:pStyle w:val="BlockText"/>
      </w:pPr>
      <w:r w:rsidRPr="0056433E">
        <w:t xml:space="preserve">In addition to reducing nonresponse bias in the interview data, the response propensity approach also has benefits for imputation procedures. Missing data are imputed from responses obtained by “donors” who are subject to bias. Another result of the response propensity approach is a cleaner donor pool, which should produce more precise </w:t>
      </w:r>
      <w:r w:rsidRPr="00266DEE">
        <w:t xml:space="preserve">estimates for key survey items and require less imputation overall for interview nonrespondents. A small subset of items from the field test interview will be imputed to allow a comparison of the post-imputation distributions across the experimental and control groups. </w:t>
      </w:r>
    </w:p>
    <w:p w:rsidR="007C5423" w:rsidRPr="00266DEE" w:rsidRDefault="007C5423" w:rsidP="005C6ADC">
      <w:pPr>
        <w:pStyle w:val="BlockText"/>
      </w:pPr>
      <w:r w:rsidRPr="00266DEE">
        <w:t>Dr. Jeffrey Rosen of RTI will lead design and analysis of the propensity experiment for NPSAS:12. Dr. Rosen is also working on a similar experiment for the third follow-up of ELS:2002</w:t>
      </w:r>
      <w:r w:rsidRPr="006626DB">
        <w:t xml:space="preserve"> </w:t>
      </w:r>
      <w:r>
        <w:t>and the first follow-up of HSLS:09</w:t>
      </w:r>
      <w:r w:rsidRPr="00266DEE">
        <w:t>. Recently, Dr. Rosen has published analyses (Rosen, et al,</w:t>
      </w:r>
      <w:r>
        <w:t>2011</w:t>
      </w:r>
      <w:r w:rsidRPr="00266DEE">
        <w:t>; Peytchev et al, 2010) of survey response propensity modeling and is thus well qualified to analyze the experimental results. Dr. Rosen will work closely with other members of the NPSAS project team to ensure close coordination of the propensity modeling activities being conducted on both NCES projects.</w:t>
      </w:r>
    </w:p>
    <w:p w:rsidR="007C5423" w:rsidRPr="00266DEE" w:rsidRDefault="007C5423" w:rsidP="00664278">
      <w:pPr>
        <w:pStyle w:val="Heading4"/>
        <w:tabs>
          <w:tab w:val="left" w:pos="1440"/>
        </w:tabs>
        <w:ind w:left="0" w:firstLine="720"/>
        <w:rPr>
          <w:rFonts w:ascii="Times New Roman" w:hAnsi="Times New Roman"/>
          <w:sz w:val="24"/>
          <w:szCs w:val="24"/>
        </w:rPr>
      </w:pPr>
      <w:r w:rsidRPr="00266DEE">
        <w:rPr>
          <w:rFonts w:ascii="Times New Roman" w:hAnsi="Times New Roman"/>
          <w:sz w:val="24"/>
          <w:szCs w:val="24"/>
        </w:rPr>
        <w:t>c.</w:t>
      </w:r>
      <w:r w:rsidRPr="00266DEE">
        <w:rPr>
          <w:rFonts w:ascii="Times New Roman" w:hAnsi="Times New Roman"/>
          <w:sz w:val="24"/>
          <w:szCs w:val="24"/>
        </w:rPr>
        <w:tab/>
        <w:t>Experimental Design</w:t>
      </w:r>
    </w:p>
    <w:p w:rsidR="007C5423" w:rsidRPr="00266DEE" w:rsidRDefault="007C5423" w:rsidP="00592109">
      <w:pPr>
        <w:pStyle w:val="BlockText"/>
        <w:ind w:firstLine="720"/>
      </w:pPr>
      <w:r w:rsidRPr="00266DEE">
        <w:t xml:space="preserve">The two experiments will test the hypotheses outlined below.  The experimental design includes estimation of the minimum difference between the control and treatment groups necessary to detect statistically significant differences.  </w:t>
      </w:r>
    </w:p>
    <w:p w:rsidR="007C5423" w:rsidRPr="00266DEE" w:rsidRDefault="007C5423" w:rsidP="00143ACC">
      <w:pPr>
        <w:pStyle w:val="Heading4"/>
        <w:rPr>
          <w:rFonts w:ascii="Times New Roman" w:hAnsi="Times New Roman"/>
          <w:sz w:val="24"/>
          <w:szCs w:val="24"/>
        </w:rPr>
      </w:pPr>
      <w:bookmarkStart w:id="19" w:name="_Toc131923920"/>
      <w:bookmarkStart w:id="20" w:name="_Toc131923922"/>
      <w:r w:rsidRPr="00266DEE">
        <w:rPr>
          <w:rFonts w:ascii="Times New Roman" w:hAnsi="Times New Roman"/>
          <w:sz w:val="24"/>
          <w:szCs w:val="24"/>
        </w:rPr>
        <w:t>Null Hypotheses</w:t>
      </w:r>
      <w:bookmarkEnd w:id="19"/>
    </w:p>
    <w:p w:rsidR="007C5423" w:rsidRPr="00266DEE" w:rsidRDefault="007C5423" w:rsidP="00143ACC">
      <w:pPr>
        <w:pStyle w:val="Number1"/>
        <w:numPr>
          <w:ilvl w:val="0"/>
          <w:numId w:val="19"/>
        </w:numPr>
      </w:pPr>
      <w:r w:rsidRPr="00266DEE">
        <w:t>There will be no difference in participation rates during the early response period for those who receive the survey materials with a link to the informational video and those who receive the survey materials without a link to the informational video.</w:t>
      </w:r>
      <w:r w:rsidRPr="00266DEE">
        <w:rPr>
          <w:rStyle w:val="FootnoteReference"/>
        </w:rPr>
        <w:footnoteReference w:id="10"/>
      </w:r>
    </w:p>
    <w:p w:rsidR="007C5423" w:rsidRPr="00F12AB8" w:rsidRDefault="007C5423" w:rsidP="00865E6E">
      <w:pPr>
        <w:pStyle w:val="Number1"/>
        <w:numPr>
          <w:ilvl w:val="0"/>
          <w:numId w:val="19"/>
        </w:numPr>
      </w:pPr>
      <w:r w:rsidRPr="00266DEE">
        <w:t xml:space="preserve">Response rates will not be lower among the low-propensity treatment group than in the </w:t>
      </w:r>
      <w:r>
        <w:t xml:space="preserve">low-propensity </w:t>
      </w:r>
      <w:r w:rsidRPr="00266DEE">
        <w:t>control</w:t>
      </w:r>
      <w:r>
        <w:t xml:space="preserve"> group.</w:t>
      </w:r>
      <w:r>
        <w:rPr>
          <w:rStyle w:val="FootnoteReference"/>
        </w:rPr>
        <w:footnoteReference w:id="11"/>
      </w:r>
    </w:p>
    <w:p w:rsidR="007C5423" w:rsidRDefault="007C5423" w:rsidP="00865E6E">
      <w:pPr>
        <w:pStyle w:val="Number1"/>
        <w:numPr>
          <w:ilvl w:val="0"/>
          <w:numId w:val="19"/>
        </w:numPr>
      </w:pPr>
      <w:r w:rsidRPr="00266DEE">
        <w:t xml:space="preserve">Response rates will not be lower among the </w:t>
      </w:r>
      <w:r>
        <w:t>high-</w:t>
      </w:r>
      <w:r w:rsidRPr="00266DEE">
        <w:t xml:space="preserve">propensity treatment group than in the </w:t>
      </w:r>
      <w:r>
        <w:t xml:space="preserve">high-propensity </w:t>
      </w:r>
      <w:r w:rsidRPr="00266DEE">
        <w:t>control</w:t>
      </w:r>
      <w:r>
        <w:t xml:space="preserve"> group.</w:t>
      </w:r>
      <w:r>
        <w:rPr>
          <w:rStyle w:val="CommentReference"/>
        </w:rPr>
        <w:t xml:space="preserve"> </w:t>
      </w:r>
    </w:p>
    <w:p w:rsidR="007C5423" w:rsidRPr="00F12AB8" w:rsidRDefault="007C5423" w:rsidP="00865E6E">
      <w:pPr>
        <w:pStyle w:val="Number1"/>
        <w:numPr>
          <w:ilvl w:val="0"/>
          <w:numId w:val="19"/>
        </w:numPr>
      </w:pPr>
      <w:r>
        <w:t>There will be no difference in response rate between the low-propensity treatment group and the high-propensity control group.</w:t>
      </w:r>
    </w:p>
    <w:p w:rsidR="007C5423" w:rsidRPr="00F12AB8" w:rsidRDefault="007C5423" w:rsidP="00511CAF">
      <w:pPr>
        <w:pStyle w:val="Number1"/>
        <w:numPr>
          <w:ilvl w:val="0"/>
          <w:numId w:val="19"/>
        </w:numPr>
      </w:pPr>
      <w:r w:rsidRPr="00F12AB8">
        <w:t xml:space="preserve">There will be no difference in </w:t>
      </w:r>
      <w:r>
        <w:t xml:space="preserve">unit nonresponse bias between low-propensity treatment and control groups. </w:t>
      </w:r>
    </w:p>
    <w:p w:rsidR="007C5423" w:rsidRPr="00C91548" w:rsidRDefault="007C5423" w:rsidP="00143ACC">
      <w:pPr>
        <w:pStyle w:val="Heading4"/>
        <w:rPr>
          <w:rFonts w:ascii="Times New Roman" w:hAnsi="Times New Roman"/>
          <w:sz w:val="24"/>
          <w:szCs w:val="24"/>
        </w:rPr>
      </w:pPr>
      <w:r w:rsidRPr="00C91548">
        <w:rPr>
          <w:rFonts w:ascii="Times New Roman" w:hAnsi="Times New Roman"/>
          <w:sz w:val="24"/>
          <w:szCs w:val="24"/>
        </w:rPr>
        <w:t>Detectable Differences</w:t>
      </w:r>
      <w:bookmarkEnd w:id="20"/>
      <w:r w:rsidRPr="00C91548">
        <w:rPr>
          <w:rFonts w:ascii="Times New Roman" w:hAnsi="Times New Roman"/>
          <w:sz w:val="24"/>
          <w:szCs w:val="24"/>
        </w:rPr>
        <w:t xml:space="preserve"> </w:t>
      </w:r>
    </w:p>
    <w:p w:rsidR="007C5423" w:rsidRPr="00F12AB8" w:rsidRDefault="007C5423" w:rsidP="006534EF">
      <w:pPr>
        <w:pStyle w:val="BodyText"/>
      </w:pPr>
      <w:r>
        <w:t>T</w:t>
      </w:r>
      <w:r w:rsidRPr="00F12AB8">
        <w:t xml:space="preserve">he differences between the control and treatment groups necessary to detect statistically significant differences </w:t>
      </w:r>
      <w:r>
        <w:t xml:space="preserve">are shown in Table 10.   </w:t>
      </w:r>
      <w:r w:rsidRPr="00F12AB8">
        <w:t xml:space="preserve">Several assumptions were made </w:t>
      </w:r>
      <w:r>
        <w:t xml:space="preserve">in computing detectable differences: </w:t>
      </w:r>
    </w:p>
    <w:p w:rsidR="007C5423" w:rsidRDefault="007C5423" w:rsidP="00143ACC">
      <w:pPr>
        <w:pStyle w:val="ListBullet2"/>
        <w:numPr>
          <w:ilvl w:val="0"/>
          <w:numId w:val="20"/>
        </w:numPr>
      </w:pPr>
      <w:r>
        <w:t>Detectable differences with 95 percent confidence were calculated as follows:</w:t>
      </w:r>
    </w:p>
    <w:p w:rsidR="007C5423" w:rsidRDefault="007C5423" w:rsidP="0074607C">
      <w:pPr>
        <w:pStyle w:val="ListBullet2"/>
        <w:numPr>
          <w:ilvl w:val="1"/>
          <w:numId w:val="20"/>
        </w:numPr>
      </w:pPr>
      <w:r>
        <w:t>Hypotheses 1, 4, and 5 assume a two-tailed test.</w:t>
      </w:r>
    </w:p>
    <w:p w:rsidR="007C5423" w:rsidRDefault="007C5423" w:rsidP="0074607C">
      <w:pPr>
        <w:pStyle w:val="ListBullet2"/>
        <w:numPr>
          <w:ilvl w:val="1"/>
          <w:numId w:val="20"/>
        </w:numPr>
      </w:pPr>
      <w:r>
        <w:t>Hypotheses 2 and 3 assume an one-tailed test.</w:t>
      </w:r>
    </w:p>
    <w:p w:rsidR="007C5423" w:rsidRDefault="007C5423" w:rsidP="00143ACC">
      <w:pPr>
        <w:pStyle w:val="ListBullet2"/>
        <w:numPr>
          <w:ilvl w:val="0"/>
          <w:numId w:val="20"/>
        </w:numPr>
      </w:pPr>
      <w:r w:rsidRPr="00F12AB8">
        <w:t xml:space="preserve">The sample will be equally distributed across experimental cells. </w:t>
      </w:r>
    </w:p>
    <w:p w:rsidR="007C5423" w:rsidRPr="006C3ABD" w:rsidRDefault="007C5423" w:rsidP="00143ACC">
      <w:pPr>
        <w:pStyle w:val="ListBullet2"/>
        <w:numPr>
          <w:ilvl w:val="0"/>
          <w:numId w:val="20"/>
        </w:numPr>
        <w:rPr>
          <w:szCs w:val="24"/>
        </w:rPr>
      </w:pPr>
      <w:r w:rsidRPr="0091004E">
        <w:rPr>
          <w:color w:val="1F497D"/>
          <w:szCs w:val="24"/>
        </w:rPr>
        <w:t>Approximately half of the sample will be assigned to the high propensity group, and approximately half of the sample will be assigned to the low propensity group.</w:t>
      </w:r>
      <w:r w:rsidRPr="00274528">
        <w:rPr>
          <w:color w:val="1F497D"/>
          <w:szCs w:val="24"/>
        </w:rPr>
        <w:t> </w:t>
      </w:r>
    </w:p>
    <w:p w:rsidR="007C5423" w:rsidRDefault="007C5423" w:rsidP="0032758A">
      <w:pPr>
        <w:pStyle w:val="ListBullet2"/>
        <w:numPr>
          <w:ilvl w:val="0"/>
          <w:numId w:val="20"/>
        </w:numPr>
        <w:rPr>
          <w:szCs w:val="24"/>
        </w:rPr>
      </w:pPr>
      <w:r>
        <w:rPr>
          <w:szCs w:val="24"/>
        </w:rPr>
        <w:t>A</w:t>
      </w:r>
      <w:r w:rsidRPr="00143ACC">
        <w:rPr>
          <w:szCs w:val="24"/>
        </w:rPr>
        <w:t>nalysis of the informational video experiment will include sample members who responded to the invitation to complete the survey but were determined to be ineligible for the study.</w:t>
      </w:r>
      <w:r w:rsidRPr="0032758A">
        <w:rPr>
          <w:szCs w:val="24"/>
        </w:rPr>
        <w:t xml:space="preserve"> </w:t>
      </w:r>
      <w:r>
        <w:rPr>
          <w:szCs w:val="24"/>
        </w:rPr>
        <w:t>For the response propensity experiment, a</w:t>
      </w:r>
      <w:r w:rsidRPr="00143ACC">
        <w:rPr>
          <w:szCs w:val="24"/>
        </w:rPr>
        <w:t>ll ineligible cases will be excluded from the an</w:t>
      </w:r>
      <w:r>
        <w:rPr>
          <w:szCs w:val="24"/>
        </w:rPr>
        <w:t xml:space="preserve">alysis, </w:t>
      </w:r>
      <w:r w:rsidRPr="00143ACC">
        <w:rPr>
          <w:szCs w:val="24"/>
        </w:rPr>
        <w:t>even if they are not determined ineligible until the interview.</w:t>
      </w:r>
    </w:p>
    <w:p w:rsidR="007C5423" w:rsidRDefault="007C5423" w:rsidP="00143ACC">
      <w:pPr>
        <w:pStyle w:val="ListBullet2"/>
        <w:numPr>
          <w:ilvl w:val="0"/>
          <w:numId w:val="20"/>
        </w:numPr>
      </w:pPr>
      <w:r w:rsidRPr="00F12AB8">
        <w:t xml:space="preserve">The </w:t>
      </w:r>
      <w:r>
        <w:t>participation</w:t>
      </w:r>
      <w:r w:rsidRPr="00F12AB8">
        <w:t xml:space="preserve"> rate for the control group for </w:t>
      </w:r>
      <w:r>
        <w:t>experiment 1</w:t>
      </w:r>
      <w:r w:rsidRPr="00F12AB8">
        <w:t xml:space="preserve"> </w:t>
      </w:r>
      <w:r>
        <w:t xml:space="preserve">(the video) </w:t>
      </w:r>
      <w:r w:rsidRPr="00F12AB8">
        <w:t xml:space="preserve">will be </w:t>
      </w:r>
      <w:r>
        <w:t>35</w:t>
      </w:r>
      <w:r w:rsidRPr="00F12AB8">
        <w:t xml:space="preserve"> percent.</w:t>
      </w:r>
      <w:r w:rsidRPr="00F12AB8">
        <w:rPr>
          <w:rStyle w:val="FootnoteReference"/>
          <w:sz w:val="20"/>
        </w:rPr>
        <w:footnoteReference w:id="12"/>
      </w:r>
    </w:p>
    <w:p w:rsidR="007C5423" w:rsidRDefault="007C5423" w:rsidP="00143ACC">
      <w:pPr>
        <w:pStyle w:val="ListBullet2"/>
        <w:numPr>
          <w:ilvl w:val="0"/>
          <w:numId w:val="20"/>
        </w:numPr>
      </w:pPr>
      <w:r w:rsidRPr="00F12AB8">
        <w:t xml:space="preserve">The response rate for the control group for </w:t>
      </w:r>
      <w:r>
        <w:t>experiment 2</w:t>
      </w:r>
      <w:r w:rsidRPr="00F12AB8">
        <w:t xml:space="preserve"> </w:t>
      </w:r>
      <w:r>
        <w:t xml:space="preserve">(response propensity) </w:t>
      </w:r>
      <w:r w:rsidRPr="00F12AB8">
        <w:t xml:space="preserve">will be </w:t>
      </w:r>
      <w:r>
        <w:t>70</w:t>
      </w:r>
      <w:r w:rsidRPr="00F12AB8">
        <w:t xml:space="preserve"> percent.</w:t>
      </w:r>
      <w:r w:rsidRPr="00F12AB8">
        <w:rPr>
          <w:rStyle w:val="FootnoteReference"/>
          <w:sz w:val="20"/>
        </w:rPr>
        <w:footnoteReference w:id="13"/>
      </w:r>
    </w:p>
    <w:p w:rsidR="007C5423" w:rsidRDefault="007C5423" w:rsidP="00803BE5">
      <w:pPr>
        <w:pStyle w:val="ListBullet2"/>
        <w:numPr>
          <w:ilvl w:val="0"/>
          <w:numId w:val="20"/>
        </w:numPr>
      </w:pPr>
      <w:r>
        <w:t>Unit nonresponse bias for the control group for experiment 2 will be ten percent.</w:t>
      </w:r>
      <w:r>
        <w:rPr>
          <w:rStyle w:val="FootnoteReference"/>
        </w:rPr>
        <w:footnoteReference w:id="14"/>
      </w:r>
      <w:r>
        <w:t xml:space="preserve"> </w:t>
      </w:r>
    </w:p>
    <w:p w:rsidR="007C5423" w:rsidRDefault="007C5423" w:rsidP="00143ACC">
      <w:pPr>
        <w:pStyle w:val="ListBullet2"/>
        <w:numPr>
          <w:ilvl w:val="0"/>
          <w:numId w:val="20"/>
        </w:numPr>
      </w:pPr>
      <w:r>
        <w:t xml:space="preserve">The statistical tests will have 80 percent power with an alpha of 0.05. </w:t>
      </w:r>
    </w:p>
    <w:p w:rsidR="007C5423" w:rsidRDefault="007C5423" w:rsidP="00143ACC">
      <w:pPr>
        <w:pStyle w:val="ListBullet2"/>
        <w:numPr>
          <w:ilvl w:val="0"/>
          <w:numId w:val="20"/>
        </w:numPr>
      </w:pPr>
      <w:r>
        <w:t>The study design effect will be about 2.0.</w:t>
      </w:r>
    </w:p>
    <w:p w:rsidR="007C5423" w:rsidRPr="00F12AB8" w:rsidRDefault="007C5423" w:rsidP="00143ACC">
      <w:pPr>
        <w:pStyle w:val="ListBullet2"/>
        <w:numPr>
          <w:ilvl w:val="0"/>
          <w:numId w:val="20"/>
        </w:numPr>
      </w:pPr>
      <w:r>
        <w:t xml:space="preserve">The intraclass correlation will be about 0.2.  </w:t>
      </w:r>
    </w:p>
    <w:p w:rsidR="007C5423" w:rsidRDefault="007C5423" w:rsidP="00143ACC">
      <w:pPr>
        <w:pStyle w:val="TableTitle"/>
        <w:sectPr w:rsidR="007C5423" w:rsidSect="00037C3A">
          <w:headerReference w:type="even" r:id="rId30"/>
          <w:headerReference w:type="default" r:id="rId31"/>
          <w:footerReference w:type="even" r:id="rId32"/>
          <w:footerReference w:type="default" r:id="rId33"/>
          <w:headerReference w:type="first" r:id="rId34"/>
          <w:footerReference w:type="first" r:id="rId35"/>
          <w:type w:val="continuous"/>
          <w:pgSz w:w="12240" w:h="15840" w:code="1"/>
          <w:pgMar w:top="1440" w:right="1440" w:bottom="1440" w:left="1440" w:header="720" w:footer="720" w:gutter="0"/>
          <w:cols w:space="720"/>
          <w:titlePg/>
          <w:docGrid w:linePitch="360"/>
        </w:sectPr>
      </w:pPr>
    </w:p>
    <w:p w:rsidR="007C5423" w:rsidRPr="00F12AB8" w:rsidRDefault="007C5423" w:rsidP="00143ACC">
      <w:pPr>
        <w:pStyle w:val="TableTitle"/>
      </w:pPr>
    </w:p>
    <w:p w:rsidR="007C5423" w:rsidRPr="00F12AB8" w:rsidRDefault="007C5423" w:rsidP="00662C7F">
      <w:pPr>
        <w:pStyle w:val="tabletitle0"/>
      </w:pPr>
      <w:bookmarkStart w:id="21" w:name="_Toc131924007"/>
      <w:bookmarkStart w:id="22" w:name="_Toc152499808"/>
      <w:r w:rsidRPr="00F12AB8">
        <w:t xml:space="preserve">Table </w:t>
      </w:r>
      <w:r>
        <w:t>10.</w:t>
      </w:r>
      <w:r>
        <w:tab/>
      </w:r>
      <w:r w:rsidRPr="00F12AB8">
        <w:t>Detectable differences for field test experiment hypotheses</w:t>
      </w:r>
      <w:bookmarkEnd w:id="21"/>
      <w:bookmarkEnd w:id="22"/>
    </w:p>
    <w:tbl>
      <w:tblPr>
        <w:tblW w:w="13176" w:type="dxa"/>
        <w:tblBorders>
          <w:top w:val="single" w:sz="12" w:space="0" w:color="auto"/>
          <w:bottom w:val="single" w:sz="12" w:space="0" w:color="auto"/>
        </w:tblBorders>
        <w:tblLayout w:type="fixed"/>
        <w:tblLook w:val="01E0"/>
      </w:tblPr>
      <w:tblGrid>
        <w:gridCol w:w="1818"/>
        <w:gridCol w:w="236"/>
        <w:gridCol w:w="3004"/>
        <w:gridCol w:w="1080"/>
        <w:gridCol w:w="295"/>
        <w:gridCol w:w="3451"/>
        <w:gridCol w:w="1080"/>
        <w:gridCol w:w="236"/>
        <w:gridCol w:w="1976"/>
      </w:tblGrid>
      <w:tr w:rsidR="007C5423" w:rsidRPr="00F12AB8" w:rsidTr="00293AF4">
        <w:trPr>
          <w:tblHeader/>
        </w:trPr>
        <w:tc>
          <w:tcPr>
            <w:tcW w:w="1818" w:type="dxa"/>
            <w:vMerge w:val="restart"/>
            <w:tcBorders>
              <w:top w:val="single" w:sz="12" w:space="0" w:color="auto"/>
              <w:right w:val="nil"/>
            </w:tcBorders>
            <w:vAlign w:val="bottom"/>
          </w:tcPr>
          <w:p w:rsidR="007C5423" w:rsidRPr="00F12AB8" w:rsidRDefault="007C5423" w:rsidP="00293AF4">
            <w:pPr>
              <w:pStyle w:val="Tableheading"/>
              <w:jc w:val="left"/>
            </w:pPr>
            <w:r w:rsidRPr="00F12AB8">
              <w:t>Hypothesis</w:t>
            </w:r>
          </w:p>
        </w:tc>
        <w:tc>
          <w:tcPr>
            <w:tcW w:w="236" w:type="dxa"/>
            <w:vMerge w:val="restart"/>
            <w:tcBorders>
              <w:top w:val="single" w:sz="12" w:space="0" w:color="auto"/>
              <w:left w:val="nil"/>
            </w:tcBorders>
            <w:vAlign w:val="bottom"/>
          </w:tcPr>
          <w:p w:rsidR="007C5423" w:rsidRPr="00F12AB8" w:rsidRDefault="007C5423" w:rsidP="00293AF4">
            <w:pPr>
              <w:pStyle w:val="Tableheading"/>
              <w:jc w:val="left"/>
            </w:pPr>
          </w:p>
        </w:tc>
        <w:tc>
          <w:tcPr>
            <w:tcW w:w="4084" w:type="dxa"/>
            <w:gridSpan w:val="2"/>
            <w:tcBorders>
              <w:top w:val="single" w:sz="12" w:space="0" w:color="auto"/>
            </w:tcBorders>
            <w:vAlign w:val="bottom"/>
          </w:tcPr>
          <w:p w:rsidR="007C5423" w:rsidRPr="00F12AB8" w:rsidRDefault="007C5423" w:rsidP="00293AF4">
            <w:pPr>
              <w:pStyle w:val="Tableheading"/>
              <w:jc w:val="center"/>
            </w:pPr>
            <w:r w:rsidRPr="00F12AB8">
              <w:t>Control group</w:t>
            </w:r>
          </w:p>
        </w:tc>
        <w:tc>
          <w:tcPr>
            <w:tcW w:w="295" w:type="dxa"/>
            <w:vMerge w:val="restart"/>
            <w:tcBorders>
              <w:top w:val="single" w:sz="12" w:space="0" w:color="auto"/>
              <w:right w:val="nil"/>
            </w:tcBorders>
            <w:vAlign w:val="bottom"/>
          </w:tcPr>
          <w:p w:rsidR="007C5423" w:rsidRPr="00F12AB8" w:rsidRDefault="007C5423" w:rsidP="00293AF4">
            <w:pPr>
              <w:pStyle w:val="Tableheading"/>
              <w:jc w:val="center"/>
            </w:pPr>
          </w:p>
        </w:tc>
        <w:tc>
          <w:tcPr>
            <w:tcW w:w="4531" w:type="dxa"/>
            <w:gridSpan w:val="2"/>
            <w:tcBorders>
              <w:top w:val="single" w:sz="12" w:space="0" w:color="auto"/>
              <w:left w:val="nil"/>
            </w:tcBorders>
            <w:vAlign w:val="bottom"/>
          </w:tcPr>
          <w:p w:rsidR="007C5423" w:rsidRPr="00F12AB8" w:rsidRDefault="007C5423" w:rsidP="00293AF4">
            <w:pPr>
              <w:pStyle w:val="Tableheading"/>
              <w:jc w:val="center"/>
            </w:pPr>
            <w:r w:rsidRPr="00F12AB8">
              <w:t>Treatment group</w:t>
            </w:r>
          </w:p>
        </w:tc>
        <w:tc>
          <w:tcPr>
            <w:tcW w:w="236" w:type="dxa"/>
            <w:vMerge w:val="restart"/>
            <w:tcBorders>
              <w:top w:val="single" w:sz="12" w:space="0" w:color="auto"/>
              <w:right w:val="nil"/>
            </w:tcBorders>
            <w:vAlign w:val="bottom"/>
          </w:tcPr>
          <w:p w:rsidR="007C5423" w:rsidRPr="00F12AB8" w:rsidRDefault="007C5423" w:rsidP="00293AF4">
            <w:pPr>
              <w:pStyle w:val="Tableheading"/>
            </w:pPr>
          </w:p>
        </w:tc>
        <w:tc>
          <w:tcPr>
            <w:tcW w:w="1976" w:type="dxa"/>
            <w:vMerge w:val="restart"/>
            <w:tcBorders>
              <w:top w:val="single" w:sz="12" w:space="0" w:color="auto"/>
              <w:left w:val="nil"/>
            </w:tcBorders>
            <w:vAlign w:val="bottom"/>
          </w:tcPr>
          <w:p w:rsidR="007C5423" w:rsidRPr="00F12AB8" w:rsidRDefault="007C5423" w:rsidP="00293AF4">
            <w:pPr>
              <w:pStyle w:val="Tableheading"/>
            </w:pPr>
            <w:r w:rsidRPr="00F12AB8">
              <w:t>Detectable difference with 95 percent confidence</w:t>
            </w:r>
          </w:p>
        </w:tc>
      </w:tr>
      <w:tr w:rsidR="007C5423" w:rsidRPr="00F12AB8" w:rsidTr="00293AF4">
        <w:trPr>
          <w:tblHeader/>
        </w:trPr>
        <w:tc>
          <w:tcPr>
            <w:tcW w:w="1818" w:type="dxa"/>
            <w:vMerge/>
            <w:tcBorders>
              <w:right w:val="nil"/>
            </w:tcBorders>
            <w:vAlign w:val="bottom"/>
          </w:tcPr>
          <w:p w:rsidR="007C5423" w:rsidRPr="00F12AB8" w:rsidRDefault="007C5423" w:rsidP="00293AF4">
            <w:pPr>
              <w:pStyle w:val="Tableheading"/>
            </w:pPr>
          </w:p>
        </w:tc>
        <w:tc>
          <w:tcPr>
            <w:tcW w:w="236" w:type="dxa"/>
            <w:vMerge/>
            <w:tcBorders>
              <w:top w:val="single" w:sz="4" w:space="0" w:color="auto"/>
              <w:left w:val="nil"/>
            </w:tcBorders>
            <w:vAlign w:val="bottom"/>
          </w:tcPr>
          <w:p w:rsidR="007C5423" w:rsidRPr="00F12AB8" w:rsidRDefault="007C5423" w:rsidP="00293AF4">
            <w:pPr>
              <w:pStyle w:val="Tableheading"/>
            </w:pPr>
          </w:p>
        </w:tc>
        <w:tc>
          <w:tcPr>
            <w:tcW w:w="3004" w:type="dxa"/>
            <w:vAlign w:val="bottom"/>
          </w:tcPr>
          <w:p w:rsidR="007C5423" w:rsidRPr="00F12AB8" w:rsidRDefault="007C5423" w:rsidP="00293AF4">
            <w:pPr>
              <w:pStyle w:val="Tableheading"/>
              <w:jc w:val="left"/>
            </w:pPr>
            <w:r w:rsidRPr="00F12AB8">
              <w:t>Definition</w:t>
            </w:r>
          </w:p>
        </w:tc>
        <w:tc>
          <w:tcPr>
            <w:tcW w:w="1080" w:type="dxa"/>
            <w:vAlign w:val="bottom"/>
          </w:tcPr>
          <w:p w:rsidR="007C5423" w:rsidRPr="00F12AB8" w:rsidRDefault="007C5423" w:rsidP="00293AF4">
            <w:pPr>
              <w:pStyle w:val="Tableheading"/>
            </w:pPr>
            <w:r w:rsidRPr="00F12AB8">
              <w:t>Sample size</w:t>
            </w:r>
          </w:p>
        </w:tc>
        <w:tc>
          <w:tcPr>
            <w:tcW w:w="295" w:type="dxa"/>
            <w:vMerge/>
            <w:tcBorders>
              <w:top w:val="nil"/>
              <w:right w:val="nil"/>
            </w:tcBorders>
            <w:vAlign w:val="bottom"/>
          </w:tcPr>
          <w:p w:rsidR="007C5423" w:rsidRPr="00F12AB8" w:rsidRDefault="007C5423" w:rsidP="00293AF4">
            <w:pPr>
              <w:pStyle w:val="Tableheading"/>
            </w:pPr>
          </w:p>
        </w:tc>
        <w:tc>
          <w:tcPr>
            <w:tcW w:w="3451" w:type="dxa"/>
            <w:tcBorders>
              <w:left w:val="nil"/>
            </w:tcBorders>
            <w:vAlign w:val="bottom"/>
          </w:tcPr>
          <w:p w:rsidR="007C5423" w:rsidRPr="00F12AB8" w:rsidRDefault="007C5423" w:rsidP="00293AF4">
            <w:pPr>
              <w:pStyle w:val="Tableheading"/>
              <w:ind w:left="-18"/>
              <w:jc w:val="left"/>
            </w:pPr>
            <w:r w:rsidRPr="00F12AB8">
              <w:t>Definition</w:t>
            </w:r>
          </w:p>
        </w:tc>
        <w:tc>
          <w:tcPr>
            <w:tcW w:w="1080" w:type="dxa"/>
            <w:vAlign w:val="bottom"/>
          </w:tcPr>
          <w:p w:rsidR="007C5423" w:rsidRPr="00F12AB8" w:rsidRDefault="007C5423" w:rsidP="00293AF4">
            <w:pPr>
              <w:pStyle w:val="Tableheading"/>
            </w:pPr>
            <w:r w:rsidRPr="00F12AB8">
              <w:t>Sample size</w:t>
            </w:r>
          </w:p>
        </w:tc>
        <w:tc>
          <w:tcPr>
            <w:tcW w:w="236" w:type="dxa"/>
            <w:vMerge/>
            <w:tcBorders>
              <w:top w:val="nil"/>
              <w:right w:val="nil"/>
            </w:tcBorders>
            <w:vAlign w:val="bottom"/>
          </w:tcPr>
          <w:p w:rsidR="007C5423" w:rsidRPr="00F12AB8" w:rsidRDefault="007C5423" w:rsidP="00293AF4">
            <w:pPr>
              <w:pStyle w:val="Tableheading"/>
            </w:pPr>
          </w:p>
        </w:tc>
        <w:tc>
          <w:tcPr>
            <w:tcW w:w="1976" w:type="dxa"/>
            <w:vMerge/>
            <w:tcBorders>
              <w:left w:val="nil"/>
            </w:tcBorders>
            <w:vAlign w:val="bottom"/>
          </w:tcPr>
          <w:p w:rsidR="007C5423" w:rsidRPr="00F12AB8" w:rsidRDefault="007C5423" w:rsidP="00293AF4">
            <w:pPr>
              <w:pStyle w:val="Tableheading"/>
            </w:pPr>
          </w:p>
        </w:tc>
      </w:tr>
      <w:tr w:rsidR="007C5423" w:rsidRPr="00F12AB8" w:rsidTr="00293AF4">
        <w:tc>
          <w:tcPr>
            <w:tcW w:w="1818" w:type="dxa"/>
            <w:tcBorders>
              <w:right w:val="nil"/>
            </w:tcBorders>
          </w:tcPr>
          <w:p w:rsidR="007C5423" w:rsidRPr="00F12AB8" w:rsidRDefault="007C5423" w:rsidP="00293AF4">
            <w:pPr>
              <w:pStyle w:val="Tabletext"/>
            </w:pPr>
            <w:r w:rsidRPr="00F12AB8">
              <w:t>1</w:t>
            </w:r>
          </w:p>
        </w:tc>
        <w:tc>
          <w:tcPr>
            <w:tcW w:w="236" w:type="dxa"/>
            <w:tcBorders>
              <w:top w:val="single" w:sz="4" w:space="0" w:color="auto"/>
              <w:left w:val="nil"/>
            </w:tcBorders>
          </w:tcPr>
          <w:p w:rsidR="007C5423" w:rsidRPr="00F12AB8" w:rsidRDefault="007C5423" w:rsidP="00293AF4">
            <w:pPr>
              <w:pStyle w:val="Tabletext"/>
              <w:ind w:left="0" w:firstLine="0"/>
            </w:pPr>
          </w:p>
        </w:tc>
        <w:tc>
          <w:tcPr>
            <w:tcW w:w="3004" w:type="dxa"/>
            <w:vAlign w:val="bottom"/>
          </w:tcPr>
          <w:p w:rsidR="007C5423" w:rsidRPr="00F12AB8" w:rsidRDefault="007C5423" w:rsidP="00293AF4">
            <w:pPr>
              <w:pStyle w:val="Tabletext"/>
            </w:pPr>
            <w:r>
              <w:t>No video</w:t>
            </w:r>
          </w:p>
        </w:tc>
        <w:tc>
          <w:tcPr>
            <w:tcW w:w="1080" w:type="dxa"/>
            <w:vAlign w:val="bottom"/>
          </w:tcPr>
          <w:p w:rsidR="007C5423" w:rsidRPr="00F12AB8" w:rsidRDefault="007C5423" w:rsidP="00293AF4">
            <w:pPr>
              <w:pStyle w:val="Tablebody"/>
            </w:pPr>
            <w:r>
              <w:t>2,265</w:t>
            </w:r>
          </w:p>
        </w:tc>
        <w:tc>
          <w:tcPr>
            <w:tcW w:w="295" w:type="dxa"/>
            <w:tcBorders>
              <w:top w:val="single" w:sz="4" w:space="0" w:color="auto"/>
              <w:right w:val="nil"/>
            </w:tcBorders>
          </w:tcPr>
          <w:p w:rsidR="007C5423" w:rsidRPr="00413A05" w:rsidRDefault="007C5423" w:rsidP="00293AF4"/>
        </w:tc>
        <w:tc>
          <w:tcPr>
            <w:tcW w:w="3451" w:type="dxa"/>
            <w:tcBorders>
              <w:left w:val="nil"/>
            </w:tcBorders>
            <w:vAlign w:val="bottom"/>
          </w:tcPr>
          <w:p w:rsidR="007C5423" w:rsidRPr="00F12AB8" w:rsidRDefault="007C5423" w:rsidP="00293AF4">
            <w:pPr>
              <w:pStyle w:val="Tabletext"/>
            </w:pPr>
            <w:r>
              <w:t>Video</w:t>
            </w:r>
          </w:p>
        </w:tc>
        <w:tc>
          <w:tcPr>
            <w:tcW w:w="1080" w:type="dxa"/>
            <w:vAlign w:val="bottom"/>
          </w:tcPr>
          <w:p w:rsidR="007C5423" w:rsidRPr="00F12AB8" w:rsidRDefault="007C5423" w:rsidP="00293AF4">
            <w:pPr>
              <w:pStyle w:val="Tablebody"/>
            </w:pPr>
            <w:r>
              <w:t>2,265</w:t>
            </w:r>
          </w:p>
        </w:tc>
        <w:tc>
          <w:tcPr>
            <w:tcW w:w="236" w:type="dxa"/>
            <w:tcBorders>
              <w:top w:val="single" w:sz="4" w:space="0" w:color="auto"/>
              <w:right w:val="nil"/>
            </w:tcBorders>
            <w:vAlign w:val="bottom"/>
          </w:tcPr>
          <w:p w:rsidR="007C5423" w:rsidRPr="00F12AB8" w:rsidRDefault="007C5423" w:rsidP="00293AF4">
            <w:pPr>
              <w:pStyle w:val="Tablebody"/>
            </w:pPr>
          </w:p>
        </w:tc>
        <w:tc>
          <w:tcPr>
            <w:tcW w:w="1976" w:type="dxa"/>
            <w:tcBorders>
              <w:left w:val="nil"/>
            </w:tcBorders>
            <w:vAlign w:val="bottom"/>
          </w:tcPr>
          <w:p w:rsidR="007C5423" w:rsidRPr="00F12AB8" w:rsidRDefault="007C5423" w:rsidP="00293AF4">
            <w:pPr>
              <w:pStyle w:val="Tablebody"/>
            </w:pPr>
            <w:r>
              <w:t>5.1</w:t>
            </w:r>
          </w:p>
        </w:tc>
      </w:tr>
      <w:tr w:rsidR="007C5423" w:rsidRPr="00F12AB8" w:rsidTr="00293AF4">
        <w:tc>
          <w:tcPr>
            <w:tcW w:w="1818" w:type="dxa"/>
            <w:tcBorders>
              <w:right w:val="nil"/>
            </w:tcBorders>
          </w:tcPr>
          <w:p w:rsidR="007C5423" w:rsidRPr="00F12AB8" w:rsidRDefault="007C5423" w:rsidP="00293AF4">
            <w:pPr>
              <w:pStyle w:val="Tabletext"/>
            </w:pPr>
            <w:r w:rsidRPr="00F12AB8">
              <w:t>2</w:t>
            </w:r>
          </w:p>
        </w:tc>
        <w:tc>
          <w:tcPr>
            <w:tcW w:w="236" w:type="dxa"/>
            <w:tcBorders>
              <w:left w:val="nil"/>
            </w:tcBorders>
          </w:tcPr>
          <w:p w:rsidR="007C5423" w:rsidRPr="00F12AB8" w:rsidRDefault="007C5423" w:rsidP="00293AF4">
            <w:pPr>
              <w:pStyle w:val="Tabletext"/>
              <w:ind w:left="0" w:firstLine="0"/>
            </w:pPr>
          </w:p>
        </w:tc>
        <w:tc>
          <w:tcPr>
            <w:tcW w:w="3004" w:type="dxa"/>
            <w:vAlign w:val="bottom"/>
          </w:tcPr>
          <w:p w:rsidR="007C5423" w:rsidRPr="00F12AB8" w:rsidRDefault="007C5423" w:rsidP="00293AF4">
            <w:pPr>
              <w:pStyle w:val="Tabletext"/>
            </w:pPr>
            <w:r>
              <w:t>$30 for low propensity cases</w:t>
            </w:r>
          </w:p>
        </w:tc>
        <w:tc>
          <w:tcPr>
            <w:tcW w:w="1080" w:type="dxa"/>
            <w:vAlign w:val="bottom"/>
          </w:tcPr>
          <w:p w:rsidR="007C5423" w:rsidRPr="00F12AB8" w:rsidRDefault="007C5423" w:rsidP="00865E6E">
            <w:pPr>
              <w:pStyle w:val="Tablebody"/>
            </w:pPr>
            <w:r>
              <w:t>1,076</w:t>
            </w:r>
          </w:p>
        </w:tc>
        <w:tc>
          <w:tcPr>
            <w:tcW w:w="295" w:type="dxa"/>
            <w:tcBorders>
              <w:right w:val="nil"/>
            </w:tcBorders>
          </w:tcPr>
          <w:p w:rsidR="007C5423" w:rsidRPr="00413A05" w:rsidRDefault="007C5423" w:rsidP="00293AF4"/>
        </w:tc>
        <w:tc>
          <w:tcPr>
            <w:tcW w:w="3451" w:type="dxa"/>
            <w:tcBorders>
              <w:left w:val="nil"/>
            </w:tcBorders>
            <w:vAlign w:val="bottom"/>
          </w:tcPr>
          <w:p w:rsidR="007C5423" w:rsidRPr="00F12AB8" w:rsidRDefault="007C5423" w:rsidP="00293AF4">
            <w:pPr>
              <w:pStyle w:val="Tabletext"/>
            </w:pPr>
            <w:r>
              <w:t>$45 for low propensity cases</w:t>
            </w:r>
          </w:p>
        </w:tc>
        <w:tc>
          <w:tcPr>
            <w:tcW w:w="1080" w:type="dxa"/>
            <w:vAlign w:val="bottom"/>
          </w:tcPr>
          <w:p w:rsidR="007C5423" w:rsidRPr="00F12AB8" w:rsidRDefault="007C5423" w:rsidP="00293AF4">
            <w:pPr>
              <w:pStyle w:val="Tablebody"/>
            </w:pPr>
            <w:r w:rsidRPr="00F12AB8">
              <w:t>1,</w:t>
            </w:r>
            <w:r>
              <w:t>076</w:t>
            </w:r>
          </w:p>
        </w:tc>
        <w:tc>
          <w:tcPr>
            <w:tcW w:w="236" w:type="dxa"/>
            <w:tcBorders>
              <w:right w:val="nil"/>
            </w:tcBorders>
            <w:vAlign w:val="bottom"/>
          </w:tcPr>
          <w:p w:rsidR="007C5423" w:rsidRPr="00F12AB8" w:rsidRDefault="007C5423" w:rsidP="00293AF4">
            <w:pPr>
              <w:pStyle w:val="Tablebody"/>
            </w:pPr>
          </w:p>
        </w:tc>
        <w:tc>
          <w:tcPr>
            <w:tcW w:w="1976" w:type="dxa"/>
            <w:tcBorders>
              <w:left w:val="nil"/>
            </w:tcBorders>
            <w:vAlign w:val="bottom"/>
          </w:tcPr>
          <w:p w:rsidR="007C5423" w:rsidRPr="00F12AB8" w:rsidRDefault="007C5423" w:rsidP="00293AF4">
            <w:pPr>
              <w:pStyle w:val="Tablebody"/>
            </w:pPr>
            <w:r>
              <w:t>6.3</w:t>
            </w:r>
          </w:p>
        </w:tc>
      </w:tr>
      <w:tr w:rsidR="007C5423" w:rsidRPr="00F12AB8" w:rsidTr="0091004E">
        <w:tblPrEx>
          <w:tblBorders>
            <w:top w:val="none" w:sz="0" w:space="0" w:color="auto"/>
            <w:bottom w:val="none" w:sz="0" w:space="0" w:color="auto"/>
          </w:tblBorders>
        </w:tblPrEx>
        <w:tc>
          <w:tcPr>
            <w:tcW w:w="1818" w:type="dxa"/>
          </w:tcPr>
          <w:p w:rsidR="007C5423" w:rsidRPr="00F12AB8" w:rsidRDefault="007C5423" w:rsidP="00293AF4">
            <w:pPr>
              <w:pStyle w:val="Tabletext"/>
            </w:pPr>
            <w:r w:rsidRPr="00F12AB8">
              <w:t xml:space="preserve">3 </w:t>
            </w:r>
          </w:p>
        </w:tc>
        <w:tc>
          <w:tcPr>
            <w:tcW w:w="236" w:type="dxa"/>
          </w:tcPr>
          <w:p w:rsidR="007C5423" w:rsidRPr="00F12AB8" w:rsidRDefault="007C5423" w:rsidP="00293AF4">
            <w:pPr>
              <w:pStyle w:val="Tabletext"/>
              <w:ind w:left="0" w:firstLine="0"/>
            </w:pPr>
          </w:p>
        </w:tc>
        <w:tc>
          <w:tcPr>
            <w:tcW w:w="3004" w:type="dxa"/>
          </w:tcPr>
          <w:p w:rsidR="007C5423" w:rsidRPr="00F12AB8" w:rsidRDefault="007C5423" w:rsidP="00293AF4">
            <w:pPr>
              <w:pStyle w:val="Tabletext"/>
            </w:pPr>
            <w:r>
              <w:t>$30 for high propensity cases</w:t>
            </w:r>
          </w:p>
        </w:tc>
        <w:tc>
          <w:tcPr>
            <w:tcW w:w="1080" w:type="dxa"/>
          </w:tcPr>
          <w:p w:rsidR="007C5423" w:rsidRPr="00F12AB8" w:rsidRDefault="007C5423" w:rsidP="00293AF4">
            <w:pPr>
              <w:pStyle w:val="Tablebody"/>
            </w:pPr>
            <w:r>
              <w:t>1,076</w:t>
            </w:r>
          </w:p>
        </w:tc>
        <w:tc>
          <w:tcPr>
            <w:tcW w:w="295" w:type="dxa"/>
          </w:tcPr>
          <w:p w:rsidR="007C5423" w:rsidRPr="00413A05" w:rsidRDefault="007C5423" w:rsidP="00293AF4"/>
        </w:tc>
        <w:tc>
          <w:tcPr>
            <w:tcW w:w="3451" w:type="dxa"/>
          </w:tcPr>
          <w:p w:rsidR="007C5423" w:rsidRPr="00F12AB8" w:rsidRDefault="007C5423" w:rsidP="00293AF4">
            <w:pPr>
              <w:pStyle w:val="Tabletext"/>
            </w:pPr>
            <w:r>
              <w:t>$15 for high propensity cases</w:t>
            </w:r>
          </w:p>
        </w:tc>
        <w:tc>
          <w:tcPr>
            <w:tcW w:w="1080" w:type="dxa"/>
          </w:tcPr>
          <w:p w:rsidR="007C5423" w:rsidRPr="00F12AB8" w:rsidRDefault="007C5423" w:rsidP="00293AF4">
            <w:pPr>
              <w:pStyle w:val="Tablebody"/>
            </w:pPr>
            <w:r w:rsidRPr="00F12AB8">
              <w:t>1,</w:t>
            </w:r>
            <w:r>
              <w:t>076</w:t>
            </w:r>
          </w:p>
        </w:tc>
        <w:tc>
          <w:tcPr>
            <w:tcW w:w="236" w:type="dxa"/>
          </w:tcPr>
          <w:p w:rsidR="007C5423" w:rsidRPr="00F12AB8" w:rsidRDefault="007C5423" w:rsidP="00293AF4">
            <w:pPr>
              <w:pStyle w:val="Tablebody"/>
            </w:pPr>
          </w:p>
        </w:tc>
        <w:tc>
          <w:tcPr>
            <w:tcW w:w="1976" w:type="dxa"/>
          </w:tcPr>
          <w:p w:rsidR="007C5423" w:rsidRPr="00F12AB8" w:rsidRDefault="007C5423" w:rsidP="00293AF4">
            <w:pPr>
              <w:pStyle w:val="Tablebody"/>
            </w:pPr>
            <w:r>
              <w:t>6.3</w:t>
            </w:r>
          </w:p>
        </w:tc>
      </w:tr>
      <w:tr w:rsidR="007C5423" w:rsidRPr="00F12AB8" w:rsidTr="0091004E">
        <w:tblPrEx>
          <w:tblBorders>
            <w:top w:val="none" w:sz="0" w:space="0" w:color="auto"/>
            <w:bottom w:val="none" w:sz="0" w:space="0" w:color="auto"/>
          </w:tblBorders>
        </w:tblPrEx>
        <w:tc>
          <w:tcPr>
            <w:tcW w:w="1818" w:type="dxa"/>
          </w:tcPr>
          <w:p w:rsidR="007C5423" w:rsidRPr="00F12AB8" w:rsidRDefault="007C5423" w:rsidP="00293AF4">
            <w:pPr>
              <w:pStyle w:val="Tabletext"/>
            </w:pPr>
            <w:r>
              <w:t>4</w:t>
            </w:r>
          </w:p>
        </w:tc>
        <w:tc>
          <w:tcPr>
            <w:tcW w:w="236" w:type="dxa"/>
          </w:tcPr>
          <w:p w:rsidR="007C5423" w:rsidRPr="00F12AB8" w:rsidRDefault="007C5423" w:rsidP="00293AF4">
            <w:pPr>
              <w:pStyle w:val="Tabletext"/>
              <w:ind w:left="0" w:firstLine="0"/>
            </w:pPr>
          </w:p>
        </w:tc>
        <w:tc>
          <w:tcPr>
            <w:tcW w:w="3004" w:type="dxa"/>
          </w:tcPr>
          <w:p w:rsidR="007C5423" w:rsidRDefault="007C5423" w:rsidP="00293AF4">
            <w:pPr>
              <w:pStyle w:val="Tabletext"/>
            </w:pPr>
            <w:r>
              <w:t>$30 for high propensity cases</w:t>
            </w:r>
          </w:p>
        </w:tc>
        <w:tc>
          <w:tcPr>
            <w:tcW w:w="1080" w:type="dxa"/>
          </w:tcPr>
          <w:p w:rsidR="007C5423" w:rsidRDefault="007C5423" w:rsidP="00293AF4">
            <w:pPr>
              <w:pStyle w:val="Tablebody"/>
            </w:pPr>
            <w:r>
              <w:t>1,076</w:t>
            </w:r>
          </w:p>
        </w:tc>
        <w:tc>
          <w:tcPr>
            <w:tcW w:w="295" w:type="dxa"/>
          </w:tcPr>
          <w:p w:rsidR="007C5423" w:rsidRPr="00413A05" w:rsidRDefault="007C5423" w:rsidP="00293AF4"/>
        </w:tc>
        <w:tc>
          <w:tcPr>
            <w:tcW w:w="3451" w:type="dxa"/>
          </w:tcPr>
          <w:p w:rsidR="007C5423" w:rsidRDefault="007C5423" w:rsidP="00293AF4">
            <w:pPr>
              <w:pStyle w:val="Tabletext"/>
            </w:pPr>
            <w:r>
              <w:t>$45 for low propensity cases</w:t>
            </w:r>
          </w:p>
        </w:tc>
        <w:tc>
          <w:tcPr>
            <w:tcW w:w="1080" w:type="dxa"/>
          </w:tcPr>
          <w:p w:rsidR="007C5423" w:rsidRPr="00F12AB8" w:rsidRDefault="007C5423" w:rsidP="00293AF4">
            <w:pPr>
              <w:pStyle w:val="Tablebody"/>
            </w:pPr>
            <w:r>
              <w:t>1,076</w:t>
            </w:r>
          </w:p>
        </w:tc>
        <w:tc>
          <w:tcPr>
            <w:tcW w:w="236" w:type="dxa"/>
          </w:tcPr>
          <w:p w:rsidR="007C5423" w:rsidRPr="00F12AB8" w:rsidRDefault="007C5423" w:rsidP="00293AF4">
            <w:pPr>
              <w:pStyle w:val="Tablebody"/>
            </w:pPr>
          </w:p>
        </w:tc>
        <w:tc>
          <w:tcPr>
            <w:tcW w:w="1976" w:type="dxa"/>
          </w:tcPr>
          <w:p w:rsidR="007C5423" w:rsidRPr="00F12AB8" w:rsidRDefault="007C5423" w:rsidP="00293AF4">
            <w:pPr>
              <w:pStyle w:val="Tablebody"/>
            </w:pPr>
            <w:r>
              <w:t>7.1</w:t>
            </w:r>
          </w:p>
        </w:tc>
      </w:tr>
      <w:tr w:rsidR="007C5423" w:rsidRPr="00F12AB8" w:rsidTr="0091004E">
        <w:tblPrEx>
          <w:tblBorders>
            <w:top w:val="none" w:sz="0" w:space="0" w:color="auto"/>
            <w:bottom w:val="none" w:sz="0" w:space="0" w:color="auto"/>
          </w:tblBorders>
        </w:tblPrEx>
        <w:tc>
          <w:tcPr>
            <w:tcW w:w="1818" w:type="dxa"/>
          </w:tcPr>
          <w:p w:rsidR="007C5423" w:rsidRPr="00F12AB8" w:rsidRDefault="007C5423" w:rsidP="00293AF4">
            <w:pPr>
              <w:pStyle w:val="Tabletext"/>
            </w:pPr>
            <w:r>
              <w:t>5</w:t>
            </w:r>
          </w:p>
        </w:tc>
        <w:tc>
          <w:tcPr>
            <w:tcW w:w="236" w:type="dxa"/>
          </w:tcPr>
          <w:p w:rsidR="007C5423" w:rsidRPr="00F12AB8" w:rsidRDefault="007C5423" w:rsidP="00293AF4">
            <w:pPr>
              <w:pStyle w:val="Tabletext"/>
              <w:ind w:left="0" w:firstLine="0"/>
            </w:pPr>
          </w:p>
        </w:tc>
        <w:tc>
          <w:tcPr>
            <w:tcW w:w="3004" w:type="dxa"/>
          </w:tcPr>
          <w:p w:rsidR="007C5423" w:rsidRDefault="007C5423" w:rsidP="00293AF4">
            <w:pPr>
              <w:pStyle w:val="Tabletext"/>
            </w:pPr>
            <w:r>
              <w:t>$30 for low propensity cases</w:t>
            </w:r>
          </w:p>
        </w:tc>
        <w:tc>
          <w:tcPr>
            <w:tcW w:w="1080" w:type="dxa"/>
          </w:tcPr>
          <w:p w:rsidR="007C5423" w:rsidRDefault="007C5423" w:rsidP="00293AF4">
            <w:pPr>
              <w:pStyle w:val="Tablebody"/>
            </w:pPr>
            <w:r>
              <w:t>1,076</w:t>
            </w:r>
          </w:p>
        </w:tc>
        <w:tc>
          <w:tcPr>
            <w:tcW w:w="295" w:type="dxa"/>
          </w:tcPr>
          <w:p w:rsidR="007C5423" w:rsidRPr="00413A05" w:rsidRDefault="007C5423" w:rsidP="00293AF4"/>
        </w:tc>
        <w:tc>
          <w:tcPr>
            <w:tcW w:w="3451" w:type="dxa"/>
          </w:tcPr>
          <w:p w:rsidR="007C5423" w:rsidRDefault="007C5423" w:rsidP="00293AF4">
            <w:pPr>
              <w:pStyle w:val="Tabletext"/>
            </w:pPr>
            <w:r>
              <w:t>$45 for low propensity cases</w:t>
            </w:r>
          </w:p>
        </w:tc>
        <w:tc>
          <w:tcPr>
            <w:tcW w:w="1080" w:type="dxa"/>
          </w:tcPr>
          <w:p w:rsidR="007C5423" w:rsidRPr="00F12AB8" w:rsidRDefault="007C5423" w:rsidP="00293AF4">
            <w:pPr>
              <w:pStyle w:val="Tablebody"/>
            </w:pPr>
            <w:r>
              <w:t>1,076</w:t>
            </w:r>
          </w:p>
        </w:tc>
        <w:tc>
          <w:tcPr>
            <w:tcW w:w="236" w:type="dxa"/>
          </w:tcPr>
          <w:p w:rsidR="007C5423" w:rsidRPr="00F12AB8" w:rsidRDefault="007C5423" w:rsidP="00293AF4">
            <w:pPr>
              <w:pStyle w:val="Tablebody"/>
            </w:pPr>
          </w:p>
        </w:tc>
        <w:tc>
          <w:tcPr>
            <w:tcW w:w="1976" w:type="dxa"/>
          </w:tcPr>
          <w:p w:rsidR="007C5423" w:rsidRPr="00F12AB8" w:rsidRDefault="007C5423" w:rsidP="00293AF4">
            <w:pPr>
              <w:pStyle w:val="Tablebody"/>
            </w:pPr>
            <w:r>
              <w:t>4.0</w:t>
            </w:r>
          </w:p>
        </w:tc>
      </w:tr>
      <w:tr w:rsidR="007C5423" w:rsidRPr="00F12AB8" w:rsidTr="00293AF4">
        <w:tc>
          <w:tcPr>
            <w:tcW w:w="1818" w:type="dxa"/>
            <w:tcBorders>
              <w:bottom w:val="single" w:sz="12" w:space="0" w:color="auto"/>
              <w:right w:val="nil"/>
            </w:tcBorders>
          </w:tcPr>
          <w:p w:rsidR="007C5423" w:rsidRPr="00F12AB8" w:rsidRDefault="007C5423" w:rsidP="00293AF4">
            <w:pPr>
              <w:pStyle w:val="Tabletext"/>
            </w:pPr>
          </w:p>
        </w:tc>
        <w:tc>
          <w:tcPr>
            <w:tcW w:w="236" w:type="dxa"/>
            <w:tcBorders>
              <w:left w:val="nil"/>
              <w:bottom w:val="single" w:sz="12" w:space="0" w:color="auto"/>
            </w:tcBorders>
          </w:tcPr>
          <w:p w:rsidR="007C5423" w:rsidRPr="00F12AB8" w:rsidRDefault="007C5423" w:rsidP="00293AF4">
            <w:pPr>
              <w:pStyle w:val="Tabletext"/>
              <w:ind w:left="0" w:firstLine="0"/>
            </w:pPr>
          </w:p>
        </w:tc>
        <w:tc>
          <w:tcPr>
            <w:tcW w:w="3004" w:type="dxa"/>
            <w:tcBorders>
              <w:bottom w:val="single" w:sz="12" w:space="0" w:color="auto"/>
            </w:tcBorders>
            <w:vAlign w:val="bottom"/>
          </w:tcPr>
          <w:p w:rsidR="007C5423" w:rsidRDefault="007C5423" w:rsidP="00293AF4">
            <w:pPr>
              <w:pStyle w:val="Tabletext"/>
            </w:pPr>
          </w:p>
        </w:tc>
        <w:tc>
          <w:tcPr>
            <w:tcW w:w="1080" w:type="dxa"/>
            <w:tcBorders>
              <w:bottom w:val="single" w:sz="12" w:space="0" w:color="auto"/>
            </w:tcBorders>
            <w:vAlign w:val="bottom"/>
          </w:tcPr>
          <w:p w:rsidR="007C5423" w:rsidRDefault="007C5423" w:rsidP="00293AF4">
            <w:pPr>
              <w:pStyle w:val="Tablebody"/>
            </w:pPr>
          </w:p>
        </w:tc>
        <w:tc>
          <w:tcPr>
            <w:tcW w:w="295" w:type="dxa"/>
            <w:tcBorders>
              <w:bottom w:val="single" w:sz="12" w:space="0" w:color="auto"/>
              <w:right w:val="nil"/>
            </w:tcBorders>
          </w:tcPr>
          <w:p w:rsidR="007C5423" w:rsidRPr="00413A05" w:rsidRDefault="007C5423" w:rsidP="00293AF4"/>
        </w:tc>
        <w:tc>
          <w:tcPr>
            <w:tcW w:w="3451" w:type="dxa"/>
            <w:tcBorders>
              <w:left w:val="nil"/>
              <w:bottom w:val="single" w:sz="12" w:space="0" w:color="auto"/>
            </w:tcBorders>
            <w:vAlign w:val="bottom"/>
          </w:tcPr>
          <w:p w:rsidR="007C5423" w:rsidRDefault="007C5423" w:rsidP="00293AF4">
            <w:pPr>
              <w:pStyle w:val="Tabletext"/>
            </w:pPr>
          </w:p>
        </w:tc>
        <w:tc>
          <w:tcPr>
            <w:tcW w:w="1080" w:type="dxa"/>
            <w:tcBorders>
              <w:bottom w:val="single" w:sz="12" w:space="0" w:color="auto"/>
            </w:tcBorders>
            <w:vAlign w:val="bottom"/>
          </w:tcPr>
          <w:p w:rsidR="007C5423" w:rsidRPr="00F12AB8" w:rsidRDefault="007C5423" w:rsidP="00293AF4">
            <w:pPr>
              <w:pStyle w:val="Tablebody"/>
            </w:pPr>
          </w:p>
        </w:tc>
        <w:tc>
          <w:tcPr>
            <w:tcW w:w="236" w:type="dxa"/>
            <w:tcBorders>
              <w:bottom w:val="single" w:sz="12" w:space="0" w:color="auto"/>
              <w:right w:val="nil"/>
            </w:tcBorders>
            <w:vAlign w:val="bottom"/>
          </w:tcPr>
          <w:p w:rsidR="007C5423" w:rsidRPr="00F12AB8" w:rsidRDefault="007C5423" w:rsidP="00293AF4">
            <w:pPr>
              <w:pStyle w:val="Tablebody"/>
            </w:pPr>
          </w:p>
        </w:tc>
        <w:tc>
          <w:tcPr>
            <w:tcW w:w="1976" w:type="dxa"/>
            <w:tcBorders>
              <w:left w:val="nil"/>
              <w:bottom w:val="single" w:sz="12" w:space="0" w:color="auto"/>
            </w:tcBorders>
            <w:vAlign w:val="bottom"/>
          </w:tcPr>
          <w:p w:rsidR="007C5423" w:rsidRPr="00F12AB8" w:rsidRDefault="007C5423" w:rsidP="00293AF4">
            <w:pPr>
              <w:pStyle w:val="Tablebody"/>
            </w:pPr>
          </w:p>
        </w:tc>
      </w:tr>
    </w:tbl>
    <w:p w:rsidR="007C5423" w:rsidRPr="00F12AB8" w:rsidRDefault="007C5423" w:rsidP="00143ACC">
      <w:pPr>
        <w:pStyle w:val="Tablenotes"/>
        <w:sectPr w:rsidR="007C5423" w:rsidRPr="00F12AB8" w:rsidSect="00B343D1">
          <w:type w:val="oddPage"/>
          <w:pgSz w:w="15840" w:h="12240" w:orient="landscape" w:code="1"/>
          <w:pgMar w:top="1440" w:right="1440" w:bottom="1440" w:left="1440" w:header="720" w:footer="720" w:gutter="0"/>
          <w:cols w:space="720"/>
          <w:titlePg/>
          <w:docGrid w:linePitch="360"/>
        </w:sectPr>
      </w:pPr>
    </w:p>
    <w:p w:rsidR="007C5423" w:rsidRPr="00F12AB8" w:rsidRDefault="007C5423" w:rsidP="00024A14">
      <w:pPr>
        <w:pStyle w:val="Heading2"/>
        <w:numPr>
          <w:ilvl w:val="1"/>
          <w:numId w:val="11"/>
        </w:numPr>
        <w:tabs>
          <w:tab w:val="clear" w:pos="1080"/>
        </w:tabs>
        <w:ind w:left="1080" w:hanging="540"/>
      </w:pPr>
      <w:bookmarkStart w:id="23" w:name="_Toc268593752"/>
      <w:r w:rsidRPr="00F12AB8">
        <w:t xml:space="preserve">Reviewing </w:t>
      </w:r>
      <w:r w:rsidRPr="00E00F20">
        <w:t>Statisticians</w:t>
      </w:r>
      <w:r w:rsidRPr="00F12AB8">
        <w:t xml:space="preserve"> and Individuals Responsible for Designing and Conducting the Study</w:t>
      </w:r>
      <w:bookmarkEnd w:id="23"/>
      <w:r w:rsidRPr="00F12AB8">
        <w:t xml:space="preserve"> </w:t>
      </w:r>
    </w:p>
    <w:p w:rsidR="007C5423" w:rsidRPr="00F12AB8" w:rsidRDefault="007C5423" w:rsidP="00453EDA">
      <w:pPr>
        <w:pStyle w:val="BodyText"/>
      </w:pPr>
      <w:r w:rsidRPr="00F12AB8">
        <w:t>Names of individuals consulted on statistical aspects of study design along with their affiliation and telephone numbers are provided below.</w:t>
      </w:r>
    </w:p>
    <w:tbl>
      <w:tblPr>
        <w:tblW w:w="0" w:type="auto"/>
        <w:tblBorders>
          <w:top w:val="single" w:sz="12" w:space="0" w:color="auto"/>
          <w:bottom w:val="single" w:sz="12" w:space="0" w:color="auto"/>
        </w:tblBorders>
        <w:tblLook w:val="01E0"/>
      </w:tblPr>
      <w:tblGrid>
        <w:gridCol w:w="2790"/>
        <w:gridCol w:w="1584"/>
        <w:gridCol w:w="1926"/>
      </w:tblGrid>
      <w:tr w:rsidR="007C5423" w:rsidRPr="00F12AB8">
        <w:tc>
          <w:tcPr>
            <w:tcW w:w="2790" w:type="dxa"/>
            <w:tcBorders>
              <w:top w:val="single" w:sz="12" w:space="0" w:color="auto"/>
              <w:bottom w:val="single" w:sz="6" w:space="0" w:color="auto"/>
            </w:tcBorders>
            <w:vAlign w:val="bottom"/>
          </w:tcPr>
          <w:p w:rsidR="007C5423" w:rsidRPr="00F12AB8" w:rsidRDefault="007C5423" w:rsidP="00453EDA">
            <w:pPr>
              <w:pStyle w:val="Table2"/>
            </w:pPr>
            <w:r w:rsidRPr="00F12AB8">
              <w:t>Name</w:t>
            </w:r>
          </w:p>
        </w:tc>
        <w:tc>
          <w:tcPr>
            <w:tcW w:w="1584" w:type="dxa"/>
            <w:tcBorders>
              <w:top w:val="single" w:sz="12" w:space="0" w:color="auto"/>
              <w:bottom w:val="single" w:sz="6" w:space="0" w:color="auto"/>
            </w:tcBorders>
            <w:vAlign w:val="bottom"/>
          </w:tcPr>
          <w:p w:rsidR="007C5423" w:rsidRPr="00F12AB8" w:rsidRDefault="007C5423" w:rsidP="00453EDA">
            <w:pPr>
              <w:pStyle w:val="Table2"/>
            </w:pPr>
            <w:r w:rsidRPr="00F12AB8">
              <w:t>Affiliation</w:t>
            </w:r>
          </w:p>
        </w:tc>
        <w:tc>
          <w:tcPr>
            <w:tcW w:w="1926" w:type="dxa"/>
            <w:tcBorders>
              <w:top w:val="single" w:sz="12" w:space="0" w:color="auto"/>
              <w:bottom w:val="single" w:sz="6" w:space="0" w:color="auto"/>
            </w:tcBorders>
            <w:vAlign w:val="bottom"/>
          </w:tcPr>
          <w:p w:rsidR="007C5423" w:rsidRPr="00F12AB8" w:rsidRDefault="007C5423" w:rsidP="00453EDA">
            <w:pPr>
              <w:pStyle w:val="Table2"/>
            </w:pPr>
            <w:r w:rsidRPr="00F12AB8">
              <w:t>Telephone</w:t>
            </w:r>
          </w:p>
        </w:tc>
      </w:tr>
      <w:tr w:rsidR="007C5423" w:rsidRPr="00F12AB8">
        <w:tc>
          <w:tcPr>
            <w:tcW w:w="2790" w:type="dxa"/>
            <w:tcBorders>
              <w:top w:val="single" w:sz="6" w:space="0" w:color="auto"/>
            </w:tcBorders>
            <w:vAlign w:val="bottom"/>
          </w:tcPr>
          <w:p w:rsidR="007C5423" w:rsidRPr="00F12AB8" w:rsidRDefault="007C5423" w:rsidP="00453EDA">
            <w:pPr>
              <w:pStyle w:val="Table2"/>
            </w:pPr>
            <w:r w:rsidRPr="00F12AB8">
              <w:t>Dr. Lutz Berkner</w:t>
            </w:r>
          </w:p>
        </w:tc>
        <w:tc>
          <w:tcPr>
            <w:tcW w:w="1584" w:type="dxa"/>
            <w:tcBorders>
              <w:top w:val="single" w:sz="6" w:space="0" w:color="auto"/>
            </w:tcBorders>
            <w:vAlign w:val="bottom"/>
          </w:tcPr>
          <w:p w:rsidR="007C5423" w:rsidRPr="00F12AB8" w:rsidRDefault="007C5423" w:rsidP="00453EDA">
            <w:pPr>
              <w:pStyle w:val="Table2"/>
            </w:pPr>
            <w:r w:rsidRPr="00F12AB8">
              <w:t>MPR</w:t>
            </w:r>
          </w:p>
        </w:tc>
        <w:tc>
          <w:tcPr>
            <w:tcW w:w="1926" w:type="dxa"/>
            <w:tcBorders>
              <w:top w:val="single" w:sz="6" w:space="0" w:color="auto"/>
            </w:tcBorders>
            <w:vAlign w:val="bottom"/>
          </w:tcPr>
          <w:p w:rsidR="007C5423" w:rsidRPr="00F12AB8" w:rsidRDefault="007C5423" w:rsidP="00453EDA">
            <w:pPr>
              <w:pStyle w:val="Table2"/>
            </w:pPr>
            <w:r w:rsidRPr="00F12AB8">
              <w:t>(510) 849-4942</w:t>
            </w:r>
          </w:p>
        </w:tc>
      </w:tr>
      <w:tr w:rsidR="007C5423" w:rsidRPr="00F12AB8">
        <w:tc>
          <w:tcPr>
            <w:tcW w:w="2790" w:type="dxa"/>
            <w:vAlign w:val="bottom"/>
          </w:tcPr>
          <w:p w:rsidR="007C5423" w:rsidRPr="00F12AB8" w:rsidRDefault="007C5423" w:rsidP="00453EDA">
            <w:pPr>
              <w:pStyle w:val="Table2"/>
            </w:pPr>
            <w:r w:rsidRPr="00F12AB8">
              <w:t>Dr. Susan Choy</w:t>
            </w:r>
          </w:p>
        </w:tc>
        <w:tc>
          <w:tcPr>
            <w:tcW w:w="1584" w:type="dxa"/>
            <w:vAlign w:val="bottom"/>
          </w:tcPr>
          <w:p w:rsidR="007C5423" w:rsidRPr="00F12AB8" w:rsidRDefault="007C5423" w:rsidP="00453EDA">
            <w:pPr>
              <w:pStyle w:val="Table2"/>
            </w:pPr>
            <w:r w:rsidRPr="00F12AB8">
              <w:t>MPR</w:t>
            </w:r>
          </w:p>
        </w:tc>
        <w:tc>
          <w:tcPr>
            <w:tcW w:w="1926" w:type="dxa"/>
            <w:vAlign w:val="bottom"/>
          </w:tcPr>
          <w:p w:rsidR="007C5423" w:rsidRPr="00F12AB8" w:rsidRDefault="007C5423" w:rsidP="00453EDA">
            <w:pPr>
              <w:pStyle w:val="Table2"/>
            </w:pPr>
            <w:r w:rsidRPr="00F12AB8">
              <w:t>(510) 849-4942</w:t>
            </w:r>
          </w:p>
        </w:tc>
      </w:tr>
      <w:tr w:rsidR="007C5423" w:rsidRPr="00F12AB8">
        <w:tc>
          <w:tcPr>
            <w:tcW w:w="2790" w:type="dxa"/>
            <w:vAlign w:val="bottom"/>
          </w:tcPr>
          <w:p w:rsidR="007C5423" w:rsidRPr="00F12AB8" w:rsidRDefault="007C5423" w:rsidP="00453EDA">
            <w:pPr>
              <w:pStyle w:val="Table2"/>
            </w:pPr>
            <w:r>
              <w:t>Ms. Christina Wei</w:t>
            </w:r>
          </w:p>
        </w:tc>
        <w:tc>
          <w:tcPr>
            <w:tcW w:w="1584" w:type="dxa"/>
            <w:vAlign w:val="bottom"/>
          </w:tcPr>
          <w:p w:rsidR="007C5423" w:rsidRPr="00F12AB8" w:rsidRDefault="007C5423" w:rsidP="00453EDA">
            <w:pPr>
              <w:pStyle w:val="Table2"/>
            </w:pPr>
            <w:r>
              <w:t>MPR</w:t>
            </w:r>
          </w:p>
        </w:tc>
        <w:tc>
          <w:tcPr>
            <w:tcW w:w="1926" w:type="dxa"/>
            <w:vAlign w:val="bottom"/>
          </w:tcPr>
          <w:p w:rsidR="007C5423" w:rsidRPr="00F12AB8" w:rsidRDefault="007C5423" w:rsidP="00453EDA">
            <w:pPr>
              <w:pStyle w:val="Table2"/>
            </w:pPr>
            <w:r w:rsidRPr="00F12AB8">
              <w:t>(510) 849-4942</w:t>
            </w:r>
          </w:p>
        </w:tc>
      </w:tr>
      <w:tr w:rsidR="007C5423" w:rsidRPr="00F12AB8">
        <w:tc>
          <w:tcPr>
            <w:tcW w:w="2790" w:type="dxa"/>
            <w:vAlign w:val="bottom"/>
          </w:tcPr>
          <w:p w:rsidR="007C5423" w:rsidRPr="00F12AB8" w:rsidRDefault="007C5423" w:rsidP="00453EDA">
            <w:pPr>
              <w:pStyle w:val="Table2"/>
            </w:pPr>
            <w:r w:rsidRPr="00F12AB8">
              <w:t>Dr. John Riccobono</w:t>
            </w:r>
          </w:p>
        </w:tc>
        <w:tc>
          <w:tcPr>
            <w:tcW w:w="1584" w:type="dxa"/>
            <w:vAlign w:val="bottom"/>
          </w:tcPr>
          <w:p w:rsidR="007C5423" w:rsidRPr="00F12AB8" w:rsidRDefault="007C5423" w:rsidP="00453EDA">
            <w:pPr>
              <w:pStyle w:val="Table2"/>
            </w:pPr>
            <w:r w:rsidRPr="00F12AB8">
              <w:t>RTI</w:t>
            </w:r>
          </w:p>
        </w:tc>
        <w:tc>
          <w:tcPr>
            <w:tcW w:w="1926" w:type="dxa"/>
            <w:vAlign w:val="bottom"/>
          </w:tcPr>
          <w:p w:rsidR="007C5423" w:rsidRPr="00F12AB8" w:rsidRDefault="007C5423" w:rsidP="00453EDA">
            <w:pPr>
              <w:pStyle w:val="Table2"/>
            </w:pPr>
            <w:r w:rsidRPr="00F12AB8">
              <w:t>(919) 541-7006</w:t>
            </w:r>
          </w:p>
        </w:tc>
      </w:tr>
      <w:tr w:rsidR="007C5423" w:rsidRPr="00F12AB8">
        <w:tc>
          <w:tcPr>
            <w:tcW w:w="2790" w:type="dxa"/>
            <w:vAlign w:val="bottom"/>
          </w:tcPr>
          <w:p w:rsidR="007C5423" w:rsidRPr="00F12AB8" w:rsidRDefault="007C5423" w:rsidP="00453EDA">
            <w:pPr>
              <w:pStyle w:val="Table2"/>
            </w:pPr>
            <w:r w:rsidRPr="00F12AB8">
              <w:t>Dr. James Chromy</w:t>
            </w:r>
          </w:p>
        </w:tc>
        <w:tc>
          <w:tcPr>
            <w:tcW w:w="1584" w:type="dxa"/>
            <w:vAlign w:val="bottom"/>
          </w:tcPr>
          <w:p w:rsidR="007C5423" w:rsidRPr="00F12AB8" w:rsidRDefault="007C5423" w:rsidP="00453EDA">
            <w:pPr>
              <w:pStyle w:val="Table2"/>
            </w:pPr>
            <w:r w:rsidRPr="00F12AB8">
              <w:t>RTI</w:t>
            </w:r>
          </w:p>
        </w:tc>
        <w:tc>
          <w:tcPr>
            <w:tcW w:w="1926" w:type="dxa"/>
            <w:vAlign w:val="bottom"/>
          </w:tcPr>
          <w:p w:rsidR="007C5423" w:rsidRPr="00F12AB8" w:rsidRDefault="007C5423" w:rsidP="00453EDA">
            <w:pPr>
              <w:pStyle w:val="Table2"/>
            </w:pPr>
            <w:r w:rsidRPr="00F12AB8">
              <w:t>(919) 541-7019</w:t>
            </w:r>
          </w:p>
        </w:tc>
      </w:tr>
      <w:tr w:rsidR="007C5423" w:rsidRPr="00F12AB8">
        <w:tc>
          <w:tcPr>
            <w:tcW w:w="2790" w:type="dxa"/>
            <w:vAlign w:val="bottom"/>
          </w:tcPr>
          <w:p w:rsidR="007C5423" w:rsidRPr="00F12AB8" w:rsidRDefault="007C5423" w:rsidP="00453EDA">
            <w:pPr>
              <w:pStyle w:val="Table2"/>
            </w:pPr>
            <w:r w:rsidRPr="00F12AB8">
              <w:t>Mr. Peter Siegel</w:t>
            </w:r>
          </w:p>
        </w:tc>
        <w:tc>
          <w:tcPr>
            <w:tcW w:w="1584" w:type="dxa"/>
            <w:vAlign w:val="bottom"/>
          </w:tcPr>
          <w:p w:rsidR="007C5423" w:rsidRPr="00F12AB8" w:rsidRDefault="007C5423" w:rsidP="00453EDA">
            <w:pPr>
              <w:pStyle w:val="Table2"/>
            </w:pPr>
            <w:r w:rsidRPr="00F12AB8">
              <w:t>RTI</w:t>
            </w:r>
          </w:p>
        </w:tc>
        <w:tc>
          <w:tcPr>
            <w:tcW w:w="1926" w:type="dxa"/>
            <w:vAlign w:val="bottom"/>
          </w:tcPr>
          <w:p w:rsidR="007C5423" w:rsidRPr="00F12AB8" w:rsidRDefault="007C5423" w:rsidP="00453EDA">
            <w:pPr>
              <w:pStyle w:val="Table2"/>
            </w:pPr>
            <w:r w:rsidRPr="00F12AB8">
              <w:t>(919) 541-6348</w:t>
            </w:r>
          </w:p>
        </w:tc>
      </w:tr>
      <w:tr w:rsidR="007C5423" w:rsidRPr="00F12AB8">
        <w:tc>
          <w:tcPr>
            <w:tcW w:w="2790" w:type="dxa"/>
            <w:tcBorders>
              <w:bottom w:val="single" w:sz="12" w:space="0" w:color="auto"/>
            </w:tcBorders>
            <w:vAlign w:val="bottom"/>
          </w:tcPr>
          <w:p w:rsidR="007C5423" w:rsidRPr="00F12AB8" w:rsidRDefault="007C5423" w:rsidP="00453EDA">
            <w:pPr>
              <w:pStyle w:val="Table2"/>
              <w:keepNext w:val="0"/>
            </w:pPr>
            <w:r>
              <w:t>Dr. Jennifer Wine</w:t>
            </w:r>
          </w:p>
        </w:tc>
        <w:tc>
          <w:tcPr>
            <w:tcW w:w="1584" w:type="dxa"/>
            <w:tcBorders>
              <w:bottom w:val="single" w:sz="12" w:space="0" w:color="auto"/>
            </w:tcBorders>
            <w:vAlign w:val="bottom"/>
          </w:tcPr>
          <w:p w:rsidR="007C5423" w:rsidRPr="00F12AB8" w:rsidRDefault="007C5423" w:rsidP="00453EDA">
            <w:pPr>
              <w:pStyle w:val="Table2"/>
              <w:keepNext w:val="0"/>
            </w:pPr>
            <w:r>
              <w:t>RTI</w:t>
            </w:r>
          </w:p>
        </w:tc>
        <w:tc>
          <w:tcPr>
            <w:tcW w:w="1926" w:type="dxa"/>
            <w:tcBorders>
              <w:bottom w:val="single" w:sz="12" w:space="0" w:color="auto"/>
            </w:tcBorders>
            <w:vAlign w:val="bottom"/>
          </w:tcPr>
          <w:p w:rsidR="007C5423" w:rsidRPr="00F12AB8" w:rsidRDefault="007C5423" w:rsidP="00453EDA">
            <w:pPr>
              <w:pStyle w:val="Table2"/>
              <w:keepNext w:val="0"/>
            </w:pPr>
            <w:r>
              <w:t>(919) 541-6870</w:t>
            </w:r>
          </w:p>
        </w:tc>
      </w:tr>
    </w:tbl>
    <w:p w:rsidR="007C5423" w:rsidRPr="00F12AB8" w:rsidRDefault="007C5423" w:rsidP="006D175A">
      <w:pPr>
        <w:pStyle w:val="BodyText"/>
      </w:pPr>
      <w:r w:rsidRPr="00F12AB8">
        <w:t xml:space="preserve">In addition to these statisticians and survey design experts, the following statisticians at NCES have also reviewed and approved the statistical aspects of the study: </w:t>
      </w:r>
      <w:r>
        <w:t>Dr. Tom Weko, Dr. Tracy Hunt-White, and Ms. Linda Zimbler</w:t>
      </w:r>
      <w:r w:rsidRPr="00F12AB8">
        <w:t>.</w:t>
      </w:r>
    </w:p>
    <w:p w:rsidR="007C5423" w:rsidRPr="00F12AB8" w:rsidRDefault="007C5423" w:rsidP="00024A14">
      <w:pPr>
        <w:pStyle w:val="Heading2"/>
        <w:numPr>
          <w:ilvl w:val="1"/>
          <w:numId w:val="11"/>
        </w:numPr>
        <w:tabs>
          <w:tab w:val="clear" w:pos="1080"/>
        </w:tabs>
        <w:ind w:left="1080" w:hanging="540"/>
      </w:pPr>
      <w:bookmarkStart w:id="24" w:name="_Toc268593753"/>
      <w:r w:rsidRPr="00F12AB8">
        <w:t>Other Contractors’ Staff Responsible for Conducting the Study</w:t>
      </w:r>
      <w:bookmarkEnd w:id="24"/>
      <w:r w:rsidRPr="00F12AB8">
        <w:t xml:space="preserve"> </w:t>
      </w:r>
    </w:p>
    <w:p w:rsidR="007C5423" w:rsidRPr="00F12AB8" w:rsidRDefault="007C5423" w:rsidP="0005514E">
      <w:pPr>
        <w:pStyle w:val="BodyText"/>
      </w:pPr>
      <w:r w:rsidRPr="00F12AB8">
        <w:t>The study is being conducted by the Postsecondary</w:t>
      </w:r>
      <w:r>
        <w:t>, Adult, and Career Education (PACE)</w:t>
      </w:r>
      <w:r w:rsidRPr="00F12AB8">
        <w:t xml:space="preserve"> </w:t>
      </w:r>
      <w:r>
        <w:t xml:space="preserve">division </w:t>
      </w:r>
      <w:r w:rsidRPr="00F12AB8">
        <w:t>of the National Center for Education Statistics (NCES), U.S. Department of Education. NCES’s prime contractor is the RTI International (RTI). RTI is being assisted through subcontracted activities by MPR Associates</w:t>
      </w:r>
      <w:r>
        <w:t>, Branch Associates, Kforce Government Solutions, Inc. (KGS), Research Support Services, Millennium Services 2000+, Inc</w:t>
      </w:r>
      <w:r w:rsidRPr="00F12AB8">
        <w:t>.</w:t>
      </w:r>
      <w:r>
        <w:t>, and consultants.</w:t>
      </w:r>
      <w:r w:rsidRPr="00F12AB8">
        <w:t xml:space="preserve"> Principal professional staff of the contractors, not listed above, who are assigned to the study are </w:t>
      </w:r>
      <w:r>
        <w:t xml:space="preserve">identified </w:t>
      </w:r>
      <w:r w:rsidRPr="00F12AB8">
        <w:t>below:</w:t>
      </w:r>
    </w:p>
    <w:tbl>
      <w:tblPr>
        <w:tblW w:w="0" w:type="auto"/>
        <w:tblBorders>
          <w:top w:val="single" w:sz="12" w:space="0" w:color="auto"/>
          <w:bottom w:val="single" w:sz="12" w:space="0" w:color="auto"/>
        </w:tblBorders>
        <w:tblLook w:val="00A0"/>
      </w:tblPr>
      <w:tblGrid>
        <w:gridCol w:w="3359"/>
        <w:gridCol w:w="2401"/>
      </w:tblGrid>
      <w:tr w:rsidR="007C5423" w:rsidRPr="00453EDA">
        <w:tc>
          <w:tcPr>
            <w:tcW w:w="3359" w:type="dxa"/>
            <w:tcBorders>
              <w:top w:val="single" w:sz="12" w:space="0" w:color="auto"/>
              <w:bottom w:val="single" w:sz="6" w:space="0" w:color="auto"/>
            </w:tcBorders>
            <w:vAlign w:val="bottom"/>
          </w:tcPr>
          <w:p w:rsidR="007C5423" w:rsidRPr="00453EDA" w:rsidRDefault="007C5423" w:rsidP="00916E16">
            <w:pPr>
              <w:pStyle w:val="Table2"/>
              <w:ind w:left="0" w:firstLine="0"/>
            </w:pPr>
            <w:r w:rsidRPr="00453EDA">
              <w:t>Name</w:t>
            </w:r>
          </w:p>
        </w:tc>
        <w:tc>
          <w:tcPr>
            <w:tcW w:w="2401" w:type="dxa"/>
            <w:tcBorders>
              <w:top w:val="single" w:sz="12" w:space="0" w:color="auto"/>
              <w:bottom w:val="single" w:sz="6" w:space="0" w:color="auto"/>
            </w:tcBorders>
            <w:vAlign w:val="bottom"/>
          </w:tcPr>
          <w:p w:rsidR="007C5423" w:rsidRPr="00453EDA" w:rsidRDefault="007C5423" w:rsidP="00916E16">
            <w:pPr>
              <w:pStyle w:val="Table2"/>
              <w:ind w:left="0" w:firstLine="0"/>
            </w:pPr>
            <w:r w:rsidRPr="00453EDA">
              <w:t>Affiliation</w:t>
            </w:r>
          </w:p>
        </w:tc>
      </w:tr>
      <w:tr w:rsidR="007C5423" w:rsidRPr="00453EDA">
        <w:tc>
          <w:tcPr>
            <w:tcW w:w="3359" w:type="dxa"/>
            <w:vAlign w:val="bottom"/>
          </w:tcPr>
          <w:p w:rsidR="007C5423" w:rsidRPr="00453EDA" w:rsidRDefault="007C5423" w:rsidP="00916E16">
            <w:pPr>
              <w:pStyle w:val="Table2"/>
              <w:ind w:left="0" w:firstLine="0"/>
            </w:pPr>
            <w:r w:rsidRPr="00453EDA">
              <w:t>Dr. Alvia Branch</w:t>
            </w:r>
          </w:p>
        </w:tc>
        <w:tc>
          <w:tcPr>
            <w:tcW w:w="2401" w:type="dxa"/>
            <w:vAlign w:val="bottom"/>
          </w:tcPr>
          <w:p w:rsidR="007C5423" w:rsidRPr="00453EDA" w:rsidRDefault="007C5423" w:rsidP="00916E16">
            <w:pPr>
              <w:pStyle w:val="Table2"/>
              <w:ind w:left="0" w:firstLine="0"/>
            </w:pPr>
            <w:r w:rsidRPr="00453EDA">
              <w:t>Branch Associates</w:t>
            </w:r>
          </w:p>
        </w:tc>
      </w:tr>
      <w:tr w:rsidR="007C5423" w:rsidRPr="00453EDA">
        <w:tc>
          <w:tcPr>
            <w:tcW w:w="3359" w:type="dxa"/>
            <w:vAlign w:val="bottom"/>
          </w:tcPr>
          <w:p w:rsidR="007C5423" w:rsidRPr="00453EDA" w:rsidRDefault="007C5423" w:rsidP="00916E16">
            <w:pPr>
              <w:pStyle w:val="Table2"/>
              <w:ind w:left="0" w:firstLine="0"/>
            </w:pPr>
            <w:r w:rsidRPr="00453EDA">
              <w:t>Dr. Cynthia Decker</w:t>
            </w:r>
          </w:p>
        </w:tc>
        <w:tc>
          <w:tcPr>
            <w:tcW w:w="2401" w:type="dxa"/>
            <w:vAlign w:val="bottom"/>
          </w:tcPr>
          <w:p w:rsidR="007C5423" w:rsidRPr="00453EDA" w:rsidRDefault="007C5423" w:rsidP="00916E16">
            <w:pPr>
              <w:pStyle w:val="Table2"/>
              <w:ind w:left="0" w:firstLine="0"/>
            </w:pPr>
            <w:r w:rsidRPr="00453EDA">
              <w:t>Consultant</w:t>
            </w:r>
          </w:p>
        </w:tc>
      </w:tr>
      <w:tr w:rsidR="007C5423" w:rsidRPr="00453EDA">
        <w:tc>
          <w:tcPr>
            <w:tcW w:w="3359" w:type="dxa"/>
            <w:vAlign w:val="bottom"/>
          </w:tcPr>
          <w:p w:rsidR="007C5423" w:rsidRPr="00453EDA" w:rsidRDefault="007C5423" w:rsidP="00916E16">
            <w:pPr>
              <w:pStyle w:val="Table2"/>
              <w:ind w:left="0" w:firstLine="0"/>
            </w:pPr>
            <w:r w:rsidRPr="00453EDA">
              <w:t>Ms. Andrea Sykes</w:t>
            </w:r>
          </w:p>
        </w:tc>
        <w:tc>
          <w:tcPr>
            <w:tcW w:w="2401" w:type="dxa"/>
            <w:vAlign w:val="bottom"/>
          </w:tcPr>
          <w:p w:rsidR="007C5423" w:rsidRPr="00453EDA" w:rsidRDefault="007C5423" w:rsidP="00916E16">
            <w:pPr>
              <w:pStyle w:val="Table2"/>
              <w:ind w:left="0" w:firstLine="0"/>
            </w:pPr>
            <w:r w:rsidRPr="00453EDA">
              <w:t>Consultant</w:t>
            </w:r>
          </w:p>
        </w:tc>
      </w:tr>
      <w:tr w:rsidR="007C5423" w:rsidRPr="00453EDA">
        <w:tc>
          <w:tcPr>
            <w:tcW w:w="3359" w:type="dxa"/>
            <w:vAlign w:val="bottom"/>
          </w:tcPr>
          <w:p w:rsidR="007C5423" w:rsidRPr="00453EDA" w:rsidRDefault="007C5423" w:rsidP="00916E16">
            <w:pPr>
              <w:pStyle w:val="Table2"/>
              <w:ind w:left="0" w:firstLine="0"/>
            </w:pPr>
            <w:r w:rsidRPr="00453EDA">
              <w:t>Mr. Dan Heffron</w:t>
            </w:r>
          </w:p>
        </w:tc>
        <w:tc>
          <w:tcPr>
            <w:tcW w:w="2401" w:type="dxa"/>
            <w:vAlign w:val="bottom"/>
          </w:tcPr>
          <w:p w:rsidR="007C5423" w:rsidRPr="00453EDA" w:rsidRDefault="007C5423" w:rsidP="00916E16">
            <w:pPr>
              <w:pStyle w:val="Table2"/>
              <w:ind w:left="0" w:firstLine="0"/>
            </w:pPr>
            <w:r w:rsidRPr="00453EDA">
              <w:t>KGS</w:t>
            </w:r>
          </w:p>
        </w:tc>
      </w:tr>
      <w:tr w:rsidR="007C5423" w:rsidRPr="00453EDA">
        <w:tc>
          <w:tcPr>
            <w:tcW w:w="3359" w:type="dxa"/>
            <w:vAlign w:val="bottom"/>
          </w:tcPr>
          <w:p w:rsidR="007C5423" w:rsidRPr="00453EDA" w:rsidRDefault="007C5423" w:rsidP="00916E16">
            <w:pPr>
              <w:pStyle w:val="Table2"/>
              <w:ind w:left="0" w:firstLine="0"/>
            </w:pPr>
            <w:r w:rsidRPr="00453EDA">
              <w:t>Ms. Carmen Rivera</w:t>
            </w:r>
          </w:p>
        </w:tc>
        <w:tc>
          <w:tcPr>
            <w:tcW w:w="2401" w:type="dxa"/>
            <w:vAlign w:val="bottom"/>
          </w:tcPr>
          <w:p w:rsidR="007C5423" w:rsidRPr="00453EDA" w:rsidRDefault="007C5423" w:rsidP="00916E16">
            <w:pPr>
              <w:pStyle w:val="Table2"/>
              <w:ind w:left="0" w:firstLine="0"/>
            </w:pPr>
            <w:r w:rsidRPr="00453EDA">
              <w:t>Millennium Services</w:t>
            </w:r>
          </w:p>
        </w:tc>
      </w:tr>
      <w:tr w:rsidR="007C5423" w:rsidRPr="00453EDA">
        <w:tc>
          <w:tcPr>
            <w:tcW w:w="3359" w:type="dxa"/>
            <w:vAlign w:val="bottom"/>
          </w:tcPr>
          <w:p w:rsidR="007C5423" w:rsidRPr="00453EDA" w:rsidRDefault="007C5423" w:rsidP="00916E16">
            <w:pPr>
              <w:pStyle w:val="Table2"/>
              <w:ind w:left="0" w:firstLine="0"/>
            </w:pPr>
            <w:r w:rsidRPr="00453EDA">
              <w:t>Ms. Vicky Dingler</w:t>
            </w:r>
          </w:p>
        </w:tc>
        <w:tc>
          <w:tcPr>
            <w:tcW w:w="2401" w:type="dxa"/>
            <w:vAlign w:val="bottom"/>
          </w:tcPr>
          <w:p w:rsidR="007C5423" w:rsidRPr="00453EDA" w:rsidRDefault="007C5423" w:rsidP="00916E16">
            <w:pPr>
              <w:pStyle w:val="Table2"/>
              <w:ind w:left="0" w:firstLine="0"/>
            </w:pPr>
            <w:r w:rsidRPr="00453EDA">
              <w:t>MPR</w:t>
            </w:r>
          </w:p>
        </w:tc>
      </w:tr>
      <w:tr w:rsidR="007C5423" w:rsidRPr="00453EDA">
        <w:tc>
          <w:tcPr>
            <w:tcW w:w="3359" w:type="dxa"/>
            <w:vAlign w:val="bottom"/>
          </w:tcPr>
          <w:p w:rsidR="007C5423" w:rsidRPr="00453EDA" w:rsidRDefault="007C5423" w:rsidP="00916E16">
            <w:pPr>
              <w:pStyle w:val="Table2"/>
              <w:ind w:left="0" w:firstLine="0"/>
            </w:pPr>
            <w:r w:rsidRPr="00453EDA">
              <w:t>Ms. Laura Horn</w:t>
            </w:r>
          </w:p>
        </w:tc>
        <w:tc>
          <w:tcPr>
            <w:tcW w:w="2401" w:type="dxa"/>
            <w:vAlign w:val="bottom"/>
          </w:tcPr>
          <w:p w:rsidR="007C5423" w:rsidRPr="00453EDA" w:rsidRDefault="007C5423" w:rsidP="00916E16">
            <w:pPr>
              <w:pStyle w:val="Table2"/>
              <w:ind w:left="0" w:firstLine="0"/>
            </w:pPr>
            <w:r w:rsidRPr="00453EDA">
              <w:t>MPR</w:t>
            </w:r>
          </w:p>
        </w:tc>
      </w:tr>
      <w:tr w:rsidR="007C5423" w:rsidRPr="00453EDA">
        <w:tc>
          <w:tcPr>
            <w:tcW w:w="3359" w:type="dxa"/>
            <w:vAlign w:val="bottom"/>
          </w:tcPr>
          <w:p w:rsidR="007C5423" w:rsidRPr="00453EDA" w:rsidRDefault="007C5423" w:rsidP="00916E16">
            <w:pPr>
              <w:pStyle w:val="Table2"/>
              <w:ind w:left="0" w:firstLine="0"/>
            </w:pPr>
            <w:r w:rsidRPr="00453EDA">
              <w:t>Ms. Alexandria Radford</w:t>
            </w:r>
          </w:p>
        </w:tc>
        <w:tc>
          <w:tcPr>
            <w:tcW w:w="2401" w:type="dxa"/>
            <w:vAlign w:val="bottom"/>
          </w:tcPr>
          <w:p w:rsidR="007C5423" w:rsidRPr="00453EDA" w:rsidRDefault="007C5423" w:rsidP="00916E16">
            <w:pPr>
              <w:pStyle w:val="Table2"/>
              <w:ind w:left="0" w:firstLine="0"/>
            </w:pPr>
            <w:r w:rsidRPr="00453EDA">
              <w:t>MPR</w:t>
            </w:r>
          </w:p>
        </w:tc>
      </w:tr>
      <w:tr w:rsidR="007C5423" w:rsidRPr="00453EDA">
        <w:tc>
          <w:tcPr>
            <w:tcW w:w="3359" w:type="dxa"/>
            <w:vAlign w:val="bottom"/>
          </w:tcPr>
          <w:p w:rsidR="007C5423" w:rsidRPr="00453EDA" w:rsidRDefault="007C5423" w:rsidP="00916E16">
            <w:pPr>
              <w:pStyle w:val="Table2"/>
              <w:ind w:left="0" w:firstLine="0"/>
            </w:pPr>
            <w:r w:rsidRPr="00453EDA">
              <w:t>Dr. Jennie Woo</w:t>
            </w:r>
          </w:p>
        </w:tc>
        <w:tc>
          <w:tcPr>
            <w:tcW w:w="2401" w:type="dxa"/>
            <w:vAlign w:val="bottom"/>
          </w:tcPr>
          <w:p w:rsidR="007C5423" w:rsidRPr="00453EDA" w:rsidRDefault="007C5423" w:rsidP="00916E16">
            <w:pPr>
              <w:pStyle w:val="Table2"/>
              <w:ind w:left="0" w:firstLine="0"/>
            </w:pPr>
            <w:r w:rsidRPr="00453EDA">
              <w:t>MPR</w:t>
            </w:r>
          </w:p>
        </w:tc>
      </w:tr>
      <w:tr w:rsidR="007C5423" w:rsidRPr="00453EDA">
        <w:tc>
          <w:tcPr>
            <w:tcW w:w="3359" w:type="dxa"/>
            <w:vAlign w:val="bottom"/>
          </w:tcPr>
          <w:p w:rsidR="007C5423" w:rsidRPr="00453EDA" w:rsidRDefault="007C5423" w:rsidP="00916E16">
            <w:pPr>
              <w:pStyle w:val="Table2"/>
              <w:ind w:left="0" w:firstLine="0"/>
            </w:pPr>
            <w:r w:rsidRPr="00453EDA">
              <w:t>Dr. Alis</w:t>
            </w:r>
            <w:r w:rsidRPr="00916E16">
              <w:rPr>
                <w:rFonts w:ascii="Verdana" w:hAnsi="Verdana"/>
              </w:rPr>
              <w:t>ú</w:t>
            </w:r>
            <w:r w:rsidRPr="00453EDA">
              <w:t xml:space="preserve"> Shoua-Glusberg</w:t>
            </w:r>
          </w:p>
        </w:tc>
        <w:tc>
          <w:tcPr>
            <w:tcW w:w="2401" w:type="dxa"/>
            <w:vAlign w:val="bottom"/>
          </w:tcPr>
          <w:p w:rsidR="007C5423" w:rsidRPr="00453EDA" w:rsidRDefault="007C5423" w:rsidP="00916E16">
            <w:pPr>
              <w:pStyle w:val="Table2"/>
              <w:ind w:left="0" w:firstLine="0"/>
            </w:pPr>
            <w:r w:rsidRPr="00453EDA">
              <w:t>RSS</w:t>
            </w:r>
          </w:p>
        </w:tc>
      </w:tr>
      <w:tr w:rsidR="007C5423" w:rsidRPr="00453EDA">
        <w:tc>
          <w:tcPr>
            <w:tcW w:w="3359" w:type="dxa"/>
            <w:vAlign w:val="bottom"/>
          </w:tcPr>
          <w:p w:rsidR="007C5423" w:rsidRPr="00453EDA" w:rsidRDefault="007C5423" w:rsidP="00916E16">
            <w:pPr>
              <w:pStyle w:val="Table2"/>
              <w:ind w:left="0" w:firstLine="0"/>
            </w:pPr>
            <w:r w:rsidRPr="00453EDA">
              <w:t>Mr. Jeff Franklin</w:t>
            </w:r>
          </w:p>
        </w:tc>
        <w:tc>
          <w:tcPr>
            <w:tcW w:w="2401" w:type="dxa"/>
            <w:vAlign w:val="bottom"/>
          </w:tcPr>
          <w:p w:rsidR="007C5423" w:rsidRPr="00453EDA" w:rsidRDefault="007C5423" w:rsidP="00916E16">
            <w:pPr>
              <w:pStyle w:val="Table2"/>
              <w:ind w:left="0" w:firstLine="0"/>
            </w:pPr>
            <w:r w:rsidRPr="00453EDA">
              <w:t>RTI</w:t>
            </w:r>
          </w:p>
        </w:tc>
      </w:tr>
      <w:tr w:rsidR="007C5423" w:rsidRPr="00453EDA">
        <w:tc>
          <w:tcPr>
            <w:tcW w:w="3359" w:type="dxa"/>
            <w:vAlign w:val="bottom"/>
          </w:tcPr>
          <w:p w:rsidR="007C5423" w:rsidRPr="00453EDA" w:rsidRDefault="007C5423" w:rsidP="00916E16">
            <w:pPr>
              <w:pStyle w:val="Table2"/>
              <w:ind w:left="0" w:firstLine="0"/>
            </w:pPr>
            <w:r w:rsidRPr="00453EDA">
              <w:t>Mr. Tim Gabel</w:t>
            </w:r>
          </w:p>
        </w:tc>
        <w:tc>
          <w:tcPr>
            <w:tcW w:w="2401" w:type="dxa"/>
            <w:vAlign w:val="bottom"/>
          </w:tcPr>
          <w:p w:rsidR="007C5423" w:rsidRPr="00453EDA" w:rsidRDefault="007C5423" w:rsidP="00916E16">
            <w:pPr>
              <w:pStyle w:val="Table2"/>
              <w:ind w:left="0" w:firstLine="0"/>
            </w:pPr>
            <w:r w:rsidRPr="00453EDA">
              <w:t>RTI</w:t>
            </w:r>
          </w:p>
        </w:tc>
      </w:tr>
      <w:tr w:rsidR="007C5423" w:rsidRPr="00453EDA">
        <w:tc>
          <w:tcPr>
            <w:tcW w:w="3359" w:type="dxa"/>
            <w:vAlign w:val="bottom"/>
          </w:tcPr>
          <w:p w:rsidR="007C5423" w:rsidRPr="00453EDA" w:rsidRDefault="007C5423" w:rsidP="00916E16">
            <w:pPr>
              <w:pStyle w:val="Table2"/>
              <w:ind w:left="0" w:firstLine="0"/>
            </w:pPr>
            <w:r w:rsidRPr="00453EDA">
              <w:t>Ms. Christine Rasmussen</w:t>
            </w:r>
          </w:p>
        </w:tc>
        <w:tc>
          <w:tcPr>
            <w:tcW w:w="2401" w:type="dxa"/>
            <w:vAlign w:val="bottom"/>
          </w:tcPr>
          <w:p w:rsidR="007C5423" w:rsidRPr="00453EDA" w:rsidRDefault="007C5423" w:rsidP="00916E16">
            <w:pPr>
              <w:pStyle w:val="Table2"/>
              <w:ind w:left="0" w:firstLine="0"/>
            </w:pPr>
            <w:r w:rsidRPr="00453EDA">
              <w:t>RTI</w:t>
            </w:r>
          </w:p>
        </w:tc>
      </w:tr>
      <w:tr w:rsidR="007C5423" w:rsidRPr="00453EDA">
        <w:tc>
          <w:tcPr>
            <w:tcW w:w="3359" w:type="dxa"/>
            <w:vAlign w:val="bottom"/>
          </w:tcPr>
          <w:p w:rsidR="007C5423" w:rsidRPr="00453EDA" w:rsidRDefault="007C5423" w:rsidP="00916E16">
            <w:pPr>
              <w:pStyle w:val="Table2"/>
              <w:ind w:left="0" w:firstLine="0"/>
            </w:pPr>
            <w:r w:rsidRPr="00453EDA">
              <w:t>Ms. Melissa Cominole</w:t>
            </w:r>
          </w:p>
        </w:tc>
        <w:tc>
          <w:tcPr>
            <w:tcW w:w="2401" w:type="dxa"/>
            <w:vAlign w:val="bottom"/>
          </w:tcPr>
          <w:p w:rsidR="007C5423" w:rsidRPr="00453EDA" w:rsidRDefault="007C5423" w:rsidP="00916E16">
            <w:pPr>
              <w:pStyle w:val="Table2"/>
              <w:ind w:left="0" w:firstLine="0"/>
            </w:pPr>
            <w:r w:rsidRPr="00453EDA">
              <w:t>RTI</w:t>
            </w:r>
          </w:p>
        </w:tc>
      </w:tr>
      <w:tr w:rsidR="007C5423" w:rsidRPr="00453EDA">
        <w:tc>
          <w:tcPr>
            <w:tcW w:w="3359" w:type="dxa"/>
            <w:vAlign w:val="bottom"/>
          </w:tcPr>
          <w:p w:rsidR="007C5423" w:rsidRPr="00453EDA" w:rsidRDefault="007C5423" w:rsidP="00916E16">
            <w:pPr>
              <w:pStyle w:val="Table2"/>
              <w:ind w:left="0" w:firstLine="0"/>
            </w:pPr>
            <w:r w:rsidRPr="00453EDA">
              <w:t>Ms. Kristin Dudley</w:t>
            </w:r>
          </w:p>
        </w:tc>
        <w:tc>
          <w:tcPr>
            <w:tcW w:w="2401" w:type="dxa"/>
            <w:vAlign w:val="bottom"/>
          </w:tcPr>
          <w:p w:rsidR="007C5423" w:rsidRPr="00453EDA" w:rsidRDefault="007C5423" w:rsidP="00916E16">
            <w:pPr>
              <w:pStyle w:val="Table2"/>
              <w:ind w:left="0" w:firstLine="0"/>
            </w:pPr>
            <w:r w:rsidRPr="00453EDA">
              <w:t>RTI</w:t>
            </w:r>
          </w:p>
        </w:tc>
      </w:tr>
      <w:tr w:rsidR="007C5423" w:rsidRPr="00916E16">
        <w:tc>
          <w:tcPr>
            <w:tcW w:w="3359" w:type="dxa"/>
            <w:tcBorders>
              <w:bottom w:val="single" w:sz="12" w:space="0" w:color="auto"/>
            </w:tcBorders>
            <w:vAlign w:val="bottom"/>
          </w:tcPr>
          <w:p w:rsidR="007C5423" w:rsidRPr="00453EDA" w:rsidRDefault="007C5423" w:rsidP="00916E16">
            <w:pPr>
              <w:pStyle w:val="Table2"/>
              <w:ind w:left="0" w:firstLine="0"/>
            </w:pPr>
            <w:r w:rsidRPr="00453EDA">
              <w:t>Mr. Brian Kuhr</w:t>
            </w:r>
          </w:p>
        </w:tc>
        <w:tc>
          <w:tcPr>
            <w:tcW w:w="2401" w:type="dxa"/>
            <w:tcBorders>
              <w:bottom w:val="single" w:sz="12" w:space="0" w:color="auto"/>
            </w:tcBorders>
            <w:vAlign w:val="bottom"/>
          </w:tcPr>
          <w:p w:rsidR="007C5423" w:rsidRPr="00453EDA" w:rsidRDefault="007C5423" w:rsidP="00916E16">
            <w:pPr>
              <w:pStyle w:val="Table2"/>
              <w:ind w:left="0" w:firstLine="0"/>
            </w:pPr>
            <w:r w:rsidRPr="00453EDA">
              <w:t>RTI</w:t>
            </w:r>
          </w:p>
        </w:tc>
      </w:tr>
    </w:tbl>
    <w:p w:rsidR="007C5423" w:rsidRPr="00453EDA" w:rsidRDefault="007C5423" w:rsidP="00453EDA"/>
    <w:p w:rsidR="007C5423" w:rsidRPr="00453EDA" w:rsidRDefault="007C5423" w:rsidP="00453EDA"/>
    <w:p w:rsidR="007C5423" w:rsidRPr="00453EDA" w:rsidRDefault="007C5423" w:rsidP="00453EDA"/>
    <w:p w:rsidR="007C5423" w:rsidRPr="00453EDA" w:rsidRDefault="007C5423" w:rsidP="00453EDA"/>
    <w:p w:rsidR="007C5423" w:rsidRDefault="007C5423" w:rsidP="0005514E"/>
    <w:p w:rsidR="007C5423" w:rsidRPr="00F12AB8" w:rsidRDefault="007C5423" w:rsidP="0005514E">
      <w:pPr>
        <w:pStyle w:val="Heading7"/>
        <w:pBdr>
          <w:bottom w:val="single" w:sz="12" w:space="1" w:color="auto"/>
        </w:pBdr>
        <w:tabs>
          <w:tab w:val="left" w:pos="-1440"/>
          <w:tab w:val="left" w:pos="-720"/>
          <w:tab w:val="left" w:pos="0"/>
          <w:tab w:val="left" w:pos="732"/>
          <w:tab w:val="left" w:pos="4026"/>
          <w:tab w:val="left" w:pos="6480"/>
          <w:tab w:val="left" w:pos="7200"/>
          <w:tab w:val="left" w:pos="7920"/>
          <w:tab w:val="left" w:pos="8640"/>
          <w:tab w:val="left" w:pos="9360"/>
        </w:tabs>
        <w:jc w:val="left"/>
        <w:sectPr w:rsidR="007C5423" w:rsidRPr="00F12AB8" w:rsidSect="00B343D1">
          <w:headerReference w:type="even" r:id="rId36"/>
          <w:headerReference w:type="default" r:id="rId37"/>
          <w:footerReference w:type="even" r:id="rId38"/>
          <w:footerReference w:type="default" r:id="rId39"/>
          <w:type w:val="evenPage"/>
          <w:pgSz w:w="12240" w:h="15840" w:code="1"/>
          <w:pgMar w:top="1440" w:right="1440" w:bottom="1440" w:left="1440" w:header="720" w:footer="720" w:gutter="0"/>
          <w:cols w:space="720"/>
        </w:sectPr>
      </w:pPr>
    </w:p>
    <w:p w:rsidR="007C5423" w:rsidRDefault="007C5423">
      <w:pPr>
        <w:pStyle w:val="Heading1"/>
        <w:numPr>
          <w:ilvl w:val="0"/>
          <w:numId w:val="17"/>
        </w:numPr>
      </w:pPr>
      <w:bookmarkStart w:id="25" w:name="_Toc268593754"/>
      <w:bookmarkStart w:id="26" w:name="OLE_LINK3"/>
      <w:bookmarkStart w:id="27" w:name="OLE_LINK4"/>
      <w:r w:rsidRPr="00F12AB8">
        <w:t>Overview of Analysis Topics and Survey Items</w:t>
      </w:r>
      <w:bookmarkEnd w:id="25"/>
    </w:p>
    <w:p w:rsidR="007C5423" w:rsidRDefault="007C5423" w:rsidP="000F02ED">
      <w:pPr>
        <w:pStyle w:val="BodyText"/>
      </w:pPr>
      <w:r>
        <w:t xml:space="preserve">The two NPSAS:12 data collection instruments (including a facsimile of the student interview and a table showing data elements to be collected from student records) are presented in Appendix H. Many of the data elements to be used in NPSAS:12 appeared in the previously approved NPSAS:04 and NPSAS: 96 studies (the last NPSAS studies to include a BPS cohort). Additional items will also be included in NPSAS:12.  These items have been tested with focus groups, and cognitive testing will be conducted prior to field test data collection. </w:t>
      </w:r>
    </w:p>
    <w:bookmarkEnd w:id="26"/>
    <w:bookmarkEnd w:id="27"/>
    <w:p w:rsidR="007C5423" w:rsidRPr="00F12AB8" w:rsidRDefault="007C5423" w:rsidP="000F02ED">
      <w:pPr>
        <w:pStyle w:val="BodyText"/>
      </w:pPr>
      <w:r w:rsidRPr="00F12AB8">
        <w:t>NPSAS is a particularly complex survey because it uses a large variety of sources and several sources may be available for the same data element. These sources</w:t>
      </w:r>
      <w:r>
        <w:t xml:space="preserve"> include</w:t>
      </w:r>
      <w:r w:rsidRPr="00F12AB8">
        <w:t>:</w:t>
      </w:r>
    </w:p>
    <w:p w:rsidR="007C5423" w:rsidRPr="00453EDA" w:rsidRDefault="007C5423" w:rsidP="00741A8F">
      <w:pPr>
        <w:pStyle w:val="bulletround"/>
      </w:pPr>
      <w:r>
        <w:t>Student records</w:t>
      </w:r>
      <w:r w:rsidRPr="00453EDA">
        <w:t xml:space="preserve">: </w:t>
      </w:r>
      <w:r>
        <w:t>Student-level d</w:t>
      </w:r>
      <w:r w:rsidRPr="00453EDA">
        <w:t xml:space="preserve">ata from institutional records collected through a </w:t>
      </w:r>
      <w:r>
        <w:t>secure web application</w:t>
      </w:r>
      <w:r w:rsidRPr="00453EDA">
        <w:t>. These include records from the registrar, bursar, and financial aid office.</w:t>
      </w:r>
    </w:p>
    <w:p w:rsidR="007C5423" w:rsidRPr="00453EDA" w:rsidRDefault="007C5423" w:rsidP="0077432C">
      <w:pPr>
        <w:pStyle w:val="bulletround"/>
      </w:pPr>
      <w:r>
        <w:t>Student interviews</w:t>
      </w:r>
      <w:r w:rsidRPr="00453EDA">
        <w:t xml:space="preserve">: Data from student interviews using either the web-based self-administered </w:t>
      </w:r>
      <w:r>
        <w:t xml:space="preserve">or </w:t>
      </w:r>
      <w:r w:rsidRPr="00453EDA">
        <w:t xml:space="preserve">telephone interview. </w:t>
      </w:r>
    </w:p>
    <w:p w:rsidR="007C5423" w:rsidRPr="00453EDA" w:rsidRDefault="007C5423" w:rsidP="00EB5ACE">
      <w:pPr>
        <w:pStyle w:val="bulletround"/>
      </w:pPr>
      <w:r w:rsidRPr="00453EDA">
        <w:t xml:space="preserve">ACT: Data from American College Testing service files on ACT college entrance examinations and student questionnaires. </w:t>
      </w:r>
    </w:p>
    <w:p w:rsidR="007C5423" w:rsidRPr="00453EDA" w:rsidRDefault="007C5423" w:rsidP="00EB5ACE">
      <w:pPr>
        <w:pStyle w:val="bulletround"/>
      </w:pPr>
      <w:r w:rsidRPr="00453EDA">
        <w:t>FAFSA: Data from the Central Processing System (CPS) for Free Application for Federal Student Aid (FAFSA), which includes student and parent demographic, income and asset information, and expected family contribution used in need analysis. The records are called Institutional Student Information Reports (ISIR).</w:t>
      </w:r>
    </w:p>
    <w:p w:rsidR="007C5423" w:rsidRPr="00453EDA" w:rsidRDefault="007C5423" w:rsidP="00EB5ACE">
      <w:pPr>
        <w:pStyle w:val="bulletround"/>
      </w:pPr>
      <w:r w:rsidRPr="00453EDA">
        <w:t>IPEDS: Data from the Integrated Postsecondary Education Data System (IPEDS) which includes institutional characteristics and enrollment.</w:t>
      </w:r>
    </w:p>
    <w:p w:rsidR="007C5423" w:rsidRDefault="007C5423" w:rsidP="00EB5ACE">
      <w:pPr>
        <w:pStyle w:val="bulletround"/>
      </w:pPr>
      <w:r w:rsidRPr="00453EDA">
        <w:t xml:space="preserve">NSLDS: Data from the U.S. Department of Education's National Student Loan Data system (NSLDS), which has a record of all individual student loans ever borrowed and all Pell Grant payments since 1994. </w:t>
      </w:r>
    </w:p>
    <w:p w:rsidR="007C5423" w:rsidRPr="00453EDA" w:rsidRDefault="007C5423" w:rsidP="00EB5ACE">
      <w:pPr>
        <w:pStyle w:val="bulletround"/>
      </w:pPr>
      <w:r>
        <w:t>NSC: Data from the National Student Clearinghouse’s Student Tracker file, which includes student-level data on institutions attended, enrollment dates, and degree completion.</w:t>
      </w:r>
    </w:p>
    <w:p w:rsidR="007C5423" w:rsidRDefault="007C5423" w:rsidP="00EB5ACE">
      <w:pPr>
        <w:pStyle w:val="BodyText"/>
      </w:pPr>
      <w:r w:rsidRPr="00453EDA">
        <w:t>SAT: Data from the College Board files of SAT college entrance examinations</w:t>
      </w:r>
      <w:r>
        <w:t>.</w:t>
      </w:r>
    </w:p>
    <w:p w:rsidR="007C5423" w:rsidRDefault="007C5423" w:rsidP="005D3F81">
      <w:pPr>
        <w:pStyle w:val="BodyText"/>
        <w:ind w:firstLine="0"/>
      </w:pPr>
    </w:p>
    <w:p w:rsidR="007C5423" w:rsidRDefault="007C5423" w:rsidP="00E730D4">
      <w:pPr>
        <w:pStyle w:val="BodyText"/>
        <w:pBdr>
          <w:top w:val="single" w:sz="4" w:space="1" w:color="auto"/>
          <w:left w:val="single" w:sz="4" w:space="4" w:color="auto"/>
          <w:bottom w:val="single" w:sz="4" w:space="1" w:color="auto"/>
          <w:right w:val="single" w:sz="4" w:space="4" w:color="auto"/>
        </w:pBdr>
        <w:ind w:firstLine="0"/>
        <w:sectPr w:rsidR="007C5423" w:rsidSect="00453EDA">
          <w:headerReference w:type="even" r:id="rId40"/>
          <w:headerReference w:type="default" r:id="rId41"/>
          <w:footerReference w:type="even" r:id="rId42"/>
          <w:headerReference w:type="first" r:id="rId43"/>
          <w:footerReference w:type="first" r:id="rId44"/>
          <w:type w:val="oddPage"/>
          <w:pgSz w:w="12240" w:h="15840" w:code="1"/>
          <w:pgMar w:top="1440" w:right="1440" w:bottom="1440" w:left="1440" w:header="720" w:footer="720" w:gutter="0"/>
          <w:cols w:sep="1" w:space="720"/>
          <w:titlePg/>
          <w:rtlGutter/>
        </w:sectPr>
      </w:pPr>
    </w:p>
    <w:p w:rsidR="007C5423" w:rsidRPr="00F12AB8" w:rsidRDefault="007C5423" w:rsidP="00024A14">
      <w:pPr>
        <w:pStyle w:val="Heading1"/>
        <w:numPr>
          <w:ilvl w:val="0"/>
          <w:numId w:val="11"/>
        </w:numPr>
        <w:tabs>
          <w:tab w:val="clear" w:pos="360"/>
        </w:tabs>
        <w:ind w:left="540" w:hanging="540"/>
      </w:pPr>
      <w:bookmarkStart w:id="28" w:name="_Toc131923923"/>
      <w:bookmarkStart w:id="29" w:name="_Toc268593755"/>
      <w:r w:rsidRPr="00F12AB8">
        <w:t>References</w:t>
      </w:r>
      <w:bookmarkEnd w:id="28"/>
      <w:bookmarkEnd w:id="29"/>
    </w:p>
    <w:p w:rsidR="007C5423" w:rsidRPr="0056433E" w:rsidRDefault="007C5423" w:rsidP="00DF03AA">
      <w:pPr>
        <w:pStyle w:val="Biblio"/>
      </w:pPr>
      <w:r w:rsidRPr="0056433E">
        <w:t xml:space="preserve">Aaker, D. A. (1991). </w:t>
      </w:r>
      <w:r w:rsidRPr="0056433E">
        <w:rPr>
          <w:i/>
          <w:iCs/>
        </w:rPr>
        <w:t>Managing Brand Equity</w:t>
      </w:r>
      <w:r w:rsidRPr="0056433E">
        <w:t>. New York: Free Press</w:t>
      </w:r>
    </w:p>
    <w:p w:rsidR="007C5423" w:rsidRPr="00F12AB8" w:rsidRDefault="007C5423" w:rsidP="00613103">
      <w:pPr>
        <w:pStyle w:val="Biblio"/>
      </w:pPr>
      <w:r w:rsidRPr="00F12AB8">
        <w:t xml:space="preserve">Abreu, D., and Winters, F. (1999). </w:t>
      </w:r>
      <w:r w:rsidRPr="00F12AB8">
        <w:rPr>
          <w:i/>
        </w:rPr>
        <w:t>Using Monetary Incentives to Reduce Attrition in the Survey of Income and Program Participation.</w:t>
      </w:r>
      <w:r w:rsidRPr="00F12AB8">
        <w:t xml:space="preserve"> Paper presented at the annual conference of the American Association of Public Opinion Research.</w:t>
      </w:r>
    </w:p>
    <w:p w:rsidR="007C5423" w:rsidRPr="00F12AB8" w:rsidRDefault="007C5423" w:rsidP="00613103">
      <w:pPr>
        <w:pStyle w:val="Biblio"/>
      </w:pPr>
      <w:r w:rsidRPr="00F12AB8">
        <w:t xml:space="preserve">Biber, M., Link, M., Riccobono, J. and Siegel, P. (2000) </w:t>
      </w:r>
      <w:r w:rsidRPr="00F12AB8">
        <w:rPr>
          <w:i/>
          <w:iCs/>
        </w:rPr>
        <w:t>National Postsecondary Student Aid Study: 2000 Field Test Methodology Report</w:t>
      </w:r>
      <w:r w:rsidRPr="00F12AB8">
        <w:t xml:space="preserve"> (NCES 2000-17) U.S. Department of Education. Washington, DC: National Center for Education Statistics. Retrieved 4/7/06 from http://nces.ed.gov/pubs2000/200017.pdf.</w:t>
      </w:r>
    </w:p>
    <w:p w:rsidR="007C5423" w:rsidRPr="00F12AB8" w:rsidRDefault="007C5423" w:rsidP="00613103">
      <w:pPr>
        <w:pStyle w:val="Biblio"/>
      </w:pPr>
      <w:r w:rsidRPr="00F12AB8">
        <w:t xml:space="preserve">Cominole, M., Siegel, P., Dudley, K., Roe, D., and Gilligan, T. </w:t>
      </w:r>
      <w:r w:rsidRPr="00F12AB8">
        <w:rPr>
          <w:i/>
        </w:rPr>
        <w:t xml:space="preserve">2004 National Postsecondary Student Aid Study (NPSAS:04) Full Scale Methodology Report </w:t>
      </w:r>
      <w:r w:rsidRPr="00F12AB8">
        <w:t xml:space="preserve">(NCES 2006–180). U.S. Department of Education. Washington, DC: National Center for Education Statistics. </w:t>
      </w:r>
    </w:p>
    <w:p w:rsidR="007C5423" w:rsidRPr="00F12AB8" w:rsidRDefault="007C5423" w:rsidP="00613103">
      <w:pPr>
        <w:pStyle w:val="Biblio"/>
      </w:pPr>
      <w:r w:rsidRPr="00F12AB8">
        <w:t xml:space="preserve">Couper, M., Mathiowetz, N., Singer, E. (1995). Related Households, Mail Handling and Returns to the 1990 Census. </w:t>
      </w:r>
      <w:r w:rsidRPr="00F12AB8">
        <w:rPr>
          <w:i/>
        </w:rPr>
        <w:t>International Journal of Public Opinion Research. 7</w:t>
      </w:r>
      <w:r w:rsidRPr="00F12AB8">
        <w:t>(2):172-177.</w:t>
      </w:r>
    </w:p>
    <w:p w:rsidR="007C5423" w:rsidRPr="00F12AB8" w:rsidRDefault="007C5423" w:rsidP="00613103">
      <w:pPr>
        <w:pStyle w:val="Biblio"/>
      </w:pPr>
      <w:r w:rsidRPr="00F12AB8">
        <w:t xml:space="preserve">Curtin, R., Presser, S., and Singer, E. (2005). Changes in Telephone Survey Nonresponse over the Past Quarter Century. </w:t>
      </w:r>
      <w:r w:rsidRPr="00F12AB8">
        <w:rPr>
          <w:i/>
        </w:rPr>
        <w:t>Public Opinion Quarterly, 69</w:t>
      </w:r>
      <w:r w:rsidRPr="00F12AB8">
        <w:t>(1): 87-98.</w:t>
      </w:r>
    </w:p>
    <w:p w:rsidR="007C5423" w:rsidRPr="00F12AB8" w:rsidRDefault="007C5423" w:rsidP="00613103">
      <w:pPr>
        <w:pStyle w:val="Biblio"/>
      </w:pPr>
      <w:r w:rsidRPr="00F12AB8">
        <w:t xml:space="preserve">Dillman, D.A. (2000). </w:t>
      </w:r>
      <w:r w:rsidRPr="00F12AB8">
        <w:rPr>
          <w:i/>
        </w:rPr>
        <w:t>Mail and Internet Surveys: The Tailored Design Method.</w:t>
      </w:r>
      <w:r w:rsidRPr="00F12AB8">
        <w:t xml:space="preserve"> New York: John Wiley &amp; Sons, Inc.</w:t>
      </w:r>
    </w:p>
    <w:p w:rsidR="007C5423" w:rsidRPr="00F12AB8" w:rsidRDefault="007C5423" w:rsidP="00DF03AA">
      <w:pPr>
        <w:pStyle w:val="Biblio"/>
      </w:pPr>
      <w:r w:rsidRPr="00F12AB8">
        <w:t xml:space="preserve">Fahimi, M. (2005, August). </w:t>
      </w:r>
      <w:r w:rsidRPr="00F12AB8">
        <w:rPr>
          <w:i/>
        </w:rPr>
        <w:t>Analysis of Incentive Experiment Data for NPSAS.</w:t>
      </w:r>
      <w:r w:rsidRPr="00F12AB8">
        <w:t xml:space="preserve"> Paper presented at The Sixth International Conference on Social Science Methodology, Amsterdam, Netherlands.</w:t>
      </w:r>
    </w:p>
    <w:p w:rsidR="007C5423" w:rsidRPr="0056433E" w:rsidRDefault="007C5423" w:rsidP="00DF03AA">
      <w:pPr>
        <w:pStyle w:val="Biblio"/>
      </w:pPr>
      <w:r w:rsidRPr="0056433E">
        <w:t xml:space="preserve">Gladden, J. M., Milne, G. R., &amp; Sutton, W. A. (1998). A conceptual framework for assessing brand equity in Division I college athletics. </w:t>
      </w:r>
      <w:r w:rsidRPr="0056433E">
        <w:rPr>
          <w:i/>
          <w:iCs/>
        </w:rPr>
        <w:t>Journal of Sports Management, 12</w:t>
      </w:r>
      <w:r w:rsidRPr="0056433E">
        <w:t>(1), 1-19.</w:t>
      </w:r>
    </w:p>
    <w:p w:rsidR="007C5423" w:rsidRPr="00F12AB8" w:rsidRDefault="007C5423" w:rsidP="00613103">
      <w:pPr>
        <w:pStyle w:val="Biblio"/>
      </w:pPr>
      <w:r w:rsidRPr="00F12AB8">
        <w:t xml:space="preserve">Goldstein, K.M., and Jennings, M.K. (2002). The Effect of Advance Letters on Cooperation in a List Sample Telephone Survey. </w:t>
      </w:r>
      <w:r w:rsidRPr="00F12AB8">
        <w:rPr>
          <w:i/>
        </w:rPr>
        <w:t>Public Opinion Quarterly, 66</w:t>
      </w:r>
      <w:r w:rsidRPr="00F12AB8">
        <w:t>(4): 608-617.</w:t>
      </w:r>
    </w:p>
    <w:p w:rsidR="007C5423" w:rsidRPr="00F12AB8" w:rsidRDefault="007C5423" w:rsidP="00613103">
      <w:pPr>
        <w:pStyle w:val="Biblio"/>
      </w:pPr>
      <w:r w:rsidRPr="00F12AB8">
        <w:t xml:space="preserve">Groves, Fowler, Couper, Lepkowski, Singer, Tourangeau. 2004. </w:t>
      </w:r>
      <w:r w:rsidRPr="00F12AB8">
        <w:rPr>
          <w:i/>
          <w:iCs/>
        </w:rPr>
        <w:t>Survey Methodology</w:t>
      </w:r>
      <w:r w:rsidRPr="00F12AB8">
        <w:t>. Hoboken, New Jersey: John Wiley co.</w:t>
      </w:r>
    </w:p>
    <w:p w:rsidR="007C5423" w:rsidRPr="0056433E" w:rsidRDefault="007C5423" w:rsidP="00DF03AA">
      <w:pPr>
        <w:pStyle w:val="Biblio"/>
        <w:rPr>
          <w:noProof/>
        </w:rPr>
      </w:pPr>
      <w:r w:rsidRPr="0056433E">
        <w:rPr>
          <w:noProof/>
        </w:rPr>
        <w:t xml:space="preserve">Groves, R. M., &amp; Heeringa, S. (2006). Responsive design for household surveys: tools for actively controlling survey errors and costs. </w:t>
      </w:r>
      <w:r w:rsidRPr="0056433E">
        <w:rPr>
          <w:i/>
          <w:iCs/>
          <w:noProof/>
        </w:rPr>
        <w:t>Journal of the Royal Statistical Society Series A: Statistics in Society, 169</w:t>
      </w:r>
      <w:r w:rsidRPr="0056433E">
        <w:rPr>
          <w:noProof/>
        </w:rPr>
        <w:t>(Part 3), 439-457.</w:t>
      </w:r>
    </w:p>
    <w:p w:rsidR="007C5423" w:rsidRPr="00F12AB8" w:rsidRDefault="007C5423" w:rsidP="00613103">
      <w:pPr>
        <w:pStyle w:val="Biblio"/>
      </w:pPr>
      <w:r w:rsidRPr="00F12AB8">
        <w:t xml:space="preserve">Heberlein, T.A., and Baumgartner, R. (1978). Factors Affecting Response Rates to Mailed Questionnaires: A Quantitative Analysis of the Published Literature. </w:t>
      </w:r>
      <w:r w:rsidRPr="00F12AB8">
        <w:rPr>
          <w:i/>
        </w:rPr>
        <w:t>American Sociological Review, 43(</w:t>
      </w:r>
      <w:r w:rsidRPr="00F12AB8">
        <w:t>4): 447-462.</w:t>
      </w:r>
    </w:p>
    <w:p w:rsidR="007C5423" w:rsidRPr="00F12AB8" w:rsidRDefault="007C5423" w:rsidP="00613103">
      <w:pPr>
        <w:pStyle w:val="Biblio"/>
      </w:pPr>
      <w:r w:rsidRPr="00F12AB8">
        <w:t xml:space="preserve">Kovac, M. and Markesich, J. (2002, May). </w:t>
      </w:r>
      <w:r w:rsidRPr="00F12AB8">
        <w:rPr>
          <w:i/>
        </w:rPr>
        <w:t>Tiered Incentive Payments: Getting the Most Bang for Your Buck.</w:t>
      </w:r>
      <w:r w:rsidRPr="00F12AB8">
        <w:t xml:space="preserve"> Paper presented at the annual conference of the American Association of Public Opinion Research, St. Pete Beach, Florida.</w:t>
      </w:r>
    </w:p>
    <w:p w:rsidR="007C5423" w:rsidRPr="00F12AB8" w:rsidRDefault="007C5423" w:rsidP="00613103">
      <w:pPr>
        <w:pStyle w:val="Biblio"/>
      </w:pPr>
      <w:r w:rsidRPr="00F12AB8">
        <w:t xml:space="preserve">Leeuw, E., Hox, J., Korendijk, E., and Lensvelt-Mulders, G. (2006). </w:t>
      </w:r>
      <w:r w:rsidRPr="00F12AB8">
        <w:rPr>
          <w:i/>
        </w:rPr>
        <w:t>The Influence of Advance Letters on Response in Telephone Surveys: A Meta-Analysis.</w:t>
      </w:r>
      <w:r w:rsidRPr="00F12AB8">
        <w:t xml:space="preserve"> Paper presented at the Second International Conference on Telephone Survey Methodology, Miami, Florida.</w:t>
      </w:r>
    </w:p>
    <w:p w:rsidR="007C5423" w:rsidRPr="0056433E" w:rsidRDefault="007C5423" w:rsidP="00DF03AA">
      <w:pPr>
        <w:pStyle w:val="Biblio"/>
        <w:rPr>
          <w:noProof/>
        </w:rPr>
      </w:pPr>
      <w:r w:rsidRPr="0056433E">
        <w:rPr>
          <w:noProof/>
        </w:rPr>
        <w:t xml:space="preserve">Merkle, D. M., &amp; Edelman, M. (2009). An Experiment on Improving Response Rates and Its Unintended Impact on Survey Error. </w:t>
      </w:r>
      <w:r w:rsidRPr="0056433E">
        <w:rPr>
          <w:i/>
          <w:noProof/>
        </w:rPr>
        <w:t xml:space="preserve">Survey Practice, </w:t>
      </w:r>
      <w:r w:rsidRPr="0056433E">
        <w:rPr>
          <w:noProof/>
        </w:rPr>
        <w:t>(March)</w:t>
      </w:r>
    </w:p>
    <w:p w:rsidR="007C5423" w:rsidRPr="00F12AB8" w:rsidRDefault="007C5423" w:rsidP="00613103">
      <w:pPr>
        <w:pStyle w:val="Biblio"/>
      </w:pPr>
      <w:r w:rsidRPr="00F12AB8">
        <w:t xml:space="preserve">Moore, D. (2001, August). </w:t>
      </w:r>
      <w:r w:rsidRPr="00F12AB8">
        <w:rPr>
          <w:i/>
        </w:rPr>
        <w:t>The Effect of Repetitive Token Incentives and Priority Mail on Response to Physician Surveys.</w:t>
      </w:r>
      <w:r w:rsidRPr="00F12AB8">
        <w:t xml:space="preserve"> Paper presented at the annual meeting of the American Statistical Association.</w:t>
      </w:r>
    </w:p>
    <w:p w:rsidR="007C5423" w:rsidRPr="0056433E" w:rsidRDefault="007C5423" w:rsidP="00DF03AA">
      <w:pPr>
        <w:pStyle w:val="Biblio"/>
      </w:pPr>
      <w:r w:rsidRPr="0056433E">
        <w:t>Peytchev, A., S. Riley, J.A. Rosen, J.J. Murphy, and M. Lindblad. (2010). Reduction of Nonresponse Bias in Surveys through Case Prioritization. Survey Research Methods, 4(1), 21-29</w:t>
      </w:r>
    </w:p>
    <w:p w:rsidR="007C5423" w:rsidRPr="00F12AB8" w:rsidRDefault="007C5423" w:rsidP="00DF03AA">
      <w:pPr>
        <w:pStyle w:val="Biblio"/>
      </w:pPr>
      <w:r w:rsidRPr="00F12AB8">
        <w:t xml:space="preserve">Riccobono, J., Cominole, M., Siegel, P., Gabel, T., Link, M., and Berkner, L. (2005). </w:t>
      </w:r>
      <w:r w:rsidRPr="00F12AB8">
        <w:rPr>
          <w:i/>
        </w:rPr>
        <w:t>National Postsecondary Student Aid Study, 1999-2000 (NPSAS:2000) Methodology Report</w:t>
      </w:r>
      <w:r w:rsidRPr="00F12AB8">
        <w:t xml:space="preserve"> (NCES 2002–152). U.S. Department of Education. </w:t>
      </w:r>
      <w:r w:rsidRPr="00DF03AA">
        <w:t>Washington</w:t>
      </w:r>
      <w:r w:rsidRPr="00F12AB8">
        <w:t xml:space="preserve">, DC: National Center for Education Statistics. </w:t>
      </w:r>
    </w:p>
    <w:p w:rsidR="007C5423" w:rsidRPr="00F12AB8" w:rsidRDefault="007C5423" w:rsidP="00DF03AA">
      <w:pPr>
        <w:pStyle w:val="Biblio"/>
      </w:pPr>
      <w:r w:rsidRPr="00F12AB8">
        <w:t xml:space="preserve">Riccobono, J., Siegel, P., Cominole, M., Dudley, K., Charleston, S., and Link, M. (2005). </w:t>
      </w:r>
      <w:r w:rsidRPr="00F12AB8">
        <w:rPr>
          <w:i/>
        </w:rPr>
        <w:t>2004 National Postsecondary Student Aid Study (NPSAS:04) Field Test Methodology Report</w:t>
      </w:r>
      <w:r w:rsidRPr="00F12AB8">
        <w:t xml:space="preserve"> (NCES 2005–02). U.S. Department of Education. </w:t>
      </w:r>
      <w:r w:rsidRPr="00DF03AA">
        <w:t>Washington</w:t>
      </w:r>
      <w:r w:rsidRPr="00F12AB8">
        <w:t xml:space="preserve">, DC: National Center for Education Statistics. </w:t>
      </w:r>
    </w:p>
    <w:p w:rsidR="007C5423" w:rsidRPr="0056433E" w:rsidRDefault="007C5423" w:rsidP="00DF03AA">
      <w:pPr>
        <w:pStyle w:val="Biblio"/>
        <w:rPr>
          <w:i/>
          <w:iCs/>
        </w:rPr>
      </w:pPr>
      <w:r w:rsidRPr="0056433E">
        <w:t xml:space="preserve">Rosen, J., Murphy, J. J, A. Peytchev, Riley, S., &amp; Lindblad, M;. The Effects of Differential Interviewer Incentives on a Field Data Collection Effort. Forthcoming in </w:t>
      </w:r>
      <w:r w:rsidRPr="0056433E">
        <w:rPr>
          <w:i/>
          <w:iCs/>
        </w:rPr>
        <w:t>Field Methods.</w:t>
      </w:r>
    </w:p>
    <w:p w:rsidR="007C5423" w:rsidRPr="0056433E" w:rsidRDefault="007C5423" w:rsidP="00DF03AA">
      <w:pPr>
        <w:pStyle w:val="Biblio"/>
      </w:pPr>
      <w:r w:rsidRPr="0056433E">
        <w:t xml:space="preserve">Schouten, B., Cobben, F., &amp; Bethlehem, J. (2009). Indicators for the representativeness of survey response. </w:t>
      </w:r>
      <w:r w:rsidRPr="0056433E">
        <w:rPr>
          <w:i/>
          <w:iCs/>
        </w:rPr>
        <w:t>Survey Methodology, 35</w:t>
      </w:r>
      <w:r w:rsidRPr="0056433E">
        <w:t>(1), 101-114.</w:t>
      </w:r>
    </w:p>
    <w:p w:rsidR="007C5423" w:rsidRPr="0056433E" w:rsidRDefault="007C5423" w:rsidP="00DF03AA">
      <w:pPr>
        <w:pStyle w:val="Biblio"/>
      </w:pPr>
      <w:r w:rsidRPr="0056433E">
        <w:t xml:space="preserve">Shaw, S., &amp; Fairhurst, D. (2008). Engaging a new generation of graduates. </w:t>
      </w:r>
      <w:r w:rsidRPr="0056433E">
        <w:rPr>
          <w:i/>
          <w:iCs/>
        </w:rPr>
        <w:t>Education + Training</w:t>
      </w:r>
      <w:r w:rsidRPr="0056433E">
        <w:t xml:space="preserve">, </w:t>
      </w:r>
      <w:r w:rsidRPr="0056433E">
        <w:rPr>
          <w:i/>
          <w:iCs/>
        </w:rPr>
        <w:t>50</w:t>
      </w:r>
      <w:r w:rsidRPr="0056433E">
        <w:t>(5), 366-378.</w:t>
      </w:r>
    </w:p>
    <w:p w:rsidR="007C5423" w:rsidRPr="00F12AB8" w:rsidRDefault="007C5423" w:rsidP="00613103">
      <w:pPr>
        <w:pStyle w:val="Biblio"/>
      </w:pPr>
      <w:r w:rsidRPr="00F12AB8">
        <w:t xml:space="preserve">Singer, E., Van Hoewyk, J., Gebler, T., Raghunathan, T., and McGonagle, K. (1999). The Effect of Incentives on Response Rates in Interviewer-Mediated Surveys. </w:t>
      </w:r>
      <w:r w:rsidRPr="00F12AB8">
        <w:rPr>
          <w:i/>
        </w:rPr>
        <w:t>Journal of Official Statistics, (15)</w:t>
      </w:r>
      <w:r w:rsidRPr="00F12AB8">
        <w:t>2: 217-230.</w:t>
      </w:r>
    </w:p>
    <w:p w:rsidR="007C5423" w:rsidRPr="00F12AB8" w:rsidRDefault="007C5423" w:rsidP="00613103">
      <w:pPr>
        <w:pStyle w:val="Biblio"/>
      </w:pPr>
      <w:bookmarkStart w:id="30" w:name="_Toc62613678"/>
      <w:bookmarkStart w:id="31" w:name="_Toc62614424"/>
      <w:r w:rsidRPr="00F12AB8">
        <w:t xml:space="preserve">U.S. Department of Education, Office of the Under Secretary, Policy and Program Studies Service, </w:t>
      </w:r>
      <w:r w:rsidRPr="00F12AB8">
        <w:rPr>
          <w:i/>
          <w:iCs/>
        </w:rPr>
        <w:t>The Impacts of Regular Upward Bound: Results from the Third Follow-Up Data Collection</w:t>
      </w:r>
      <w:r w:rsidRPr="00F12AB8">
        <w:t>, Washington, D.C., 2004.</w:t>
      </w:r>
    </w:p>
    <w:p w:rsidR="007C5423" w:rsidRPr="00F12AB8" w:rsidRDefault="007C5423" w:rsidP="00613103">
      <w:pPr>
        <w:pStyle w:val="Biblio"/>
      </w:pPr>
      <w:r w:rsidRPr="00F12AB8">
        <w:t xml:space="preserve">Wine, J., Cominole, M., Wheeless, S., Bryant, A., Gilligan, T., Dudley, K., and Franklin, J. (2006). </w:t>
      </w:r>
      <w:r w:rsidRPr="00F12AB8">
        <w:rPr>
          <w:i/>
        </w:rPr>
        <w:t>2004/06 Beginning Postsecondary Students Longitudinal Study (BPS:04/06) Field Test Methodology Report</w:t>
      </w:r>
      <w:r w:rsidRPr="00F12AB8">
        <w:t xml:space="preserve"> (Forthcoming). U.S. Department of Education. Washington, DC: National Center for Education Statistics. </w:t>
      </w:r>
      <w:bookmarkEnd w:id="30"/>
      <w:bookmarkEnd w:id="31"/>
    </w:p>
    <w:p w:rsidR="007C5423" w:rsidRPr="00F12AB8" w:rsidRDefault="007C5423" w:rsidP="00613103">
      <w:pPr>
        <w:pStyle w:val="Biblio"/>
      </w:pPr>
      <w:r w:rsidRPr="00F12AB8">
        <w:t xml:space="preserve">Yu, J., and Cooper, H. (1983). A Quantitative Review of Research Design Effects on Response Rates to Questionnaires. </w:t>
      </w:r>
      <w:r w:rsidRPr="00F12AB8">
        <w:rPr>
          <w:i/>
        </w:rPr>
        <w:t>Journal of Marketing Research 20</w:t>
      </w:r>
      <w:r w:rsidRPr="00F12AB8">
        <w:t>(1) 36-44.</w:t>
      </w:r>
    </w:p>
    <w:p w:rsidR="007C5423" w:rsidRPr="00F12AB8" w:rsidRDefault="007C5423" w:rsidP="00613103"/>
    <w:sectPr w:rsidR="007C5423" w:rsidRPr="00F12AB8" w:rsidSect="00453EDA">
      <w:headerReference w:type="even" r:id="rId45"/>
      <w:headerReference w:type="default" r:id="rId46"/>
      <w:footerReference w:type="even" r:id="rId47"/>
      <w:footerReference w:type="default" r:id="rId48"/>
      <w:headerReference w:type="first" r:id="rId49"/>
      <w:footerReference w:type="first" r:id="rId50"/>
      <w:type w:val="oddPage"/>
      <w:pgSz w:w="12240" w:h="15840" w:code="1"/>
      <w:pgMar w:top="1440" w:right="1440" w:bottom="1440" w:left="1440" w:header="720" w:footer="720" w:gutter="0"/>
      <w:cols w:sep="1"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423" w:rsidRDefault="007C5423">
      <w:r>
        <w:separator/>
      </w:r>
    </w:p>
  </w:endnote>
  <w:endnote w:type="continuationSeparator" w:id="0">
    <w:p w:rsidR="007C5423" w:rsidRDefault="007C54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23" w:rsidRPr="005C6C98" w:rsidRDefault="007C5423" w:rsidP="00D217B6">
    <w:pPr>
      <w:pStyle w:val="NCESoddfooter"/>
    </w:pPr>
    <w:r w:rsidRPr="00E84DB5">
      <w:t>Supporting Statement Request</w:t>
    </w:r>
    <w:r>
      <w:t xml:space="preserve"> </w:t>
    </w:r>
    <w:r w:rsidRPr="00E84DB5">
      <w:t>for OMB Review (SF83)</w:t>
    </w:r>
    <w:r w:rsidRPr="002F6E82">
      <w:tab/>
    </w:r>
    <w:r>
      <w:t>C-</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23" w:rsidRPr="00D83938" w:rsidRDefault="007C5423" w:rsidP="00B343D1">
    <w:pPr>
      <w:pStyle w:val="NCESoddfooter"/>
      <w:jc w:val="left"/>
    </w:pP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noProof/>
        <w:szCs w:val="20"/>
      </w:rPr>
      <w:t>46</w:t>
    </w:r>
    <w:r>
      <w:rPr>
        <w:rStyle w:val="PageNumber"/>
        <w:szCs w:val="20"/>
      </w:rPr>
      <w:fldChar w:fldCharType="end"/>
    </w:r>
    <w:r>
      <w:rPr>
        <w:rStyle w:val="PageNumber"/>
        <w:szCs w:val="20"/>
      </w:rPr>
      <w:tab/>
    </w:r>
    <w:r>
      <w:rPr>
        <w:rStyle w:val="PageNumber"/>
        <w:szCs w:val="20"/>
      </w:rPr>
      <w:tab/>
    </w:r>
    <w:r w:rsidRPr="00E84DB5">
      <w:t>Supporting Statement Request</w:t>
    </w:r>
    <w:r>
      <w:t xml:space="preserve"> </w:t>
    </w:r>
    <w:r w:rsidRPr="00E84DB5">
      <w:t>for OMB Review</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23" w:rsidRPr="00D83938" w:rsidRDefault="007C5423" w:rsidP="000A5159">
    <w:pPr>
      <w:pStyle w:val="NCESoddfooter"/>
      <w:jc w:val="left"/>
    </w:pPr>
    <w:r w:rsidRPr="00E84DB5">
      <w:t>Supporting Statement Request</w:t>
    </w:r>
    <w:r>
      <w:t xml:space="preserve"> </w:t>
    </w:r>
    <w:r w:rsidRPr="00E84DB5">
      <w:t>for OMB Review</w:t>
    </w:r>
    <w:r>
      <w:tab/>
    </w:r>
    <w:r>
      <w:tab/>
    </w: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noProof/>
        <w:szCs w:val="20"/>
      </w:rPr>
      <w:t>47</w:t>
    </w:r>
    <w:r>
      <w:rPr>
        <w:rStyle w:val="PageNumber"/>
        <w:szCs w:val="20"/>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23" w:rsidRPr="002F6E82" w:rsidRDefault="007C5423" w:rsidP="00293AF4">
    <w:pPr>
      <w:pStyle w:val="NCESoddfooter"/>
      <w:tabs>
        <w:tab w:val="clear" w:pos="4320"/>
      </w:tabs>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23" w:rsidRPr="00D83938" w:rsidRDefault="007C5423" w:rsidP="000A5159">
    <w:pPr>
      <w:pStyle w:val="NCESoddfooter"/>
      <w:jc w:val="left"/>
    </w:pP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noProof/>
        <w:szCs w:val="20"/>
      </w:rPr>
      <w:t>50</w:t>
    </w:r>
    <w:r>
      <w:rPr>
        <w:rStyle w:val="PageNumber"/>
        <w:szCs w:val="20"/>
      </w:rPr>
      <w:fldChar w:fldCharType="end"/>
    </w:r>
    <w:r>
      <w:rPr>
        <w:rStyle w:val="PageNumber"/>
        <w:szCs w:val="20"/>
      </w:rPr>
      <w:tab/>
    </w:r>
    <w:r>
      <w:rPr>
        <w:rStyle w:val="PageNumber"/>
        <w:szCs w:val="20"/>
      </w:rPr>
      <w:tab/>
    </w:r>
    <w:r w:rsidRPr="00E84DB5">
      <w:t>Supporting Statement Request</w:t>
    </w:r>
    <w:r>
      <w:t xml:space="preserve"> </w:t>
    </w:r>
    <w:r w:rsidRPr="00E84DB5">
      <w:t xml:space="preserve">for OMB Review </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23" w:rsidRPr="00D83938" w:rsidRDefault="007C5423" w:rsidP="000A5159">
    <w:pPr>
      <w:pStyle w:val="NCESoddfooter"/>
      <w:jc w:val="left"/>
    </w:pPr>
    <w:r w:rsidRPr="00E84DB5">
      <w:t>Supporting Statement Request</w:t>
    </w:r>
    <w:r>
      <w:t xml:space="preserve"> </w:t>
    </w:r>
    <w:r w:rsidRPr="00E84DB5">
      <w:t>for OMB Review</w:t>
    </w:r>
    <w:r>
      <w:tab/>
    </w:r>
    <w:r>
      <w:tab/>
    </w:r>
    <w:r w:rsidRPr="0015192D">
      <w:rPr>
        <w:rStyle w:val="PageNumber"/>
        <w:szCs w:val="20"/>
      </w:rPr>
      <w:t xml:space="preserve"> </w:t>
    </w: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noProof/>
        <w:szCs w:val="20"/>
      </w:rPr>
      <w:t>51</w:t>
    </w:r>
    <w:r>
      <w:rPr>
        <w:rStyle w:val="PageNumber"/>
        <w:szCs w:val="20"/>
      </w:rPr>
      <w:fldChar w:fldCharType="end"/>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23" w:rsidRPr="00314C6C" w:rsidRDefault="007C5423" w:rsidP="008A2E26">
    <w:pPr>
      <w:pStyle w:val="NCESevenfoote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r>
      <w:rPr>
        <w:rStyle w:val="PageNumber"/>
      </w:rPr>
      <w:tab/>
    </w:r>
    <w:r w:rsidRPr="00E84DB5">
      <w:t>Supporting Statement Request</w:t>
    </w:r>
    <w:r>
      <w:t xml:space="preserve"> </w:t>
    </w:r>
    <w:r w:rsidRPr="00E84DB5">
      <w:t>for OMB Review (SF83</w:t>
    </w:r>
    <w:r>
      <w:t>i</w:t>
    </w:r>
    <w:r w:rsidRPr="00E84DB5">
      <w:t>)</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23" w:rsidRPr="00BC6E55" w:rsidRDefault="007C5423" w:rsidP="000A5159">
    <w:pPr>
      <w:pStyle w:val="NCESoddfooter"/>
      <w:jc w:val="left"/>
    </w:pPr>
    <w:r w:rsidRPr="00E84DB5">
      <w:t>Supporting Statement Request</w:t>
    </w:r>
    <w:r>
      <w:t xml:space="preserve"> </w:t>
    </w:r>
    <w:r w:rsidRPr="00E84DB5">
      <w:t>for OMB Review</w:t>
    </w:r>
    <w:r>
      <w:tab/>
    </w:r>
    <w:r w:rsidRPr="002F6E82">
      <w:tab/>
    </w: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noProof/>
        <w:szCs w:val="20"/>
      </w:rPr>
      <w:t>53</w:t>
    </w:r>
    <w:r>
      <w:rPr>
        <w:rStyle w:val="PageNumber"/>
        <w:szCs w:val="20"/>
      </w:rPr>
      <w:fldChar w:fldCharType="end"/>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23" w:rsidRPr="00314C6C" w:rsidRDefault="007C5423" w:rsidP="000A5159">
    <w:pPr>
      <w:pStyle w:val="NCESevenfooter"/>
      <w:jc w:val="left"/>
    </w:pPr>
    <w:r>
      <w:rPr>
        <w:rStyle w:val="PageNumber"/>
      </w:rPr>
      <w:fldChar w:fldCharType="begin"/>
    </w:r>
    <w:r>
      <w:rPr>
        <w:rStyle w:val="PageNumber"/>
      </w:rPr>
      <w:instrText xml:space="preserve"> PAGE </w:instrText>
    </w:r>
    <w:r>
      <w:rPr>
        <w:rStyle w:val="PageNumber"/>
      </w:rPr>
      <w:fldChar w:fldCharType="separate"/>
    </w:r>
    <w:r>
      <w:rPr>
        <w:rStyle w:val="PageNumber"/>
        <w:noProof/>
      </w:rPr>
      <w:t>56</w:t>
    </w:r>
    <w:r>
      <w:rPr>
        <w:rStyle w:val="PageNumber"/>
      </w:rPr>
      <w:fldChar w:fldCharType="end"/>
    </w:r>
    <w:r>
      <w:rPr>
        <w:rStyle w:val="PageNumber"/>
      </w:rPr>
      <w:tab/>
    </w:r>
    <w:r w:rsidRPr="00E84DB5">
      <w:t>Supporting Statement Request</w:t>
    </w:r>
    <w:r>
      <w:t xml:space="preserve"> </w:t>
    </w:r>
    <w:r w:rsidRPr="00E84DB5">
      <w:t xml:space="preserve">for OMB Review </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23" w:rsidRPr="00D83938" w:rsidRDefault="007C5423" w:rsidP="000A5159">
    <w:pPr>
      <w:pStyle w:val="NCESoddfooter"/>
      <w:jc w:val="left"/>
    </w:pPr>
    <w:r w:rsidRPr="00E84DB5">
      <w:t>Supporting Statement Request</w:t>
    </w:r>
    <w:r>
      <w:t xml:space="preserve"> </w:t>
    </w:r>
    <w:r w:rsidRPr="00E84DB5">
      <w:t>for OMB Review</w:t>
    </w:r>
    <w:r>
      <w:tab/>
    </w:r>
    <w:r>
      <w:tab/>
    </w: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noProof/>
        <w:szCs w:val="20"/>
      </w:rPr>
      <w:t>57</w:t>
    </w:r>
    <w:r>
      <w:rPr>
        <w:rStyle w:val="PageNumber"/>
        <w:szCs w:val="20"/>
      </w:rPr>
      <w:fldChar w:fldCharType="end"/>
    </w:r>
    <w:r w:rsidRPr="00D83938">
      <w:t xml:space="preserve"> </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23" w:rsidRDefault="007C5423" w:rsidP="000A5159">
    <w:pPr>
      <w:pStyle w:val="NCESoddfooter"/>
      <w:jc w:val="left"/>
    </w:pPr>
    <w:r w:rsidRPr="00E84DB5">
      <w:t>Supporting Statement Request</w:t>
    </w:r>
    <w:r>
      <w:t xml:space="preserve"> </w:t>
    </w:r>
    <w:r w:rsidRPr="00E84DB5">
      <w:t>for OMB Review</w:t>
    </w:r>
    <w:r>
      <w:tab/>
    </w:r>
    <w:r>
      <w:tab/>
    </w: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noProof/>
        <w:szCs w:val="20"/>
      </w:rPr>
      <w:t>55</w:t>
    </w:r>
    <w:r>
      <w:rPr>
        <w:rStyle w:val="PageNumber"/>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23" w:rsidRPr="005C6C98" w:rsidRDefault="007C5423" w:rsidP="005C6C98">
    <w:pPr>
      <w:pStyle w:val="NCESoddfooter"/>
    </w:pPr>
    <w:r w:rsidRPr="00E84DB5">
      <w:t>Supporting Statement Request</w:t>
    </w:r>
    <w:r>
      <w:t xml:space="preserve"> </w:t>
    </w:r>
    <w:r w:rsidRPr="00E84DB5">
      <w:t>for OMB Review (SF83</w:t>
    </w:r>
    <w:r>
      <w:t>i</w:t>
    </w:r>
    <w:r w:rsidRPr="00E84DB5">
      <w:t>)</w:t>
    </w:r>
    <w:r w:rsidRPr="002F6E82">
      <w:tab/>
    </w:r>
    <w:r>
      <w:t>C-</w:t>
    </w: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23" w:rsidRDefault="007C542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23" w:rsidRDefault="007C5423" w:rsidP="00BE735F">
    <w:pPr>
      <w:pStyle w:val="NCESoddfooter"/>
      <w:tabs>
        <w:tab w:val="clear" w:pos="9360"/>
        <w:tab w:val="right" w:pos="9630"/>
      </w:tabs>
      <w:jc w:val="left"/>
    </w:pP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noProof/>
        <w:szCs w:val="20"/>
      </w:rPr>
      <w:t>22</w:t>
    </w:r>
    <w:r>
      <w:rPr>
        <w:rStyle w:val="PageNumber"/>
        <w:szCs w:val="20"/>
      </w:rPr>
      <w:fldChar w:fldCharType="end"/>
    </w:r>
    <w:r>
      <w:rPr>
        <w:rStyle w:val="PageNumber"/>
        <w:szCs w:val="20"/>
      </w:rPr>
      <w:tab/>
    </w:r>
    <w:r>
      <w:rPr>
        <w:rStyle w:val="PageNumber"/>
        <w:szCs w:val="20"/>
      </w:rPr>
      <w:tab/>
    </w:r>
    <w:r w:rsidRPr="00E84DB5">
      <w:t>Supporting Statement Request</w:t>
    </w:r>
    <w:r>
      <w:t xml:space="preserve"> </w:t>
    </w:r>
    <w:r w:rsidRPr="00E84DB5">
      <w:t>for OMB Review</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23" w:rsidRDefault="007C5423" w:rsidP="000A5159">
    <w:pPr>
      <w:pStyle w:val="NCESoddfooter"/>
      <w:tabs>
        <w:tab w:val="clear" w:pos="9360"/>
        <w:tab w:val="right" w:pos="9630"/>
      </w:tabs>
      <w:jc w:val="left"/>
    </w:pPr>
    <w:r w:rsidRPr="00E84DB5">
      <w:t>Supporting Statement Request</w:t>
    </w:r>
    <w:r>
      <w:t xml:space="preserve"> </w:t>
    </w:r>
    <w:r w:rsidRPr="00E84DB5">
      <w:t>for OMB Review</w:t>
    </w:r>
    <w:r>
      <w:tab/>
    </w:r>
    <w:r w:rsidRPr="002F6E82">
      <w:tab/>
    </w: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noProof/>
        <w:szCs w:val="20"/>
      </w:rPr>
      <w:t>21</w:t>
    </w:r>
    <w:r>
      <w:rPr>
        <w:rStyle w:val="PageNumber"/>
        <w:szCs w:val="20"/>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23" w:rsidRDefault="007C5423" w:rsidP="00BC6E55">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23" w:rsidRPr="00BC6E55" w:rsidRDefault="007C5423" w:rsidP="00BC6E55">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23" w:rsidRPr="00D83938" w:rsidRDefault="007C5423" w:rsidP="00FE0A83">
    <w:pPr>
      <w:pStyle w:val="NCESoddfooter"/>
    </w:pPr>
    <w:r w:rsidRPr="00E84DB5">
      <w:t>Supporting Statement Request</w:t>
    </w:r>
    <w:r>
      <w:t xml:space="preserve"> </w:t>
    </w:r>
    <w:r w:rsidRPr="00E84DB5">
      <w:t>for OMB Review (SF83</w:t>
    </w:r>
    <w:r>
      <w:t>i</w:t>
    </w:r>
    <w:r w:rsidRPr="00E84DB5">
      <w:t>)</w:t>
    </w:r>
    <w:r w:rsidRPr="002F6E82">
      <w:tab/>
    </w: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noProof/>
        <w:szCs w:val="20"/>
      </w:rPr>
      <w:t>28</w:t>
    </w:r>
    <w:r>
      <w:rPr>
        <w:rStyle w:val="PageNumber"/>
        <w:szCs w:val="20"/>
      </w:rPr>
      <w:fldChar w:fldCharType="end"/>
    </w:r>
  </w:p>
  <w:p w:rsidR="007C5423" w:rsidRPr="00D83938" w:rsidRDefault="007C5423" w:rsidP="00D83938">
    <w:pPr>
      <w:pStyle w:val="NCESeven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23" w:rsidRPr="00D83938" w:rsidRDefault="007C5423" w:rsidP="000A5159">
    <w:pPr>
      <w:pStyle w:val="NCESoddfooter"/>
      <w:jc w:val="left"/>
    </w:pPr>
    <w:r w:rsidRPr="00E84DB5">
      <w:t>Supporting Statement Request</w:t>
    </w:r>
    <w:r>
      <w:t xml:space="preserve"> </w:t>
    </w:r>
    <w:r w:rsidRPr="00E84DB5">
      <w:t xml:space="preserve">for OMB Review </w:t>
    </w:r>
    <w:r>
      <w:tab/>
    </w:r>
    <w:r>
      <w:tab/>
    </w: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noProof/>
        <w:szCs w:val="20"/>
      </w:rPr>
      <w:t>25</w:t>
    </w:r>
    <w:r>
      <w:rPr>
        <w:rStyle w:val="PageNumber"/>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423" w:rsidRDefault="007C5423">
      <w:r>
        <w:separator/>
      </w:r>
    </w:p>
  </w:footnote>
  <w:footnote w:type="continuationSeparator" w:id="0">
    <w:p w:rsidR="007C5423" w:rsidRDefault="007C5423">
      <w:r>
        <w:continuationSeparator/>
      </w:r>
    </w:p>
  </w:footnote>
  <w:footnote w:id="1">
    <w:p w:rsidR="007C5423" w:rsidRDefault="007C5423" w:rsidP="007314D1">
      <w:pPr>
        <w:pStyle w:val="FootnoteText"/>
      </w:pPr>
      <w:r>
        <w:rPr>
          <w:rStyle w:val="FootnoteReference"/>
        </w:rPr>
        <w:footnoteRef/>
      </w:r>
      <w:r>
        <w:t xml:space="preserve"> Plans for sampling students from enrollment lists were also described in the OMB package approved in July 2010, since that activity will likely begin before approval of the current request. They are repeated in this package for reference.  </w:t>
      </w:r>
    </w:p>
  </w:footnote>
  <w:footnote w:id="2">
    <w:p w:rsidR="007C5423" w:rsidRDefault="007C5423" w:rsidP="00EC4770">
      <w:pPr>
        <w:pStyle w:val="FootnoteText"/>
      </w:pPr>
      <w:r>
        <w:rPr>
          <w:rStyle w:val="FootnoteReference"/>
        </w:rPr>
        <w:footnoteRef/>
      </w:r>
      <w:r>
        <w:t xml:space="preserve"> NPSAS has many administrative data sources, along with the student interview. Key variables have been identified across the various data sources to determine the minimum requirements to support the analytic needs of the study. Sample members who meet these minimum requirements will be classified as </w:t>
      </w:r>
      <w:r>
        <w:rPr>
          <w:i/>
        </w:rPr>
        <w:t xml:space="preserve">study members. </w:t>
      </w:r>
      <w:r>
        <w:rPr>
          <w:iCs/>
        </w:rPr>
        <w:t xml:space="preserve">These study members will have enough information from these multiple sources to be included in the NPSAS analysis files.  </w:t>
      </w:r>
    </w:p>
  </w:footnote>
  <w:footnote w:id="3">
    <w:p w:rsidR="007C5423" w:rsidRDefault="007C5423" w:rsidP="006544A8">
      <w:pPr>
        <w:pStyle w:val="FootnoteText"/>
      </w:pPr>
      <w:r>
        <w:rPr>
          <w:rStyle w:val="FootnoteReference"/>
        </w:rPr>
        <w:footnoteRef/>
      </w:r>
      <w:r>
        <w:t xml:space="preserve"> </w:t>
      </w:r>
      <w:r w:rsidRPr="00E75C0C">
        <w:t>Past rounds of NPSAS have included samples of first-professional students. However, IPEDS is in the process of replacing the term first-professional with doctoral-professional practice.</w:t>
      </w:r>
      <w:r>
        <w:t xml:space="preserve"> We will work with the sample institutions when requesting enrollment lists to ensure that they understand how to identify doctoral-research and doctoral-professional practice students.</w:t>
      </w:r>
    </w:p>
  </w:footnote>
  <w:footnote w:id="4">
    <w:p w:rsidR="007C5423" w:rsidRDefault="007C5423" w:rsidP="00F73B3E">
      <w:pPr>
        <w:pStyle w:val="FootnoteText"/>
      </w:pPr>
      <w:r>
        <w:rPr>
          <w:rStyle w:val="FootnoteReference"/>
        </w:rPr>
        <w:footnoteRef/>
      </w:r>
      <w:r>
        <w:t xml:space="preserve"> “Other graduate” students are those who are not enrolled in a degree program, such as students in post-baccalaureate certificate programs or students just taking graduate courses. </w:t>
      </w:r>
    </w:p>
  </w:footnote>
  <w:footnote w:id="5">
    <w:p w:rsidR="007C5423" w:rsidRDefault="007C5423" w:rsidP="00787581">
      <w:pPr>
        <w:pStyle w:val="FootnoteText"/>
      </w:pPr>
      <w:r>
        <w:rPr>
          <w:rStyle w:val="FootnoteReference"/>
        </w:rPr>
        <w:footnoteRef/>
      </w:r>
      <w:r>
        <w:t xml:space="preserve"> Re-interviews will be conducted approximately 3 to 4 weeks after the initial interview and will contain a subset of items (either new items or those that have been difficult to administer in the past). Re-interviews will be conducted in the same administration mode as the initial interview.</w:t>
      </w:r>
    </w:p>
  </w:footnote>
  <w:footnote w:id="6">
    <w:p w:rsidR="007C5423" w:rsidRDefault="007C5423" w:rsidP="004D58CA">
      <w:pPr>
        <w:pStyle w:val="FootnoteText"/>
      </w:pPr>
      <w:r>
        <w:rPr>
          <w:rStyle w:val="FootnoteReference"/>
        </w:rPr>
        <w:footnoteRef/>
      </w:r>
      <w:r>
        <w:t xml:space="preserve">The survey item wording included in </w:t>
      </w:r>
      <w:r w:rsidRPr="002855DF">
        <w:t>Part C</w:t>
      </w:r>
      <w:r>
        <w:t xml:space="preserve"> will be tested in the cognitive lab.  Based on cognitive testing findings, the item wording will be revised, and final item wording will be provided January 11, 2011.</w:t>
      </w:r>
    </w:p>
  </w:footnote>
  <w:footnote w:id="7">
    <w:p w:rsidR="007C5423" w:rsidRDefault="007C5423" w:rsidP="00F861EA">
      <w:pPr>
        <w:pStyle w:val="FootnoteText"/>
      </w:pPr>
      <w:r w:rsidRPr="001C6AAC">
        <w:rPr>
          <w:sz w:val="22"/>
          <w:szCs w:val="22"/>
          <w:vertAlign w:val="superscript"/>
        </w:rPr>
        <w:footnoteRef/>
      </w:r>
      <w:r w:rsidRPr="001C6AAC">
        <w:rPr>
          <w:sz w:val="22"/>
          <w:szCs w:val="22"/>
          <w:vertAlign w:val="superscript"/>
        </w:rPr>
        <w:t xml:space="preserve"> </w:t>
      </w:r>
      <w:r>
        <w:rPr>
          <w:sz w:val="22"/>
          <w:szCs w:val="22"/>
          <w:vertAlign w:val="superscript"/>
        </w:rPr>
        <w:t xml:space="preserve"> </w:t>
      </w:r>
      <w:r>
        <w:rPr>
          <w:sz w:val="22"/>
          <w:szCs w:val="22"/>
        </w:rPr>
        <w:t xml:space="preserve">RTI will collaborate with </w:t>
      </w:r>
      <w:r w:rsidRPr="00F861EA">
        <w:rPr>
          <w:sz w:val="22"/>
          <w:szCs w:val="22"/>
        </w:rPr>
        <w:t xml:space="preserve">The Partnership for Public Service </w:t>
      </w:r>
      <w:r>
        <w:rPr>
          <w:sz w:val="22"/>
          <w:szCs w:val="22"/>
        </w:rPr>
        <w:t xml:space="preserve">to help ensure that the video content and presentation resonate with sample members. </w:t>
      </w:r>
    </w:p>
  </w:footnote>
  <w:footnote w:id="8">
    <w:p w:rsidR="007C5423" w:rsidRDefault="007C5423" w:rsidP="0063156D">
      <w:pPr>
        <w:pStyle w:val="FootnoteText"/>
      </w:pPr>
      <w:r w:rsidRPr="00141A6B">
        <w:rPr>
          <w:rStyle w:val="FootnoteReference"/>
          <w:sz w:val="22"/>
          <w:szCs w:val="22"/>
        </w:rPr>
        <w:footnoteRef/>
      </w:r>
      <w:r w:rsidRPr="00141A6B">
        <w:rPr>
          <w:sz w:val="22"/>
          <w:szCs w:val="22"/>
        </w:rPr>
        <w:t xml:space="preserve"> The survey participation rate includes sample members who responded to the invitation to complete the survey but were determined to be ineligible for the study.</w:t>
      </w:r>
    </w:p>
  </w:footnote>
  <w:footnote w:id="9">
    <w:p w:rsidR="007C5423" w:rsidRDefault="007C5423" w:rsidP="00141A6B">
      <w:pPr>
        <w:pStyle w:val="FootnoteText"/>
      </w:pPr>
      <w:r w:rsidRPr="00141A6B">
        <w:rPr>
          <w:rStyle w:val="FootnoteReference"/>
          <w:sz w:val="22"/>
          <w:szCs w:val="22"/>
        </w:rPr>
        <w:footnoteRef/>
      </w:r>
      <w:r w:rsidRPr="00141A6B">
        <w:rPr>
          <w:sz w:val="22"/>
          <w:szCs w:val="22"/>
        </w:rPr>
        <w:t xml:space="preserve"> The video will be posted on YouTube, which allows tracking of the number of times the video has been viewed but does not include data on the identity of individual viewers. </w:t>
      </w:r>
    </w:p>
  </w:footnote>
  <w:footnote w:id="10">
    <w:p w:rsidR="007C5423" w:rsidRDefault="007C5423">
      <w:pPr>
        <w:pStyle w:val="FootnoteText"/>
      </w:pPr>
      <w:r>
        <w:rPr>
          <w:rStyle w:val="FootnoteReference"/>
        </w:rPr>
        <w:footnoteRef/>
      </w:r>
      <w:r>
        <w:t xml:space="preserve"> This hypothesis examines participation rate, rather than response rate, because the outcome of interest is the sample member’s attempt to complete the survey, even if he or she is determined to be ineligible.  </w:t>
      </w:r>
    </w:p>
  </w:footnote>
  <w:footnote w:id="11">
    <w:p w:rsidR="007C5423" w:rsidRDefault="007C5423">
      <w:pPr>
        <w:pStyle w:val="FootnoteText"/>
      </w:pPr>
      <w:r>
        <w:rPr>
          <w:rStyle w:val="FootnoteReference"/>
        </w:rPr>
        <w:footnoteRef/>
      </w:r>
      <w:r>
        <w:t xml:space="preserve"> The purpose of this hypothesis is to ensure that the propensity treatment has no detrimental effect on overall response rate.  </w:t>
      </w:r>
    </w:p>
  </w:footnote>
  <w:footnote w:id="12">
    <w:p w:rsidR="007C5423" w:rsidRDefault="007C5423" w:rsidP="00143ACC">
      <w:pPr>
        <w:pStyle w:val="FootnoteText"/>
      </w:pPr>
      <w:r>
        <w:rPr>
          <w:rStyle w:val="FootnoteReference"/>
          <w:sz w:val="20"/>
        </w:rPr>
        <w:footnoteRef/>
      </w:r>
      <w:r>
        <w:t xml:space="preserve"> 35 percent is used here as a baseline because it is consistent with the participation rate obtained during the early response period in NPSAS:08.</w:t>
      </w:r>
    </w:p>
  </w:footnote>
  <w:footnote w:id="13">
    <w:p w:rsidR="007C5423" w:rsidRDefault="007C5423" w:rsidP="00143ACC">
      <w:pPr>
        <w:pStyle w:val="FootnoteText"/>
        <w:spacing w:before="20"/>
      </w:pPr>
      <w:r>
        <w:rPr>
          <w:rStyle w:val="FootnoteReference"/>
          <w:sz w:val="20"/>
        </w:rPr>
        <w:footnoteRef/>
      </w:r>
      <w:r>
        <w:t xml:space="preserve"> 70 percent is used here as a baseline based on past experience and is consistent with the sample sizes discussed above.</w:t>
      </w:r>
    </w:p>
  </w:footnote>
  <w:footnote w:id="14">
    <w:p w:rsidR="007C5423" w:rsidRDefault="007C5423" w:rsidP="00803BE5">
      <w:pPr>
        <w:pStyle w:val="FootnoteText"/>
      </w:pPr>
      <w:r>
        <w:rPr>
          <w:rStyle w:val="FootnoteReference"/>
        </w:rPr>
        <w:footnoteRef/>
      </w:r>
      <w:r>
        <w:t xml:space="preserve"> 10 percent is generally considered the maximum acceptable value for unit nonresponse bias.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23" w:rsidRPr="00AA40C2" w:rsidRDefault="007C5423" w:rsidP="005C6C98">
    <w:pPr>
      <w:pStyle w:val="NCESheadereven"/>
    </w:pPr>
    <w:r>
      <w:t>Appendix C: Second Follow-up Data Elements</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23" w:rsidRDefault="007C5423" w:rsidP="00BD5CF4">
    <w:pPr>
      <w:pStyle w:val="NCESheaderodd"/>
    </w:pPr>
    <w:r>
      <w:t>B. Collection of Information Employing Statistical Methods</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23" w:rsidRPr="00BB0B12" w:rsidRDefault="007C5423" w:rsidP="00BD5CF4">
    <w:pPr>
      <w:pStyle w:val="NCESheadereven"/>
      <w:pBdr>
        <w:bottom w:val="single" w:sz="8" w:space="0" w:color="auto"/>
      </w:pBdr>
    </w:pPr>
    <w:r>
      <w:t>B. Collection of Information Employing Statistical Methods</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23" w:rsidRDefault="007C5423" w:rsidP="00B343D1">
    <w:pPr>
      <w:pStyle w:val="NCESheaderodd"/>
    </w:pPr>
    <w:r>
      <w:t>B. Collection of Information Employing Statistical Methods</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23" w:rsidRDefault="007C5423" w:rsidP="00293AF4">
    <w:r>
      <w:rPr>
        <w:noProof/>
      </w:rPr>
      <w:pict>
        <v:shapetype id="_x0000_t202" coordsize="21600,21600" o:spt="202" path="m,l,21600r21600,l21600,xe">
          <v:stroke joinstyle="miter"/>
          <v:path gradientshapeok="t" o:connecttype="rect"/>
        </v:shapetype>
        <v:shape id="_x0000_s2053" type="#_x0000_t202" style="position:absolute;margin-left:-40.05pt;margin-top:40.5pt;width:25.05pt;height:474.75pt;z-index:-251656192" stroked="f">
          <v:textbox style="layout-flow:vertical;mso-next-textbox:#_x0000_s2053;mso-fit-shape-to-text:t">
            <w:txbxContent>
              <w:p w:rsidR="007C5423" w:rsidRPr="00EB29F6" w:rsidRDefault="007C5423" w:rsidP="000A5159">
                <w:pPr>
                  <w:pStyle w:val="NCESoddfooter"/>
                  <w:jc w:val="left"/>
                </w:pPr>
                <w:r w:rsidRPr="00E84DB5">
                  <w:t>Supporting Statement Request</w:t>
                </w:r>
                <w:r>
                  <w:t xml:space="preserve"> </w:t>
                </w:r>
                <w:r w:rsidRPr="00E84DB5">
                  <w:t xml:space="preserve">for OMB Review </w:t>
                </w:r>
                <w:r>
                  <w:tab/>
                </w:r>
                <w:r>
                  <w:tab/>
                </w: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noProof/>
                    <w:szCs w:val="20"/>
                  </w:rPr>
                  <w:t>49</w:t>
                </w:r>
                <w:r>
                  <w:rPr>
                    <w:rStyle w:val="PageNumber"/>
                    <w:szCs w:val="20"/>
                  </w:rPr>
                  <w:fldChar w:fldCharType="end"/>
                </w:r>
              </w:p>
            </w:txbxContent>
          </v:textbox>
        </v:shape>
      </w:pict>
    </w:r>
    <w:r>
      <w:rPr>
        <w:noProof/>
      </w:rPr>
      <w:pict>
        <v:shape id="_x0000_s2054" type="#_x0000_t202" style="position:absolute;margin-left:664.5pt;margin-top:32.25pt;width:27.05pt;height:476.4pt;z-index:-251657216" stroked="f">
          <v:textbox style="layout-flow:vertical;mso-next-textbox:#_x0000_s2054;mso-fit-shape-to-text:t">
            <w:txbxContent>
              <w:p w:rsidR="007C5423" w:rsidRPr="00461133" w:rsidRDefault="007C5423" w:rsidP="000A5159">
                <w:pPr>
                  <w:pStyle w:val="NCESheadereven"/>
                  <w:jc w:val="right"/>
                </w:pPr>
                <w:r>
                  <w:t>B. Collection of Information Employing Statistical Methods</w:t>
                </w:r>
              </w:p>
            </w:txbxContent>
          </v:textbox>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23" w:rsidRPr="00BB0B12" w:rsidRDefault="007C5423" w:rsidP="00BD5CF4">
    <w:pPr>
      <w:pStyle w:val="NCESheadereven"/>
      <w:pBdr>
        <w:bottom w:val="single" w:sz="8" w:space="0" w:color="auto"/>
      </w:pBdr>
    </w:pPr>
    <w:r>
      <w:t>B. Collection of Information Employing Statistical Methods</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23" w:rsidRDefault="007C5423" w:rsidP="00362FEC">
    <w:pPr>
      <w:pStyle w:val="NCESheaderodd"/>
      <w:pBdr>
        <w:bottom w:val="single" w:sz="8" w:space="0" w:color="auto"/>
      </w:pBdr>
    </w:pPr>
    <w:r>
      <w:t>B. Collection of Information Employing Statistical Methods</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23" w:rsidRPr="00BB0B12" w:rsidRDefault="007C5423" w:rsidP="009E15C9">
    <w:pPr>
      <w:pStyle w:val="NCESheadereven"/>
      <w:pBdr>
        <w:bottom w:val="single" w:sz="8" w:space="0" w:color="auto"/>
      </w:pBdr>
      <w:jc w:val="right"/>
    </w:pPr>
    <w:r>
      <w:t>C. Overview of Analysis Topic and Survey Items</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23" w:rsidRPr="009E15C9" w:rsidRDefault="007C5423" w:rsidP="009E15C9">
    <w:pPr>
      <w:pStyle w:val="Header"/>
      <w:pBdr>
        <w:bottom w:val="single" w:sz="8" w:space="1" w:color="auto"/>
      </w:pBdr>
      <w:rPr>
        <w:rFonts w:ascii="Arial" w:hAnsi="Arial" w:cs="Arial"/>
      </w:rPr>
    </w:pPr>
    <w:r w:rsidRPr="009E15C9">
      <w:rPr>
        <w:rFonts w:ascii="Arial" w:hAnsi="Arial" w:cs="Arial"/>
      </w:rPr>
      <w:t>C. Overview of Analysis Topic and Survey Items</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23" w:rsidRDefault="007C5423">
    <w:pPr>
      <w:pStyle w:val="Heade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23" w:rsidRPr="00BB0B12" w:rsidRDefault="007C5423" w:rsidP="00F32250">
    <w:pPr>
      <w:pStyle w:val="NCESheadereven"/>
      <w:pBdr>
        <w:bottom w:val="single" w:sz="8" w:space="0" w:color="auto"/>
      </w:pBdr>
    </w:pPr>
    <w:r>
      <w:t>D. References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23" w:rsidRDefault="007C5423" w:rsidP="00AA40C2">
    <w:pPr>
      <w:pStyle w:val="NCESheaderodd"/>
    </w:pPr>
    <w:r>
      <w:t>Appendix C: Second Follow-up Data Elements</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23" w:rsidRPr="009E15C9" w:rsidRDefault="007C5423" w:rsidP="00F32250">
    <w:pPr>
      <w:pStyle w:val="NCESheadereven"/>
      <w:pBdr>
        <w:bottom w:val="single" w:sz="8" w:space="0" w:color="auto"/>
      </w:pBdr>
      <w:jc w:val="right"/>
    </w:pPr>
    <w:r>
      <w:t>D. References</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23" w:rsidRDefault="007C542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23" w:rsidRDefault="007C5423">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23" w:rsidRPr="00BB0B12" w:rsidRDefault="007C5423" w:rsidP="00362FEC">
    <w:pPr>
      <w:pStyle w:val="NCESheadereven"/>
      <w:pBdr>
        <w:bottom w:val="single" w:sz="8" w:space="0" w:color="auto"/>
      </w:pBdr>
    </w:pPr>
    <w:r>
      <w:t xml:space="preserve">B. Collection of Information Employing Statistical Methods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23" w:rsidRDefault="007C5423" w:rsidP="00BD5CF4">
    <w:pPr>
      <w:pStyle w:val="NCESheaderodd"/>
    </w:pPr>
    <w:r>
      <w:t>B. Collection of Information Employing Statistical Methods</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23" w:rsidRDefault="007C5423">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23" w:rsidRPr="00BB0B12" w:rsidRDefault="007C5423" w:rsidP="005D5C06">
    <w:pPr>
      <w:pStyle w:val="NCESheadereven"/>
      <w:pBdr>
        <w:bottom w:val="none" w:sz="0" w:space="0" w:color="auto"/>
      </w:pBdr>
      <w:jc w:val="right"/>
    </w:pPr>
    <w:r>
      <w:rPr>
        <w:noProof/>
      </w:rPr>
      <w:pict>
        <v:shapetype id="_x0000_t202" coordsize="21600,21600" o:spt="202" path="m,l,21600r21600,l21600,xe">
          <v:stroke joinstyle="miter"/>
          <v:path gradientshapeok="t" o:connecttype="rect"/>
        </v:shapetype>
        <v:shape id="_x0000_s2049" type="#_x0000_t202" style="position:absolute;left:0;text-align:left;margin-left:-39.6pt;margin-top:43.7pt;width:25.05pt;height:470.8pt;z-index:-251658240" stroked="f">
          <v:textbox style="layout-flow:vertical;mso-fit-shape-to-text:t">
            <w:txbxContent>
              <w:p w:rsidR="007C5423" w:rsidRDefault="007C5423" w:rsidP="000A5159">
                <w:pPr>
                  <w:pStyle w:val="NCESoddfooter"/>
                  <w:jc w:val="left"/>
                </w:pP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noProof/>
                    <w:szCs w:val="20"/>
                  </w:rPr>
                  <w:t>24</w:t>
                </w:r>
                <w:r>
                  <w:rPr>
                    <w:rStyle w:val="PageNumber"/>
                    <w:szCs w:val="20"/>
                  </w:rPr>
                  <w:fldChar w:fldCharType="end"/>
                </w:r>
                <w:r>
                  <w:rPr>
                    <w:rStyle w:val="PageNumber"/>
                    <w:szCs w:val="20"/>
                  </w:rPr>
                  <w:tab/>
                </w:r>
                <w:r>
                  <w:rPr>
                    <w:rStyle w:val="PageNumber"/>
                    <w:szCs w:val="20"/>
                  </w:rPr>
                  <w:tab/>
                </w:r>
                <w:r w:rsidRPr="00E84DB5">
                  <w:t>Supporting Statement Request</w:t>
                </w:r>
                <w:r>
                  <w:t xml:space="preserve"> </w:t>
                </w:r>
                <w:r w:rsidRPr="00E84DB5">
                  <w:t>for OMB Review</w:t>
                </w:r>
              </w:p>
            </w:txbxContent>
          </v:textbox>
        </v:shape>
      </w:pict>
    </w:r>
    <w:r>
      <w:rPr>
        <w:noProof/>
      </w:rPr>
      <w:pict>
        <v:shape id="_x0000_s2050" type="#_x0000_t202" style="position:absolute;left:0;text-align:left;margin-left:679.45pt;margin-top:30.3pt;width:262.05pt;height:479.7pt;z-index:-251659264" stroked="f">
          <v:textbox style="layout-flow:vertical;mso-fit-shape-to-text:t">
            <w:txbxContent>
              <w:p w:rsidR="007C5423" w:rsidRDefault="007C5423" w:rsidP="00BC6E55">
                <w:pPr>
                  <w:pStyle w:val="NCESheadereven"/>
                  <w:pBdr>
                    <w:bottom w:val="single" w:sz="8" w:space="0" w:color="auto"/>
                  </w:pBdr>
                </w:pPr>
                <w:r>
                  <w:t xml:space="preserve">B. Collection of Information Employing Statistical Methods </w:t>
                </w:r>
              </w:p>
            </w:txbxContent>
          </v:textbox>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23" w:rsidRDefault="007C5423">
    <w:pPr>
      <w:pStyle w:val="Header"/>
    </w:pPr>
    <w:r>
      <w:rPr>
        <w:noProof/>
      </w:rPr>
      <w:pict>
        <v:shapetype id="_x0000_t202" coordsize="21600,21600" o:spt="202" path="m,l,21600r21600,l21600,xe">
          <v:stroke joinstyle="miter"/>
          <v:path gradientshapeok="t" o:connecttype="rect"/>
        </v:shapetype>
        <v:shape id="_x0000_s2051" type="#_x0000_t202" style="position:absolute;margin-left:-45.25pt;margin-top:34.35pt;width:31.85pt;height:478.85pt;z-index:-251660288" stroked="f">
          <v:textbox style="layout-flow:vertical;mso-next-textbox:#_x0000_s2051">
            <w:txbxContent>
              <w:p w:rsidR="007C5423" w:rsidRDefault="007C5423" w:rsidP="000A5159">
                <w:pPr>
                  <w:pStyle w:val="NCESoddfooter"/>
                  <w:jc w:val="left"/>
                </w:pPr>
                <w:r w:rsidRPr="00E84DB5">
                  <w:t>Supporting Statement Request</w:t>
                </w:r>
                <w:r>
                  <w:t xml:space="preserve"> </w:t>
                </w:r>
                <w:r w:rsidRPr="00E84DB5">
                  <w:t>for OMB Review</w:t>
                </w:r>
                <w:r>
                  <w:tab/>
                </w:r>
                <w:r w:rsidRPr="002F6E82">
                  <w:tab/>
                </w: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noProof/>
                    <w:szCs w:val="20"/>
                  </w:rPr>
                  <w:t>23</w:t>
                </w:r>
                <w:r>
                  <w:rPr>
                    <w:rStyle w:val="PageNumber"/>
                    <w:szCs w:val="20"/>
                  </w:rPr>
                  <w:fldChar w:fldCharType="end"/>
                </w:r>
              </w:p>
            </w:txbxContent>
          </v:textbox>
        </v:shape>
      </w:pict>
    </w:r>
    <w:r>
      <w:rPr>
        <w:noProof/>
      </w:rPr>
      <w:pict>
        <v:shape id="_x0000_s2052" type="#_x0000_t202" style="position:absolute;margin-left:673.6pt;margin-top:34.35pt;width:40.2pt;height:473.85pt;z-index:-251661312" stroked="f">
          <v:textbox style="layout-flow:vertical;mso-next-textbox:#_x0000_s2052;mso-fit-shape-to-text:t">
            <w:txbxContent>
              <w:p w:rsidR="007C5423" w:rsidRDefault="007C5423" w:rsidP="00BC6E55">
                <w:pPr>
                  <w:pStyle w:val="NCESheadereven"/>
                  <w:pBdr>
                    <w:bottom w:val="single" w:sz="8" w:space="0" w:color="auto"/>
                  </w:pBdr>
                  <w:jc w:val="right"/>
                </w:pPr>
                <w:r>
                  <w:t>B. Collection of Information Employing Statistical Methods</w:t>
                </w:r>
              </w:p>
            </w:txbxContent>
          </v:textbox>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23" w:rsidRPr="00BB0B12" w:rsidRDefault="007C5423" w:rsidP="00BD5CF4">
    <w:pPr>
      <w:pStyle w:val="NCESheadereven"/>
      <w:pBdr>
        <w:bottom w:val="single" w:sz="8" w:space="0" w:color="auto"/>
      </w:pBdr>
    </w:pPr>
    <w:r>
      <w:t>B. Collection of Information Employing Statistical Methods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FFAE6112"/>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09DCC244"/>
    <w:lvl w:ilvl="0">
      <w:start w:val="1"/>
      <w:numFmt w:val="decimal"/>
      <w:lvlText w:val="(%1)"/>
      <w:lvlJc w:val="left"/>
      <w:pPr>
        <w:tabs>
          <w:tab w:val="num" w:pos="1080"/>
        </w:tabs>
        <w:ind w:left="1080" w:hanging="360"/>
      </w:pPr>
      <w:rPr>
        <w:rFonts w:cs="Times New Roman" w:hint="default"/>
      </w:rPr>
    </w:lvl>
  </w:abstractNum>
  <w:abstractNum w:abstractNumId="2">
    <w:nsid w:val="0E533D5B"/>
    <w:multiLevelType w:val="hybridMultilevel"/>
    <w:tmpl w:val="272AE506"/>
    <w:lvl w:ilvl="0" w:tplc="0409000F">
      <w:start w:val="1"/>
      <w:numFmt w:val="decimal"/>
      <w:lvlText w:val="%1."/>
      <w:lvlJc w:val="left"/>
      <w:pPr>
        <w:tabs>
          <w:tab w:val="num" w:pos="1440"/>
        </w:tabs>
        <w:ind w:left="1440" w:hanging="360"/>
      </w:pPr>
      <w:rPr>
        <w:rFonts w:cs="Times New Roman"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
    <w:nsid w:val="23907D7D"/>
    <w:multiLevelType w:val="hybridMultilevel"/>
    <w:tmpl w:val="E51013B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288660C5"/>
    <w:multiLevelType w:val="multilevel"/>
    <w:tmpl w:val="F4B4200E"/>
    <w:lvl w:ilvl="0">
      <w:start w:val="1"/>
      <w:numFmt w:val="bullet"/>
      <w:lvlText w:val=""/>
      <w:lvlJc w:val="left"/>
      <w:pPr>
        <w:tabs>
          <w:tab w:val="num" w:pos="720"/>
        </w:tabs>
        <w:ind w:left="720" w:firstLine="360"/>
      </w:pPr>
      <w:rPr>
        <w:rFonts w:ascii="Symbol" w:hAnsi="Symbol" w:hint="default"/>
        <w:sz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6">
    <w:nsid w:val="2B465080"/>
    <w:multiLevelType w:val="hybridMultilevel"/>
    <w:tmpl w:val="25A0AD2C"/>
    <w:lvl w:ilvl="0" w:tplc="F49CC68C">
      <w:start w:val="1"/>
      <w:numFmt w:val="decimal"/>
      <w:pStyle w:val="ListBullet"/>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39F245EF"/>
    <w:multiLevelType w:val="hybridMultilevel"/>
    <w:tmpl w:val="2BBE78DC"/>
    <w:lvl w:ilvl="0" w:tplc="161A2464">
      <w:start w:val="1"/>
      <w:numFmt w:val="decimal"/>
      <w:lvlText w:val="%1."/>
      <w:lvlJc w:val="left"/>
      <w:pPr>
        <w:tabs>
          <w:tab w:val="num" w:pos="1080"/>
        </w:tabs>
        <w:ind w:left="108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8">
    <w:nsid w:val="41CC0037"/>
    <w:multiLevelType w:val="hybridMultilevel"/>
    <w:tmpl w:val="E23A4A86"/>
    <w:lvl w:ilvl="0" w:tplc="4D9E36D4">
      <w:start w:val="1"/>
      <w:numFmt w:val="bullet"/>
      <w:lvlText w:val=""/>
      <w:lvlJc w:val="left"/>
      <w:pPr>
        <w:tabs>
          <w:tab w:val="num" w:pos="1080"/>
        </w:tabs>
        <w:ind w:left="1080" w:hanging="360"/>
      </w:pPr>
      <w:rPr>
        <w:rFonts w:ascii="Symbol" w:hAnsi="Symbol" w:hint="default"/>
        <w:sz w:val="24"/>
      </w:rPr>
    </w:lvl>
    <w:lvl w:ilvl="1" w:tplc="E500C300">
      <w:start w:val="1"/>
      <w:numFmt w:val="bullet"/>
      <w:pStyle w:val="bullet2ndlevel"/>
      <w:lvlText w:val=""/>
      <w:lvlJc w:val="left"/>
      <w:pPr>
        <w:tabs>
          <w:tab w:val="num" w:pos="1440"/>
        </w:tabs>
        <w:ind w:left="1440" w:hanging="360"/>
      </w:pPr>
      <w:rPr>
        <w:rFonts w:ascii="Symbol" w:hAnsi="Symbol" w:hint="default"/>
        <w:sz w:val="24"/>
      </w:rPr>
    </w:lvl>
    <w:lvl w:ilvl="2" w:tplc="4CA0E354">
      <w:start w:val="1"/>
      <w:numFmt w:val="bullet"/>
      <w:lvlText w:val=""/>
      <w:lvlJc w:val="left"/>
      <w:pPr>
        <w:tabs>
          <w:tab w:val="num" w:pos="2160"/>
        </w:tabs>
        <w:ind w:left="2160" w:hanging="360"/>
      </w:pPr>
      <w:rPr>
        <w:rFonts w:ascii="Wingdings" w:hAnsi="Wingdings" w:hint="default"/>
      </w:rPr>
    </w:lvl>
    <w:lvl w:ilvl="3" w:tplc="B89E221E">
      <w:start w:val="1"/>
      <w:numFmt w:val="bullet"/>
      <w:lvlText w:val=""/>
      <w:lvlJc w:val="left"/>
      <w:pPr>
        <w:tabs>
          <w:tab w:val="num" w:pos="2880"/>
        </w:tabs>
        <w:ind w:left="2880" w:hanging="360"/>
      </w:pPr>
      <w:rPr>
        <w:rFonts w:ascii="Symbol" w:hAnsi="Symbol" w:hint="default"/>
      </w:rPr>
    </w:lvl>
    <w:lvl w:ilvl="4" w:tplc="5F769654">
      <w:start w:val="1"/>
      <w:numFmt w:val="bullet"/>
      <w:lvlText w:val="o"/>
      <w:lvlJc w:val="left"/>
      <w:pPr>
        <w:tabs>
          <w:tab w:val="num" w:pos="3600"/>
        </w:tabs>
        <w:ind w:left="3600" w:hanging="360"/>
      </w:pPr>
      <w:rPr>
        <w:rFonts w:ascii="Courier New" w:hAnsi="Courier New" w:hint="default"/>
      </w:rPr>
    </w:lvl>
    <w:lvl w:ilvl="5" w:tplc="91201F88">
      <w:start w:val="1"/>
      <w:numFmt w:val="bullet"/>
      <w:lvlText w:val=""/>
      <w:lvlJc w:val="left"/>
      <w:pPr>
        <w:tabs>
          <w:tab w:val="num" w:pos="4320"/>
        </w:tabs>
        <w:ind w:left="4320" w:hanging="360"/>
      </w:pPr>
      <w:rPr>
        <w:rFonts w:ascii="Wingdings" w:hAnsi="Wingdings" w:hint="default"/>
      </w:rPr>
    </w:lvl>
    <w:lvl w:ilvl="6" w:tplc="2E524F4A">
      <w:start w:val="1"/>
      <w:numFmt w:val="bullet"/>
      <w:lvlText w:val=""/>
      <w:lvlJc w:val="left"/>
      <w:pPr>
        <w:tabs>
          <w:tab w:val="num" w:pos="5040"/>
        </w:tabs>
        <w:ind w:left="5040" w:hanging="360"/>
      </w:pPr>
      <w:rPr>
        <w:rFonts w:ascii="Symbol" w:hAnsi="Symbol" w:hint="default"/>
      </w:rPr>
    </w:lvl>
    <w:lvl w:ilvl="7" w:tplc="21A4F826">
      <w:start w:val="1"/>
      <w:numFmt w:val="bullet"/>
      <w:lvlText w:val="o"/>
      <w:lvlJc w:val="left"/>
      <w:pPr>
        <w:tabs>
          <w:tab w:val="num" w:pos="5760"/>
        </w:tabs>
        <w:ind w:left="5760" w:hanging="360"/>
      </w:pPr>
      <w:rPr>
        <w:rFonts w:ascii="Courier New" w:hAnsi="Courier New" w:hint="default"/>
      </w:rPr>
    </w:lvl>
    <w:lvl w:ilvl="8" w:tplc="75D4B268">
      <w:start w:val="1"/>
      <w:numFmt w:val="bullet"/>
      <w:lvlText w:val=""/>
      <w:lvlJc w:val="left"/>
      <w:pPr>
        <w:tabs>
          <w:tab w:val="num" w:pos="6480"/>
        </w:tabs>
        <w:ind w:left="6480" w:hanging="360"/>
      </w:pPr>
      <w:rPr>
        <w:rFonts w:ascii="Wingdings" w:hAnsi="Wingdings" w:hint="default"/>
      </w:rPr>
    </w:lvl>
  </w:abstractNum>
  <w:abstractNum w:abstractNumId="9">
    <w:nsid w:val="5B1B6215"/>
    <w:multiLevelType w:val="hybridMultilevel"/>
    <w:tmpl w:val="A11C16F6"/>
    <w:lvl w:ilvl="0" w:tplc="1EAADCB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5B330D57"/>
    <w:multiLevelType w:val="multilevel"/>
    <w:tmpl w:val="EDAA1D04"/>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792" w:hanging="432"/>
      </w:pPr>
      <w:rPr>
        <w:rFonts w:cs="Times New Roman" w:hint="default"/>
      </w:rPr>
    </w:lvl>
    <w:lvl w:ilvl="2">
      <w:start w:val="1"/>
      <w:numFmt w:val="lowerLetter"/>
      <w:lvlText w:val="%3."/>
      <w:lvlJc w:val="left"/>
      <w:pPr>
        <w:tabs>
          <w:tab w:val="num" w:pos="1890"/>
        </w:tabs>
        <w:ind w:left="167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 w:numId="9">
    <w:abstractNumId w:val="1"/>
  </w:num>
  <w:num w:numId="10">
    <w:abstractNumId w:val="5"/>
  </w:num>
  <w:num w:numId="11">
    <w:abstractNumId w:val="10"/>
  </w:num>
  <w:num w:numId="12">
    <w:abstractNumId w:val="4"/>
  </w:num>
  <w:num w:numId="13">
    <w:abstractNumId w:val="2"/>
  </w:num>
  <w:num w:numId="14">
    <w:abstractNumId w:val="8"/>
  </w:num>
  <w:num w:numId="15">
    <w:abstractNumId w:val="6"/>
  </w:num>
  <w:num w:numId="16">
    <w:abstractNumId w:val="5"/>
  </w:num>
  <w:num w:numId="17">
    <w:abstractNumId w:val="10"/>
    <w:lvlOverride w:ilvl="0">
      <w:startOverride w:val="3"/>
    </w:lvlOverride>
  </w:num>
  <w:num w:numId="18">
    <w:abstractNumId w:val="0"/>
  </w:num>
  <w:num w:numId="19">
    <w:abstractNumId w:val="7"/>
    <w:lvlOverride w:ilvl="0">
      <w:startOverride w:val="1"/>
    </w:lvlOverride>
  </w:num>
  <w:num w:numId="20">
    <w:abstractNumId w:val="9"/>
  </w:num>
  <w:num w:numId="21">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evenAndOddHeaders/>
  <w:drawingGridHorizontalSpacing w:val="120"/>
  <w:drawingGridVerticalSpacing w:val="187"/>
  <w:displayHorizontalDrawingGridEvery w:val="2"/>
  <w:noPunctuationKerning/>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0A33"/>
    <w:rsid w:val="00000234"/>
    <w:rsid w:val="00000386"/>
    <w:rsid w:val="00002236"/>
    <w:rsid w:val="00002700"/>
    <w:rsid w:val="0000307B"/>
    <w:rsid w:val="00004C74"/>
    <w:rsid w:val="00004D46"/>
    <w:rsid w:val="0000562B"/>
    <w:rsid w:val="000056D7"/>
    <w:rsid w:val="00006839"/>
    <w:rsid w:val="000068C9"/>
    <w:rsid w:val="00006A86"/>
    <w:rsid w:val="00006DD2"/>
    <w:rsid w:val="00006ECC"/>
    <w:rsid w:val="000071C1"/>
    <w:rsid w:val="0000745D"/>
    <w:rsid w:val="00007541"/>
    <w:rsid w:val="0001147D"/>
    <w:rsid w:val="0001207D"/>
    <w:rsid w:val="00012483"/>
    <w:rsid w:val="000135CF"/>
    <w:rsid w:val="00013C7D"/>
    <w:rsid w:val="00014705"/>
    <w:rsid w:val="00014D25"/>
    <w:rsid w:val="00014EAB"/>
    <w:rsid w:val="000156F8"/>
    <w:rsid w:val="00015CD5"/>
    <w:rsid w:val="00016217"/>
    <w:rsid w:val="000166A8"/>
    <w:rsid w:val="00016DC5"/>
    <w:rsid w:val="0001749A"/>
    <w:rsid w:val="00017C1E"/>
    <w:rsid w:val="00020E1D"/>
    <w:rsid w:val="00021560"/>
    <w:rsid w:val="00022672"/>
    <w:rsid w:val="00022F74"/>
    <w:rsid w:val="00023398"/>
    <w:rsid w:val="00023EA0"/>
    <w:rsid w:val="00024A14"/>
    <w:rsid w:val="00024EFF"/>
    <w:rsid w:val="00025729"/>
    <w:rsid w:val="000307E7"/>
    <w:rsid w:val="00033DF5"/>
    <w:rsid w:val="00034B40"/>
    <w:rsid w:val="00035743"/>
    <w:rsid w:val="00036511"/>
    <w:rsid w:val="000368B0"/>
    <w:rsid w:val="00037631"/>
    <w:rsid w:val="00037B0E"/>
    <w:rsid w:val="00037C3A"/>
    <w:rsid w:val="00040851"/>
    <w:rsid w:val="00041240"/>
    <w:rsid w:val="00043DC0"/>
    <w:rsid w:val="00044904"/>
    <w:rsid w:val="00044C62"/>
    <w:rsid w:val="000468DB"/>
    <w:rsid w:val="00046E26"/>
    <w:rsid w:val="000526B1"/>
    <w:rsid w:val="00052F28"/>
    <w:rsid w:val="00054E68"/>
    <w:rsid w:val="0005514E"/>
    <w:rsid w:val="000554B6"/>
    <w:rsid w:val="0005687D"/>
    <w:rsid w:val="00057E39"/>
    <w:rsid w:val="00057F84"/>
    <w:rsid w:val="00060019"/>
    <w:rsid w:val="000604CC"/>
    <w:rsid w:val="00060932"/>
    <w:rsid w:val="00060D38"/>
    <w:rsid w:val="00061737"/>
    <w:rsid w:val="00061BB0"/>
    <w:rsid w:val="00062105"/>
    <w:rsid w:val="0006264F"/>
    <w:rsid w:val="00062EF6"/>
    <w:rsid w:val="00063BE4"/>
    <w:rsid w:val="00064F1D"/>
    <w:rsid w:val="00064F6B"/>
    <w:rsid w:val="0006553C"/>
    <w:rsid w:val="00066DB4"/>
    <w:rsid w:val="000675AA"/>
    <w:rsid w:val="0007064F"/>
    <w:rsid w:val="00070D9D"/>
    <w:rsid w:val="0007178A"/>
    <w:rsid w:val="00071F74"/>
    <w:rsid w:val="0007244B"/>
    <w:rsid w:val="00072D1A"/>
    <w:rsid w:val="00073C6B"/>
    <w:rsid w:val="00074FEE"/>
    <w:rsid w:val="00075A85"/>
    <w:rsid w:val="00075FE9"/>
    <w:rsid w:val="000775AB"/>
    <w:rsid w:val="00081707"/>
    <w:rsid w:val="000830C6"/>
    <w:rsid w:val="0008334E"/>
    <w:rsid w:val="00083935"/>
    <w:rsid w:val="00083A8A"/>
    <w:rsid w:val="00086659"/>
    <w:rsid w:val="0008668A"/>
    <w:rsid w:val="00086AD0"/>
    <w:rsid w:val="0008770F"/>
    <w:rsid w:val="0009020F"/>
    <w:rsid w:val="000907DE"/>
    <w:rsid w:val="00091671"/>
    <w:rsid w:val="00092AA2"/>
    <w:rsid w:val="00093F25"/>
    <w:rsid w:val="0009412E"/>
    <w:rsid w:val="00094CF4"/>
    <w:rsid w:val="00096138"/>
    <w:rsid w:val="00096E71"/>
    <w:rsid w:val="000A11D3"/>
    <w:rsid w:val="000A5159"/>
    <w:rsid w:val="000A5792"/>
    <w:rsid w:val="000A5CE0"/>
    <w:rsid w:val="000A730B"/>
    <w:rsid w:val="000A7DA0"/>
    <w:rsid w:val="000B03CB"/>
    <w:rsid w:val="000B0E7E"/>
    <w:rsid w:val="000B25B8"/>
    <w:rsid w:val="000B364C"/>
    <w:rsid w:val="000B3F61"/>
    <w:rsid w:val="000B3F6D"/>
    <w:rsid w:val="000B443B"/>
    <w:rsid w:val="000B4691"/>
    <w:rsid w:val="000B4E13"/>
    <w:rsid w:val="000B6FFA"/>
    <w:rsid w:val="000B7888"/>
    <w:rsid w:val="000B7AC2"/>
    <w:rsid w:val="000C0281"/>
    <w:rsid w:val="000C1041"/>
    <w:rsid w:val="000C1187"/>
    <w:rsid w:val="000C133D"/>
    <w:rsid w:val="000C3189"/>
    <w:rsid w:val="000C54B5"/>
    <w:rsid w:val="000C63EA"/>
    <w:rsid w:val="000C650A"/>
    <w:rsid w:val="000C7F75"/>
    <w:rsid w:val="000D0D78"/>
    <w:rsid w:val="000D1AE6"/>
    <w:rsid w:val="000D3C0C"/>
    <w:rsid w:val="000D4376"/>
    <w:rsid w:val="000D4786"/>
    <w:rsid w:val="000D49B4"/>
    <w:rsid w:val="000D56FE"/>
    <w:rsid w:val="000D69D6"/>
    <w:rsid w:val="000D7BC4"/>
    <w:rsid w:val="000D7D39"/>
    <w:rsid w:val="000E0220"/>
    <w:rsid w:val="000E06C8"/>
    <w:rsid w:val="000E32AA"/>
    <w:rsid w:val="000E779A"/>
    <w:rsid w:val="000F02ED"/>
    <w:rsid w:val="000F2948"/>
    <w:rsid w:val="000F2CAB"/>
    <w:rsid w:val="000F38FB"/>
    <w:rsid w:val="000F578D"/>
    <w:rsid w:val="000F64A4"/>
    <w:rsid w:val="000F68CB"/>
    <w:rsid w:val="000F725A"/>
    <w:rsid w:val="00100786"/>
    <w:rsid w:val="00100F59"/>
    <w:rsid w:val="00103C4A"/>
    <w:rsid w:val="00103E1A"/>
    <w:rsid w:val="001056CA"/>
    <w:rsid w:val="00105FCB"/>
    <w:rsid w:val="001067CB"/>
    <w:rsid w:val="001071B0"/>
    <w:rsid w:val="001079B0"/>
    <w:rsid w:val="0011094F"/>
    <w:rsid w:val="00110A18"/>
    <w:rsid w:val="00111E00"/>
    <w:rsid w:val="001123CA"/>
    <w:rsid w:val="001144A0"/>
    <w:rsid w:val="00115048"/>
    <w:rsid w:val="00115438"/>
    <w:rsid w:val="00115805"/>
    <w:rsid w:val="00116D15"/>
    <w:rsid w:val="0011706B"/>
    <w:rsid w:val="00117191"/>
    <w:rsid w:val="001173D4"/>
    <w:rsid w:val="0011778A"/>
    <w:rsid w:val="00117D29"/>
    <w:rsid w:val="00120034"/>
    <w:rsid w:val="00120AF7"/>
    <w:rsid w:val="00122D4F"/>
    <w:rsid w:val="00122FC2"/>
    <w:rsid w:val="00123689"/>
    <w:rsid w:val="001239D8"/>
    <w:rsid w:val="001244B3"/>
    <w:rsid w:val="001254B1"/>
    <w:rsid w:val="00125893"/>
    <w:rsid w:val="0012602E"/>
    <w:rsid w:val="00126924"/>
    <w:rsid w:val="00126B64"/>
    <w:rsid w:val="00132CB2"/>
    <w:rsid w:val="001330AD"/>
    <w:rsid w:val="00134EE9"/>
    <w:rsid w:val="00137344"/>
    <w:rsid w:val="00140597"/>
    <w:rsid w:val="00141A6B"/>
    <w:rsid w:val="00142A4B"/>
    <w:rsid w:val="00142E11"/>
    <w:rsid w:val="001431A7"/>
    <w:rsid w:val="00143ACC"/>
    <w:rsid w:val="00143C1C"/>
    <w:rsid w:val="00144A25"/>
    <w:rsid w:val="00144F49"/>
    <w:rsid w:val="001458ED"/>
    <w:rsid w:val="0014606E"/>
    <w:rsid w:val="0014645F"/>
    <w:rsid w:val="00146944"/>
    <w:rsid w:val="00147448"/>
    <w:rsid w:val="0015037C"/>
    <w:rsid w:val="00150741"/>
    <w:rsid w:val="0015192D"/>
    <w:rsid w:val="001521C0"/>
    <w:rsid w:val="00152327"/>
    <w:rsid w:val="001524E2"/>
    <w:rsid w:val="00152766"/>
    <w:rsid w:val="00152AB9"/>
    <w:rsid w:val="00152AD3"/>
    <w:rsid w:val="00152FDD"/>
    <w:rsid w:val="001530C3"/>
    <w:rsid w:val="00153442"/>
    <w:rsid w:val="00153595"/>
    <w:rsid w:val="00153802"/>
    <w:rsid w:val="00155314"/>
    <w:rsid w:val="00155782"/>
    <w:rsid w:val="001557B6"/>
    <w:rsid w:val="00155890"/>
    <w:rsid w:val="00155D19"/>
    <w:rsid w:val="00156286"/>
    <w:rsid w:val="00160371"/>
    <w:rsid w:val="0016046F"/>
    <w:rsid w:val="00161407"/>
    <w:rsid w:val="001632BD"/>
    <w:rsid w:val="0016557F"/>
    <w:rsid w:val="00165BCC"/>
    <w:rsid w:val="00166933"/>
    <w:rsid w:val="00166D14"/>
    <w:rsid w:val="00170652"/>
    <w:rsid w:val="00170C78"/>
    <w:rsid w:val="00171277"/>
    <w:rsid w:val="00171DD2"/>
    <w:rsid w:val="001728C0"/>
    <w:rsid w:val="001743C6"/>
    <w:rsid w:val="00174873"/>
    <w:rsid w:val="0017561E"/>
    <w:rsid w:val="00176538"/>
    <w:rsid w:val="00176A41"/>
    <w:rsid w:val="001771C3"/>
    <w:rsid w:val="001775C0"/>
    <w:rsid w:val="00177F97"/>
    <w:rsid w:val="001804B1"/>
    <w:rsid w:val="00181271"/>
    <w:rsid w:val="00181884"/>
    <w:rsid w:val="0018259F"/>
    <w:rsid w:val="001835E8"/>
    <w:rsid w:val="00185923"/>
    <w:rsid w:val="00186D4C"/>
    <w:rsid w:val="00187ACD"/>
    <w:rsid w:val="001904CA"/>
    <w:rsid w:val="001907BC"/>
    <w:rsid w:val="00191509"/>
    <w:rsid w:val="00191E9C"/>
    <w:rsid w:val="001924FF"/>
    <w:rsid w:val="0019274B"/>
    <w:rsid w:val="00193DCC"/>
    <w:rsid w:val="00193DD9"/>
    <w:rsid w:val="00193F8B"/>
    <w:rsid w:val="00195334"/>
    <w:rsid w:val="00195846"/>
    <w:rsid w:val="001976CB"/>
    <w:rsid w:val="00197A33"/>
    <w:rsid w:val="001A054D"/>
    <w:rsid w:val="001A0C6F"/>
    <w:rsid w:val="001A1405"/>
    <w:rsid w:val="001A1ED0"/>
    <w:rsid w:val="001A3382"/>
    <w:rsid w:val="001A5C20"/>
    <w:rsid w:val="001A6144"/>
    <w:rsid w:val="001A6277"/>
    <w:rsid w:val="001A671D"/>
    <w:rsid w:val="001A6C33"/>
    <w:rsid w:val="001A6F28"/>
    <w:rsid w:val="001A7AED"/>
    <w:rsid w:val="001B096F"/>
    <w:rsid w:val="001B0AFE"/>
    <w:rsid w:val="001B251D"/>
    <w:rsid w:val="001B27F1"/>
    <w:rsid w:val="001B39DE"/>
    <w:rsid w:val="001B3AF9"/>
    <w:rsid w:val="001B5343"/>
    <w:rsid w:val="001B5431"/>
    <w:rsid w:val="001B792F"/>
    <w:rsid w:val="001C14FE"/>
    <w:rsid w:val="001C1602"/>
    <w:rsid w:val="001C2607"/>
    <w:rsid w:val="001C32A7"/>
    <w:rsid w:val="001C3516"/>
    <w:rsid w:val="001C3BFB"/>
    <w:rsid w:val="001C483E"/>
    <w:rsid w:val="001C4CDA"/>
    <w:rsid w:val="001C4DEE"/>
    <w:rsid w:val="001C568A"/>
    <w:rsid w:val="001C5C35"/>
    <w:rsid w:val="001C6283"/>
    <w:rsid w:val="001C6AAC"/>
    <w:rsid w:val="001C6D72"/>
    <w:rsid w:val="001C735C"/>
    <w:rsid w:val="001C7770"/>
    <w:rsid w:val="001C7BE3"/>
    <w:rsid w:val="001D0E45"/>
    <w:rsid w:val="001D2005"/>
    <w:rsid w:val="001D34C3"/>
    <w:rsid w:val="001D35EC"/>
    <w:rsid w:val="001D3DC6"/>
    <w:rsid w:val="001D4604"/>
    <w:rsid w:val="001D542A"/>
    <w:rsid w:val="001D680B"/>
    <w:rsid w:val="001D6CFC"/>
    <w:rsid w:val="001D7BF6"/>
    <w:rsid w:val="001D7F88"/>
    <w:rsid w:val="001E0AA3"/>
    <w:rsid w:val="001E0E9C"/>
    <w:rsid w:val="001E20E3"/>
    <w:rsid w:val="001E2639"/>
    <w:rsid w:val="001E2909"/>
    <w:rsid w:val="001E31AC"/>
    <w:rsid w:val="001E3631"/>
    <w:rsid w:val="001E5D86"/>
    <w:rsid w:val="001E7A49"/>
    <w:rsid w:val="001F196C"/>
    <w:rsid w:val="001F3C27"/>
    <w:rsid w:val="001F4387"/>
    <w:rsid w:val="001F4877"/>
    <w:rsid w:val="001F4E16"/>
    <w:rsid w:val="001F5506"/>
    <w:rsid w:val="001F5925"/>
    <w:rsid w:val="001F5D38"/>
    <w:rsid w:val="001F74A0"/>
    <w:rsid w:val="001F7603"/>
    <w:rsid w:val="002012F3"/>
    <w:rsid w:val="00201EEE"/>
    <w:rsid w:val="00202AC1"/>
    <w:rsid w:val="00202FC3"/>
    <w:rsid w:val="002036CF"/>
    <w:rsid w:val="00203FDF"/>
    <w:rsid w:val="00207821"/>
    <w:rsid w:val="00210843"/>
    <w:rsid w:val="00211048"/>
    <w:rsid w:val="0021121B"/>
    <w:rsid w:val="00211EB0"/>
    <w:rsid w:val="00212E18"/>
    <w:rsid w:val="00214BB6"/>
    <w:rsid w:val="0021582F"/>
    <w:rsid w:val="00215DA0"/>
    <w:rsid w:val="00215F16"/>
    <w:rsid w:val="00217A53"/>
    <w:rsid w:val="00220D2A"/>
    <w:rsid w:val="0022144B"/>
    <w:rsid w:val="00221C87"/>
    <w:rsid w:val="00221DEF"/>
    <w:rsid w:val="00222853"/>
    <w:rsid w:val="002233A7"/>
    <w:rsid w:val="00223484"/>
    <w:rsid w:val="002241E3"/>
    <w:rsid w:val="002245DB"/>
    <w:rsid w:val="00224A40"/>
    <w:rsid w:val="00226A4E"/>
    <w:rsid w:val="002279F5"/>
    <w:rsid w:val="002302A0"/>
    <w:rsid w:val="00230393"/>
    <w:rsid w:val="00230681"/>
    <w:rsid w:val="002320FF"/>
    <w:rsid w:val="00232D74"/>
    <w:rsid w:val="002346ED"/>
    <w:rsid w:val="00234FBE"/>
    <w:rsid w:val="0023549E"/>
    <w:rsid w:val="00235AFA"/>
    <w:rsid w:val="00236014"/>
    <w:rsid w:val="0023649F"/>
    <w:rsid w:val="00241D5E"/>
    <w:rsid w:val="00242FA4"/>
    <w:rsid w:val="0024318E"/>
    <w:rsid w:val="002442A7"/>
    <w:rsid w:val="002447B5"/>
    <w:rsid w:val="002449DA"/>
    <w:rsid w:val="0024511F"/>
    <w:rsid w:val="00245507"/>
    <w:rsid w:val="002456CD"/>
    <w:rsid w:val="00246715"/>
    <w:rsid w:val="00246905"/>
    <w:rsid w:val="002514DB"/>
    <w:rsid w:val="00251D8E"/>
    <w:rsid w:val="00252791"/>
    <w:rsid w:val="00252A45"/>
    <w:rsid w:val="00253D60"/>
    <w:rsid w:val="00254BA2"/>
    <w:rsid w:val="00254CED"/>
    <w:rsid w:val="00255253"/>
    <w:rsid w:val="00255CBA"/>
    <w:rsid w:val="002560F3"/>
    <w:rsid w:val="00256245"/>
    <w:rsid w:val="0025744B"/>
    <w:rsid w:val="00261A0E"/>
    <w:rsid w:val="00262A02"/>
    <w:rsid w:val="00262A30"/>
    <w:rsid w:val="00263A0C"/>
    <w:rsid w:val="00263B64"/>
    <w:rsid w:val="00263D6A"/>
    <w:rsid w:val="00264DFF"/>
    <w:rsid w:val="002656C7"/>
    <w:rsid w:val="00265D69"/>
    <w:rsid w:val="00266A4B"/>
    <w:rsid w:val="00266B75"/>
    <w:rsid w:val="00266DEE"/>
    <w:rsid w:val="0026703F"/>
    <w:rsid w:val="0026724A"/>
    <w:rsid w:val="00267B72"/>
    <w:rsid w:val="00267DEE"/>
    <w:rsid w:val="00267F90"/>
    <w:rsid w:val="0027047D"/>
    <w:rsid w:val="00271F23"/>
    <w:rsid w:val="00272C43"/>
    <w:rsid w:val="00272E77"/>
    <w:rsid w:val="0027343C"/>
    <w:rsid w:val="00273B93"/>
    <w:rsid w:val="00274528"/>
    <w:rsid w:val="002751AB"/>
    <w:rsid w:val="002758DC"/>
    <w:rsid w:val="00275919"/>
    <w:rsid w:val="002764D4"/>
    <w:rsid w:val="00277039"/>
    <w:rsid w:val="0027709A"/>
    <w:rsid w:val="002770D7"/>
    <w:rsid w:val="00280124"/>
    <w:rsid w:val="0028098C"/>
    <w:rsid w:val="002834E4"/>
    <w:rsid w:val="0028476A"/>
    <w:rsid w:val="00285517"/>
    <w:rsid w:val="002855DF"/>
    <w:rsid w:val="00285A1E"/>
    <w:rsid w:val="00286C3F"/>
    <w:rsid w:val="00286EE5"/>
    <w:rsid w:val="0029035C"/>
    <w:rsid w:val="00290396"/>
    <w:rsid w:val="00290768"/>
    <w:rsid w:val="00290FA2"/>
    <w:rsid w:val="002935A2"/>
    <w:rsid w:val="002936F5"/>
    <w:rsid w:val="00293AF4"/>
    <w:rsid w:val="00294A61"/>
    <w:rsid w:val="00294D8A"/>
    <w:rsid w:val="002966E1"/>
    <w:rsid w:val="00296B80"/>
    <w:rsid w:val="00296F54"/>
    <w:rsid w:val="00297E2F"/>
    <w:rsid w:val="002A29C7"/>
    <w:rsid w:val="002A29DE"/>
    <w:rsid w:val="002A2ABC"/>
    <w:rsid w:val="002A2B44"/>
    <w:rsid w:val="002A34AF"/>
    <w:rsid w:val="002A6C43"/>
    <w:rsid w:val="002A72F8"/>
    <w:rsid w:val="002B177B"/>
    <w:rsid w:val="002B285B"/>
    <w:rsid w:val="002B2F7E"/>
    <w:rsid w:val="002B3613"/>
    <w:rsid w:val="002B4186"/>
    <w:rsid w:val="002B64D5"/>
    <w:rsid w:val="002C0158"/>
    <w:rsid w:val="002C0A0F"/>
    <w:rsid w:val="002C227E"/>
    <w:rsid w:val="002C2499"/>
    <w:rsid w:val="002C2EBD"/>
    <w:rsid w:val="002C351A"/>
    <w:rsid w:val="002C4CA0"/>
    <w:rsid w:val="002C6569"/>
    <w:rsid w:val="002C6603"/>
    <w:rsid w:val="002C6E2B"/>
    <w:rsid w:val="002C701C"/>
    <w:rsid w:val="002D0AF0"/>
    <w:rsid w:val="002D2120"/>
    <w:rsid w:val="002D24EF"/>
    <w:rsid w:val="002D3078"/>
    <w:rsid w:val="002D3439"/>
    <w:rsid w:val="002D4C3B"/>
    <w:rsid w:val="002D5061"/>
    <w:rsid w:val="002D5553"/>
    <w:rsid w:val="002D5D3B"/>
    <w:rsid w:val="002D6F61"/>
    <w:rsid w:val="002D73B3"/>
    <w:rsid w:val="002D7E3C"/>
    <w:rsid w:val="002E0200"/>
    <w:rsid w:val="002E0E8F"/>
    <w:rsid w:val="002E164E"/>
    <w:rsid w:val="002E1BC3"/>
    <w:rsid w:val="002E2D50"/>
    <w:rsid w:val="002E3132"/>
    <w:rsid w:val="002E33FB"/>
    <w:rsid w:val="002E61AA"/>
    <w:rsid w:val="002E6461"/>
    <w:rsid w:val="002E65D3"/>
    <w:rsid w:val="002E6B0A"/>
    <w:rsid w:val="002E6C81"/>
    <w:rsid w:val="002E7552"/>
    <w:rsid w:val="002F0D15"/>
    <w:rsid w:val="002F26D0"/>
    <w:rsid w:val="002F3813"/>
    <w:rsid w:val="002F3DCD"/>
    <w:rsid w:val="002F41C9"/>
    <w:rsid w:val="002F432B"/>
    <w:rsid w:val="002F46F4"/>
    <w:rsid w:val="002F4A39"/>
    <w:rsid w:val="002F5760"/>
    <w:rsid w:val="002F580B"/>
    <w:rsid w:val="002F58BF"/>
    <w:rsid w:val="002F6A0B"/>
    <w:rsid w:val="002F6E82"/>
    <w:rsid w:val="002F7049"/>
    <w:rsid w:val="00300034"/>
    <w:rsid w:val="003000FB"/>
    <w:rsid w:val="00300C77"/>
    <w:rsid w:val="00300E80"/>
    <w:rsid w:val="00301AF5"/>
    <w:rsid w:val="00303C33"/>
    <w:rsid w:val="0030432F"/>
    <w:rsid w:val="00305675"/>
    <w:rsid w:val="00307021"/>
    <w:rsid w:val="003072A5"/>
    <w:rsid w:val="0030760F"/>
    <w:rsid w:val="003077AF"/>
    <w:rsid w:val="00310B2A"/>
    <w:rsid w:val="00311B92"/>
    <w:rsid w:val="0031203F"/>
    <w:rsid w:val="0031253A"/>
    <w:rsid w:val="00312794"/>
    <w:rsid w:val="003129AB"/>
    <w:rsid w:val="00313956"/>
    <w:rsid w:val="00313FDD"/>
    <w:rsid w:val="00314C6C"/>
    <w:rsid w:val="003150F2"/>
    <w:rsid w:val="00315729"/>
    <w:rsid w:val="00316BBE"/>
    <w:rsid w:val="00321169"/>
    <w:rsid w:val="003212F5"/>
    <w:rsid w:val="003224F8"/>
    <w:rsid w:val="0032258C"/>
    <w:rsid w:val="00322FF8"/>
    <w:rsid w:val="003247F6"/>
    <w:rsid w:val="0032537F"/>
    <w:rsid w:val="0032758A"/>
    <w:rsid w:val="00327A0C"/>
    <w:rsid w:val="003301DA"/>
    <w:rsid w:val="00331BC0"/>
    <w:rsid w:val="0033209B"/>
    <w:rsid w:val="0033269A"/>
    <w:rsid w:val="00332C07"/>
    <w:rsid w:val="00334786"/>
    <w:rsid w:val="00334BA3"/>
    <w:rsid w:val="00336346"/>
    <w:rsid w:val="00337634"/>
    <w:rsid w:val="00337824"/>
    <w:rsid w:val="00337CC0"/>
    <w:rsid w:val="003409D5"/>
    <w:rsid w:val="00341075"/>
    <w:rsid w:val="00342CBB"/>
    <w:rsid w:val="00343E8D"/>
    <w:rsid w:val="00346186"/>
    <w:rsid w:val="00346705"/>
    <w:rsid w:val="00346809"/>
    <w:rsid w:val="00353DA4"/>
    <w:rsid w:val="00354128"/>
    <w:rsid w:val="00356870"/>
    <w:rsid w:val="00356ECF"/>
    <w:rsid w:val="00361EB3"/>
    <w:rsid w:val="00362401"/>
    <w:rsid w:val="00362FEC"/>
    <w:rsid w:val="00363188"/>
    <w:rsid w:val="0036352C"/>
    <w:rsid w:val="003638AF"/>
    <w:rsid w:val="00364598"/>
    <w:rsid w:val="00365502"/>
    <w:rsid w:val="003673A2"/>
    <w:rsid w:val="0037043E"/>
    <w:rsid w:val="00370E12"/>
    <w:rsid w:val="003712B0"/>
    <w:rsid w:val="00373020"/>
    <w:rsid w:val="00373FE7"/>
    <w:rsid w:val="003740FB"/>
    <w:rsid w:val="00375850"/>
    <w:rsid w:val="0037698C"/>
    <w:rsid w:val="0037768A"/>
    <w:rsid w:val="00380822"/>
    <w:rsid w:val="00381E63"/>
    <w:rsid w:val="0038211A"/>
    <w:rsid w:val="003825FC"/>
    <w:rsid w:val="003829A9"/>
    <w:rsid w:val="00382BC3"/>
    <w:rsid w:val="00383B17"/>
    <w:rsid w:val="00383E47"/>
    <w:rsid w:val="00384755"/>
    <w:rsid w:val="003851CC"/>
    <w:rsid w:val="00385F2F"/>
    <w:rsid w:val="00386221"/>
    <w:rsid w:val="00387262"/>
    <w:rsid w:val="00387444"/>
    <w:rsid w:val="003874DF"/>
    <w:rsid w:val="0039035E"/>
    <w:rsid w:val="00390668"/>
    <w:rsid w:val="00390BF3"/>
    <w:rsid w:val="003911C3"/>
    <w:rsid w:val="00391C33"/>
    <w:rsid w:val="0039385A"/>
    <w:rsid w:val="00394BB0"/>
    <w:rsid w:val="00394C8C"/>
    <w:rsid w:val="0039527D"/>
    <w:rsid w:val="0039579D"/>
    <w:rsid w:val="003967B8"/>
    <w:rsid w:val="00396F06"/>
    <w:rsid w:val="00397707"/>
    <w:rsid w:val="00397BF1"/>
    <w:rsid w:val="003A006F"/>
    <w:rsid w:val="003A1A03"/>
    <w:rsid w:val="003A2242"/>
    <w:rsid w:val="003A22C6"/>
    <w:rsid w:val="003A3A89"/>
    <w:rsid w:val="003A75FA"/>
    <w:rsid w:val="003B008F"/>
    <w:rsid w:val="003B0C51"/>
    <w:rsid w:val="003B1559"/>
    <w:rsid w:val="003B2440"/>
    <w:rsid w:val="003B32CA"/>
    <w:rsid w:val="003B4B55"/>
    <w:rsid w:val="003B5304"/>
    <w:rsid w:val="003B6B60"/>
    <w:rsid w:val="003B6F9D"/>
    <w:rsid w:val="003B794A"/>
    <w:rsid w:val="003B7A12"/>
    <w:rsid w:val="003C0312"/>
    <w:rsid w:val="003C0A31"/>
    <w:rsid w:val="003C0ACC"/>
    <w:rsid w:val="003C0FCB"/>
    <w:rsid w:val="003C1158"/>
    <w:rsid w:val="003C3249"/>
    <w:rsid w:val="003C397A"/>
    <w:rsid w:val="003C3B5B"/>
    <w:rsid w:val="003C3E33"/>
    <w:rsid w:val="003C40DE"/>
    <w:rsid w:val="003C42F0"/>
    <w:rsid w:val="003C468E"/>
    <w:rsid w:val="003C46D5"/>
    <w:rsid w:val="003C499F"/>
    <w:rsid w:val="003C5252"/>
    <w:rsid w:val="003C6733"/>
    <w:rsid w:val="003C6D2B"/>
    <w:rsid w:val="003C6FB9"/>
    <w:rsid w:val="003C75FE"/>
    <w:rsid w:val="003C7C54"/>
    <w:rsid w:val="003D0197"/>
    <w:rsid w:val="003D0A0E"/>
    <w:rsid w:val="003D1722"/>
    <w:rsid w:val="003D1AC5"/>
    <w:rsid w:val="003D2BAE"/>
    <w:rsid w:val="003D3026"/>
    <w:rsid w:val="003D3B20"/>
    <w:rsid w:val="003D3EEA"/>
    <w:rsid w:val="003D63E1"/>
    <w:rsid w:val="003D6BDB"/>
    <w:rsid w:val="003D6EFA"/>
    <w:rsid w:val="003D7955"/>
    <w:rsid w:val="003E0233"/>
    <w:rsid w:val="003E199C"/>
    <w:rsid w:val="003E2EBB"/>
    <w:rsid w:val="003E4188"/>
    <w:rsid w:val="003E5129"/>
    <w:rsid w:val="003E52FC"/>
    <w:rsid w:val="003E5548"/>
    <w:rsid w:val="003F11E9"/>
    <w:rsid w:val="003F1F6C"/>
    <w:rsid w:val="003F3046"/>
    <w:rsid w:val="003F3DAA"/>
    <w:rsid w:val="003F45D2"/>
    <w:rsid w:val="003F4F87"/>
    <w:rsid w:val="003F5291"/>
    <w:rsid w:val="003F54AB"/>
    <w:rsid w:val="003F5643"/>
    <w:rsid w:val="003F5F08"/>
    <w:rsid w:val="003F753B"/>
    <w:rsid w:val="003F7CA9"/>
    <w:rsid w:val="00401A45"/>
    <w:rsid w:val="004027BC"/>
    <w:rsid w:val="004033A1"/>
    <w:rsid w:val="00403786"/>
    <w:rsid w:val="00404BF1"/>
    <w:rsid w:val="00405AC6"/>
    <w:rsid w:val="004066C0"/>
    <w:rsid w:val="00406758"/>
    <w:rsid w:val="00407793"/>
    <w:rsid w:val="0041016D"/>
    <w:rsid w:val="00410CD6"/>
    <w:rsid w:val="0041228E"/>
    <w:rsid w:val="00413A05"/>
    <w:rsid w:val="00413E37"/>
    <w:rsid w:val="004141D1"/>
    <w:rsid w:val="0041532A"/>
    <w:rsid w:val="00415D09"/>
    <w:rsid w:val="00416859"/>
    <w:rsid w:val="004169AC"/>
    <w:rsid w:val="0041703F"/>
    <w:rsid w:val="00417136"/>
    <w:rsid w:val="00417457"/>
    <w:rsid w:val="004177E0"/>
    <w:rsid w:val="00417D32"/>
    <w:rsid w:val="00420432"/>
    <w:rsid w:val="004205D1"/>
    <w:rsid w:val="00420FB4"/>
    <w:rsid w:val="00421C42"/>
    <w:rsid w:val="00421D77"/>
    <w:rsid w:val="0042224C"/>
    <w:rsid w:val="004229D7"/>
    <w:rsid w:val="0042325B"/>
    <w:rsid w:val="00423329"/>
    <w:rsid w:val="00423DDC"/>
    <w:rsid w:val="00423F6D"/>
    <w:rsid w:val="004240CF"/>
    <w:rsid w:val="0042432B"/>
    <w:rsid w:val="004257E4"/>
    <w:rsid w:val="004260BF"/>
    <w:rsid w:val="004272F5"/>
    <w:rsid w:val="004275C7"/>
    <w:rsid w:val="004302EF"/>
    <w:rsid w:val="00431FF9"/>
    <w:rsid w:val="00432214"/>
    <w:rsid w:val="00433772"/>
    <w:rsid w:val="0043377D"/>
    <w:rsid w:val="00434CCA"/>
    <w:rsid w:val="004352C1"/>
    <w:rsid w:val="00435DE9"/>
    <w:rsid w:val="0043671D"/>
    <w:rsid w:val="004405DF"/>
    <w:rsid w:val="00440799"/>
    <w:rsid w:val="00442247"/>
    <w:rsid w:val="00442734"/>
    <w:rsid w:val="00443340"/>
    <w:rsid w:val="00444DB3"/>
    <w:rsid w:val="00444F10"/>
    <w:rsid w:val="0044521D"/>
    <w:rsid w:val="004478B3"/>
    <w:rsid w:val="00451B9B"/>
    <w:rsid w:val="00453EDA"/>
    <w:rsid w:val="004543F7"/>
    <w:rsid w:val="00454EF2"/>
    <w:rsid w:val="004556A9"/>
    <w:rsid w:val="00455877"/>
    <w:rsid w:val="00455B39"/>
    <w:rsid w:val="00461133"/>
    <w:rsid w:val="00461DF5"/>
    <w:rsid w:val="00461EB3"/>
    <w:rsid w:val="00462551"/>
    <w:rsid w:val="00464CDE"/>
    <w:rsid w:val="0046745E"/>
    <w:rsid w:val="00467769"/>
    <w:rsid w:val="004679AA"/>
    <w:rsid w:val="00467E74"/>
    <w:rsid w:val="00467FFC"/>
    <w:rsid w:val="00471437"/>
    <w:rsid w:val="00471563"/>
    <w:rsid w:val="00471607"/>
    <w:rsid w:val="00471A1C"/>
    <w:rsid w:val="0047222B"/>
    <w:rsid w:val="004752F4"/>
    <w:rsid w:val="004755B7"/>
    <w:rsid w:val="00475771"/>
    <w:rsid w:val="00475B0B"/>
    <w:rsid w:val="00477A4D"/>
    <w:rsid w:val="00477E52"/>
    <w:rsid w:val="00480AF9"/>
    <w:rsid w:val="00484818"/>
    <w:rsid w:val="00484EE6"/>
    <w:rsid w:val="004860F7"/>
    <w:rsid w:val="00487288"/>
    <w:rsid w:val="004908DC"/>
    <w:rsid w:val="004914A0"/>
    <w:rsid w:val="00491817"/>
    <w:rsid w:val="004936C4"/>
    <w:rsid w:val="004956A8"/>
    <w:rsid w:val="00495820"/>
    <w:rsid w:val="00495920"/>
    <w:rsid w:val="00495DDE"/>
    <w:rsid w:val="004A00B2"/>
    <w:rsid w:val="004A0330"/>
    <w:rsid w:val="004A0420"/>
    <w:rsid w:val="004A0799"/>
    <w:rsid w:val="004A0819"/>
    <w:rsid w:val="004A16B6"/>
    <w:rsid w:val="004A17B2"/>
    <w:rsid w:val="004A290F"/>
    <w:rsid w:val="004A3CC6"/>
    <w:rsid w:val="004A5199"/>
    <w:rsid w:val="004A7A79"/>
    <w:rsid w:val="004B0934"/>
    <w:rsid w:val="004B0E1C"/>
    <w:rsid w:val="004B0F98"/>
    <w:rsid w:val="004B1253"/>
    <w:rsid w:val="004B1367"/>
    <w:rsid w:val="004B217A"/>
    <w:rsid w:val="004B21B7"/>
    <w:rsid w:val="004B2788"/>
    <w:rsid w:val="004B5AE3"/>
    <w:rsid w:val="004B6916"/>
    <w:rsid w:val="004B6AD9"/>
    <w:rsid w:val="004B6F82"/>
    <w:rsid w:val="004B7367"/>
    <w:rsid w:val="004B77B2"/>
    <w:rsid w:val="004C1098"/>
    <w:rsid w:val="004C1250"/>
    <w:rsid w:val="004C14C6"/>
    <w:rsid w:val="004C4996"/>
    <w:rsid w:val="004C4DD1"/>
    <w:rsid w:val="004C5255"/>
    <w:rsid w:val="004C6D56"/>
    <w:rsid w:val="004C7173"/>
    <w:rsid w:val="004C7A10"/>
    <w:rsid w:val="004D1B5D"/>
    <w:rsid w:val="004D1CF6"/>
    <w:rsid w:val="004D2BB8"/>
    <w:rsid w:val="004D2C4C"/>
    <w:rsid w:val="004D2EC8"/>
    <w:rsid w:val="004D32CF"/>
    <w:rsid w:val="004D424D"/>
    <w:rsid w:val="004D4848"/>
    <w:rsid w:val="004D586F"/>
    <w:rsid w:val="004D58CA"/>
    <w:rsid w:val="004D6131"/>
    <w:rsid w:val="004D687F"/>
    <w:rsid w:val="004E073B"/>
    <w:rsid w:val="004E14C4"/>
    <w:rsid w:val="004E303C"/>
    <w:rsid w:val="004E32BC"/>
    <w:rsid w:val="004E37FE"/>
    <w:rsid w:val="004E383E"/>
    <w:rsid w:val="004E4968"/>
    <w:rsid w:val="004E4D80"/>
    <w:rsid w:val="004E4D92"/>
    <w:rsid w:val="004E5F80"/>
    <w:rsid w:val="004E6714"/>
    <w:rsid w:val="004E780F"/>
    <w:rsid w:val="004F0C5E"/>
    <w:rsid w:val="004F16C6"/>
    <w:rsid w:val="004F3826"/>
    <w:rsid w:val="004F3BE5"/>
    <w:rsid w:val="004F4E2F"/>
    <w:rsid w:val="004F6344"/>
    <w:rsid w:val="004F687C"/>
    <w:rsid w:val="004F70AF"/>
    <w:rsid w:val="004F767F"/>
    <w:rsid w:val="004F7729"/>
    <w:rsid w:val="00500BCD"/>
    <w:rsid w:val="00500DE4"/>
    <w:rsid w:val="005013EF"/>
    <w:rsid w:val="005014BA"/>
    <w:rsid w:val="00503E1F"/>
    <w:rsid w:val="00503F69"/>
    <w:rsid w:val="00503F9A"/>
    <w:rsid w:val="00504318"/>
    <w:rsid w:val="00504C42"/>
    <w:rsid w:val="00507A07"/>
    <w:rsid w:val="00507AD8"/>
    <w:rsid w:val="00511CAF"/>
    <w:rsid w:val="00511F6B"/>
    <w:rsid w:val="0051244B"/>
    <w:rsid w:val="005139F7"/>
    <w:rsid w:val="00514566"/>
    <w:rsid w:val="005166DB"/>
    <w:rsid w:val="00516BDE"/>
    <w:rsid w:val="0052062D"/>
    <w:rsid w:val="00521D32"/>
    <w:rsid w:val="00522889"/>
    <w:rsid w:val="00522EA7"/>
    <w:rsid w:val="005234EA"/>
    <w:rsid w:val="00524A74"/>
    <w:rsid w:val="005251AF"/>
    <w:rsid w:val="00526BC2"/>
    <w:rsid w:val="005270FE"/>
    <w:rsid w:val="00530BC2"/>
    <w:rsid w:val="00532F5B"/>
    <w:rsid w:val="005346B9"/>
    <w:rsid w:val="00535419"/>
    <w:rsid w:val="0053628C"/>
    <w:rsid w:val="005372C3"/>
    <w:rsid w:val="005400B9"/>
    <w:rsid w:val="005400D8"/>
    <w:rsid w:val="00541926"/>
    <w:rsid w:val="005419D1"/>
    <w:rsid w:val="005420B9"/>
    <w:rsid w:val="005430A2"/>
    <w:rsid w:val="005434B9"/>
    <w:rsid w:val="005447FA"/>
    <w:rsid w:val="00547169"/>
    <w:rsid w:val="00550741"/>
    <w:rsid w:val="00550AE9"/>
    <w:rsid w:val="00551B24"/>
    <w:rsid w:val="0055274E"/>
    <w:rsid w:val="005530A6"/>
    <w:rsid w:val="00554CCB"/>
    <w:rsid w:val="00555222"/>
    <w:rsid w:val="00557EAA"/>
    <w:rsid w:val="00560779"/>
    <w:rsid w:val="00561429"/>
    <w:rsid w:val="00561FFE"/>
    <w:rsid w:val="00563D2A"/>
    <w:rsid w:val="0056433E"/>
    <w:rsid w:val="00564C70"/>
    <w:rsid w:val="0056542E"/>
    <w:rsid w:val="00565A4D"/>
    <w:rsid w:val="005708A4"/>
    <w:rsid w:val="0057090F"/>
    <w:rsid w:val="00571AAF"/>
    <w:rsid w:val="00571CCD"/>
    <w:rsid w:val="005721C3"/>
    <w:rsid w:val="005747B6"/>
    <w:rsid w:val="00575306"/>
    <w:rsid w:val="00575F0D"/>
    <w:rsid w:val="00581B84"/>
    <w:rsid w:val="00583929"/>
    <w:rsid w:val="005858CD"/>
    <w:rsid w:val="00585B33"/>
    <w:rsid w:val="00587782"/>
    <w:rsid w:val="005878B9"/>
    <w:rsid w:val="00587FB4"/>
    <w:rsid w:val="00590260"/>
    <w:rsid w:val="00590B0E"/>
    <w:rsid w:val="00590FF9"/>
    <w:rsid w:val="00592109"/>
    <w:rsid w:val="00592471"/>
    <w:rsid w:val="00593371"/>
    <w:rsid w:val="00593CCC"/>
    <w:rsid w:val="00594768"/>
    <w:rsid w:val="00595763"/>
    <w:rsid w:val="00595E9F"/>
    <w:rsid w:val="0059671F"/>
    <w:rsid w:val="0059676F"/>
    <w:rsid w:val="00597910"/>
    <w:rsid w:val="00597911"/>
    <w:rsid w:val="0059791E"/>
    <w:rsid w:val="005A0C81"/>
    <w:rsid w:val="005A34E3"/>
    <w:rsid w:val="005A3A05"/>
    <w:rsid w:val="005A4FCF"/>
    <w:rsid w:val="005A51AB"/>
    <w:rsid w:val="005A5251"/>
    <w:rsid w:val="005A6619"/>
    <w:rsid w:val="005A6788"/>
    <w:rsid w:val="005A6AB6"/>
    <w:rsid w:val="005A6FD9"/>
    <w:rsid w:val="005A706A"/>
    <w:rsid w:val="005B0A33"/>
    <w:rsid w:val="005B1B38"/>
    <w:rsid w:val="005B1E8A"/>
    <w:rsid w:val="005B1EA5"/>
    <w:rsid w:val="005B238B"/>
    <w:rsid w:val="005B27AA"/>
    <w:rsid w:val="005B29AE"/>
    <w:rsid w:val="005B3863"/>
    <w:rsid w:val="005B4E6C"/>
    <w:rsid w:val="005B51EC"/>
    <w:rsid w:val="005B5475"/>
    <w:rsid w:val="005B61E6"/>
    <w:rsid w:val="005C1772"/>
    <w:rsid w:val="005C2C01"/>
    <w:rsid w:val="005C4DAE"/>
    <w:rsid w:val="005C5388"/>
    <w:rsid w:val="005C5765"/>
    <w:rsid w:val="005C6ADC"/>
    <w:rsid w:val="005C6C98"/>
    <w:rsid w:val="005C6FFD"/>
    <w:rsid w:val="005C79E2"/>
    <w:rsid w:val="005D0313"/>
    <w:rsid w:val="005D2406"/>
    <w:rsid w:val="005D2D17"/>
    <w:rsid w:val="005D3F81"/>
    <w:rsid w:val="005D5C06"/>
    <w:rsid w:val="005D657B"/>
    <w:rsid w:val="005D7616"/>
    <w:rsid w:val="005E0B4E"/>
    <w:rsid w:val="005E1A10"/>
    <w:rsid w:val="005E1DE2"/>
    <w:rsid w:val="005E52F6"/>
    <w:rsid w:val="005E5738"/>
    <w:rsid w:val="005E7A06"/>
    <w:rsid w:val="005F01B7"/>
    <w:rsid w:val="005F0DB2"/>
    <w:rsid w:val="005F1B98"/>
    <w:rsid w:val="005F2479"/>
    <w:rsid w:val="005F3575"/>
    <w:rsid w:val="005F3EE1"/>
    <w:rsid w:val="005F4129"/>
    <w:rsid w:val="005F452E"/>
    <w:rsid w:val="005F45A9"/>
    <w:rsid w:val="005F496F"/>
    <w:rsid w:val="005F5341"/>
    <w:rsid w:val="005F6921"/>
    <w:rsid w:val="005F6BCA"/>
    <w:rsid w:val="005F7540"/>
    <w:rsid w:val="005F76B4"/>
    <w:rsid w:val="005F7765"/>
    <w:rsid w:val="00600198"/>
    <w:rsid w:val="006031B3"/>
    <w:rsid w:val="00603B7C"/>
    <w:rsid w:val="00604BBD"/>
    <w:rsid w:val="00606E34"/>
    <w:rsid w:val="006075CF"/>
    <w:rsid w:val="00607B0B"/>
    <w:rsid w:val="00611266"/>
    <w:rsid w:val="00611930"/>
    <w:rsid w:val="00611ACA"/>
    <w:rsid w:val="00612E4A"/>
    <w:rsid w:val="00612F03"/>
    <w:rsid w:val="00613103"/>
    <w:rsid w:val="00614465"/>
    <w:rsid w:val="0061528B"/>
    <w:rsid w:val="00620237"/>
    <w:rsid w:val="0062405E"/>
    <w:rsid w:val="006242E9"/>
    <w:rsid w:val="00624FDD"/>
    <w:rsid w:val="0062516F"/>
    <w:rsid w:val="00626051"/>
    <w:rsid w:val="00626331"/>
    <w:rsid w:val="00626D4C"/>
    <w:rsid w:val="00626D57"/>
    <w:rsid w:val="0063081A"/>
    <w:rsid w:val="00630CC6"/>
    <w:rsid w:val="0063156D"/>
    <w:rsid w:val="00631677"/>
    <w:rsid w:val="00631709"/>
    <w:rsid w:val="00632337"/>
    <w:rsid w:val="0063386F"/>
    <w:rsid w:val="0063394D"/>
    <w:rsid w:val="0063401E"/>
    <w:rsid w:val="00634930"/>
    <w:rsid w:val="00636ADA"/>
    <w:rsid w:val="00637143"/>
    <w:rsid w:val="00640133"/>
    <w:rsid w:val="006402D6"/>
    <w:rsid w:val="006406A1"/>
    <w:rsid w:val="006413C6"/>
    <w:rsid w:val="00641645"/>
    <w:rsid w:val="00642031"/>
    <w:rsid w:val="00642E48"/>
    <w:rsid w:val="00643CAF"/>
    <w:rsid w:val="0064493B"/>
    <w:rsid w:val="0064503E"/>
    <w:rsid w:val="00645751"/>
    <w:rsid w:val="006465AF"/>
    <w:rsid w:val="00646E15"/>
    <w:rsid w:val="006504CF"/>
    <w:rsid w:val="006516C3"/>
    <w:rsid w:val="0065180A"/>
    <w:rsid w:val="00651A44"/>
    <w:rsid w:val="00651C3B"/>
    <w:rsid w:val="006534EF"/>
    <w:rsid w:val="00653819"/>
    <w:rsid w:val="006544A8"/>
    <w:rsid w:val="006551B9"/>
    <w:rsid w:val="00656724"/>
    <w:rsid w:val="00656F97"/>
    <w:rsid w:val="00657932"/>
    <w:rsid w:val="006579F6"/>
    <w:rsid w:val="00657B5A"/>
    <w:rsid w:val="00660240"/>
    <w:rsid w:val="00661934"/>
    <w:rsid w:val="006626DB"/>
    <w:rsid w:val="00662C7F"/>
    <w:rsid w:val="00664278"/>
    <w:rsid w:val="006710A0"/>
    <w:rsid w:val="00671720"/>
    <w:rsid w:val="006724F5"/>
    <w:rsid w:val="00672DBF"/>
    <w:rsid w:val="00674A14"/>
    <w:rsid w:val="00674ED3"/>
    <w:rsid w:val="00675429"/>
    <w:rsid w:val="0067558D"/>
    <w:rsid w:val="0067606F"/>
    <w:rsid w:val="006761BC"/>
    <w:rsid w:val="00680E51"/>
    <w:rsid w:val="00682089"/>
    <w:rsid w:val="00684359"/>
    <w:rsid w:val="006854C2"/>
    <w:rsid w:val="006855CF"/>
    <w:rsid w:val="00687019"/>
    <w:rsid w:val="00687372"/>
    <w:rsid w:val="00687650"/>
    <w:rsid w:val="00687CE6"/>
    <w:rsid w:val="00690D4F"/>
    <w:rsid w:val="006911DC"/>
    <w:rsid w:val="0069149A"/>
    <w:rsid w:val="00692F21"/>
    <w:rsid w:val="0069301B"/>
    <w:rsid w:val="006941D0"/>
    <w:rsid w:val="00694B2F"/>
    <w:rsid w:val="00694DB5"/>
    <w:rsid w:val="0069553C"/>
    <w:rsid w:val="00695617"/>
    <w:rsid w:val="00696E29"/>
    <w:rsid w:val="00697931"/>
    <w:rsid w:val="006A098A"/>
    <w:rsid w:val="006A1777"/>
    <w:rsid w:val="006A1875"/>
    <w:rsid w:val="006A3701"/>
    <w:rsid w:val="006A3D34"/>
    <w:rsid w:val="006A485A"/>
    <w:rsid w:val="006A4A88"/>
    <w:rsid w:val="006A596B"/>
    <w:rsid w:val="006A5990"/>
    <w:rsid w:val="006A5999"/>
    <w:rsid w:val="006A5B53"/>
    <w:rsid w:val="006A6328"/>
    <w:rsid w:val="006A6811"/>
    <w:rsid w:val="006A6EA1"/>
    <w:rsid w:val="006B0591"/>
    <w:rsid w:val="006B06E1"/>
    <w:rsid w:val="006B0940"/>
    <w:rsid w:val="006B0A6A"/>
    <w:rsid w:val="006B15FB"/>
    <w:rsid w:val="006B18AE"/>
    <w:rsid w:val="006B1B55"/>
    <w:rsid w:val="006B2A71"/>
    <w:rsid w:val="006B3F93"/>
    <w:rsid w:val="006B45C4"/>
    <w:rsid w:val="006B4910"/>
    <w:rsid w:val="006B4E8B"/>
    <w:rsid w:val="006B6586"/>
    <w:rsid w:val="006B6699"/>
    <w:rsid w:val="006B6C74"/>
    <w:rsid w:val="006C18C5"/>
    <w:rsid w:val="006C2F92"/>
    <w:rsid w:val="006C3367"/>
    <w:rsid w:val="006C3ABD"/>
    <w:rsid w:val="006C4952"/>
    <w:rsid w:val="006C574F"/>
    <w:rsid w:val="006C599C"/>
    <w:rsid w:val="006D0819"/>
    <w:rsid w:val="006D14DC"/>
    <w:rsid w:val="006D175A"/>
    <w:rsid w:val="006D1EA5"/>
    <w:rsid w:val="006D292A"/>
    <w:rsid w:val="006D31C7"/>
    <w:rsid w:val="006D380A"/>
    <w:rsid w:val="006D4607"/>
    <w:rsid w:val="006D478A"/>
    <w:rsid w:val="006D52CC"/>
    <w:rsid w:val="006D6A87"/>
    <w:rsid w:val="006E022F"/>
    <w:rsid w:val="006E317C"/>
    <w:rsid w:val="006E4275"/>
    <w:rsid w:val="006E674F"/>
    <w:rsid w:val="006E6765"/>
    <w:rsid w:val="006F1E80"/>
    <w:rsid w:val="006F27D1"/>
    <w:rsid w:val="006F362C"/>
    <w:rsid w:val="006F4CBA"/>
    <w:rsid w:val="006F5F1C"/>
    <w:rsid w:val="006F6790"/>
    <w:rsid w:val="006F732E"/>
    <w:rsid w:val="006F7A68"/>
    <w:rsid w:val="00700443"/>
    <w:rsid w:val="00701197"/>
    <w:rsid w:val="00701D4F"/>
    <w:rsid w:val="00703F7A"/>
    <w:rsid w:val="00704C2E"/>
    <w:rsid w:val="007065E5"/>
    <w:rsid w:val="007069B5"/>
    <w:rsid w:val="00706CB7"/>
    <w:rsid w:val="00707932"/>
    <w:rsid w:val="0071011F"/>
    <w:rsid w:val="007111B6"/>
    <w:rsid w:val="00714429"/>
    <w:rsid w:val="00714C5E"/>
    <w:rsid w:val="00715C2E"/>
    <w:rsid w:val="007171AF"/>
    <w:rsid w:val="0071773A"/>
    <w:rsid w:val="00717970"/>
    <w:rsid w:val="00720771"/>
    <w:rsid w:val="00721352"/>
    <w:rsid w:val="00721B6C"/>
    <w:rsid w:val="0072317D"/>
    <w:rsid w:val="00723540"/>
    <w:rsid w:val="007235B8"/>
    <w:rsid w:val="007237D0"/>
    <w:rsid w:val="00724B53"/>
    <w:rsid w:val="00724E33"/>
    <w:rsid w:val="007253E0"/>
    <w:rsid w:val="00725EB8"/>
    <w:rsid w:val="00725FB4"/>
    <w:rsid w:val="007270D4"/>
    <w:rsid w:val="00727B8D"/>
    <w:rsid w:val="00727B9C"/>
    <w:rsid w:val="00730EBF"/>
    <w:rsid w:val="00731381"/>
    <w:rsid w:val="007314D1"/>
    <w:rsid w:val="00732BB0"/>
    <w:rsid w:val="00732EDE"/>
    <w:rsid w:val="007345D9"/>
    <w:rsid w:val="0073566D"/>
    <w:rsid w:val="00735BD4"/>
    <w:rsid w:val="00737B86"/>
    <w:rsid w:val="00740E33"/>
    <w:rsid w:val="00740E8D"/>
    <w:rsid w:val="00741186"/>
    <w:rsid w:val="00741A8F"/>
    <w:rsid w:val="00741F64"/>
    <w:rsid w:val="00742659"/>
    <w:rsid w:val="0074375C"/>
    <w:rsid w:val="00743BA2"/>
    <w:rsid w:val="00744152"/>
    <w:rsid w:val="00744624"/>
    <w:rsid w:val="0074607C"/>
    <w:rsid w:val="007471F0"/>
    <w:rsid w:val="0074781F"/>
    <w:rsid w:val="007508BD"/>
    <w:rsid w:val="00750976"/>
    <w:rsid w:val="00750B01"/>
    <w:rsid w:val="00750C6F"/>
    <w:rsid w:val="00751B3A"/>
    <w:rsid w:val="00751B90"/>
    <w:rsid w:val="00753093"/>
    <w:rsid w:val="0075340E"/>
    <w:rsid w:val="00755A94"/>
    <w:rsid w:val="00755BAC"/>
    <w:rsid w:val="00755DBE"/>
    <w:rsid w:val="00756053"/>
    <w:rsid w:val="0075656A"/>
    <w:rsid w:val="00760928"/>
    <w:rsid w:val="00762D6A"/>
    <w:rsid w:val="00763EFC"/>
    <w:rsid w:val="00764282"/>
    <w:rsid w:val="0076476B"/>
    <w:rsid w:val="00765B77"/>
    <w:rsid w:val="00767044"/>
    <w:rsid w:val="007676E7"/>
    <w:rsid w:val="007712D4"/>
    <w:rsid w:val="0077135E"/>
    <w:rsid w:val="00772AB8"/>
    <w:rsid w:val="00773321"/>
    <w:rsid w:val="0077432C"/>
    <w:rsid w:val="007748AF"/>
    <w:rsid w:val="00775F78"/>
    <w:rsid w:val="00776CEF"/>
    <w:rsid w:val="00777668"/>
    <w:rsid w:val="007810E6"/>
    <w:rsid w:val="007822FE"/>
    <w:rsid w:val="00783085"/>
    <w:rsid w:val="00787578"/>
    <w:rsid w:val="00787581"/>
    <w:rsid w:val="00787BF6"/>
    <w:rsid w:val="00791536"/>
    <w:rsid w:val="00791545"/>
    <w:rsid w:val="0079362E"/>
    <w:rsid w:val="00793DD1"/>
    <w:rsid w:val="007946EF"/>
    <w:rsid w:val="00795225"/>
    <w:rsid w:val="00796800"/>
    <w:rsid w:val="00796A6D"/>
    <w:rsid w:val="00796DFF"/>
    <w:rsid w:val="00797221"/>
    <w:rsid w:val="007A008E"/>
    <w:rsid w:val="007A25FE"/>
    <w:rsid w:val="007A3DD2"/>
    <w:rsid w:val="007A400A"/>
    <w:rsid w:val="007A59C5"/>
    <w:rsid w:val="007A5D60"/>
    <w:rsid w:val="007A6768"/>
    <w:rsid w:val="007A6B5D"/>
    <w:rsid w:val="007A75F9"/>
    <w:rsid w:val="007A7935"/>
    <w:rsid w:val="007B25CA"/>
    <w:rsid w:val="007B2FEC"/>
    <w:rsid w:val="007B4B9B"/>
    <w:rsid w:val="007B5DCC"/>
    <w:rsid w:val="007C05BA"/>
    <w:rsid w:val="007C0B8D"/>
    <w:rsid w:val="007C0C66"/>
    <w:rsid w:val="007C403B"/>
    <w:rsid w:val="007C5423"/>
    <w:rsid w:val="007C55BA"/>
    <w:rsid w:val="007C624F"/>
    <w:rsid w:val="007C66D7"/>
    <w:rsid w:val="007D0553"/>
    <w:rsid w:val="007D12C1"/>
    <w:rsid w:val="007D13E7"/>
    <w:rsid w:val="007D1856"/>
    <w:rsid w:val="007D2EC1"/>
    <w:rsid w:val="007D30B3"/>
    <w:rsid w:val="007D376D"/>
    <w:rsid w:val="007D3C83"/>
    <w:rsid w:val="007D4EB3"/>
    <w:rsid w:val="007D590E"/>
    <w:rsid w:val="007D68F5"/>
    <w:rsid w:val="007D74ED"/>
    <w:rsid w:val="007D7861"/>
    <w:rsid w:val="007D787A"/>
    <w:rsid w:val="007D7996"/>
    <w:rsid w:val="007E23A9"/>
    <w:rsid w:val="007E28DC"/>
    <w:rsid w:val="007E2C59"/>
    <w:rsid w:val="007E2D5B"/>
    <w:rsid w:val="007E3287"/>
    <w:rsid w:val="007E3EE5"/>
    <w:rsid w:val="007E4510"/>
    <w:rsid w:val="007E5F04"/>
    <w:rsid w:val="007E6064"/>
    <w:rsid w:val="007E6E55"/>
    <w:rsid w:val="007E7CC1"/>
    <w:rsid w:val="007E7DC0"/>
    <w:rsid w:val="007F0559"/>
    <w:rsid w:val="007F084C"/>
    <w:rsid w:val="007F110B"/>
    <w:rsid w:val="007F4CA0"/>
    <w:rsid w:val="007F6FA0"/>
    <w:rsid w:val="007F74D3"/>
    <w:rsid w:val="007F768A"/>
    <w:rsid w:val="007F7AE0"/>
    <w:rsid w:val="0080245A"/>
    <w:rsid w:val="008027CB"/>
    <w:rsid w:val="008028E4"/>
    <w:rsid w:val="00802E69"/>
    <w:rsid w:val="00802FFF"/>
    <w:rsid w:val="00803BE5"/>
    <w:rsid w:val="00804B2B"/>
    <w:rsid w:val="00804F61"/>
    <w:rsid w:val="00805A33"/>
    <w:rsid w:val="00806930"/>
    <w:rsid w:val="008078FE"/>
    <w:rsid w:val="008108F5"/>
    <w:rsid w:val="0081161A"/>
    <w:rsid w:val="00811FD6"/>
    <w:rsid w:val="008121D4"/>
    <w:rsid w:val="008136F9"/>
    <w:rsid w:val="00813B52"/>
    <w:rsid w:val="00813EBE"/>
    <w:rsid w:val="00815B90"/>
    <w:rsid w:val="0081630A"/>
    <w:rsid w:val="00821757"/>
    <w:rsid w:val="0082195E"/>
    <w:rsid w:val="00821F5F"/>
    <w:rsid w:val="00822048"/>
    <w:rsid w:val="008226DD"/>
    <w:rsid w:val="00822C4E"/>
    <w:rsid w:val="00822E3B"/>
    <w:rsid w:val="00822F40"/>
    <w:rsid w:val="00823811"/>
    <w:rsid w:val="00823B85"/>
    <w:rsid w:val="00824363"/>
    <w:rsid w:val="00826B2F"/>
    <w:rsid w:val="00827196"/>
    <w:rsid w:val="00831797"/>
    <w:rsid w:val="00831E55"/>
    <w:rsid w:val="00833208"/>
    <w:rsid w:val="00833918"/>
    <w:rsid w:val="008353FD"/>
    <w:rsid w:val="00835FB4"/>
    <w:rsid w:val="0083626E"/>
    <w:rsid w:val="00837051"/>
    <w:rsid w:val="00837329"/>
    <w:rsid w:val="008376C1"/>
    <w:rsid w:val="00837B6D"/>
    <w:rsid w:val="00840750"/>
    <w:rsid w:val="008409B5"/>
    <w:rsid w:val="00840A4C"/>
    <w:rsid w:val="008418C9"/>
    <w:rsid w:val="00842DE4"/>
    <w:rsid w:val="008438B2"/>
    <w:rsid w:val="00843A8A"/>
    <w:rsid w:val="008456F7"/>
    <w:rsid w:val="00846295"/>
    <w:rsid w:val="00846910"/>
    <w:rsid w:val="008477F8"/>
    <w:rsid w:val="00847AD0"/>
    <w:rsid w:val="0085035D"/>
    <w:rsid w:val="0085122A"/>
    <w:rsid w:val="00851B62"/>
    <w:rsid w:val="00852A7B"/>
    <w:rsid w:val="00855464"/>
    <w:rsid w:val="008557D8"/>
    <w:rsid w:val="00855B8D"/>
    <w:rsid w:val="00856563"/>
    <w:rsid w:val="00856D8F"/>
    <w:rsid w:val="00856FC2"/>
    <w:rsid w:val="00857755"/>
    <w:rsid w:val="00857B7E"/>
    <w:rsid w:val="00860A77"/>
    <w:rsid w:val="00861E55"/>
    <w:rsid w:val="00861E95"/>
    <w:rsid w:val="00863A28"/>
    <w:rsid w:val="00864462"/>
    <w:rsid w:val="00864ACF"/>
    <w:rsid w:val="00865C5F"/>
    <w:rsid w:val="00865E6E"/>
    <w:rsid w:val="0086657E"/>
    <w:rsid w:val="008669C6"/>
    <w:rsid w:val="00866A02"/>
    <w:rsid w:val="0086742B"/>
    <w:rsid w:val="008705A8"/>
    <w:rsid w:val="0087216C"/>
    <w:rsid w:val="008722A5"/>
    <w:rsid w:val="00872BA1"/>
    <w:rsid w:val="00873C3B"/>
    <w:rsid w:val="00874095"/>
    <w:rsid w:val="008740E2"/>
    <w:rsid w:val="0087411A"/>
    <w:rsid w:val="008753FB"/>
    <w:rsid w:val="008757B7"/>
    <w:rsid w:val="008759ED"/>
    <w:rsid w:val="00877601"/>
    <w:rsid w:val="00877798"/>
    <w:rsid w:val="00877B2B"/>
    <w:rsid w:val="008810D8"/>
    <w:rsid w:val="00882E04"/>
    <w:rsid w:val="00884A62"/>
    <w:rsid w:val="00885797"/>
    <w:rsid w:val="00887DBF"/>
    <w:rsid w:val="00892554"/>
    <w:rsid w:val="008959A0"/>
    <w:rsid w:val="00896595"/>
    <w:rsid w:val="008966D3"/>
    <w:rsid w:val="008A2E26"/>
    <w:rsid w:val="008A2FD9"/>
    <w:rsid w:val="008A3F9D"/>
    <w:rsid w:val="008A4380"/>
    <w:rsid w:val="008A45C0"/>
    <w:rsid w:val="008A54D9"/>
    <w:rsid w:val="008A601C"/>
    <w:rsid w:val="008A74AF"/>
    <w:rsid w:val="008B3BA6"/>
    <w:rsid w:val="008B62C9"/>
    <w:rsid w:val="008B6513"/>
    <w:rsid w:val="008B696D"/>
    <w:rsid w:val="008C146F"/>
    <w:rsid w:val="008C16E3"/>
    <w:rsid w:val="008C26B8"/>
    <w:rsid w:val="008C2FBB"/>
    <w:rsid w:val="008C3265"/>
    <w:rsid w:val="008C3647"/>
    <w:rsid w:val="008C3DD2"/>
    <w:rsid w:val="008C511D"/>
    <w:rsid w:val="008C5951"/>
    <w:rsid w:val="008D312F"/>
    <w:rsid w:val="008D42B6"/>
    <w:rsid w:val="008D729C"/>
    <w:rsid w:val="008D79F2"/>
    <w:rsid w:val="008E0EF3"/>
    <w:rsid w:val="008E1D76"/>
    <w:rsid w:val="008E1F65"/>
    <w:rsid w:val="008E397C"/>
    <w:rsid w:val="008E5D0F"/>
    <w:rsid w:val="008E6B5D"/>
    <w:rsid w:val="008E7600"/>
    <w:rsid w:val="008F2704"/>
    <w:rsid w:val="008F2B32"/>
    <w:rsid w:val="008F39E6"/>
    <w:rsid w:val="008F3ADE"/>
    <w:rsid w:val="008F4A67"/>
    <w:rsid w:val="008F5747"/>
    <w:rsid w:val="008F5C33"/>
    <w:rsid w:val="008F6E99"/>
    <w:rsid w:val="008F7E60"/>
    <w:rsid w:val="009010B2"/>
    <w:rsid w:val="00901232"/>
    <w:rsid w:val="0090205B"/>
    <w:rsid w:val="00903E66"/>
    <w:rsid w:val="00904587"/>
    <w:rsid w:val="00904C41"/>
    <w:rsid w:val="00904D8A"/>
    <w:rsid w:val="00905892"/>
    <w:rsid w:val="00905DD7"/>
    <w:rsid w:val="009064C5"/>
    <w:rsid w:val="00907336"/>
    <w:rsid w:val="0091004E"/>
    <w:rsid w:val="009116F5"/>
    <w:rsid w:val="00911A99"/>
    <w:rsid w:val="00911E70"/>
    <w:rsid w:val="0091235D"/>
    <w:rsid w:val="00912BD4"/>
    <w:rsid w:val="00913BFB"/>
    <w:rsid w:val="00914527"/>
    <w:rsid w:val="00914C15"/>
    <w:rsid w:val="0091553A"/>
    <w:rsid w:val="00916363"/>
    <w:rsid w:val="00916E16"/>
    <w:rsid w:val="00917CA6"/>
    <w:rsid w:val="0092048C"/>
    <w:rsid w:val="00920D4F"/>
    <w:rsid w:val="00920E7F"/>
    <w:rsid w:val="0092238A"/>
    <w:rsid w:val="00922EC7"/>
    <w:rsid w:val="00925301"/>
    <w:rsid w:val="0092671D"/>
    <w:rsid w:val="00926A3E"/>
    <w:rsid w:val="00926B0A"/>
    <w:rsid w:val="00926E04"/>
    <w:rsid w:val="0092702C"/>
    <w:rsid w:val="00927671"/>
    <w:rsid w:val="00927E5A"/>
    <w:rsid w:val="00931796"/>
    <w:rsid w:val="009324AF"/>
    <w:rsid w:val="00932B60"/>
    <w:rsid w:val="00932F12"/>
    <w:rsid w:val="00932F8C"/>
    <w:rsid w:val="00933470"/>
    <w:rsid w:val="00933949"/>
    <w:rsid w:val="00935499"/>
    <w:rsid w:val="00935852"/>
    <w:rsid w:val="00935DC1"/>
    <w:rsid w:val="00940180"/>
    <w:rsid w:val="009404B4"/>
    <w:rsid w:val="00942519"/>
    <w:rsid w:val="00943A33"/>
    <w:rsid w:val="00943AC0"/>
    <w:rsid w:val="009459A1"/>
    <w:rsid w:val="00945EE4"/>
    <w:rsid w:val="0094690E"/>
    <w:rsid w:val="0094727E"/>
    <w:rsid w:val="00947CA0"/>
    <w:rsid w:val="00950257"/>
    <w:rsid w:val="00950ADF"/>
    <w:rsid w:val="00952C21"/>
    <w:rsid w:val="00952D8B"/>
    <w:rsid w:val="009534B8"/>
    <w:rsid w:val="009538A5"/>
    <w:rsid w:val="00955681"/>
    <w:rsid w:val="00955E8F"/>
    <w:rsid w:val="00956126"/>
    <w:rsid w:val="00956908"/>
    <w:rsid w:val="00956C66"/>
    <w:rsid w:val="00957446"/>
    <w:rsid w:val="00957B99"/>
    <w:rsid w:val="0096107B"/>
    <w:rsid w:val="00962A69"/>
    <w:rsid w:val="009633A5"/>
    <w:rsid w:val="00963A40"/>
    <w:rsid w:val="0096495F"/>
    <w:rsid w:val="009658F9"/>
    <w:rsid w:val="009659EA"/>
    <w:rsid w:val="009664F0"/>
    <w:rsid w:val="00966FC8"/>
    <w:rsid w:val="00966FFE"/>
    <w:rsid w:val="009671B7"/>
    <w:rsid w:val="00971978"/>
    <w:rsid w:val="00972FBC"/>
    <w:rsid w:val="00973C61"/>
    <w:rsid w:val="00974882"/>
    <w:rsid w:val="009755EA"/>
    <w:rsid w:val="00975D8E"/>
    <w:rsid w:val="00976835"/>
    <w:rsid w:val="00977042"/>
    <w:rsid w:val="00977346"/>
    <w:rsid w:val="009802A9"/>
    <w:rsid w:val="00981089"/>
    <w:rsid w:val="00981331"/>
    <w:rsid w:val="00982F28"/>
    <w:rsid w:val="009837ED"/>
    <w:rsid w:val="00983DDE"/>
    <w:rsid w:val="00986B76"/>
    <w:rsid w:val="0098733B"/>
    <w:rsid w:val="00990B33"/>
    <w:rsid w:val="0099288C"/>
    <w:rsid w:val="009932A5"/>
    <w:rsid w:val="00993544"/>
    <w:rsid w:val="009946D0"/>
    <w:rsid w:val="00994AF3"/>
    <w:rsid w:val="00995897"/>
    <w:rsid w:val="00995C5E"/>
    <w:rsid w:val="00996331"/>
    <w:rsid w:val="0099777A"/>
    <w:rsid w:val="00997E3D"/>
    <w:rsid w:val="009A0AAB"/>
    <w:rsid w:val="009A0B55"/>
    <w:rsid w:val="009A0CCF"/>
    <w:rsid w:val="009A2395"/>
    <w:rsid w:val="009A24FF"/>
    <w:rsid w:val="009A25F6"/>
    <w:rsid w:val="009A28E8"/>
    <w:rsid w:val="009A361E"/>
    <w:rsid w:val="009A3D01"/>
    <w:rsid w:val="009A42FF"/>
    <w:rsid w:val="009A4348"/>
    <w:rsid w:val="009A7D36"/>
    <w:rsid w:val="009B4578"/>
    <w:rsid w:val="009B4678"/>
    <w:rsid w:val="009B4B64"/>
    <w:rsid w:val="009B632D"/>
    <w:rsid w:val="009B665F"/>
    <w:rsid w:val="009B70AC"/>
    <w:rsid w:val="009B7D46"/>
    <w:rsid w:val="009C0149"/>
    <w:rsid w:val="009C0C00"/>
    <w:rsid w:val="009C1282"/>
    <w:rsid w:val="009C1306"/>
    <w:rsid w:val="009C151E"/>
    <w:rsid w:val="009C16B0"/>
    <w:rsid w:val="009C324F"/>
    <w:rsid w:val="009C3CB2"/>
    <w:rsid w:val="009C46BF"/>
    <w:rsid w:val="009C476E"/>
    <w:rsid w:val="009C4AB5"/>
    <w:rsid w:val="009C7D55"/>
    <w:rsid w:val="009D076D"/>
    <w:rsid w:val="009D08AB"/>
    <w:rsid w:val="009D0AF9"/>
    <w:rsid w:val="009D17F9"/>
    <w:rsid w:val="009D18EF"/>
    <w:rsid w:val="009D3D07"/>
    <w:rsid w:val="009D4913"/>
    <w:rsid w:val="009D505F"/>
    <w:rsid w:val="009D5E72"/>
    <w:rsid w:val="009D707B"/>
    <w:rsid w:val="009D71D8"/>
    <w:rsid w:val="009D720A"/>
    <w:rsid w:val="009D738F"/>
    <w:rsid w:val="009D75E9"/>
    <w:rsid w:val="009D767A"/>
    <w:rsid w:val="009E0579"/>
    <w:rsid w:val="009E15C9"/>
    <w:rsid w:val="009E20C3"/>
    <w:rsid w:val="009E3EBF"/>
    <w:rsid w:val="009E5497"/>
    <w:rsid w:val="009E67DF"/>
    <w:rsid w:val="009E6949"/>
    <w:rsid w:val="009F0B3B"/>
    <w:rsid w:val="009F14BA"/>
    <w:rsid w:val="009F2CF0"/>
    <w:rsid w:val="009F4286"/>
    <w:rsid w:val="009F4AB0"/>
    <w:rsid w:val="009F6418"/>
    <w:rsid w:val="009F6466"/>
    <w:rsid w:val="009F775C"/>
    <w:rsid w:val="009F7831"/>
    <w:rsid w:val="009F7F61"/>
    <w:rsid w:val="00A00F08"/>
    <w:rsid w:val="00A01A7E"/>
    <w:rsid w:val="00A02178"/>
    <w:rsid w:val="00A036BB"/>
    <w:rsid w:val="00A0465E"/>
    <w:rsid w:val="00A04DC6"/>
    <w:rsid w:val="00A05885"/>
    <w:rsid w:val="00A05A65"/>
    <w:rsid w:val="00A05E66"/>
    <w:rsid w:val="00A06199"/>
    <w:rsid w:val="00A062EA"/>
    <w:rsid w:val="00A06BCC"/>
    <w:rsid w:val="00A0741B"/>
    <w:rsid w:val="00A076E4"/>
    <w:rsid w:val="00A07D92"/>
    <w:rsid w:val="00A11116"/>
    <w:rsid w:val="00A128D5"/>
    <w:rsid w:val="00A12C8A"/>
    <w:rsid w:val="00A13419"/>
    <w:rsid w:val="00A1468B"/>
    <w:rsid w:val="00A14AD6"/>
    <w:rsid w:val="00A1503A"/>
    <w:rsid w:val="00A15A7D"/>
    <w:rsid w:val="00A17214"/>
    <w:rsid w:val="00A211A0"/>
    <w:rsid w:val="00A21994"/>
    <w:rsid w:val="00A22B53"/>
    <w:rsid w:val="00A23A9A"/>
    <w:rsid w:val="00A23FEE"/>
    <w:rsid w:val="00A24099"/>
    <w:rsid w:val="00A244C6"/>
    <w:rsid w:val="00A25DF8"/>
    <w:rsid w:val="00A26024"/>
    <w:rsid w:val="00A26375"/>
    <w:rsid w:val="00A268E6"/>
    <w:rsid w:val="00A269A6"/>
    <w:rsid w:val="00A27B2B"/>
    <w:rsid w:val="00A30217"/>
    <w:rsid w:val="00A30C8D"/>
    <w:rsid w:val="00A30F28"/>
    <w:rsid w:val="00A31972"/>
    <w:rsid w:val="00A3200F"/>
    <w:rsid w:val="00A32109"/>
    <w:rsid w:val="00A33831"/>
    <w:rsid w:val="00A33D55"/>
    <w:rsid w:val="00A33FAA"/>
    <w:rsid w:val="00A34335"/>
    <w:rsid w:val="00A3459F"/>
    <w:rsid w:val="00A34AC5"/>
    <w:rsid w:val="00A34E27"/>
    <w:rsid w:val="00A351C7"/>
    <w:rsid w:val="00A36CDB"/>
    <w:rsid w:val="00A3751B"/>
    <w:rsid w:val="00A403BD"/>
    <w:rsid w:val="00A40753"/>
    <w:rsid w:val="00A4144C"/>
    <w:rsid w:val="00A41535"/>
    <w:rsid w:val="00A437BA"/>
    <w:rsid w:val="00A44C18"/>
    <w:rsid w:val="00A44E32"/>
    <w:rsid w:val="00A45298"/>
    <w:rsid w:val="00A452BC"/>
    <w:rsid w:val="00A46692"/>
    <w:rsid w:val="00A47DC2"/>
    <w:rsid w:val="00A5073D"/>
    <w:rsid w:val="00A508D6"/>
    <w:rsid w:val="00A52835"/>
    <w:rsid w:val="00A52DCF"/>
    <w:rsid w:val="00A52DF6"/>
    <w:rsid w:val="00A54EA0"/>
    <w:rsid w:val="00A55366"/>
    <w:rsid w:val="00A561E1"/>
    <w:rsid w:val="00A56A71"/>
    <w:rsid w:val="00A574C6"/>
    <w:rsid w:val="00A60547"/>
    <w:rsid w:val="00A6112E"/>
    <w:rsid w:val="00A6118C"/>
    <w:rsid w:val="00A641A0"/>
    <w:rsid w:val="00A64A5D"/>
    <w:rsid w:val="00A65886"/>
    <w:rsid w:val="00A658B5"/>
    <w:rsid w:val="00A659B5"/>
    <w:rsid w:val="00A675D7"/>
    <w:rsid w:val="00A67A2C"/>
    <w:rsid w:val="00A67B2E"/>
    <w:rsid w:val="00A700B6"/>
    <w:rsid w:val="00A707FD"/>
    <w:rsid w:val="00A70F20"/>
    <w:rsid w:val="00A725B6"/>
    <w:rsid w:val="00A72A95"/>
    <w:rsid w:val="00A7307E"/>
    <w:rsid w:val="00A732A7"/>
    <w:rsid w:val="00A75380"/>
    <w:rsid w:val="00A75C48"/>
    <w:rsid w:val="00A75C76"/>
    <w:rsid w:val="00A7642C"/>
    <w:rsid w:val="00A76E35"/>
    <w:rsid w:val="00A8013E"/>
    <w:rsid w:val="00A82AB0"/>
    <w:rsid w:val="00A82EFE"/>
    <w:rsid w:val="00A86285"/>
    <w:rsid w:val="00A86C55"/>
    <w:rsid w:val="00A87AD4"/>
    <w:rsid w:val="00A90704"/>
    <w:rsid w:val="00A9173C"/>
    <w:rsid w:val="00A9214C"/>
    <w:rsid w:val="00A92277"/>
    <w:rsid w:val="00A92929"/>
    <w:rsid w:val="00A92C7C"/>
    <w:rsid w:val="00A92F1E"/>
    <w:rsid w:val="00A9361D"/>
    <w:rsid w:val="00A950CA"/>
    <w:rsid w:val="00A95BAB"/>
    <w:rsid w:val="00A96885"/>
    <w:rsid w:val="00A97576"/>
    <w:rsid w:val="00A978CB"/>
    <w:rsid w:val="00A97A57"/>
    <w:rsid w:val="00AA0A3C"/>
    <w:rsid w:val="00AA11B7"/>
    <w:rsid w:val="00AA21D0"/>
    <w:rsid w:val="00AA2310"/>
    <w:rsid w:val="00AA233A"/>
    <w:rsid w:val="00AA361C"/>
    <w:rsid w:val="00AA36C6"/>
    <w:rsid w:val="00AA40C2"/>
    <w:rsid w:val="00AA62EF"/>
    <w:rsid w:val="00AA6A77"/>
    <w:rsid w:val="00AB0F1D"/>
    <w:rsid w:val="00AB141B"/>
    <w:rsid w:val="00AB1556"/>
    <w:rsid w:val="00AB1CEC"/>
    <w:rsid w:val="00AB1DD5"/>
    <w:rsid w:val="00AB2443"/>
    <w:rsid w:val="00AB2CB1"/>
    <w:rsid w:val="00AB4B06"/>
    <w:rsid w:val="00AB5EA0"/>
    <w:rsid w:val="00AC0B1E"/>
    <w:rsid w:val="00AC0BDB"/>
    <w:rsid w:val="00AC155E"/>
    <w:rsid w:val="00AC2536"/>
    <w:rsid w:val="00AC4214"/>
    <w:rsid w:val="00AC5C54"/>
    <w:rsid w:val="00AC6007"/>
    <w:rsid w:val="00AC653C"/>
    <w:rsid w:val="00AC67E7"/>
    <w:rsid w:val="00AC7551"/>
    <w:rsid w:val="00AC7671"/>
    <w:rsid w:val="00AC7EC0"/>
    <w:rsid w:val="00AD0ABF"/>
    <w:rsid w:val="00AD1460"/>
    <w:rsid w:val="00AD1F90"/>
    <w:rsid w:val="00AD26C0"/>
    <w:rsid w:val="00AD28BB"/>
    <w:rsid w:val="00AD3AC0"/>
    <w:rsid w:val="00AD49A8"/>
    <w:rsid w:val="00AD58D4"/>
    <w:rsid w:val="00AD5E24"/>
    <w:rsid w:val="00AD65A0"/>
    <w:rsid w:val="00AD6E69"/>
    <w:rsid w:val="00AD717C"/>
    <w:rsid w:val="00AD757F"/>
    <w:rsid w:val="00AE14EF"/>
    <w:rsid w:val="00AE28DE"/>
    <w:rsid w:val="00AE2F18"/>
    <w:rsid w:val="00AE36BB"/>
    <w:rsid w:val="00AE4E65"/>
    <w:rsid w:val="00AE5947"/>
    <w:rsid w:val="00AE7204"/>
    <w:rsid w:val="00AF0DAA"/>
    <w:rsid w:val="00AF14BB"/>
    <w:rsid w:val="00AF1ABB"/>
    <w:rsid w:val="00AF2F3C"/>
    <w:rsid w:val="00AF30C4"/>
    <w:rsid w:val="00AF4700"/>
    <w:rsid w:val="00AF4E9D"/>
    <w:rsid w:val="00AF5497"/>
    <w:rsid w:val="00AF5A82"/>
    <w:rsid w:val="00AF6AEA"/>
    <w:rsid w:val="00B00304"/>
    <w:rsid w:val="00B00591"/>
    <w:rsid w:val="00B00F7A"/>
    <w:rsid w:val="00B01816"/>
    <w:rsid w:val="00B0370E"/>
    <w:rsid w:val="00B03987"/>
    <w:rsid w:val="00B03DED"/>
    <w:rsid w:val="00B0540A"/>
    <w:rsid w:val="00B0621B"/>
    <w:rsid w:val="00B069D5"/>
    <w:rsid w:val="00B13A65"/>
    <w:rsid w:val="00B13D95"/>
    <w:rsid w:val="00B14241"/>
    <w:rsid w:val="00B14725"/>
    <w:rsid w:val="00B14D48"/>
    <w:rsid w:val="00B15F4B"/>
    <w:rsid w:val="00B16798"/>
    <w:rsid w:val="00B16B51"/>
    <w:rsid w:val="00B17B11"/>
    <w:rsid w:val="00B2012F"/>
    <w:rsid w:val="00B20BE7"/>
    <w:rsid w:val="00B21018"/>
    <w:rsid w:val="00B219A5"/>
    <w:rsid w:val="00B23940"/>
    <w:rsid w:val="00B23DCD"/>
    <w:rsid w:val="00B24C88"/>
    <w:rsid w:val="00B2572C"/>
    <w:rsid w:val="00B25B9A"/>
    <w:rsid w:val="00B26891"/>
    <w:rsid w:val="00B2798D"/>
    <w:rsid w:val="00B30343"/>
    <w:rsid w:val="00B30F88"/>
    <w:rsid w:val="00B311DB"/>
    <w:rsid w:val="00B32B83"/>
    <w:rsid w:val="00B32DE8"/>
    <w:rsid w:val="00B33847"/>
    <w:rsid w:val="00B343D1"/>
    <w:rsid w:val="00B34621"/>
    <w:rsid w:val="00B34C7E"/>
    <w:rsid w:val="00B35182"/>
    <w:rsid w:val="00B36077"/>
    <w:rsid w:val="00B36A0A"/>
    <w:rsid w:val="00B36B10"/>
    <w:rsid w:val="00B36C97"/>
    <w:rsid w:val="00B42711"/>
    <w:rsid w:val="00B42A44"/>
    <w:rsid w:val="00B445A9"/>
    <w:rsid w:val="00B447B5"/>
    <w:rsid w:val="00B45486"/>
    <w:rsid w:val="00B45F03"/>
    <w:rsid w:val="00B47EC1"/>
    <w:rsid w:val="00B50AB5"/>
    <w:rsid w:val="00B50E4D"/>
    <w:rsid w:val="00B51196"/>
    <w:rsid w:val="00B51A02"/>
    <w:rsid w:val="00B52F7F"/>
    <w:rsid w:val="00B533EF"/>
    <w:rsid w:val="00B536B2"/>
    <w:rsid w:val="00B55C1E"/>
    <w:rsid w:val="00B56759"/>
    <w:rsid w:val="00B56A98"/>
    <w:rsid w:val="00B57002"/>
    <w:rsid w:val="00B579E6"/>
    <w:rsid w:val="00B57B81"/>
    <w:rsid w:val="00B606CD"/>
    <w:rsid w:val="00B61509"/>
    <w:rsid w:val="00B6176E"/>
    <w:rsid w:val="00B628D3"/>
    <w:rsid w:val="00B628EE"/>
    <w:rsid w:val="00B64671"/>
    <w:rsid w:val="00B649DA"/>
    <w:rsid w:val="00B671A8"/>
    <w:rsid w:val="00B6755E"/>
    <w:rsid w:val="00B71854"/>
    <w:rsid w:val="00B719C0"/>
    <w:rsid w:val="00B71B7D"/>
    <w:rsid w:val="00B7259C"/>
    <w:rsid w:val="00B73107"/>
    <w:rsid w:val="00B7392A"/>
    <w:rsid w:val="00B73A60"/>
    <w:rsid w:val="00B7452F"/>
    <w:rsid w:val="00B74E15"/>
    <w:rsid w:val="00B7723A"/>
    <w:rsid w:val="00B77CBA"/>
    <w:rsid w:val="00B77D9A"/>
    <w:rsid w:val="00B80060"/>
    <w:rsid w:val="00B81948"/>
    <w:rsid w:val="00B81A20"/>
    <w:rsid w:val="00B8356B"/>
    <w:rsid w:val="00B863DC"/>
    <w:rsid w:val="00B8663E"/>
    <w:rsid w:val="00B87B37"/>
    <w:rsid w:val="00B87BEA"/>
    <w:rsid w:val="00B906C1"/>
    <w:rsid w:val="00B926E1"/>
    <w:rsid w:val="00B92A79"/>
    <w:rsid w:val="00B961CF"/>
    <w:rsid w:val="00B965C0"/>
    <w:rsid w:val="00B9669B"/>
    <w:rsid w:val="00B966E7"/>
    <w:rsid w:val="00B97229"/>
    <w:rsid w:val="00B97669"/>
    <w:rsid w:val="00BA1597"/>
    <w:rsid w:val="00BA1A6A"/>
    <w:rsid w:val="00BA3AE7"/>
    <w:rsid w:val="00BA4531"/>
    <w:rsid w:val="00BA482E"/>
    <w:rsid w:val="00BB011C"/>
    <w:rsid w:val="00BB0B12"/>
    <w:rsid w:val="00BB1720"/>
    <w:rsid w:val="00BB47BB"/>
    <w:rsid w:val="00BB5710"/>
    <w:rsid w:val="00BB5975"/>
    <w:rsid w:val="00BC05A8"/>
    <w:rsid w:val="00BC12FE"/>
    <w:rsid w:val="00BC3E73"/>
    <w:rsid w:val="00BC43FC"/>
    <w:rsid w:val="00BC52CE"/>
    <w:rsid w:val="00BC5DCB"/>
    <w:rsid w:val="00BC6E55"/>
    <w:rsid w:val="00BD0944"/>
    <w:rsid w:val="00BD440B"/>
    <w:rsid w:val="00BD4F2F"/>
    <w:rsid w:val="00BD52E8"/>
    <w:rsid w:val="00BD54C2"/>
    <w:rsid w:val="00BD5CF4"/>
    <w:rsid w:val="00BD62D7"/>
    <w:rsid w:val="00BE0D88"/>
    <w:rsid w:val="00BE256E"/>
    <w:rsid w:val="00BE27BA"/>
    <w:rsid w:val="00BE28D7"/>
    <w:rsid w:val="00BE32BE"/>
    <w:rsid w:val="00BE38E5"/>
    <w:rsid w:val="00BE3E5B"/>
    <w:rsid w:val="00BE6EA0"/>
    <w:rsid w:val="00BE735F"/>
    <w:rsid w:val="00BE7EE6"/>
    <w:rsid w:val="00BF01FF"/>
    <w:rsid w:val="00BF3609"/>
    <w:rsid w:val="00BF486C"/>
    <w:rsid w:val="00BF640F"/>
    <w:rsid w:val="00BF69EC"/>
    <w:rsid w:val="00BF7DC8"/>
    <w:rsid w:val="00C00B9A"/>
    <w:rsid w:val="00C01068"/>
    <w:rsid w:val="00C01ACC"/>
    <w:rsid w:val="00C0291D"/>
    <w:rsid w:val="00C03AF8"/>
    <w:rsid w:val="00C06932"/>
    <w:rsid w:val="00C069B0"/>
    <w:rsid w:val="00C1045A"/>
    <w:rsid w:val="00C10AAC"/>
    <w:rsid w:val="00C10B51"/>
    <w:rsid w:val="00C1126B"/>
    <w:rsid w:val="00C11555"/>
    <w:rsid w:val="00C118EE"/>
    <w:rsid w:val="00C11A56"/>
    <w:rsid w:val="00C12069"/>
    <w:rsid w:val="00C1266D"/>
    <w:rsid w:val="00C12897"/>
    <w:rsid w:val="00C13C17"/>
    <w:rsid w:val="00C14D93"/>
    <w:rsid w:val="00C158CA"/>
    <w:rsid w:val="00C15CDB"/>
    <w:rsid w:val="00C163F7"/>
    <w:rsid w:val="00C179C9"/>
    <w:rsid w:val="00C179FB"/>
    <w:rsid w:val="00C238F9"/>
    <w:rsid w:val="00C24331"/>
    <w:rsid w:val="00C25175"/>
    <w:rsid w:val="00C263F6"/>
    <w:rsid w:val="00C2640C"/>
    <w:rsid w:val="00C2678D"/>
    <w:rsid w:val="00C26EB9"/>
    <w:rsid w:val="00C2728C"/>
    <w:rsid w:val="00C30728"/>
    <w:rsid w:val="00C31B15"/>
    <w:rsid w:val="00C31C9C"/>
    <w:rsid w:val="00C33D5F"/>
    <w:rsid w:val="00C35C5C"/>
    <w:rsid w:val="00C373A9"/>
    <w:rsid w:val="00C37CC8"/>
    <w:rsid w:val="00C37ECE"/>
    <w:rsid w:val="00C40293"/>
    <w:rsid w:val="00C420DD"/>
    <w:rsid w:val="00C44971"/>
    <w:rsid w:val="00C44BE9"/>
    <w:rsid w:val="00C4561A"/>
    <w:rsid w:val="00C46E18"/>
    <w:rsid w:val="00C5034A"/>
    <w:rsid w:val="00C51C48"/>
    <w:rsid w:val="00C52412"/>
    <w:rsid w:val="00C52777"/>
    <w:rsid w:val="00C52855"/>
    <w:rsid w:val="00C52CEB"/>
    <w:rsid w:val="00C53189"/>
    <w:rsid w:val="00C53D35"/>
    <w:rsid w:val="00C54296"/>
    <w:rsid w:val="00C54ECA"/>
    <w:rsid w:val="00C5534F"/>
    <w:rsid w:val="00C55451"/>
    <w:rsid w:val="00C55DC2"/>
    <w:rsid w:val="00C568D3"/>
    <w:rsid w:val="00C569BD"/>
    <w:rsid w:val="00C60BE4"/>
    <w:rsid w:val="00C60C91"/>
    <w:rsid w:val="00C61B87"/>
    <w:rsid w:val="00C6251A"/>
    <w:rsid w:val="00C62D18"/>
    <w:rsid w:val="00C6581B"/>
    <w:rsid w:val="00C65AFF"/>
    <w:rsid w:val="00C67015"/>
    <w:rsid w:val="00C67A9E"/>
    <w:rsid w:val="00C70F67"/>
    <w:rsid w:val="00C71B75"/>
    <w:rsid w:val="00C71E99"/>
    <w:rsid w:val="00C7229C"/>
    <w:rsid w:val="00C72502"/>
    <w:rsid w:val="00C72EDB"/>
    <w:rsid w:val="00C73BD4"/>
    <w:rsid w:val="00C73CF0"/>
    <w:rsid w:val="00C74CF1"/>
    <w:rsid w:val="00C7551A"/>
    <w:rsid w:val="00C765FA"/>
    <w:rsid w:val="00C76CEA"/>
    <w:rsid w:val="00C77721"/>
    <w:rsid w:val="00C77C96"/>
    <w:rsid w:val="00C77CB6"/>
    <w:rsid w:val="00C77F53"/>
    <w:rsid w:val="00C81BAC"/>
    <w:rsid w:val="00C82106"/>
    <w:rsid w:val="00C823B0"/>
    <w:rsid w:val="00C82844"/>
    <w:rsid w:val="00C838CB"/>
    <w:rsid w:val="00C83C5A"/>
    <w:rsid w:val="00C848DC"/>
    <w:rsid w:val="00C84C69"/>
    <w:rsid w:val="00C84D62"/>
    <w:rsid w:val="00C85512"/>
    <w:rsid w:val="00C86C05"/>
    <w:rsid w:val="00C871C6"/>
    <w:rsid w:val="00C87FDE"/>
    <w:rsid w:val="00C909B1"/>
    <w:rsid w:val="00C90E3D"/>
    <w:rsid w:val="00C91285"/>
    <w:rsid w:val="00C91548"/>
    <w:rsid w:val="00C91EE1"/>
    <w:rsid w:val="00C92594"/>
    <w:rsid w:val="00C92CB3"/>
    <w:rsid w:val="00C93056"/>
    <w:rsid w:val="00C94041"/>
    <w:rsid w:val="00C965FE"/>
    <w:rsid w:val="00C96CB0"/>
    <w:rsid w:val="00C96E41"/>
    <w:rsid w:val="00CA0F5D"/>
    <w:rsid w:val="00CA1059"/>
    <w:rsid w:val="00CA1B0E"/>
    <w:rsid w:val="00CA1D84"/>
    <w:rsid w:val="00CA2D93"/>
    <w:rsid w:val="00CA3868"/>
    <w:rsid w:val="00CA7A47"/>
    <w:rsid w:val="00CB0CF5"/>
    <w:rsid w:val="00CB1905"/>
    <w:rsid w:val="00CB1FB2"/>
    <w:rsid w:val="00CB287C"/>
    <w:rsid w:val="00CB39FC"/>
    <w:rsid w:val="00CB65F9"/>
    <w:rsid w:val="00CB7731"/>
    <w:rsid w:val="00CB7827"/>
    <w:rsid w:val="00CC2F5C"/>
    <w:rsid w:val="00CC30F8"/>
    <w:rsid w:val="00CC4573"/>
    <w:rsid w:val="00CC4F63"/>
    <w:rsid w:val="00CC59C0"/>
    <w:rsid w:val="00CC748F"/>
    <w:rsid w:val="00CC79DA"/>
    <w:rsid w:val="00CD167A"/>
    <w:rsid w:val="00CD1973"/>
    <w:rsid w:val="00CD1A9F"/>
    <w:rsid w:val="00CD2258"/>
    <w:rsid w:val="00CD2D4D"/>
    <w:rsid w:val="00CD3222"/>
    <w:rsid w:val="00CD334E"/>
    <w:rsid w:val="00CD358E"/>
    <w:rsid w:val="00CD4236"/>
    <w:rsid w:val="00CD4DE5"/>
    <w:rsid w:val="00CD7CB1"/>
    <w:rsid w:val="00CE0EAE"/>
    <w:rsid w:val="00CE1672"/>
    <w:rsid w:val="00CE1B61"/>
    <w:rsid w:val="00CE1E4D"/>
    <w:rsid w:val="00CE4828"/>
    <w:rsid w:val="00CE4E50"/>
    <w:rsid w:val="00CE5A28"/>
    <w:rsid w:val="00CE6882"/>
    <w:rsid w:val="00CE6FBC"/>
    <w:rsid w:val="00CE7387"/>
    <w:rsid w:val="00CE774F"/>
    <w:rsid w:val="00CE792C"/>
    <w:rsid w:val="00CF1B99"/>
    <w:rsid w:val="00CF20DD"/>
    <w:rsid w:val="00CF257A"/>
    <w:rsid w:val="00CF3707"/>
    <w:rsid w:val="00CF4321"/>
    <w:rsid w:val="00CF4579"/>
    <w:rsid w:val="00CF45DA"/>
    <w:rsid w:val="00CF57E2"/>
    <w:rsid w:val="00CF5BA2"/>
    <w:rsid w:val="00CF5C3D"/>
    <w:rsid w:val="00CF64C4"/>
    <w:rsid w:val="00CF793C"/>
    <w:rsid w:val="00CF7FC5"/>
    <w:rsid w:val="00D00383"/>
    <w:rsid w:val="00D02182"/>
    <w:rsid w:val="00D02335"/>
    <w:rsid w:val="00D02B00"/>
    <w:rsid w:val="00D04833"/>
    <w:rsid w:val="00D04EDF"/>
    <w:rsid w:val="00D056E8"/>
    <w:rsid w:val="00D05CF6"/>
    <w:rsid w:val="00D05D2A"/>
    <w:rsid w:val="00D05DD8"/>
    <w:rsid w:val="00D06CC8"/>
    <w:rsid w:val="00D101E5"/>
    <w:rsid w:val="00D10DCE"/>
    <w:rsid w:val="00D10FF6"/>
    <w:rsid w:val="00D12CF9"/>
    <w:rsid w:val="00D14173"/>
    <w:rsid w:val="00D141F0"/>
    <w:rsid w:val="00D1436F"/>
    <w:rsid w:val="00D14457"/>
    <w:rsid w:val="00D1532C"/>
    <w:rsid w:val="00D15A75"/>
    <w:rsid w:val="00D1742E"/>
    <w:rsid w:val="00D2081D"/>
    <w:rsid w:val="00D217B6"/>
    <w:rsid w:val="00D22C56"/>
    <w:rsid w:val="00D23566"/>
    <w:rsid w:val="00D23F72"/>
    <w:rsid w:val="00D2534E"/>
    <w:rsid w:val="00D25561"/>
    <w:rsid w:val="00D26785"/>
    <w:rsid w:val="00D2724A"/>
    <w:rsid w:val="00D27CA2"/>
    <w:rsid w:val="00D31B84"/>
    <w:rsid w:val="00D31F77"/>
    <w:rsid w:val="00D327E0"/>
    <w:rsid w:val="00D32C57"/>
    <w:rsid w:val="00D33834"/>
    <w:rsid w:val="00D34B46"/>
    <w:rsid w:val="00D36409"/>
    <w:rsid w:val="00D36A38"/>
    <w:rsid w:val="00D37568"/>
    <w:rsid w:val="00D37DDC"/>
    <w:rsid w:val="00D41074"/>
    <w:rsid w:val="00D424A7"/>
    <w:rsid w:val="00D44116"/>
    <w:rsid w:val="00D44311"/>
    <w:rsid w:val="00D447DC"/>
    <w:rsid w:val="00D44C31"/>
    <w:rsid w:val="00D44D87"/>
    <w:rsid w:val="00D45E4D"/>
    <w:rsid w:val="00D46490"/>
    <w:rsid w:val="00D46C71"/>
    <w:rsid w:val="00D47136"/>
    <w:rsid w:val="00D47BCA"/>
    <w:rsid w:val="00D47E67"/>
    <w:rsid w:val="00D50B14"/>
    <w:rsid w:val="00D518A6"/>
    <w:rsid w:val="00D52D13"/>
    <w:rsid w:val="00D53B6F"/>
    <w:rsid w:val="00D564F6"/>
    <w:rsid w:val="00D572E4"/>
    <w:rsid w:val="00D5745B"/>
    <w:rsid w:val="00D57E69"/>
    <w:rsid w:val="00D60518"/>
    <w:rsid w:val="00D60B86"/>
    <w:rsid w:val="00D62900"/>
    <w:rsid w:val="00D62E43"/>
    <w:rsid w:val="00D63140"/>
    <w:rsid w:val="00D6392D"/>
    <w:rsid w:val="00D643AD"/>
    <w:rsid w:val="00D652C5"/>
    <w:rsid w:val="00D65D4F"/>
    <w:rsid w:val="00D66B22"/>
    <w:rsid w:val="00D67D75"/>
    <w:rsid w:val="00D7237E"/>
    <w:rsid w:val="00D7259A"/>
    <w:rsid w:val="00D73EDC"/>
    <w:rsid w:val="00D74599"/>
    <w:rsid w:val="00D74A07"/>
    <w:rsid w:val="00D74C81"/>
    <w:rsid w:val="00D7649B"/>
    <w:rsid w:val="00D80592"/>
    <w:rsid w:val="00D80E38"/>
    <w:rsid w:val="00D82141"/>
    <w:rsid w:val="00D83938"/>
    <w:rsid w:val="00D847B9"/>
    <w:rsid w:val="00D84891"/>
    <w:rsid w:val="00D85E33"/>
    <w:rsid w:val="00D85EC2"/>
    <w:rsid w:val="00D86571"/>
    <w:rsid w:val="00D90572"/>
    <w:rsid w:val="00D94034"/>
    <w:rsid w:val="00D94651"/>
    <w:rsid w:val="00D95178"/>
    <w:rsid w:val="00D95253"/>
    <w:rsid w:val="00D96D9F"/>
    <w:rsid w:val="00D97578"/>
    <w:rsid w:val="00D9774D"/>
    <w:rsid w:val="00D97EF6"/>
    <w:rsid w:val="00DA0299"/>
    <w:rsid w:val="00DA0964"/>
    <w:rsid w:val="00DA0B49"/>
    <w:rsid w:val="00DA0FF2"/>
    <w:rsid w:val="00DA1602"/>
    <w:rsid w:val="00DA1E19"/>
    <w:rsid w:val="00DA3007"/>
    <w:rsid w:val="00DA3632"/>
    <w:rsid w:val="00DA36BF"/>
    <w:rsid w:val="00DA4CC8"/>
    <w:rsid w:val="00DA53E2"/>
    <w:rsid w:val="00DA5CEF"/>
    <w:rsid w:val="00DA600F"/>
    <w:rsid w:val="00DA753C"/>
    <w:rsid w:val="00DA78C1"/>
    <w:rsid w:val="00DA7E96"/>
    <w:rsid w:val="00DB0A0C"/>
    <w:rsid w:val="00DB1499"/>
    <w:rsid w:val="00DB1A8F"/>
    <w:rsid w:val="00DB34D5"/>
    <w:rsid w:val="00DB3659"/>
    <w:rsid w:val="00DB7F61"/>
    <w:rsid w:val="00DC05E9"/>
    <w:rsid w:val="00DC0935"/>
    <w:rsid w:val="00DC2E3B"/>
    <w:rsid w:val="00DC4814"/>
    <w:rsid w:val="00DC4C8E"/>
    <w:rsid w:val="00DC5099"/>
    <w:rsid w:val="00DC6070"/>
    <w:rsid w:val="00DC66A8"/>
    <w:rsid w:val="00DC7FF4"/>
    <w:rsid w:val="00DD2E03"/>
    <w:rsid w:val="00DD348F"/>
    <w:rsid w:val="00DD449F"/>
    <w:rsid w:val="00DD5332"/>
    <w:rsid w:val="00DD543A"/>
    <w:rsid w:val="00DD55CE"/>
    <w:rsid w:val="00DD5E59"/>
    <w:rsid w:val="00DE0BC8"/>
    <w:rsid w:val="00DE14FC"/>
    <w:rsid w:val="00DE4C11"/>
    <w:rsid w:val="00DE50DF"/>
    <w:rsid w:val="00DE65DE"/>
    <w:rsid w:val="00DF03AA"/>
    <w:rsid w:val="00DF05BC"/>
    <w:rsid w:val="00DF185E"/>
    <w:rsid w:val="00DF2045"/>
    <w:rsid w:val="00DF2B54"/>
    <w:rsid w:val="00DF2F3D"/>
    <w:rsid w:val="00DF46C3"/>
    <w:rsid w:val="00DF62DB"/>
    <w:rsid w:val="00DF6E1C"/>
    <w:rsid w:val="00DF767A"/>
    <w:rsid w:val="00DF791B"/>
    <w:rsid w:val="00DF79E5"/>
    <w:rsid w:val="00E00312"/>
    <w:rsid w:val="00E00B2B"/>
    <w:rsid w:val="00E00F20"/>
    <w:rsid w:val="00E0118D"/>
    <w:rsid w:val="00E02BE1"/>
    <w:rsid w:val="00E03096"/>
    <w:rsid w:val="00E1061B"/>
    <w:rsid w:val="00E10FEE"/>
    <w:rsid w:val="00E11B4D"/>
    <w:rsid w:val="00E1280A"/>
    <w:rsid w:val="00E14394"/>
    <w:rsid w:val="00E15840"/>
    <w:rsid w:val="00E159A7"/>
    <w:rsid w:val="00E166F4"/>
    <w:rsid w:val="00E17216"/>
    <w:rsid w:val="00E20803"/>
    <w:rsid w:val="00E20F1F"/>
    <w:rsid w:val="00E226D7"/>
    <w:rsid w:val="00E2439E"/>
    <w:rsid w:val="00E251C8"/>
    <w:rsid w:val="00E26403"/>
    <w:rsid w:val="00E26657"/>
    <w:rsid w:val="00E26891"/>
    <w:rsid w:val="00E27682"/>
    <w:rsid w:val="00E27E91"/>
    <w:rsid w:val="00E30AB8"/>
    <w:rsid w:val="00E30BDC"/>
    <w:rsid w:val="00E314A2"/>
    <w:rsid w:val="00E35223"/>
    <w:rsid w:val="00E3608E"/>
    <w:rsid w:val="00E37395"/>
    <w:rsid w:val="00E40B2D"/>
    <w:rsid w:val="00E40CD6"/>
    <w:rsid w:val="00E4110A"/>
    <w:rsid w:val="00E414F0"/>
    <w:rsid w:val="00E43C89"/>
    <w:rsid w:val="00E43E2C"/>
    <w:rsid w:val="00E4417C"/>
    <w:rsid w:val="00E4514E"/>
    <w:rsid w:val="00E45E95"/>
    <w:rsid w:val="00E4623C"/>
    <w:rsid w:val="00E46B2B"/>
    <w:rsid w:val="00E46D0E"/>
    <w:rsid w:val="00E507DB"/>
    <w:rsid w:val="00E51164"/>
    <w:rsid w:val="00E51FB6"/>
    <w:rsid w:val="00E52775"/>
    <w:rsid w:val="00E52790"/>
    <w:rsid w:val="00E538DE"/>
    <w:rsid w:val="00E547A5"/>
    <w:rsid w:val="00E5577F"/>
    <w:rsid w:val="00E57274"/>
    <w:rsid w:val="00E57BCB"/>
    <w:rsid w:val="00E6053D"/>
    <w:rsid w:val="00E605B7"/>
    <w:rsid w:val="00E61359"/>
    <w:rsid w:val="00E61E1F"/>
    <w:rsid w:val="00E62340"/>
    <w:rsid w:val="00E62FBA"/>
    <w:rsid w:val="00E640D6"/>
    <w:rsid w:val="00E64587"/>
    <w:rsid w:val="00E645CD"/>
    <w:rsid w:val="00E64AED"/>
    <w:rsid w:val="00E66068"/>
    <w:rsid w:val="00E70103"/>
    <w:rsid w:val="00E70138"/>
    <w:rsid w:val="00E71DBE"/>
    <w:rsid w:val="00E730D4"/>
    <w:rsid w:val="00E73320"/>
    <w:rsid w:val="00E747D0"/>
    <w:rsid w:val="00E74C79"/>
    <w:rsid w:val="00E759BB"/>
    <w:rsid w:val="00E75C0C"/>
    <w:rsid w:val="00E75D12"/>
    <w:rsid w:val="00E7731C"/>
    <w:rsid w:val="00E7742A"/>
    <w:rsid w:val="00E810C4"/>
    <w:rsid w:val="00E84DB5"/>
    <w:rsid w:val="00E85634"/>
    <w:rsid w:val="00E866FA"/>
    <w:rsid w:val="00E8767E"/>
    <w:rsid w:val="00E908A7"/>
    <w:rsid w:val="00E90AB8"/>
    <w:rsid w:val="00E90BD3"/>
    <w:rsid w:val="00E91111"/>
    <w:rsid w:val="00E911C0"/>
    <w:rsid w:val="00E92B15"/>
    <w:rsid w:val="00E9554B"/>
    <w:rsid w:val="00E95BF8"/>
    <w:rsid w:val="00E96280"/>
    <w:rsid w:val="00E97528"/>
    <w:rsid w:val="00E979EC"/>
    <w:rsid w:val="00E97D76"/>
    <w:rsid w:val="00E97E4F"/>
    <w:rsid w:val="00EA1D42"/>
    <w:rsid w:val="00EA2B53"/>
    <w:rsid w:val="00EA3387"/>
    <w:rsid w:val="00EA3AF0"/>
    <w:rsid w:val="00EA3B03"/>
    <w:rsid w:val="00EA598D"/>
    <w:rsid w:val="00EA6DCA"/>
    <w:rsid w:val="00EA787F"/>
    <w:rsid w:val="00EA7B6E"/>
    <w:rsid w:val="00EB0198"/>
    <w:rsid w:val="00EB0483"/>
    <w:rsid w:val="00EB16A6"/>
    <w:rsid w:val="00EB198F"/>
    <w:rsid w:val="00EB24F5"/>
    <w:rsid w:val="00EB29F6"/>
    <w:rsid w:val="00EB34D8"/>
    <w:rsid w:val="00EB3DB0"/>
    <w:rsid w:val="00EB591C"/>
    <w:rsid w:val="00EB5ACE"/>
    <w:rsid w:val="00EB5B86"/>
    <w:rsid w:val="00EB60DD"/>
    <w:rsid w:val="00EB77F8"/>
    <w:rsid w:val="00EB7B74"/>
    <w:rsid w:val="00EB7BD5"/>
    <w:rsid w:val="00EC14D0"/>
    <w:rsid w:val="00EC1B99"/>
    <w:rsid w:val="00EC1F8F"/>
    <w:rsid w:val="00EC303B"/>
    <w:rsid w:val="00EC3634"/>
    <w:rsid w:val="00EC4770"/>
    <w:rsid w:val="00EC487F"/>
    <w:rsid w:val="00EC5112"/>
    <w:rsid w:val="00EC61B9"/>
    <w:rsid w:val="00EC645B"/>
    <w:rsid w:val="00EC6DA7"/>
    <w:rsid w:val="00EC6FC1"/>
    <w:rsid w:val="00EC7157"/>
    <w:rsid w:val="00ED0159"/>
    <w:rsid w:val="00ED129D"/>
    <w:rsid w:val="00ED378F"/>
    <w:rsid w:val="00ED4D1B"/>
    <w:rsid w:val="00ED512D"/>
    <w:rsid w:val="00ED545C"/>
    <w:rsid w:val="00ED5540"/>
    <w:rsid w:val="00ED58BE"/>
    <w:rsid w:val="00ED5D3C"/>
    <w:rsid w:val="00ED61D5"/>
    <w:rsid w:val="00EE0167"/>
    <w:rsid w:val="00EE0658"/>
    <w:rsid w:val="00EE0E2F"/>
    <w:rsid w:val="00EE15A6"/>
    <w:rsid w:val="00EE382B"/>
    <w:rsid w:val="00EE4B43"/>
    <w:rsid w:val="00EE4B6F"/>
    <w:rsid w:val="00EE4EE1"/>
    <w:rsid w:val="00EE5A0A"/>
    <w:rsid w:val="00EE7716"/>
    <w:rsid w:val="00EF03D7"/>
    <w:rsid w:val="00EF0682"/>
    <w:rsid w:val="00EF0C22"/>
    <w:rsid w:val="00EF0ED4"/>
    <w:rsid w:val="00EF1FA4"/>
    <w:rsid w:val="00EF29E4"/>
    <w:rsid w:val="00EF2BD5"/>
    <w:rsid w:val="00EF34E0"/>
    <w:rsid w:val="00EF3A67"/>
    <w:rsid w:val="00EF3E1A"/>
    <w:rsid w:val="00EF41A0"/>
    <w:rsid w:val="00EF54D1"/>
    <w:rsid w:val="00EF5714"/>
    <w:rsid w:val="00EF6ACC"/>
    <w:rsid w:val="00EF744C"/>
    <w:rsid w:val="00F009A7"/>
    <w:rsid w:val="00F00DE8"/>
    <w:rsid w:val="00F029AE"/>
    <w:rsid w:val="00F03BBA"/>
    <w:rsid w:val="00F04332"/>
    <w:rsid w:val="00F04D2B"/>
    <w:rsid w:val="00F04EED"/>
    <w:rsid w:val="00F05862"/>
    <w:rsid w:val="00F06164"/>
    <w:rsid w:val="00F11BBD"/>
    <w:rsid w:val="00F12547"/>
    <w:rsid w:val="00F12AB8"/>
    <w:rsid w:val="00F12DD5"/>
    <w:rsid w:val="00F135CF"/>
    <w:rsid w:val="00F156B9"/>
    <w:rsid w:val="00F15FA1"/>
    <w:rsid w:val="00F16AB8"/>
    <w:rsid w:val="00F1787A"/>
    <w:rsid w:val="00F20337"/>
    <w:rsid w:val="00F215C4"/>
    <w:rsid w:val="00F21E87"/>
    <w:rsid w:val="00F2258A"/>
    <w:rsid w:val="00F2495A"/>
    <w:rsid w:val="00F26F9A"/>
    <w:rsid w:val="00F2777B"/>
    <w:rsid w:val="00F27A0E"/>
    <w:rsid w:val="00F27A7F"/>
    <w:rsid w:val="00F27D25"/>
    <w:rsid w:val="00F32250"/>
    <w:rsid w:val="00F32F8A"/>
    <w:rsid w:val="00F332D4"/>
    <w:rsid w:val="00F3351F"/>
    <w:rsid w:val="00F34FD9"/>
    <w:rsid w:val="00F35062"/>
    <w:rsid w:val="00F35AB3"/>
    <w:rsid w:val="00F35E56"/>
    <w:rsid w:val="00F37B7E"/>
    <w:rsid w:val="00F37BFD"/>
    <w:rsid w:val="00F40B9E"/>
    <w:rsid w:val="00F4103B"/>
    <w:rsid w:val="00F41E04"/>
    <w:rsid w:val="00F43B60"/>
    <w:rsid w:val="00F44163"/>
    <w:rsid w:val="00F441D0"/>
    <w:rsid w:val="00F4468D"/>
    <w:rsid w:val="00F44864"/>
    <w:rsid w:val="00F4582F"/>
    <w:rsid w:val="00F45F64"/>
    <w:rsid w:val="00F464FB"/>
    <w:rsid w:val="00F46977"/>
    <w:rsid w:val="00F47B8C"/>
    <w:rsid w:val="00F5093A"/>
    <w:rsid w:val="00F511F8"/>
    <w:rsid w:val="00F512A9"/>
    <w:rsid w:val="00F517F8"/>
    <w:rsid w:val="00F52513"/>
    <w:rsid w:val="00F52D3B"/>
    <w:rsid w:val="00F52E19"/>
    <w:rsid w:val="00F53E0B"/>
    <w:rsid w:val="00F53FCF"/>
    <w:rsid w:val="00F55228"/>
    <w:rsid w:val="00F55A0D"/>
    <w:rsid w:val="00F56161"/>
    <w:rsid w:val="00F565E5"/>
    <w:rsid w:val="00F611CD"/>
    <w:rsid w:val="00F62DCF"/>
    <w:rsid w:val="00F639E6"/>
    <w:rsid w:val="00F63CFE"/>
    <w:rsid w:val="00F642C8"/>
    <w:rsid w:val="00F645ED"/>
    <w:rsid w:val="00F64A90"/>
    <w:rsid w:val="00F64D76"/>
    <w:rsid w:val="00F64D90"/>
    <w:rsid w:val="00F650AE"/>
    <w:rsid w:val="00F659EB"/>
    <w:rsid w:val="00F66B35"/>
    <w:rsid w:val="00F722B3"/>
    <w:rsid w:val="00F7277B"/>
    <w:rsid w:val="00F7353F"/>
    <w:rsid w:val="00F73B3E"/>
    <w:rsid w:val="00F7641F"/>
    <w:rsid w:val="00F7686B"/>
    <w:rsid w:val="00F7708C"/>
    <w:rsid w:val="00F77E41"/>
    <w:rsid w:val="00F81389"/>
    <w:rsid w:val="00F81A8F"/>
    <w:rsid w:val="00F81FE5"/>
    <w:rsid w:val="00F82C30"/>
    <w:rsid w:val="00F82D95"/>
    <w:rsid w:val="00F8309A"/>
    <w:rsid w:val="00F831C0"/>
    <w:rsid w:val="00F832A4"/>
    <w:rsid w:val="00F83884"/>
    <w:rsid w:val="00F845B4"/>
    <w:rsid w:val="00F84915"/>
    <w:rsid w:val="00F855A8"/>
    <w:rsid w:val="00F861EA"/>
    <w:rsid w:val="00F86712"/>
    <w:rsid w:val="00F8700C"/>
    <w:rsid w:val="00F87471"/>
    <w:rsid w:val="00F87624"/>
    <w:rsid w:val="00F87D2C"/>
    <w:rsid w:val="00F9112B"/>
    <w:rsid w:val="00F91245"/>
    <w:rsid w:val="00F92842"/>
    <w:rsid w:val="00F92FED"/>
    <w:rsid w:val="00F936E8"/>
    <w:rsid w:val="00F93CD4"/>
    <w:rsid w:val="00F95221"/>
    <w:rsid w:val="00F95D86"/>
    <w:rsid w:val="00F96606"/>
    <w:rsid w:val="00F977A0"/>
    <w:rsid w:val="00F97D96"/>
    <w:rsid w:val="00FA0BA0"/>
    <w:rsid w:val="00FA186C"/>
    <w:rsid w:val="00FA3F04"/>
    <w:rsid w:val="00FA3F62"/>
    <w:rsid w:val="00FA4608"/>
    <w:rsid w:val="00FA5851"/>
    <w:rsid w:val="00FA647E"/>
    <w:rsid w:val="00FA6E9B"/>
    <w:rsid w:val="00FA75B5"/>
    <w:rsid w:val="00FA78D3"/>
    <w:rsid w:val="00FB06E6"/>
    <w:rsid w:val="00FB10C0"/>
    <w:rsid w:val="00FB14C3"/>
    <w:rsid w:val="00FB3603"/>
    <w:rsid w:val="00FB3756"/>
    <w:rsid w:val="00FB3E8F"/>
    <w:rsid w:val="00FB531C"/>
    <w:rsid w:val="00FB5FE5"/>
    <w:rsid w:val="00FB60C9"/>
    <w:rsid w:val="00FB62C8"/>
    <w:rsid w:val="00FB6807"/>
    <w:rsid w:val="00FB6F6F"/>
    <w:rsid w:val="00FB72F5"/>
    <w:rsid w:val="00FB7602"/>
    <w:rsid w:val="00FC1C52"/>
    <w:rsid w:val="00FC28BF"/>
    <w:rsid w:val="00FC3190"/>
    <w:rsid w:val="00FC4D3A"/>
    <w:rsid w:val="00FC51AC"/>
    <w:rsid w:val="00FC57BC"/>
    <w:rsid w:val="00FC6445"/>
    <w:rsid w:val="00FC77CA"/>
    <w:rsid w:val="00FD0173"/>
    <w:rsid w:val="00FD1B79"/>
    <w:rsid w:val="00FD1BBA"/>
    <w:rsid w:val="00FD2155"/>
    <w:rsid w:val="00FD21B4"/>
    <w:rsid w:val="00FD2DF3"/>
    <w:rsid w:val="00FD3403"/>
    <w:rsid w:val="00FD563C"/>
    <w:rsid w:val="00FD798B"/>
    <w:rsid w:val="00FD7B02"/>
    <w:rsid w:val="00FD7B8C"/>
    <w:rsid w:val="00FE0450"/>
    <w:rsid w:val="00FE045F"/>
    <w:rsid w:val="00FE0A83"/>
    <w:rsid w:val="00FE0F14"/>
    <w:rsid w:val="00FE1043"/>
    <w:rsid w:val="00FE178A"/>
    <w:rsid w:val="00FE1803"/>
    <w:rsid w:val="00FE1CA6"/>
    <w:rsid w:val="00FE34B3"/>
    <w:rsid w:val="00FE3FCA"/>
    <w:rsid w:val="00FE4112"/>
    <w:rsid w:val="00FE4E84"/>
    <w:rsid w:val="00FF0A5B"/>
    <w:rsid w:val="00FF15D7"/>
    <w:rsid w:val="00FF38D4"/>
    <w:rsid w:val="00FF4E28"/>
    <w:rsid w:val="00FF4EF7"/>
    <w:rsid w:val="00FF5B03"/>
    <w:rsid w:val="00FF5D8B"/>
    <w:rsid w:val="00FF5E3E"/>
    <w:rsid w:val="00FF65BF"/>
    <w:rsid w:val="00FF6719"/>
    <w:rsid w:val="00FF75C9"/>
    <w:rsid w:val="00FF7B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316BBE"/>
    <w:rPr>
      <w:sz w:val="24"/>
      <w:szCs w:val="20"/>
    </w:rPr>
  </w:style>
  <w:style w:type="paragraph" w:styleId="Heading1">
    <w:name w:val="heading 1"/>
    <w:basedOn w:val="Normal"/>
    <w:next w:val="BodyText"/>
    <w:link w:val="Heading1Char"/>
    <w:uiPriority w:val="99"/>
    <w:qFormat/>
    <w:rsid w:val="00C1266D"/>
    <w:pPr>
      <w:keepNext/>
      <w:tabs>
        <w:tab w:val="num" w:pos="1080"/>
      </w:tabs>
      <w:spacing w:after="120"/>
      <w:ind w:left="540" w:hanging="540"/>
      <w:outlineLvl w:val="0"/>
    </w:pPr>
    <w:rPr>
      <w:rFonts w:ascii="Arial" w:hAnsi="Arial" w:cs="Arial"/>
      <w:b/>
      <w:sz w:val="28"/>
    </w:rPr>
  </w:style>
  <w:style w:type="paragraph" w:styleId="Heading2">
    <w:name w:val="heading 2"/>
    <w:basedOn w:val="Normal"/>
    <w:next w:val="BodyText"/>
    <w:link w:val="Heading2Char"/>
    <w:uiPriority w:val="99"/>
    <w:qFormat/>
    <w:rsid w:val="00C1266D"/>
    <w:pPr>
      <w:keepNext/>
      <w:numPr>
        <w:ilvl w:val="1"/>
        <w:numId w:val="1"/>
      </w:numPr>
      <w:tabs>
        <w:tab w:val="clear" w:pos="720"/>
        <w:tab w:val="num" w:pos="1080"/>
      </w:tabs>
      <w:overflowPunct w:val="0"/>
      <w:autoSpaceDE w:val="0"/>
      <w:autoSpaceDN w:val="0"/>
      <w:adjustRightInd w:val="0"/>
      <w:spacing w:before="240" w:after="120"/>
      <w:ind w:left="1080" w:hanging="540"/>
      <w:textAlignment w:val="baseline"/>
      <w:outlineLvl w:val="1"/>
    </w:pPr>
    <w:rPr>
      <w:rFonts w:ascii="Arial" w:hAnsi="Arial" w:cs="Arial"/>
      <w:b/>
      <w:bCs/>
      <w:iCs/>
      <w:szCs w:val="28"/>
    </w:rPr>
  </w:style>
  <w:style w:type="paragraph" w:styleId="Heading3">
    <w:name w:val="heading 3"/>
    <w:basedOn w:val="Normal"/>
    <w:next w:val="Normal"/>
    <w:link w:val="Heading3Char"/>
    <w:uiPriority w:val="99"/>
    <w:qFormat/>
    <w:rsid w:val="00BF69EC"/>
    <w:pPr>
      <w:keepNext/>
      <w:numPr>
        <w:ilvl w:val="2"/>
        <w:numId w:val="1"/>
      </w:numPr>
      <w:tabs>
        <w:tab w:val="clear" w:pos="720"/>
        <w:tab w:val="num" w:pos="1080"/>
        <w:tab w:val="num" w:pos="1890"/>
      </w:tabs>
      <w:spacing w:before="240" w:after="120"/>
      <w:ind w:left="1440"/>
      <w:outlineLvl w:val="2"/>
    </w:pPr>
    <w:rPr>
      <w:rFonts w:ascii="Arial" w:hAnsi="Arial" w:cs="Arial"/>
      <w:b/>
      <w:bCs/>
      <w:szCs w:val="24"/>
    </w:rPr>
  </w:style>
  <w:style w:type="paragraph" w:styleId="Heading4">
    <w:name w:val="heading 4"/>
    <w:basedOn w:val="Normal"/>
    <w:next w:val="Normal"/>
    <w:link w:val="Heading4Char"/>
    <w:uiPriority w:val="99"/>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link w:val="Heading5Char"/>
    <w:uiPriority w:val="99"/>
    <w:qFormat/>
    <w:rsid w:val="0063081A"/>
    <w:pPr>
      <w:spacing w:before="240" w:after="60"/>
      <w:outlineLvl w:val="4"/>
    </w:pPr>
    <w:rPr>
      <w:b/>
      <w:bCs/>
      <w:i/>
      <w:iCs/>
      <w:sz w:val="26"/>
      <w:szCs w:val="26"/>
    </w:rPr>
  </w:style>
  <w:style w:type="paragraph" w:styleId="Heading6">
    <w:name w:val="heading 6"/>
    <w:basedOn w:val="Normal"/>
    <w:next w:val="Normal"/>
    <w:link w:val="Heading6Char"/>
    <w:uiPriority w:val="99"/>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uiPriority w:val="99"/>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link w:val="Heading8Char"/>
    <w:uiPriority w:val="99"/>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link w:val="Heading9Char"/>
    <w:uiPriority w:val="99"/>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1266D"/>
    <w:rPr>
      <w:rFonts w:ascii="Arial" w:hAnsi="Arial" w:cs="Arial"/>
      <w:b/>
      <w:sz w:val="28"/>
    </w:rPr>
  </w:style>
  <w:style w:type="character" w:customStyle="1" w:styleId="Heading2Char">
    <w:name w:val="Heading 2 Char"/>
    <w:basedOn w:val="DefaultParagraphFont"/>
    <w:link w:val="Heading2"/>
    <w:uiPriority w:val="99"/>
    <w:locked/>
    <w:rsid w:val="00C1266D"/>
    <w:rPr>
      <w:rFonts w:ascii="Arial" w:hAnsi="Arial" w:cs="Arial"/>
      <w:b/>
      <w:bCs/>
      <w:iCs/>
      <w:sz w:val="28"/>
      <w:szCs w:val="28"/>
      <w:lang w:val="en-US" w:eastAsia="en-US" w:bidi="ar-SA"/>
    </w:rPr>
  </w:style>
  <w:style w:type="character" w:customStyle="1" w:styleId="Heading3Char">
    <w:name w:val="Heading 3 Char"/>
    <w:basedOn w:val="DefaultParagraphFont"/>
    <w:link w:val="Heading3"/>
    <w:uiPriority w:val="99"/>
    <w:locked/>
    <w:rsid w:val="00B42A44"/>
    <w:rPr>
      <w:rFonts w:ascii="Arial" w:hAnsi="Arial" w:cs="Arial"/>
      <w:b/>
      <w:bCs/>
      <w:sz w:val="24"/>
      <w:szCs w:val="24"/>
      <w:lang w:val="en-US" w:eastAsia="en-US" w:bidi="ar-SA"/>
    </w:rPr>
  </w:style>
  <w:style w:type="character" w:customStyle="1" w:styleId="Heading4Char">
    <w:name w:val="Heading 4 Char"/>
    <w:basedOn w:val="DefaultParagraphFont"/>
    <w:link w:val="Heading4"/>
    <w:uiPriority w:val="99"/>
    <w:locked/>
    <w:rsid w:val="00E43C8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E43C8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E43C89"/>
    <w:rPr>
      <w:rFonts w:ascii="Calibri" w:hAnsi="Calibri" w:cs="Times New Roman"/>
      <w:b/>
      <w:bCs/>
    </w:rPr>
  </w:style>
  <w:style w:type="character" w:customStyle="1" w:styleId="Heading7Char">
    <w:name w:val="Heading 7 Char"/>
    <w:basedOn w:val="DefaultParagraphFont"/>
    <w:link w:val="Heading7"/>
    <w:uiPriority w:val="99"/>
    <w:semiHidden/>
    <w:locked/>
    <w:rsid w:val="00E43C8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E43C89"/>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E43C89"/>
    <w:rPr>
      <w:rFonts w:ascii="Cambria" w:hAnsi="Cambria" w:cs="Times New Roman"/>
    </w:rPr>
  </w:style>
  <w:style w:type="paragraph" w:styleId="BodyText">
    <w:name w:val="Body Text"/>
    <w:basedOn w:val="Normal"/>
    <w:link w:val="BodyTextChar"/>
    <w:uiPriority w:val="99"/>
    <w:rsid w:val="00316BBE"/>
    <w:pPr>
      <w:spacing w:before="120" w:after="120"/>
      <w:ind w:firstLine="720"/>
    </w:pPr>
  </w:style>
  <w:style w:type="character" w:customStyle="1" w:styleId="BodyTextChar">
    <w:name w:val="Body Text Char"/>
    <w:basedOn w:val="DefaultParagraphFont"/>
    <w:link w:val="BodyText"/>
    <w:uiPriority w:val="99"/>
    <w:locked/>
    <w:rsid w:val="00B628EE"/>
    <w:rPr>
      <w:rFonts w:cs="Times New Roman"/>
      <w:sz w:val="24"/>
      <w:lang w:val="en-US" w:eastAsia="en-US" w:bidi="ar-SA"/>
    </w:rPr>
  </w:style>
  <w:style w:type="paragraph" w:styleId="BalloonText">
    <w:name w:val="Balloon Text"/>
    <w:basedOn w:val="Normal"/>
    <w:link w:val="BalloonTextChar"/>
    <w:uiPriority w:val="99"/>
    <w:semiHidden/>
    <w:rsid w:val="00D629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3C89"/>
    <w:rPr>
      <w:rFonts w:cs="Times New Roman"/>
      <w:sz w:val="2"/>
    </w:rPr>
  </w:style>
  <w:style w:type="character" w:styleId="FootnoteReference">
    <w:name w:val="footnote reference"/>
    <w:aliases w:val="fr"/>
    <w:basedOn w:val="DefaultParagraphFont"/>
    <w:uiPriority w:val="99"/>
    <w:semiHidden/>
    <w:rsid w:val="00D96D9F"/>
    <w:rPr>
      <w:rFonts w:ascii="Times New Roman" w:hAnsi="Times New Roman" w:cs="Times New Roman"/>
      <w:sz w:val="18"/>
      <w:szCs w:val="18"/>
      <w:vertAlign w:val="superscript"/>
    </w:rPr>
  </w:style>
  <w:style w:type="paragraph" w:styleId="FootnoteText">
    <w:name w:val="footnote text"/>
    <w:aliases w:val="ft,fo,footnote text Char"/>
    <w:basedOn w:val="Normal"/>
    <w:link w:val="FootnoteTextChar"/>
    <w:uiPriority w:val="99"/>
    <w:semiHidden/>
    <w:rsid w:val="00926E04"/>
    <w:pPr>
      <w:keepLines/>
    </w:pPr>
    <w:rPr>
      <w:sz w:val="18"/>
    </w:rPr>
  </w:style>
  <w:style w:type="character" w:customStyle="1" w:styleId="FootnoteTextChar">
    <w:name w:val="Footnote Text Char"/>
    <w:aliases w:val="ft Char,fo Char,footnote text Char Char"/>
    <w:basedOn w:val="DefaultParagraphFont"/>
    <w:link w:val="FootnoteText"/>
    <w:uiPriority w:val="99"/>
    <w:locked/>
    <w:rsid w:val="00926E04"/>
    <w:rPr>
      <w:rFonts w:cs="Times New Roman"/>
      <w:sz w:val="18"/>
      <w:lang w:val="en-US" w:eastAsia="en-US" w:bidi="ar-SA"/>
    </w:rPr>
  </w:style>
  <w:style w:type="paragraph" w:customStyle="1" w:styleId="Bullet1">
    <w:name w:val="Bullet1"/>
    <w:basedOn w:val="Normal"/>
    <w:uiPriority w:val="99"/>
    <w:rsid w:val="002D6F61"/>
    <w:pPr>
      <w:tabs>
        <w:tab w:val="num" w:pos="720"/>
      </w:tabs>
      <w:overflowPunct w:val="0"/>
      <w:autoSpaceDE w:val="0"/>
      <w:autoSpaceDN w:val="0"/>
      <w:adjustRightInd w:val="0"/>
      <w:spacing w:after="120"/>
      <w:ind w:left="1440" w:hanging="360"/>
      <w:textAlignment w:val="baseline"/>
    </w:pPr>
  </w:style>
  <w:style w:type="paragraph" w:customStyle="1" w:styleId="5ensptotal">
    <w:name w:val="5 en sp (total)"/>
    <w:basedOn w:val="Normal"/>
    <w:uiPriority w:val="99"/>
    <w:rsid w:val="00E66068"/>
    <w:pPr>
      <w:keepNext/>
      <w:spacing w:before="40" w:after="40"/>
      <w:ind w:left="908" w:hanging="346"/>
    </w:pPr>
    <w:rPr>
      <w:rFonts w:ascii="Arial" w:hAnsi="Arial" w:cs="Arial"/>
      <w:kern w:val="2"/>
      <w:sz w:val="20"/>
    </w:rPr>
  </w:style>
  <w:style w:type="paragraph" w:customStyle="1" w:styleId="tabletitle-continued">
    <w:name w:val="table title - continued"/>
    <w:basedOn w:val="TableTitle"/>
    <w:uiPriority w:val="99"/>
    <w:rsid w:val="00CE4828"/>
  </w:style>
  <w:style w:type="paragraph" w:customStyle="1" w:styleId="TableTitle">
    <w:name w:val="Table Title"/>
    <w:basedOn w:val="Normal"/>
    <w:link w:val="TableTitleChar"/>
    <w:uiPriority w:val="99"/>
    <w:rsid w:val="002D24EF"/>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uiPriority w:val="99"/>
    <w:locked/>
    <w:rsid w:val="002D24EF"/>
    <w:rPr>
      <w:rFonts w:ascii="Arial" w:hAnsi="Arial" w:cs="Times New Roman"/>
      <w:b/>
      <w:lang w:val="en-US" w:eastAsia="en-US" w:bidi="ar-SA"/>
    </w:rPr>
  </w:style>
  <w:style w:type="paragraph" w:styleId="TOC1">
    <w:name w:val="toc 1"/>
    <w:basedOn w:val="Normal"/>
    <w:next w:val="Normal"/>
    <w:autoRedefine/>
    <w:uiPriority w:val="99"/>
    <w:semiHidden/>
    <w:rsid w:val="00504C42"/>
    <w:pPr>
      <w:tabs>
        <w:tab w:val="right" w:leader="dot" w:pos="9350"/>
      </w:tabs>
      <w:spacing w:before="240" w:after="120"/>
      <w:ind w:left="360" w:hanging="360"/>
    </w:pPr>
    <w:rPr>
      <w:rFonts w:cs="Arial"/>
      <w:b/>
      <w:bCs/>
      <w:noProof/>
      <w:sz w:val="22"/>
    </w:rPr>
  </w:style>
  <w:style w:type="paragraph" w:styleId="TOC2">
    <w:name w:val="toc 2"/>
    <w:basedOn w:val="Normal"/>
    <w:next w:val="Normal"/>
    <w:autoRedefine/>
    <w:uiPriority w:val="99"/>
    <w:semiHidden/>
    <w:rsid w:val="00D83938"/>
    <w:pPr>
      <w:tabs>
        <w:tab w:val="right" w:leader="dot" w:pos="9360"/>
      </w:tabs>
      <w:spacing w:before="120" w:after="120"/>
      <w:ind w:left="720" w:right="720" w:hanging="360"/>
    </w:pPr>
    <w:rPr>
      <w:bCs/>
      <w:noProof/>
      <w:sz w:val="22"/>
    </w:rPr>
  </w:style>
  <w:style w:type="paragraph" w:styleId="TOC3">
    <w:name w:val="toc 3"/>
    <w:basedOn w:val="Normal"/>
    <w:next w:val="Normal"/>
    <w:autoRedefine/>
    <w:uiPriority w:val="99"/>
    <w:semiHidden/>
    <w:rsid w:val="00221DEF"/>
    <w:pPr>
      <w:tabs>
        <w:tab w:val="right" w:leader="dot" w:pos="9350"/>
      </w:tabs>
      <w:ind w:left="1080" w:hanging="360"/>
    </w:pPr>
    <w:rPr>
      <w:noProof/>
      <w:sz w:val="22"/>
    </w:rPr>
  </w:style>
  <w:style w:type="paragraph" w:styleId="TOC4">
    <w:name w:val="toc 4"/>
    <w:basedOn w:val="Normal"/>
    <w:next w:val="Normal"/>
    <w:autoRedefine/>
    <w:uiPriority w:val="99"/>
    <w:semiHidden/>
    <w:rsid w:val="0063081A"/>
    <w:pPr>
      <w:ind w:left="480"/>
    </w:pPr>
    <w:rPr>
      <w:sz w:val="20"/>
    </w:rPr>
  </w:style>
  <w:style w:type="paragraph" w:styleId="TOC5">
    <w:name w:val="toc 5"/>
    <w:basedOn w:val="Normal"/>
    <w:next w:val="Normal"/>
    <w:autoRedefine/>
    <w:uiPriority w:val="99"/>
    <w:semiHidden/>
    <w:rsid w:val="001F4877"/>
    <w:pPr>
      <w:tabs>
        <w:tab w:val="right" w:leader="dot" w:pos="9360"/>
      </w:tabs>
      <w:spacing w:before="100" w:after="100"/>
      <w:ind w:left="900" w:right="720" w:hanging="540"/>
    </w:pPr>
    <w:rPr>
      <w:noProof/>
      <w:sz w:val="22"/>
    </w:rPr>
  </w:style>
  <w:style w:type="paragraph" w:styleId="ListBullet2">
    <w:name w:val="List Bullet 2"/>
    <w:basedOn w:val="Normal"/>
    <w:uiPriority w:val="99"/>
    <w:rsid w:val="007F4CA0"/>
    <w:pPr>
      <w:tabs>
        <w:tab w:val="num" w:pos="1080"/>
      </w:tabs>
      <w:spacing w:before="120"/>
      <w:ind w:left="1080" w:hanging="360"/>
    </w:pPr>
  </w:style>
  <w:style w:type="paragraph" w:customStyle="1" w:styleId="bulletround">
    <w:name w:val="bullet round"/>
    <w:basedOn w:val="Normal"/>
    <w:link w:val="bulletroundChar"/>
    <w:uiPriority w:val="99"/>
    <w:rsid w:val="002D6F61"/>
    <w:pPr>
      <w:spacing w:after="120"/>
      <w:ind w:left="1080" w:hanging="360"/>
    </w:pPr>
    <w:rPr>
      <w:rFonts w:cs="Arial"/>
    </w:rPr>
  </w:style>
  <w:style w:type="character" w:customStyle="1" w:styleId="bulletroundChar">
    <w:name w:val="bullet round Char"/>
    <w:basedOn w:val="DefaultParagraphFont"/>
    <w:link w:val="bulletround"/>
    <w:uiPriority w:val="99"/>
    <w:locked/>
    <w:rsid w:val="002D6F61"/>
    <w:rPr>
      <w:rFonts w:cs="Arial"/>
      <w:sz w:val="24"/>
    </w:rPr>
  </w:style>
  <w:style w:type="paragraph" w:customStyle="1" w:styleId="Number1">
    <w:name w:val="Number1"/>
    <w:uiPriority w:val="99"/>
    <w:semiHidden/>
    <w:rsid w:val="0063081A"/>
    <w:pPr>
      <w:tabs>
        <w:tab w:val="num" w:pos="720"/>
        <w:tab w:val="num" w:pos="1080"/>
      </w:tabs>
      <w:spacing w:before="240"/>
      <w:ind w:left="1080" w:hanging="360"/>
    </w:pPr>
    <w:rPr>
      <w:sz w:val="24"/>
      <w:szCs w:val="20"/>
    </w:rPr>
  </w:style>
  <w:style w:type="paragraph" w:customStyle="1" w:styleId="Figuretitle">
    <w:name w:val="Figure title"/>
    <w:basedOn w:val="Normal"/>
    <w:uiPriority w:val="99"/>
    <w:rsid w:val="00947CA0"/>
    <w:pPr>
      <w:keepNext/>
      <w:spacing w:before="240" w:after="120"/>
      <w:ind w:left="1710" w:hanging="990"/>
    </w:pPr>
    <w:rPr>
      <w:rFonts w:ascii="Arial" w:hAnsi="Arial"/>
      <w:b/>
      <w:sz w:val="20"/>
    </w:rPr>
  </w:style>
  <w:style w:type="paragraph" w:customStyle="1" w:styleId="NCESheaderodd">
    <w:name w:val="NCES header odd"/>
    <w:basedOn w:val="Normal"/>
    <w:link w:val="NCESheaderoddChar"/>
    <w:uiPriority w:val="99"/>
    <w:rsid w:val="00294D8A"/>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ink w:val="NCESheaderodd"/>
    <w:uiPriority w:val="99"/>
    <w:locked/>
    <w:rsid w:val="00294D8A"/>
    <w:rPr>
      <w:rFonts w:ascii="Arial" w:hAnsi="Arial" w:cs="Times New Roman"/>
      <w:smallCaps/>
      <w:noProof/>
      <w:sz w:val="18"/>
      <w:szCs w:val="18"/>
      <w:lang w:val="en-US" w:eastAsia="en-US" w:bidi="ar-SA"/>
    </w:rPr>
  </w:style>
  <w:style w:type="character" w:styleId="PageNumber">
    <w:name w:val="page number"/>
    <w:aliases w:val="pn"/>
    <w:basedOn w:val="DefaultParagraphFont"/>
    <w:uiPriority w:val="99"/>
    <w:rsid w:val="00294D8A"/>
    <w:rPr>
      <w:rFonts w:ascii="Arial" w:hAnsi="Arial" w:cs="Times New Roman"/>
      <w:sz w:val="18"/>
    </w:rPr>
  </w:style>
  <w:style w:type="paragraph" w:customStyle="1" w:styleId="NCESheadereven">
    <w:name w:val="NCES  header even"/>
    <w:basedOn w:val="Normal"/>
    <w:uiPriority w:val="99"/>
    <w:rsid w:val="00294D8A"/>
    <w:pPr>
      <w:pBdr>
        <w:bottom w:val="single" w:sz="8" w:space="1" w:color="auto"/>
      </w:pBdr>
    </w:pPr>
    <w:rPr>
      <w:rFonts w:ascii="Arial" w:hAnsi="Arial"/>
      <w:smallCaps/>
      <w:sz w:val="18"/>
    </w:rPr>
  </w:style>
  <w:style w:type="paragraph" w:customStyle="1" w:styleId="Source">
    <w:name w:val="Source"/>
    <w:basedOn w:val="Normal"/>
    <w:next w:val="BodyText"/>
    <w:link w:val="SourceChar"/>
    <w:uiPriority w:val="99"/>
    <w:rsid w:val="00A65886"/>
    <w:pPr>
      <w:spacing w:before="40"/>
    </w:pPr>
    <w:rPr>
      <w:rFonts w:ascii="Arial" w:hAnsi="Arial"/>
      <w:sz w:val="18"/>
      <w:szCs w:val="18"/>
    </w:rPr>
  </w:style>
  <w:style w:type="character" w:customStyle="1" w:styleId="SourceChar">
    <w:name w:val="Source Char"/>
    <w:basedOn w:val="DefaultParagraphFont"/>
    <w:link w:val="Source"/>
    <w:uiPriority w:val="99"/>
    <w:locked/>
    <w:rsid w:val="00A65886"/>
    <w:rPr>
      <w:rFonts w:ascii="Arial" w:hAnsi="Arial" w:cs="Times New Roman"/>
      <w:sz w:val="18"/>
      <w:szCs w:val="18"/>
      <w:lang w:val="en-US" w:eastAsia="en-US" w:bidi="ar-SA"/>
    </w:rPr>
  </w:style>
  <w:style w:type="paragraph" w:styleId="Footer">
    <w:name w:val="footer"/>
    <w:basedOn w:val="Normal"/>
    <w:link w:val="FooterChar"/>
    <w:uiPriority w:val="99"/>
    <w:rsid w:val="00BC6E55"/>
    <w:rPr>
      <w:rFonts w:ascii="Arial" w:hAnsi="Arial"/>
      <w:sz w:val="20"/>
    </w:rPr>
  </w:style>
  <w:style w:type="character" w:customStyle="1" w:styleId="FooterChar">
    <w:name w:val="Footer Char"/>
    <w:basedOn w:val="DefaultParagraphFont"/>
    <w:link w:val="Footer"/>
    <w:uiPriority w:val="99"/>
    <w:locked/>
    <w:rsid w:val="00BC6E55"/>
    <w:rPr>
      <w:rFonts w:ascii="Arial" w:hAnsi="Arial" w:cs="Times New Roman"/>
    </w:rPr>
  </w:style>
  <w:style w:type="paragraph" w:styleId="Header">
    <w:name w:val="header"/>
    <w:basedOn w:val="Normal"/>
    <w:link w:val="HeaderChar"/>
    <w:uiPriority w:val="99"/>
    <w:rsid w:val="0032258C"/>
    <w:pPr>
      <w:widowControl w:val="0"/>
      <w:tabs>
        <w:tab w:val="center" w:pos="4320"/>
        <w:tab w:val="right" w:pos="8640"/>
      </w:tabs>
    </w:pPr>
    <w:rPr>
      <w:sz w:val="20"/>
    </w:rPr>
  </w:style>
  <w:style w:type="character" w:customStyle="1" w:styleId="HeaderChar">
    <w:name w:val="Header Char"/>
    <w:basedOn w:val="DefaultParagraphFont"/>
    <w:link w:val="Header"/>
    <w:uiPriority w:val="99"/>
    <w:semiHidden/>
    <w:locked/>
    <w:rsid w:val="00E43C89"/>
    <w:rPr>
      <w:rFonts w:cs="Times New Roman"/>
      <w:sz w:val="20"/>
      <w:szCs w:val="20"/>
    </w:rPr>
  </w:style>
  <w:style w:type="paragraph" w:customStyle="1" w:styleId="figurewobox">
    <w:name w:val="figure w/o box"/>
    <w:basedOn w:val="Normal"/>
    <w:uiPriority w:val="99"/>
    <w:rsid w:val="00353DA4"/>
    <w:pPr>
      <w:jc w:val="center"/>
    </w:pPr>
    <w:rPr>
      <w:rFonts w:ascii="Arial" w:hAnsi="Arial"/>
      <w:sz w:val="20"/>
    </w:rPr>
  </w:style>
  <w:style w:type="paragraph" w:styleId="ListBullet">
    <w:name w:val="List Bullet"/>
    <w:basedOn w:val="Normal"/>
    <w:autoRedefine/>
    <w:uiPriority w:val="99"/>
    <w:rsid w:val="00A0741B"/>
    <w:pPr>
      <w:keepNext/>
      <w:numPr>
        <w:numId w:val="15"/>
      </w:numPr>
      <w:spacing w:before="120"/>
      <w:ind w:left="1080"/>
    </w:pPr>
  </w:style>
  <w:style w:type="table" w:styleId="TableGrid">
    <w:name w:val="Table Grid"/>
    <w:basedOn w:val="TableNormal"/>
    <w:uiPriority w:val="99"/>
    <w:rsid w:val="00526BC2"/>
    <w:pPr>
      <w:spacing w:before="60" w:after="60"/>
      <w:jc w:val="right"/>
    </w:pPr>
    <w:rPr>
      <w:rFonts w:ascii="Arial" w:hAnsi="Arial"/>
      <w:sz w:val="20"/>
      <w:szCs w:val="20"/>
    </w:r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uiPriority w:val="99"/>
    <w:rsid w:val="005419D1"/>
    <w:pPr>
      <w:keepNext/>
      <w:spacing w:before="40" w:after="40"/>
      <w:ind w:left="317" w:hanging="317"/>
    </w:pPr>
    <w:rPr>
      <w:rFonts w:ascii="Arial" w:hAnsi="Arial"/>
      <w:sz w:val="20"/>
    </w:rPr>
  </w:style>
  <w:style w:type="character" w:customStyle="1" w:styleId="TabletextChar">
    <w:name w:val="Table text Char"/>
    <w:basedOn w:val="DefaultParagraphFont"/>
    <w:link w:val="Tabletext"/>
    <w:uiPriority w:val="99"/>
    <w:locked/>
    <w:rsid w:val="005419D1"/>
    <w:rPr>
      <w:rFonts w:ascii="Arial" w:hAnsi="Arial" w:cs="Times New Roman"/>
      <w:lang w:val="en-US" w:eastAsia="en-US" w:bidi="ar-SA"/>
    </w:rPr>
  </w:style>
  <w:style w:type="paragraph" w:customStyle="1" w:styleId="ESHeading2">
    <w:name w:val="ES Heading 2"/>
    <w:basedOn w:val="Heading2"/>
    <w:uiPriority w:val="99"/>
    <w:rsid w:val="00926B0A"/>
  </w:style>
  <w:style w:type="character" w:styleId="CommentReference">
    <w:name w:val="annotation reference"/>
    <w:basedOn w:val="DefaultParagraphFont"/>
    <w:uiPriority w:val="99"/>
    <w:semiHidden/>
    <w:rsid w:val="00160371"/>
    <w:rPr>
      <w:rFonts w:cs="Times New Roman"/>
      <w:sz w:val="16"/>
      <w:szCs w:val="16"/>
    </w:rPr>
  </w:style>
  <w:style w:type="paragraph" w:styleId="CommentText">
    <w:name w:val="annotation text"/>
    <w:basedOn w:val="Normal"/>
    <w:link w:val="CommentTextChar"/>
    <w:uiPriority w:val="99"/>
    <w:semiHidden/>
    <w:rsid w:val="00160371"/>
    <w:rPr>
      <w:sz w:val="20"/>
    </w:rPr>
  </w:style>
  <w:style w:type="character" w:customStyle="1" w:styleId="CommentTextChar">
    <w:name w:val="Comment Text Char"/>
    <w:basedOn w:val="DefaultParagraphFont"/>
    <w:link w:val="CommentText"/>
    <w:uiPriority w:val="99"/>
    <w:locked/>
    <w:rsid w:val="002245DB"/>
    <w:rPr>
      <w:rFonts w:cs="Times New Roman"/>
    </w:rPr>
  </w:style>
  <w:style w:type="paragraph" w:styleId="CommentSubject">
    <w:name w:val="annotation subject"/>
    <w:basedOn w:val="CommentText"/>
    <w:next w:val="CommentText"/>
    <w:link w:val="CommentSubjectChar"/>
    <w:uiPriority w:val="99"/>
    <w:semiHidden/>
    <w:rsid w:val="00160371"/>
    <w:rPr>
      <w:b/>
      <w:bCs/>
    </w:rPr>
  </w:style>
  <w:style w:type="character" w:customStyle="1" w:styleId="CommentSubjectChar">
    <w:name w:val="Comment Subject Char"/>
    <w:basedOn w:val="CommentTextChar"/>
    <w:link w:val="CommentSubject"/>
    <w:uiPriority w:val="99"/>
    <w:semiHidden/>
    <w:locked/>
    <w:rsid w:val="00E43C89"/>
    <w:rPr>
      <w:b/>
      <w:bCs/>
      <w:sz w:val="20"/>
      <w:szCs w:val="20"/>
    </w:rPr>
  </w:style>
  <w:style w:type="paragraph" w:customStyle="1" w:styleId="2enspsubgroup1">
    <w:name w:val="2 en sp (subgroup 1)"/>
    <w:basedOn w:val="Tabletext"/>
    <w:uiPriority w:val="99"/>
    <w:rsid w:val="00EF1FA4"/>
    <w:pPr>
      <w:ind w:left="576" w:hanging="346"/>
    </w:pPr>
    <w:rPr>
      <w:kern w:val="2"/>
    </w:rPr>
  </w:style>
  <w:style w:type="paragraph" w:customStyle="1" w:styleId="4enspsubgroup2">
    <w:name w:val="4 en sp (subgroup 2)"/>
    <w:basedOn w:val="2enspsubgroup1"/>
    <w:uiPriority w:val="99"/>
    <w:rsid w:val="001A6277"/>
    <w:pPr>
      <w:ind w:left="794" w:hanging="351"/>
    </w:pPr>
  </w:style>
  <w:style w:type="paragraph" w:customStyle="1" w:styleId="ESHeading3">
    <w:name w:val="ES Heading 3"/>
    <w:basedOn w:val="Heading3"/>
    <w:uiPriority w:val="99"/>
    <w:rsid w:val="00CF5BA2"/>
    <w:pPr>
      <w:numPr>
        <w:numId w:val="3"/>
      </w:numPr>
      <w:tabs>
        <w:tab w:val="clear" w:pos="720"/>
        <w:tab w:val="num" w:pos="1080"/>
      </w:tabs>
      <w:ind w:left="1440"/>
    </w:pPr>
  </w:style>
  <w:style w:type="paragraph" w:customStyle="1" w:styleId="ESHeading4">
    <w:name w:val="ES Heading 4"/>
    <w:basedOn w:val="Heading4"/>
    <w:uiPriority w:val="99"/>
    <w:rsid w:val="00CF5BA2"/>
  </w:style>
  <w:style w:type="paragraph" w:customStyle="1" w:styleId="6enspitem">
    <w:name w:val="6 en sp (item)"/>
    <w:basedOn w:val="4enspsubgroup2"/>
    <w:uiPriority w:val="99"/>
    <w:rsid w:val="009C1282"/>
    <w:pPr>
      <w:ind w:left="1019"/>
    </w:pPr>
  </w:style>
  <w:style w:type="paragraph" w:customStyle="1" w:styleId="AppendixTitle">
    <w:name w:val="Appendix Title"/>
    <w:basedOn w:val="Heading1"/>
    <w:link w:val="AppendixTitleChar"/>
    <w:uiPriority w:val="99"/>
    <w:rsid w:val="00593CCC"/>
    <w:pPr>
      <w:pBdr>
        <w:bottom w:val="thinThickSmallGap" w:sz="24" w:space="1" w:color="auto"/>
      </w:pBdr>
      <w:tabs>
        <w:tab w:val="clear" w:pos="1080"/>
      </w:tabs>
      <w:spacing w:before="5000"/>
      <w:ind w:left="0" w:firstLine="0"/>
      <w:jc w:val="right"/>
    </w:pPr>
    <w:rPr>
      <w:sz w:val="40"/>
      <w:szCs w:val="28"/>
    </w:r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uiPriority w:val="99"/>
    <w:rsid w:val="004E073B"/>
    <w:pPr>
      <w:keepNext/>
      <w:jc w:val="center"/>
    </w:pPr>
    <w:rPr>
      <w:sz w:val="24"/>
    </w:rPr>
  </w:style>
  <w:style w:type="paragraph" w:styleId="Title">
    <w:name w:val="Title"/>
    <w:basedOn w:val="TOCHeading"/>
    <w:link w:val="TitleChar"/>
    <w:uiPriority w:val="99"/>
    <w:qFormat/>
    <w:rsid w:val="005B1E8A"/>
    <w:pPr>
      <w:outlineLvl w:val="0"/>
    </w:pPr>
  </w:style>
  <w:style w:type="character" w:customStyle="1" w:styleId="TitleChar">
    <w:name w:val="Title Char"/>
    <w:basedOn w:val="DefaultParagraphFont"/>
    <w:link w:val="Title"/>
    <w:uiPriority w:val="99"/>
    <w:locked/>
    <w:rsid w:val="00E43C89"/>
    <w:rPr>
      <w:rFonts w:ascii="Cambria" w:hAnsi="Cambria" w:cs="Times New Roman"/>
      <w:b/>
      <w:bCs/>
      <w:kern w:val="28"/>
      <w:sz w:val="32"/>
      <w:szCs w:val="32"/>
    </w:rPr>
  </w:style>
  <w:style w:type="paragraph" w:styleId="TOCHeading">
    <w:name w:val="TOC Heading"/>
    <w:basedOn w:val="Heading1"/>
    <w:uiPriority w:val="99"/>
    <w:qFormat/>
    <w:rsid w:val="001A6C33"/>
    <w:pPr>
      <w:keepNext w:val="0"/>
      <w:tabs>
        <w:tab w:val="clear" w:pos="1080"/>
      </w:tabs>
      <w:spacing w:after="360"/>
      <w:ind w:left="0" w:firstLine="0"/>
      <w:outlineLvl w:val="9"/>
    </w:pPr>
    <w:rPr>
      <w:sz w:val="32"/>
    </w:rPr>
  </w:style>
  <w:style w:type="paragraph" w:customStyle="1" w:styleId="3ensptotalnosubgroup">
    <w:name w:val="3 en sp (total no subgroup)"/>
    <w:basedOn w:val="4enspsubgroup2"/>
    <w:uiPriority w:val="99"/>
    <w:rsid w:val="0043671D"/>
    <w:pPr>
      <w:ind w:left="675" w:hanging="342"/>
    </w:pPr>
    <w:rPr>
      <w:rFonts w:eastAsia="Arial Unicode MS"/>
    </w:rPr>
  </w:style>
  <w:style w:type="paragraph" w:customStyle="1" w:styleId="NCESfootnoteCharCharChar">
    <w:name w:val="NCES footnote Char Char Char"/>
    <w:basedOn w:val="Normal"/>
    <w:uiPriority w:val="99"/>
    <w:rsid w:val="0087411A"/>
    <w:rPr>
      <w:rFonts w:ascii="Arial" w:hAnsi="Arial"/>
      <w:sz w:val="18"/>
      <w:szCs w:val="18"/>
    </w:rPr>
  </w:style>
  <w:style w:type="paragraph" w:customStyle="1" w:styleId="NCESfootnote">
    <w:name w:val="NCES footnote"/>
    <w:basedOn w:val="Normal"/>
    <w:uiPriority w:val="99"/>
    <w:rsid w:val="0087411A"/>
    <w:rPr>
      <w:rFonts w:ascii="Arial" w:hAnsi="Arial"/>
      <w:sz w:val="18"/>
      <w:szCs w:val="18"/>
    </w:rPr>
  </w:style>
  <w:style w:type="paragraph" w:customStyle="1" w:styleId="Tableheading">
    <w:name w:val="Table heading"/>
    <w:basedOn w:val="Tabletext"/>
    <w:link w:val="TableheadingChar"/>
    <w:uiPriority w:val="99"/>
    <w:rsid w:val="00EF1FA4"/>
    <w:pPr>
      <w:ind w:left="0" w:firstLine="0"/>
      <w:jc w:val="right"/>
    </w:pPr>
  </w:style>
  <w:style w:type="character" w:customStyle="1" w:styleId="TableheadingChar">
    <w:name w:val="Table heading Char"/>
    <w:basedOn w:val="TabletextChar"/>
    <w:link w:val="Tableheading"/>
    <w:uiPriority w:val="99"/>
    <w:locked/>
    <w:rsid w:val="00EF1FA4"/>
  </w:style>
  <w:style w:type="paragraph" w:customStyle="1" w:styleId="NCESoddfooter">
    <w:name w:val="NCES odd footer"/>
    <w:basedOn w:val="Normal"/>
    <w:link w:val="NCESoddfooterChar"/>
    <w:uiPriority w:val="99"/>
    <w:rsid w:val="00294D8A"/>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link w:val="NCESoddfooter"/>
    <w:uiPriority w:val="99"/>
    <w:locked/>
    <w:rsid w:val="00294D8A"/>
    <w:rPr>
      <w:rFonts w:ascii="Arial" w:hAnsi="Arial" w:cs="Times New Roman"/>
      <w:smallCaps/>
      <w:sz w:val="22"/>
      <w:szCs w:val="22"/>
      <w:lang w:val="en-US" w:eastAsia="en-US" w:bidi="ar-SA"/>
    </w:rPr>
  </w:style>
  <w:style w:type="paragraph" w:customStyle="1" w:styleId="Tablenotes">
    <w:name w:val="Table notes"/>
    <w:link w:val="TablenotesChar"/>
    <w:uiPriority w:val="99"/>
    <w:rsid w:val="0087411A"/>
    <w:rPr>
      <w:rFonts w:ascii="Arial" w:hAnsi="Arial"/>
      <w:noProof/>
      <w:sz w:val="18"/>
      <w:szCs w:val="18"/>
    </w:rPr>
  </w:style>
  <w:style w:type="character" w:customStyle="1" w:styleId="TablenotesChar">
    <w:name w:val="Table notes Char"/>
    <w:basedOn w:val="DefaultParagraphFont"/>
    <w:link w:val="Tablenotes"/>
    <w:uiPriority w:val="99"/>
    <w:locked/>
    <w:rsid w:val="0087411A"/>
    <w:rPr>
      <w:rFonts w:ascii="Arial" w:hAnsi="Arial" w:cs="Times New Roman"/>
      <w:noProof/>
      <w:sz w:val="18"/>
      <w:szCs w:val="18"/>
      <w:lang w:val="en-US" w:eastAsia="en-US" w:bidi="ar-SA"/>
    </w:rPr>
  </w:style>
  <w:style w:type="paragraph" w:styleId="DocumentMap">
    <w:name w:val="Document Map"/>
    <w:basedOn w:val="Normal"/>
    <w:link w:val="DocumentMapChar"/>
    <w:uiPriority w:val="99"/>
    <w:semiHidden/>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E43C89"/>
    <w:rPr>
      <w:rFonts w:cs="Times New Roman"/>
      <w:sz w:val="2"/>
    </w:rPr>
  </w:style>
  <w:style w:type="paragraph" w:customStyle="1" w:styleId="Listbullet20">
    <w:name w:val="List bullet 2"/>
    <w:basedOn w:val="ListBullet"/>
    <w:uiPriority w:val="99"/>
    <w:rsid w:val="00C44971"/>
    <w:pPr>
      <w:numPr>
        <w:numId w:val="0"/>
      </w:numPr>
      <w:tabs>
        <w:tab w:val="num" w:pos="720"/>
        <w:tab w:val="num" w:pos="1080"/>
      </w:tabs>
      <w:ind w:left="1080" w:hanging="360"/>
    </w:pPr>
  </w:style>
  <w:style w:type="paragraph" w:customStyle="1" w:styleId="Biblio">
    <w:name w:val="Biblio"/>
    <w:basedOn w:val="Normal"/>
    <w:link w:val="BiblioChar"/>
    <w:uiPriority w:val="99"/>
    <w:rsid w:val="005B1E8A"/>
    <w:pPr>
      <w:keepLines/>
      <w:spacing w:after="240"/>
      <w:ind w:left="360" w:hanging="360"/>
    </w:pPr>
    <w:rPr>
      <w:kern w:val="2"/>
    </w:rPr>
  </w:style>
  <w:style w:type="character" w:customStyle="1" w:styleId="CharChar2">
    <w:name w:val="Char Char2"/>
    <w:basedOn w:val="DefaultParagraphFont"/>
    <w:uiPriority w:val="99"/>
    <w:locked/>
    <w:rsid w:val="0029035C"/>
    <w:rPr>
      <w:rFonts w:cs="Times New Roman"/>
      <w:sz w:val="24"/>
      <w:lang w:val="en-US" w:eastAsia="en-US" w:bidi="ar-SA"/>
    </w:rPr>
  </w:style>
  <w:style w:type="paragraph" w:customStyle="1" w:styleId="footnote">
    <w:name w:val="footnote"/>
    <w:basedOn w:val="Normal"/>
    <w:uiPriority w:val="99"/>
    <w:rsid w:val="00D1436F"/>
    <w:rPr>
      <w:rFonts w:ascii="Arial" w:hAnsi="Arial"/>
      <w:sz w:val="18"/>
    </w:rPr>
  </w:style>
  <w:style w:type="paragraph" w:customStyle="1" w:styleId="Cov-Address">
    <w:name w:val="Cov-Address"/>
    <w:basedOn w:val="Normal"/>
    <w:uiPriority w:val="99"/>
    <w:rsid w:val="00E84DB5"/>
    <w:pPr>
      <w:jc w:val="right"/>
    </w:pPr>
    <w:rPr>
      <w:rFonts w:ascii="Arial" w:hAnsi="Arial"/>
    </w:rPr>
  </w:style>
  <w:style w:type="paragraph" w:customStyle="1" w:styleId="Bodytextnoindent">
    <w:name w:val="Body text no indent"/>
    <w:basedOn w:val="BodyText"/>
    <w:link w:val="BodytextnoindentChar"/>
    <w:uiPriority w:val="99"/>
    <w:rsid w:val="00316BBE"/>
    <w:pPr>
      <w:ind w:firstLine="0"/>
    </w:pPr>
  </w:style>
  <w:style w:type="paragraph" w:customStyle="1" w:styleId="AppH2">
    <w:name w:val="App H2"/>
    <w:basedOn w:val="Heading2"/>
    <w:uiPriority w:val="99"/>
    <w:rsid w:val="00604BBD"/>
    <w:pPr>
      <w:numPr>
        <w:ilvl w:val="0"/>
        <w:numId w:val="0"/>
      </w:numPr>
    </w:pPr>
  </w:style>
  <w:style w:type="paragraph" w:customStyle="1" w:styleId="NCESevenfooter">
    <w:name w:val="NCES even footer"/>
    <w:basedOn w:val="NCESoddfooter"/>
    <w:link w:val="NCESevenfooterChar"/>
    <w:uiPriority w:val="99"/>
    <w:rsid w:val="00294D8A"/>
    <w:pPr>
      <w:tabs>
        <w:tab w:val="clear" w:pos="4320"/>
      </w:tabs>
    </w:pPr>
    <w:rPr>
      <w:szCs w:val="20"/>
    </w:rPr>
  </w:style>
  <w:style w:type="character" w:customStyle="1" w:styleId="NCESevenfooterChar">
    <w:name w:val="NCES even footer Char"/>
    <w:basedOn w:val="NCESoddfooterChar"/>
    <w:link w:val="NCESevenfooter"/>
    <w:uiPriority w:val="99"/>
    <w:locked/>
    <w:rsid w:val="00294D8A"/>
  </w:style>
  <w:style w:type="paragraph" w:customStyle="1" w:styleId="asource">
    <w:name w:val="asource"/>
    <w:basedOn w:val="Normal"/>
    <w:uiPriority w:val="99"/>
    <w:rsid w:val="000B7888"/>
    <w:rPr>
      <w:rFonts w:ascii="Arial" w:hAnsi="Arial"/>
      <w:sz w:val="18"/>
      <w:szCs w:val="18"/>
    </w:rPr>
  </w:style>
  <w:style w:type="paragraph" w:customStyle="1" w:styleId="Cov-Author">
    <w:name w:val="Cov-Author"/>
    <w:basedOn w:val="Normal"/>
    <w:uiPriority w:val="99"/>
    <w:rsid w:val="00E84DB5"/>
    <w:pPr>
      <w:jc w:val="right"/>
    </w:pPr>
    <w:rPr>
      <w:rFonts w:ascii="Arial Black" w:hAnsi="Arial Black"/>
    </w:rPr>
  </w:style>
  <w:style w:type="paragraph" w:customStyle="1" w:styleId="Cov-Date">
    <w:name w:val="Cov-Date"/>
    <w:basedOn w:val="Normal"/>
    <w:uiPriority w:val="99"/>
    <w:rsid w:val="00E84DB5"/>
    <w:pPr>
      <w:jc w:val="right"/>
    </w:pPr>
    <w:rPr>
      <w:rFonts w:ascii="Arial" w:hAnsi="Arial"/>
      <w:b/>
      <w:sz w:val="28"/>
    </w:rPr>
  </w:style>
  <w:style w:type="paragraph" w:customStyle="1" w:styleId="Cov-Disclaimer">
    <w:name w:val="Cov-Disclaimer"/>
    <w:basedOn w:val="Normal"/>
    <w:uiPriority w:val="99"/>
    <w:rsid w:val="00E84DB5"/>
    <w:pPr>
      <w:jc w:val="right"/>
    </w:pPr>
    <w:rPr>
      <w:rFonts w:ascii="Arial" w:hAnsi="Arial" w:cs="Arial"/>
      <w:sz w:val="18"/>
      <w:szCs w:val="18"/>
    </w:rPr>
  </w:style>
  <w:style w:type="paragraph" w:customStyle="1" w:styleId="Cov-Subtitle">
    <w:name w:val="Cov-Subtitle"/>
    <w:basedOn w:val="Normal"/>
    <w:uiPriority w:val="99"/>
    <w:rsid w:val="00B42A44"/>
    <w:pPr>
      <w:jc w:val="right"/>
    </w:pPr>
    <w:rPr>
      <w:rFonts w:ascii="Arial Black" w:hAnsi="Arial Black"/>
      <w:sz w:val="28"/>
    </w:rPr>
  </w:style>
  <w:style w:type="paragraph" w:customStyle="1" w:styleId="Cov-Title">
    <w:name w:val="Cov-Title"/>
    <w:basedOn w:val="Normal"/>
    <w:uiPriority w:val="99"/>
    <w:rsid w:val="00B42A44"/>
    <w:pPr>
      <w:jc w:val="right"/>
    </w:pPr>
    <w:rPr>
      <w:rFonts w:ascii="Arial Black" w:hAnsi="Arial Black"/>
      <w:smallCaps/>
      <w:sz w:val="40"/>
    </w:rPr>
  </w:style>
  <w:style w:type="paragraph" w:customStyle="1" w:styleId="Name">
    <w:name w:val="Name"/>
    <w:basedOn w:val="Tablenotes"/>
    <w:uiPriority w:val="99"/>
    <w:rsid w:val="0061528B"/>
    <w:rPr>
      <w:sz w:val="20"/>
    </w:rPr>
  </w:style>
  <w:style w:type="paragraph" w:styleId="Quote">
    <w:name w:val="Quote"/>
    <w:basedOn w:val="BodyText"/>
    <w:link w:val="QuoteChar"/>
    <w:uiPriority w:val="99"/>
    <w:qFormat/>
    <w:rsid w:val="00A72A95"/>
    <w:pPr>
      <w:ind w:left="720" w:right="720" w:firstLine="0"/>
    </w:pPr>
    <w:rPr>
      <w:iCs/>
      <w:sz w:val="22"/>
    </w:rPr>
  </w:style>
  <w:style w:type="character" w:customStyle="1" w:styleId="QuoteChar">
    <w:name w:val="Quote Char"/>
    <w:basedOn w:val="DefaultParagraphFont"/>
    <w:link w:val="Quote"/>
    <w:uiPriority w:val="99"/>
    <w:locked/>
    <w:rsid w:val="00E43C89"/>
    <w:rPr>
      <w:rFonts w:cs="Times New Roman"/>
      <w:i/>
      <w:iCs/>
      <w:color w:val="000000"/>
      <w:sz w:val="20"/>
      <w:szCs w:val="20"/>
    </w:rPr>
  </w:style>
  <w:style w:type="paragraph" w:customStyle="1" w:styleId="Style1">
    <w:name w:val="Style1"/>
    <w:basedOn w:val="Bodytextnoindent"/>
    <w:uiPriority w:val="99"/>
    <w:rsid w:val="00B55C1E"/>
    <w:rPr>
      <w:sz w:val="20"/>
      <w:szCs w:val="16"/>
    </w:rPr>
  </w:style>
  <w:style w:type="paragraph" w:customStyle="1" w:styleId="Style2">
    <w:name w:val="Style2"/>
    <w:uiPriority w:val="99"/>
    <w:rsid w:val="00417457"/>
    <w:pPr>
      <w:numPr>
        <w:numId w:val="12"/>
      </w:numPr>
      <w:tabs>
        <w:tab w:val="clear" w:pos="720"/>
      </w:tabs>
      <w:spacing w:after="120"/>
      <w:ind w:left="1440"/>
    </w:pPr>
    <w:rPr>
      <w:sz w:val="24"/>
      <w:szCs w:val="20"/>
    </w:rPr>
  </w:style>
  <w:style w:type="character" w:styleId="Emphasis">
    <w:name w:val="Emphasis"/>
    <w:basedOn w:val="DefaultParagraphFont"/>
    <w:uiPriority w:val="99"/>
    <w:qFormat/>
    <w:rsid w:val="00D847B9"/>
    <w:rPr>
      <w:rFonts w:cs="Times New Roman"/>
      <w:i/>
      <w:iCs/>
    </w:rPr>
  </w:style>
  <w:style w:type="paragraph" w:styleId="BodyText2">
    <w:name w:val="Body Text 2"/>
    <w:basedOn w:val="Normal"/>
    <w:link w:val="BodyText2Char"/>
    <w:uiPriority w:val="99"/>
    <w:rsid w:val="00ED129D"/>
    <w:pPr>
      <w:spacing w:before="120" w:after="120"/>
      <w:ind w:firstLine="720"/>
    </w:pPr>
    <w:rPr>
      <w:sz w:val="22"/>
    </w:rPr>
  </w:style>
  <w:style w:type="character" w:customStyle="1" w:styleId="BodyText2Char">
    <w:name w:val="Body Text 2 Char"/>
    <w:basedOn w:val="DefaultParagraphFont"/>
    <w:link w:val="BodyText2"/>
    <w:uiPriority w:val="99"/>
    <w:semiHidden/>
    <w:locked/>
    <w:rsid w:val="00E43C89"/>
    <w:rPr>
      <w:rFonts w:cs="Times New Roman"/>
      <w:sz w:val="20"/>
      <w:szCs w:val="20"/>
    </w:rPr>
  </w:style>
  <w:style w:type="character" w:customStyle="1" w:styleId="CharChar1">
    <w:name w:val="Char Char1"/>
    <w:basedOn w:val="DefaultParagraphFont"/>
    <w:link w:val="Heading2"/>
    <w:uiPriority w:val="99"/>
    <w:locked/>
    <w:rsid w:val="00926B0A"/>
    <w:rPr>
      <w:rFonts w:ascii="Arial" w:hAnsi="Arial" w:cs="Arial"/>
      <w:b/>
      <w:bCs/>
      <w:iCs/>
      <w:sz w:val="28"/>
      <w:szCs w:val="28"/>
      <w:lang w:val="en-US" w:eastAsia="en-US" w:bidi="ar-SA"/>
    </w:rPr>
  </w:style>
  <w:style w:type="paragraph" w:customStyle="1" w:styleId="Reporttitle">
    <w:name w:val="Report title"/>
    <w:basedOn w:val="AppendixTitle"/>
    <w:uiPriority w:val="99"/>
    <w:rsid w:val="00B42A44"/>
  </w:style>
  <w:style w:type="paragraph" w:customStyle="1" w:styleId="Tablebody">
    <w:name w:val="Table body"/>
    <w:uiPriority w:val="99"/>
    <w:rsid w:val="005419D1"/>
    <w:pPr>
      <w:keepNext/>
      <w:spacing w:before="40" w:after="40"/>
      <w:jc w:val="right"/>
    </w:pPr>
    <w:rPr>
      <w:rFonts w:ascii="Arial" w:hAnsi="Arial"/>
      <w:sz w:val="20"/>
      <w:szCs w:val="20"/>
    </w:rPr>
  </w:style>
  <w:style w:type="paragraph" w:customStyle="1" w:styleId="Exhibit">
    <w:name w:val="Exhibit"/>
    <w:basedOn w:val="Normal"/>
    <w:uiPriority w:val="99"/>
    <w:rsid w:val="00F5093A"/>
    <w:pPr>
      <w:keepNext/>
      <w:widowControl w:val="0"/>
      <w:tabs>
        <w:tab w:val="left" w:pos="-1440"/>
        <w:tab w:val="left" w:pos="-720"/>
        <w:tab w:val="left" w:pos="0"/>
        <w:tab w:val="left" w:pos="432"/>
      </w:tabs>
      <w:spacing w:after="120"/>
      <w:ind w:left="1152" w:hanging="1152"/>
    </w:pPr>
    <w:rPr>
      <w:b/>
    </w:rPr>
  </w:style>
  <w:style w:type="paragraph" w:styleId="PlainText">
    <w:name w:val="Plain Text"/>
    <w:basedOn w:val="Normal"/>
    <w:link w:val="PlainTextChar"/>
    <w:uiPriority w:val="99"/>
    <w:rsid w:val="00316BBE"/>
    <w:rPr>
      <w:rFonts w:ascii="Courier New" w:hAnsi="Courier New"/>
      <w:sz w:val="20"/>
    </w:rPr>
  </w:style>
  <w:style w:type="character" w:customStyle="1" w:styleId="PlainTextChar">
    <w:name w:val="Plain Text Char"/>
    <w:basedOn w:val="DefaultParagraphFont"/>
    <w:link w:val="PlainText"/>
    <w:uiPriority w:val="99"/>
    <w:locked/>
    <w:rsid w:val="00751B90"/>
    <w:rPr>
      <w:rFonts w:ascii="Courier New" w:hAnsi="Courier New" w:cs="Times New Roman"/>
    </w:rPr>
  </w:style>
  <w:style w:type="paragraph" w:styleId="TOC6">
    <w:name w:val="toc 6"/>
    <w:basedOn w:val="Normal"/>
    <w:next w:val="Normal"/>
    <w:autoRedefine/>
    <w:uiPriority w:val="99"/>
    <w:semiHidden/>
    <w:rsid w:val="00316BBE"/>
    <w:pPr>
      <w:ind w:left="960"/>
    </w:pPr>
    <w:rPr>
      <w:sz w:val="20"/>
    </w:rPr>
  </w:style>
  <w:style w:type="paragraph" w:styleId="TOC7">
    <w:name w:val="toc 7"/>
    <w:basedOn w:val="Normal"/>
    <w:next w:val="Normal"/>
    <w:autoRedefine/>
    <w:uiPriority w:val="99"/>
    <w:semiHidden/>
    <w:rsid w:val="00316BBE"/>
    <w:pPr>
      <w:ind w:left="1200"/>
    </w:pPr>
    <w:rPr>
      <w:sz w:val="20"/>
    </w:rPr>
  </w:style>
  <w:style w:type="paragraph" w:styleId="TOC8">
    <w:name w:val="toc 8"/>
    <w:basedOn w:val="Normal"/>
    <w:next w:val="Normal"/>
    <w:autoRedefine/>
    <w:uiPriority w:val="99"/>
    <w:semiHidden/>
    <w:rsid w:val="00316BBE"/>
    <w:pPr>
      <w:ind w:left="1440"/>
    </w:pPr>
    <w:rPr>
      <w:sz w:val="20"/>
    </w:rPr>
  </w:style>
  <w:style w:type="paragraph" w:styleId="TOC9">
    <w:name w:val="toc 9"/>
    <w:basedOn w:val="Normal"/>
    <w:next w:val="Normal"/>
    <w:autoRedefine/>
    <w:uiPriority w:val="99"/>
    <w:semiHidden/>
    <w:rsid w:val="00316BBE"/>
    <w:pPr>
      <w:ind w:left="1680"/>
    </w:pPr>
    <w:rPr>
      <w:sz w:val="20"/>
    </w:rPr>
  </w:style>
  <w:style w:type="paragraph" w:styleId="Index1">
    <w:name w:val="index 1"/>
    <w:basedOn w:val="Normal"/>
    <w:next w:val="Normal"/>
    <w:autoRedefine/>
    <w:uiPriority w:val="99"/>
    <w:semiHidden/>
    <w:rsid w:val="00316BBE"/>
    <w:pPr>
      <w:ind w:left="240" w:hanging="240"/>
    </w:pPr>
    <w:rPr>
      <w:sz w:val="18"/>
    </w:rPr>
  </w:style>
  <w:style w:type="paragraph" w:styleId="Index2">
    <w:name w:val="index 2"/>
    <w:basedOn w:val="Normal"/>
    <w:next w:val="Normal"/>
    <w:autoRedefine/>
    <w:uiPriority w:val="99"/>
    <w:semiHidden/>
    <w:rsid w:val="00316BBE"/>
    <w:pPr>
      <w:ind w:left="480" w:hanging="240"/>
    </w:pPr>
    <w:rPr>
      <w:sz w:val="18"/>
    </w:rPr>
  </w:style>
  <w:style w:type="paragraph" w:styleId="Index3">
    <w:name w:val="index 3"/>
    <w:basedOn w:val="Normal"/>
    <w:next w:val="Normal"/>
    <w:autoRedefine/>
    <w:uiPriority w:val="99"/>
    <w:semiHidden/>
    <w:rsid w:val="00316BBE"/>
    <w:pPr>
      <w:ind w:left="720" w:hanging="240"/>
    </w:pPr>
    <w:rPr>
      <w:sz w:val="18"/>
    </w:rPr>
  </w:style>
  <w:style w:type="paragraph" w:styleId="Index4">
    <w:name w:val="index 4"/>
    <w:basedOn w:val="Normal"/>
    <w:next w:val="Normal"/>
    <w:autoRedefine/>
    <w:uiPriority w:val="99"/>
    <w:semiHidden/>
    <w:rsid w:val="00316BBE"/>
    <w:pPr>
      <w:ind w:left="960" w:hanging="240"/>
    </w:pPr>
    <w:rPr>
      <w:sz w:val="18"/>
    </w:rPr>
  </w:style>
  <w:style w:type="paragraph" w:styleId="Index5">
    <w:name w:val="index 5"/>
    <w:basedOn w:val="Normal"/>
    <w:next w:val="Normal"/>
    <w:autoRedefine/>
    <w:uiPriority w:val="99"/>
    <w:semiHidden/>
    <w:rsid w:val="00316BBE"/>
    <w:pPr>
      <w:ind w:left="1200" w:hanging="240"/>
    </w:pPr>
    <w:rPr>
      <w:sz w:val="18"/>
    </w:rPr>
  </w:style>
  <w:style w:type="paragraph" w:styleId="Index6">
    <w:name w:val="index 6"/>
    <w:basedOn w:val="Normal"/>
    <w:next w:val="Normal"/>
    <w:autoRedefine/>
    <w:uiPriority w:val="99"/>
    <w:semiHidden/>
    <w:rsid w:val="00316BBE"/>
    <w:pPr>
      <w:ind w:left="1440" w:hanging="240"/>
    </w:pPr>
    <w:rPr>
      <w:sz w:val="18"/>
    </w:rPr>
  </w:style>
  <w:style w:type="paragraph" w:styleId="Index7">
    <w:name w:val="index 7"/>
    <w:basedOn w:val="Normal"/>
    <w:next w:val="Normal"/>
    <w:autoRedefine/>
    <w:uiPriority w:val="99"/>
    <w:semiHidden/>
    <w:rsid w:val="00316BBE"/>
    <w:pPr>
      <w:ind w:left="1680" w:hanging="240"/>
    </w:pPr>
    <w:rPr>
      <w:sz w:val="18"/>
    </w:rPr>
  </w:style>
  <w:style w:type="paragraph" w:styleId="Index8">
    <w:name w:val="index 8"/>
    <w:basedOn w:val="Normal"/>
    <w:next w:val="Normal"/>
    <w:autoRedefine/>
    <w:uiPriority w:val="99"/>
    <w:semiHidden/>
    <w:rsid w:val="00316BBE"/>
    <w:pPr>
      <w:ind w:left="1920" w:hanging="240"/>
    </w:pPr>
    <w:rPr>
      <w:sz w:val="18"/>
    </w:rPr>
  </w:style>
  <w:style w:type="paragraph" w:styleId="Index9">
    <w:name w:val="index 9"/>
    <w:basedOn w:val="Normal"/>
    <w:next w:val="Normal"/>
    <w:autoRedefine/>
    <w:uiPriority w:val="99"/>
    <w:semiHidden/>
    <w:rsid w:val="00316BBE"/>
    <w:pPr>
      <w:ind w:left="2160" w:hanging="240"/>
    </w:pPr>
    <w:rPr>
      <w:sz w:val="18"/>
    </w:rPr>
  </w:style>
  <w:style w:type="paragraph" w:styleId="IndexHeading">
    <w:name w:val="index heading"/>
    <w:basedOn w:val="Normal"/>
    <w:next w:val="Index1"/>
    <w:uiPriority w:val="99"/>
    <w:semiHidden/>
    <w:rsid w:val="00316BBE"/>
    <w:pPr>
      <w:pBdr>
        <w:top w:val="single" w:sz="12" w:space="0" w:color="auto"/>
      </w:pBdr>
      <w:spacing w:before="360" w:after="240"/>
    </w:pPr>
    <w:rPr>
      <w:b/>
      <w:i/>
      <w:sz w:val="26"/>
    </w:rPr>
  </w:style>
  <w:style w:type="paragraph" w:styleId="Subtitle">
    <w:name w:val="Subtitle"/>
    <w:basedOn w:val="Normal"/>
    <w:link w:val="SubtitleChar"/>
    <w:uiPriority w:val="99"/>
    <w:qFormat/>
    <w:rsid w:val="00316BBE"/>
    <w:pPr>
      <w:jc w:val="center"/>
    </w:pPr>
    <w:rPr>
      <w:b/>
      <w:sz w:val="20"/>
    </w:rPr>
  </w:style>
  <w:style w:type="character" w:customStyle="1" w:styleId="SubtitleChar">
    <w:name w:val="Subtitle Char"/>
    <w:basedOn w:val="DefaultParagraphFont"/>
    <w:link w:val="Subtitle"/>
    <w:uiPriority w:val="99"/>
    <w:locked/>
    <w:rsid w:val="00E43C89"/>
    <w:rPr>
      <w:rFonts w:ascii="Cambria" w:hAnsi="Cambria" w:cs="Times New Roman"/>
      <w:sz w:val="24"/>
      <w:szCs w:val="24"/>
    </w:rPr>
  </w:style>
  <w:style w:type="character" w:customStyle="1" w:styleId="Hd04run-in">
    <w:name w:val="Hd04 run-in"/>
    <w:uiPriority w:val="99"/>
    <w:rsid w:val="00316BBE"/>
    <w:rPr>
      <w:rFonts w:ascii="Arial" w:hAnsi="Arial"/>
      <w:b/>
      <w:i/>
    </w:rPr>
  </w:style>
  <w:style w:type="paragraph" w:styleId="BlockText">
    <w:name w:val="Block Text"/>
    <w:basedOn w:val="Normal"/>
    <w:uiPriority w:val="99"/>
    <w:rsid w:val="00316BBE"/>
    <w:pPr>
      <w:spacing w:before="120"/>
      <w:ind w:left="720" w:right="720"/>
    </w:pPr>
  </w:style>
  <w:style w:type="paragraph" w:customStyle="1" w:styleId="a">
    <w:name w:val="_"/>
    <w:basedOn w:val="Normal"/>
    <w:uiPriority w:val="99"/>
    <w:rsid w:val="00316BBE"/>
    <w:pPr>
      <w:widowControl w:val="0"/>
      <w:ind w:left="1440" w:hanging="720"/>
    </w:pPr>
  </w:style>
  <w:style w:type="paragraph" w:customStyle="1" w:styleId="Tabs">
    <w:name w:val="Tabs"/>
    <w:uiPriority w:val="99"/>
    <w:rsid w:val="00316BBE"/>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sz w:val="20"/>
      <w:szCs w:val="20"/>
    </w:rPr>
  </w:style>
  <w:style w:type="paragraph" w:customStyle="1" w:styleId="Numbers">
    <w:name w:val="Numbers"/>
    <w:basedOn w:val="Normal"/>
    <w:uiPriority w:val="99"/>
    <w:rsid w:val="00316BBE"/>
    <w:pPr>
      <w:spacing w:before="120" w:after="120"/>
    </w:pPr>
  </w:style>
  <w:style w:type="paragraph" w:customStyle="1" w:styleId="Document1">
    <w:name w:val="Document 1"/>
    <w:uiPriority w:val="99"/>
    <w:rsid w:val="00316BBE"/>
    <w:pPr>
      <w:keepNext/>
      <w:keepLines/>
      <w:tabs>
        <w:tab w:val="left" w:pos="-720"/>
      </w:tabs>
      <w:suppressAutoHyphens/>
    </w:pPr>
    <w:rPr>
      <w:sz w:val="24"/>
      <w:szCs w:val="20"/>
    </w:rPr>
  </w:style>
  <w:style w:type="paragraph" w:styleId="List">
    <w:name w:val="List"/>
    <w:basedOn w:val="Normal"/>
    <w:uiPriority w:val="99"/>
    <w:rsid w:val="00316BBE"/>
    <w:pPr>
      <w:ind w:left="360" w:hanging="360"/>
    </w:pPr>
  </w:style>
  <w:style w:type="paragraph" w:styleId="List2">
    <w:name w:val="List 2"/>
    <w:basedOn w:val="Normal"/>
    <w:uiPriority w:val="99"/>
    <w:rsid w:val="00316BBE"/>
    <w:pPr>
      <w:ind w:left="720" w:hanging="360"/>
    </w:pPr>
  </w:style>
  <w:style w:type="paragraph" w:customStyle="1" w:styleId="QuickA">
    <w:name w:val="Quick A."/>
    <w:basedOn w:val="Normal"/>
    <w:uiPriority w:val="99"/>
    <w:rsid w:val="00316BBE"/>
    <w:pPr>
      <w:widowControl w:val="0"/>
      <w:tabs>
        <w:tab w:val="num" w:pos="720"/>
        <w:tab w:val="num" w:pos="1080"/>
      </w:tabs>
      <w:ind w:left="223" w:hanging="223"/>
    </w:pPr>
  </w:style>
  <w:style w:type="paragraph" w:customStyle="1" w:styleId="Quick1">
    <w:name w:val="Quick 1."/>
    <w:basedOn w:val="Normal"/>
    <w:uiPriority w:val="99"/>
    <w:rsid w:val="00316BBE"/>
    <w:pPr>
      <w:widowControl w:val="0"/>
      <w:tabs>
        <w:tab w:val="num" w:pos="720"/>
        <w:tab w:val="num" w:pos="1080"/>
      </w:tabs>
      <w:ind w:left="550" w:hanging="327"/>
    </w:pPr>
  </w:style>
  <w:style w:type="paragraph" w:customStyle="1" w:styleId="Quick">
    <w:name w:val="Quick ­"/>
    <w:basedOn w:val="Normal"/>
    <w:uiPriority w:val="99"/>
    <w:rsid w:val="00316BBE"/>
    <w:pPr>
      <w:widowControl w:val="0"/>
      <w:ind w:left="223" w:hanging="203"/>
    </w:pPr>
  </w:style>
  <w:style w:type="paragraph" w:customStyle="1" w:styleId="bullets">
    <w:name w:val="bullets"/>
    <w:basedOn w:val="Normal"/>
    <w:link w:val="bulletsChar"/>
    <w:uiPriority w:val="99"/>
    <w:rsid w:val="00316BBE"/>
    <w:pPr>
      <w:tabs>
        <w:tab w:val="num" w:pos="1080"/>
      </w:tabs>
      <w:spacing w:after="60"/>
      <w:ind w:left="1080" w:hanging="360"/>
    </w:pPr>
  </w:style>
  <w:style w:type="paragraph" w:customStyle="1" w:styleId="a2colbul">
    <w:name w:val="a2col_bul"/>
    <w:basedOn w:val="bullets"/>
    <w:uiPriority w:val="99"/>
    <w:rsid w:val="00316BBE"/>
    <w:pPr>
      <w:ind w:left="342"/>
    </w:pPr>
  </w:style>
  <w:style w:type="paragraph" w:customStyle="1" w:styleId="aft-12-0">
    <w:name w:val="aft-12-0"/>
    <w:basedOn w:val="Normal"/>
    <w:uiPriority w:val="99"/>
    <w:rsid w:val="00316BBE"/>
    <w:pPr>
      <w:spacing w:before="240" w:after="240"/>
    </w:pPr>
  </w:style>
  <w:style w:type="paragraph" w:customStyle="1" w:styleId="aft-12">
    <w:name w:val="aft-12"/>
    <w:basedOn w:val="Normal"/>
    <w:uiPriority w:val="99"/>
    <w:rsid w:val="00316BBE"/>
    <w:pPr>
      <w:spacing w:before="240" w:after="240"/>
      <w:ind w:firstLine="720"/>
    </w:pPr>
  </w:style>
  <w:style w:type="paragraph" w:customStyle="1" w:styleId="exhibitsource">
    <w:name w:val="exhibit source"/>
    <w:basedOn w:val="Normal"/>
    <w:uiPriority w:val="99"/>
    <w:rsid w:val="00316BBE"/>
    <w:pPr>
      <w:keepLines/>
      <w:spacing w:before="60"/>
      <w:ind w:left="187" w:hanging="187"/>
    </w:pPr>
    <w:rPr>
      <w:sz w:val="20"/>
    </w:rPr>
  </w:style>
  <w:style w:type="paragraph" w:customStyle="1" w:styleId="ExhibitTitle">
    <w:name w:val="Exhibit Title"/>
    <w:uiPriority w:val="99"/>
    <w:rsid w:val="00316BBE"/>
    <w:pPr>
      <w:keepNext/>
      <w:keepLines/>
      <w:spacing w:after="60"/>
      <w:ind w:left="1440" w:hanging="1440"/>
    </w:pPr>
    <w:rPr>
      <w:rFonts w:ascii="Arial" w:hAnsi="Arial"/>
      <w:b/>
      <w:szCs w:val="20"/>
    </w:rPr>
  </w:style>
  <w:style w:type="paragraph" w:customStyle="1" w:styleId="TableHeaders">
    <w:name w:val="Table Headers"/>
    <w:basedOn w:val="Normal"/>
    <w:uiPriority w:val="99"/>
    <w:rsid w:val="00316BBE"/>
    <w:pPr>
      <w:keepNext/>
      <w:spacing w:before="80" w:after="80" w:line="240" w:lineRule="exact"/>
      <w:jc w:val="center"/>
    </w:pPr>
    <w:rPr>
      <w:rFonts w:ascii="Arial" w:hAnsi="Arial"/>
      <w:b/>
      <w:sz w:val="20"/>
    </w:rPr>
  </w:style>
  <w:style w:type="paragraph" w:customStyle="1" w:styleId="aboxtxt">
    <w:name w:val="abox_txt"/>
    <w:basedOn w:val="Normal"/>
    <w:uiPriority w:val="99"/>
    <w:rsid w:val="00316BBE"/>
    <w:pPr>
      <w:spacing w:after="120"/>
    </w:pPr>
    <w:rPr>
      <w:rFonts w:ascii="Arial" w:hAnsi="Arial"/>
      <w:sz w:val="20"/>
    </w:rPr>
  </w:style>
  <w:style w:type="paragraph" w:customStyle="1" w:styleId="NPSASTbltext">
    <w:name w:val="NPSAS Tbl text"/>
    <w:uiPriority w:val="99"/>
    <w:rsid w:val="00316BBE"/>
    <w:pPr>
      <w:spacing w:before="20" w:after="20"/>
    </w:pPr>
    <w:rPr>
      <w:color w:val="000000"/>
      <w:sz w:val="20"/>
      <w:szCs w:val="20"/>
    </w:rPr>
  </w:style>
  <w:style w:type="paragraph" w:styleId="NormalWeb">
    <w:name w:val="Normal (Web)"/>
    <w:basedOn w:val="Normal"/>
    <w:uiPriority w:val="99"/>
    <w:rsid w:val="00316BBE"/>
    <w:pPr>
      <w:spacing w:before="100" w:beforeAutospacing="1" w:after="100" w:afterAutospacing="1"/>
    </w:pPr>
    <w:rPr>
      <w:color w:val="000000"/>
      <w:szCs w:val="24"/>
    </w:rPr>
  </w:style>
  <w:style w:type="paragraph" w:customStyle="1" w:styleId="Blockedquote">
    <w:name w:val="Blocked quote"/>
    <w:basedOn w:val="BodyText"/>
    <w:link w:val="BlockedquoteChar"/>
    <w:uiPriority w:val="99"/>
    <w:rsid w:val="00316BBE"/>
    <w:pPr>
      <w:ind w:left="720" w:right="720" w:firstLine="0"/>
    </w:pPr>
    <w:rPr>
      <w:i/>
      <w:iCs/>
    </w:rPr>
  </w:style>
  <w:style w:type="character" w:customStyle="1" w:styleId="BlockedquoteChar">
    <w:name w:val="Blocked quote Char"/>
    <w:basedOn w:val="BodyTextChar"/>
    <w:link w:val="Blockedquote"/>
    <w:uiPriority w:val="99"/>
    <w:locked/>
    <w:rsid w:val="00316BBE"/>
    <w:rPr>
      <w:i/>
      <w:iCs/>
    </w:rPr>
  </w:style>
  <w:style w:type="paragraph" w:customStyle="1" w:styleId="Table2">
    <w:name w:val="Table 2"/>
    <w:basedOn w:val="Tabletext"/>
    <w:uiPriority w:val="99"/>
    <w:rsid w:val="00417457"/>
  </w:style>
  <w:style w:type="character" w:customStyle="1" w:styleId="AppendixTitleChar">
    <w:name w:val="Appendix Title Char"/>
    <w:basedOn w:val="DefaultParagraphFont"/>
    <w:link w:val="AppendixTitle"/>
    <w:uiPriority w:val="99"/>
    <w:locked/>
    <w:rsid w:val="00593CCC"/>
    <w:rPr>
      <w:rFonts w:ascii="Arial" w:hAnsi="Arial" w:cs="Arial"/>
      <w:b/>
      <w:sz w:val="28"/>
      <w:szCs w:val="28"/>
      <w:lang w:val="en-US" w:eastAsia="en-US" w:bidi="ar-SA"/>
    </w:rPr>
  </w:style>
  <w:style w:type="paragraph" w:customStyle="1" w:styleId="bodytext20">
    <w:name w:val="body text 2"/>
    <w:basedOn w:val="Normal"/>
    <w:uiPriority w:val="99"/>
    <w:rsid w:val="00ED129D"/>
    <w:pPr>
      <w:spacing w:before="120" w:after="120"/>
    </w:pPr>
    <w:rPr>
      <w:sz w:val="22"/>
      <w:szCs w:val="22"/>
    </w:rPr>
  </w:style>
  <w:style w:type="paragraph" w:customStyle="1" w:styleId="AppH3">
    <w:name w:val="App H3"/>
    <w:basedOn w:val="Heading3"/>
    <w:uiPriority w:val="99"/>
    <w:rsid w:val="00604BBD"/>
    <w:pPr>
      <w:numPr>
        <w:ilvl w:val="0"/>
        <w:numId w:val="0"/>
      </w:numPr>
    </w:pPr>
  </w:style>
  <w:style w:type="paragraph" w:customStyle="1" w:styleId="Apptabletitle">
    <w:name w:val="App table title"/>
    <w:basedOn w:val="TableTitle"/>
    <w:uiPriority w:val="99"/>
    <w:rsid w:val="00604BBD"/>
  </w:style>
  <w:style w:type="paragraph" w:customStyle="1" w:styleId="equation">
    <w:name w:val="equation"/>
    <w:basedOn w:val="BlockText"/>
    <w:uiPriority w:val="99"/>
    <w:rsid w:val="00C263F6"/>
    <w:pPr>
      <w:spacing w:before="200"/>
      <w:ind w:left="1440" w:right="0"/>
    </w:pPr>
  </w:style>
  <w:style w:type="character" w:customStyle="1" w:styleId="BodytextnoindentChar">
    <w:name w:val="Body text no indent Char"/>
    <w:basedOn w:val="BodyTextChar"/>
    <w:link w:val="Bodytextnoindent"/>
    <w:uiPriority w:val="99"/>
    <w:locked/>
    <w:rsid w:val="00C263F6"/>
  </w:style>
  <w:style w:type="character" w:customStyle="1" w:styleId="footer1">
    <w:name w:val="footer1"/>
    <w:basedOn w:val="DefaultParagraphFont"/>
    <w:uiPriority w:val="99"/>
    <w:rsid w:val="00E4514E"/>
    <w:rPr>
      <w:rFonts w:ascii="Verdana" w:hAnsi="Verdana" w:cs="Times New Roman"/>
      <w:color w:val="auto"/>
      <w:sz w:val="15"/>
      <w:szCs w:val="15"/>
    </w:rPr>
  </w:style>
  <w:style w:type="character" w:styleId="FollowedHyperlink">
    <w:name w:val="FollowedHyperlink"/>
    <w:basedOn w:val="DefaultParagraphFont"/>
    <w:uiPriority w:val="99"/>
    <w:rsid w:val="00A3200F"/>
    <w:rPr>
      <w:rFonts w:cs="Times New Roman"/>
      <w:color w:val="800080"/>
      <w:u w:val="single"/>
    </w:rPr>
  </w:style>
  <w:style w:type="paragraph" w:styleId="BodyTextIndent">
    <w:name w:val="Body Text Indent"/>
    <w:basedOn w:val="Normal"/>
    <w:link w:val="BodyTextIndentChar"/>
    <w:uiPriority w:val="99"/>
    <w:rsid w:val="00BB5710"/>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tLeast"/>
      <w:ind w:firstLine="720"/>
    </w:pPr>
    <w:rPr>
      <w:rFonts w:ascii="Times" w:hAnsi="Times"/>
    </w:rPr>
  </w:style>
  <w:style w:type="character" w:customStyle="1" w:styleId="BodyTextIndentChar">
    <w:name w:val="Body Text Indent Char"/>
    <w:basedOn w:val="DefaultParagraphFont"/>
    <w:link w:val="BodyTextIndent"/>
    <w:uiPriority w:val="99"/>
    <w:semiHidden/>
    <w:locked/>
    <w:rsid w:val="00E43C89"/>
    <w:rPr>
      <w:rFonts w:cs="Times New Roman"/>
      <w:sz w:val="20"/>
      <w:szCs w:val="20"/>
    </w:rPr>
  </w:style>
  <w:style w:type="paragraph" w:styleId="BodyText3">
    <w:name w:val="Body Text 3"/>
    <w:basedOn w:val="Normal"/>
    <w:link w:val="BodyText3Char"/>
    <w:uiPriority w:val="99"/>
    <w:rsid w:val="00763EFC"/>
    <w:pPr>
      <w:spacing w:before="120" w:after="120"/>
    </w:pPr>
    <w:rPr>
      <w:sz w:val="20"/>
      <w:szCs w:val="16"/>
    </w:rPr>
  </w:style>
  <w:style w:type="character" w:customStyle="1" w:styleId="BodyText3Char">
    <w:name w:val="Body Text 3 Char"/>
    <w:basedOn w:val="DefaultParagraphFont"/>
    <w:link w:val="BodyText3"/>
    <w:uiPriority w:val="99"/>
    <w:semiHidden/>
    <w:locked/>
    <w:rsid w:val="00E43C89"/>
    <w:rPr>
      <w:rFonts w:cs="Times New Roman"/>
      <w:sz w:val="16"/>
      <w:szCs w:val="16"/>
    </w:rPr>
  </w:style>
  <w:style w:type="paragraph" w:customStyle="1" w:styleId="tabletitle0">
    <w:name w:val="table title"/>
    <w:basedOn w:val="Heading7"/>
    <w:uiPriority w:val="99"/>
    <w:rsid w:val="00DF03AA"/>
    <w:pPr>
      <w:tabs>
        <w:tab w:val="clear" w:pos="1296"/>
      </w:tabs>
      <w:overflowPunct w:val="0"/>
      <w:autoSpaceDE w:val="0"/>
      <w:autoSpaceDN w:val="0"/>
      <w:adjustRightInd w:val="0"/>
      <w:spacing w:before="240" w:after="60"/>
      <w:ind w:left="907" w:hanging="907"/>
      <w:jc w:val="left"/>
      <w:textAlignment w:val="baseline"/>
    </w:pPr>
    <w:rPr>
      <w:rFonts w:cs="Arial"/>
      <w:sz w:val="20"/>
    </w:rPr>
  </w:style>
  <w:style w:type="character" w:styleId="Strong">
    <w:name w:val="Strong"/>
    <w:basedOn w:val="DefaultParagraphFont"/>
    <w:uiPriority w:val="99"/>
    <w:qFormat/>
    <w:rsid w:val="007E6E55"/>
    <w:rPr>
      <w:rFonts w:cs="Times New Roman"/>
      <w:b/>
      <w:bCs/>
    </w:rPr>
  </w:style>
  <w:style w:type="paragraph" w:customStyle="1" w:styleId="QuickS">
    <w:name w:val="Quick S"/>
    <w:uiPriority w:val="99"/>
    <w:rsid w:val="008C5951"/>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link w:val="Biblio"/>
    <w:uiPriority w:val="99"/>
    <w:locked/>
    <w:rsid w:val="00613103"/>
    <w:rPr>
      <w:rFonts w:cs="Times New Roman"/>
      <w:kern w:val="2"/>
      <w:sz w:val="24"/>
      <w:lang w:val="en-US" w:eastAsia="en-US" w:bidi="ar-SA"/>
    </w:rPr>
  </w:style>
  <w:style w:type="paragraph" w:customStyle="1" w:styleId="Normaltext">
    <w:name w:val="Normal text"/>
    <w:basedOn w:val="Normal"/>
    <w:link w:val="NormaltextChar"/>
    <w:uiPriority w:val="99"/>
    <w:rsid w:val="007D376D"/>
    <w:pPr>
      <w:spacing w:before="240"/>
      <w:ind w:firstLine="720"/>
    </w:pPr>
  </w:style>
  <w:style w:type="character" w:customStyle="1" w:styleId="NormaltextChar">
    <w:name w:val="Normal text Char"/>
    <w:basedOn w:val="DefaultParagraphFont"/>
    <w:link w:val="Normaltext"/>
    <w:uiPriority w:val="99"/>
    <w:locked/>
    <w:rsid w:val="007D376D"/>
    <w:rPr>
      <w:rFonts w:cs="Times New Roman"/>
      <w:sz w:val="24"/>
      <w:lang w:val="en-US" w:eastAsia="en-US" w:bidi="ar-SA"/>
    </w:rPr>
  </w:style>
  <w:style w:type="paragraph" w:customStyle="1" w:styleId="tocpagehead">
    <w:name w:val="toc page head"/>
    <w:uiPriority w:val="99"/>
    <w:rsid w:val="00241D5E"/>
    <w:pPr>
      <w:tabs>
        <w:tab w:val="right" w:pos="9360"/>
      </w:tabs>
      <w:jc w:val="both"/>
    </w:pPr>
    <w:rPr>
      <w:b/>
      <w:bCs/>
      <w:noProof/>
      <w:szCs w:val="20"/>
      <w:u w:val="words"/>
    </w:rPr>
  </w:style>
  <w:style w:type="paragraph" w:customStyle="1" w:styleId="bodytext-db">
    <w:name w:val="body text-db"/>
    <w:basedOn w:val="Normal"/>
    <w:link w:val="bodytext-dbChar"/>
    <w:uiPriority w:val="99"/>
    <w:rsid w:val="001C32A7"/>
    <w:pPr>
      <w:spacing w:after="240"/>
      <w:ind w:firstLine="360"/>
    </w:pPr>
    <w:rPr>
      <w:sz w:val="22"/>
    </w:rPr>
  </w:style>
  <w:style w:type="character" w:customStyle="1" w:styleId="bodytext-dbChar">
    <w:name w:val="body text-db Char"/>
    <w:basedOn w:val="DefaultParagraphFont"/>
    <w:link w:val="bodytext-db"/>
    <w:uiPriority w:val="99"/>
    <w:locked/>
    <w:rsid w:val="001C32A7"/>
    <w:rPr>
      <w:rFonts w:cs="Times New Roman"/>
      <w:sz w:val="22"/>
      <w:lang w:val="en-US" w:eastAsia="en-US" w:bidi="ar-SA"/>
    </w:rPr>
  </w:style>
  <w:style w:type="paragraph" w:customStyle="1" w:styleId="bodytext-proposal">
    <w:name w:val="body text - proposal"/>
    <w:basedOn w:val="Normal"/>
    <w:uiPriority w:val="99"/>
    <w:rsid w:val="00A574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Cs w:val="24"/>
    </w:rPr>
  </w:style>
  <w:style w:type="paragraph" w:customStyle="1" w:styleId="bulletround-proposaltext">
    <w:name w:val="bullet round - proposal text"/>
    <w:basedOn w:val="bulletround"/>
    <w:uiPriority w:val="99"/>
    <w:rsid w:val="00A574C6"/>
    <w:rPr>
      <w:kern w:val="2"/>
      <w:szCs w:val="22"/>
    </w:rPr>
  </w:style>
  <w:style w:type="paragraph" w:customStyle="1" w:styleId="text">
    <w:name w:val="text"/>
    <w:basedOn w:val="Normal"/>
    <w:uiPriority w:val="99"/>
    <w:rsid w:val="00C52855"/>
    <w:pPr>
      <w:spacing w:before="120" w:after="120"/>
    </w:pPr>
    <w:rPr>
      <w:sz w:val="20"/>
      <w:szCs w:val="24"/>
    </w:rPr>
  </w:style>
  <w:style w:type="paragraph" w:customStyle="1" w:styleId="arialtitle">
    <w:name w:val="arial title"/>
    <w:basedOn w:val="Normal"/>
    <w:uiPriority w:val="99"/>
    <w:rsid w:val="00C52855"/>
    <w:pPr>
      <w:keepNext/>
      <w:spacing w:before="240"/>
    </w:pPr>
    <w:rPr>
      <w:rFonts w:ascii="Arial" w:hAnsi="Arial"/>
      <w:b/>
      <w:sz w:val="22"/>
      <w:szCs w:val="24"/>
    </w:rPr>
  </w:style>
  <w:style w:type="paragraph" w:styleId="Revision">
    <w:name w:val="Revision"/>
    <w:hidden/>
    <w:uiPriority w:val="99"/>
    <w:semiHidden/>
    <w:rsid w:val="000526B1"/>
    <w:rPr>
      <w:sz w:val="24"/>
      <w:szCs w:val="20"/>
    </w:rPr>
  </w:style>
  <w:style w:type="paragraph" w:customStyle="1" w:styleId="bodytext0">
    <w:name w:val="body text"/>
    <w:basedOn w:val="Normal"/>
    <w:uiPriority w:val="99"/>
    <w:rsid w:val="000F68CB"/>
    <w:pPr>
      <w:spacing w:after="240" w:line="320" w:lineRule="exact"/>
      <w:ind w:firstLine="720"/>
    </w:pPr>
    <w:rPr>
      <w:sz w:val="22"/>
    </w:rPr>
  </w:style>
  <w:style w:type="paragraph" w:customStyle="1" w:styleId="bodytextpsg">
    <w:name w:val="body text_psg"/>
    <w:basedOn w:val="Normal"/>
    <w:link w:val="bodytextpsgChar"/>
    <w:uiPriority w:val="99"/>
    <w:rsid w:val="000F68CB"/>
    <w:pPr>
      <w:spacing w:after="240" w:line="320" w:lineRule="exact"/>
      <w:ind w:firstLine="720"/>
    </w:pPr>
    <w:rPr>
      <w:sz w:val="22"/>
    </w:rPr>
  </w:style>
  <w:style w:type="character" w:customStyle="1" w:styleId="bodytextpsgChar">
    <w:name w:val="body text_psg Char"/>
    <w:basedOn w:val="DefaultParagraphFont"/>
    <w:link w:val="bodytextpsg"/>
    <w:uiPriority w:val="99"/>
    <w:locked/>
    <w:rsid w:val="000F68CB"/>
    <w:rPr>
      <w:rFonts w:cs="Times New Roman"/>
      <w:sz w:val="22"/>
    </w:rPr>
  </w:style>
  <w:style w:type="character" w:customStyle="1" w:styleId="FootnoteTextChar1">
    <w:name w:val="Footnote Text Char1"/>
    <w:aliases w:val="ft Char1,fo Char1,footnote text Char Char1"/>
    <w:basedOn w:val="DefaultParagraphFont"/>
    <w:uiPriority w:val="99"/>
    <w:locked/>
    <w:rsid w:val="000F68CB"/>
    <w:rPr>
      <w:rFonts w:cs="Times New Roman"/>
    </w:rPr>
  </w:style>
  <w:style w:type="paragraph" w:customStyle="1" w:styleId="bodytext1">
    <w:name w:val="bodytext"/>
    <w:basedOn w:val="Normal"/>
    <w:uiPriority w:val="99"/>
    <w:rsid w:val="000F68CB"/>
    <w:pPr>
      <w:spacing w:after="240" w:line="320" w:lineRule="atLeast"/>
      <w:ind w:firstLine="720"/>
    </w:pPr>
    <w:rPr>
      <w:sz w:val="22"/>
      <w:szCs w:val="22"/>
    </w:rPr>
  </w:style>
  <w:style w:type="paragraph" w:customStyle="1" w:styleId="nospacing">
    <w:name w:val="nospacing"/>
    <w:basedOn w:val="Normal"/>
    <w:uiPriority w:val="99"/>
    <w:rsid w:val="000F68CB"/>
    <w:rPr>
      <w:rFonts w:ascii="Calibri" w:hAnsi="Calibri"/>
      <w:sz w:val="22"/>
      <w:szCs w:val="22"/>
    </w:rPr>
  </w:style>
  <w:style w:type="paragraph" w:styleId="ListParagraph">
    <w:name w:val="List Paragraph"/>
    <w:basedOn w:val="Normal"/>
    <w:uiPriority w:val="99"/>
    <w:qFormat/>
    <w:rsid w:val="000F68CB"/>
    <w:pPr>
      <w:ind w:left="720"/>
    </w:pPr>
    <w:rPr>
      <w:szCs w:val="24"/>
    </w:rPr>
  </w:style>
  <w:style w:type="character" w:customStyle="1" w:styleId="bulletsChar">
    <w:name w:val="bullets Char"/>
    <w:aliases w:val="bu Char"/>
    <w:basedOn w:val="DefaultParagraphFont"/>
    <w:link w:val="bullets"/>
    <w:uiPriority w:val="99"/>
    <w:locked/>
    <w:rsid w:val="00FA78D3"/>
    <w:rPr>
      <w:rFonts w:cs="Times New Roman"/>
      <w:sz w:val="24"/>
    </w:rPr>
  </w:style>
  <w:style w:type="paragraph" w:customStyle="1" w:styleId="Bulletblocked">
    <w:name w:val="Bullet blocked"/>
    <w:basedOn w:val="BodyText"/>
    <w:uiPriority w:val="99"/>
    <w:rsid w:val="008477F8"/>
    <w:pPr>
      <w:ind w:left="1080" w:firstLine="0"/>
    </w:pPr>
  </w:style>
  <w:style w:type="paragraph" w:customStyle="1" w:styleId="bullet2ndlevel">
    <w:name w:val="bullet 2nd level"/>
    <w:basedOn w:val="BodyText"/>
    <w:uiPriority w:val="99"/>
    <w:rsid w:val="00A33831"/>
    <w:pPr>
      <w:numPr>
        <w:ilvl w:val="1"/>
        <w:numId w:val="14"/>
      </w:numPr>
      <w:spacing w:after="0" w:line="253" w:lineRule="atLeast"/>
    </w:pPr>
  </w:style>
  <w:style w:type="paragraph" w:customStyle="1" w:styleId="Bullet-nosymbol">
    <w:name w:val="Bullet - no symbol"/>
    <w:basedOn w:val="bulletround"/>
    <w:uiPriority w:val="99"/>
    <w:rsid w:val="001A1ED0"/>
    <w:pPr>
      <w:ind w:left="1530" w:hanging="810"/>
    </w:pPr>
  </w:style>
  <w:style w:type="character" w:customStyle="1" w:styleId="headerslevel11">
    <w:name w:val="headerslevel11"/>
    <w:basedOn w:val="DefaultParagraphFont"/>
    <w:uiPriority w:val="99"/>
    <w:rsid w:val="00A07D92"/>
    <w:rPr>
      <w:rFonts w:ascii="Verdana" w:hAnsi="Verdana" w:cs="Times New Roman"/>
      <w:b/>
      <w:bCs/>
      <w:color w:val="232F63"/>
      <w:sz w:val="16"/>
      <w:szCs w:val="16"/>
    </w:rPr>
  </w:style>
</w:styles>
</file>

<file path=word/webSettings.xml><?xml version="1.0" encoding="utf-8"?>
<w:webSettings xmlns:r="http://schemas.openxmlformats.org/officeDocument/2006/relationships" xmlns:w="http://schemas.openxmlformats.org/wordprocessingml/2006/main">
  <w:divs>
    <w:div w:id="167451018">
      <w:marLeft w:val="0"/>
      <w:marRight w:val="0"/>
      <w:marTop w:val="0"/>
      <w:marBottom w:val="0"/>
      <w:divBdr>
        <w:top w:val="none" w:sz="0" w:space="0" w:color="auto"/>
        <w:left w:val="none" w:sz="0" w:space="0" w:color="auto"/>
        <w:bottom w:val="none" w:sz="0" w:space="0" w:color="auto"/>
        <w:right w:val="none" w:sz="0" w:space="0" w:color="auto"/>
      </w:divBdr>
    </w:div>
    <w:div w:id="167451019">
      <w:marLeft w:val="0"/>
      <w:marRight w:val="0"/>
      <w:marTop w:val="0"/>
      <w:marBottom w:val="0"/>
      <w:divBdr>
        <w:top w:val="none" w:sz="0" w:space="0" w:color="auto"/>
        <w:left w:val="none" w:sz="0" w:space="0" w:color="auto"/>
        <w:bottom w:val="none" w:sz="0" w:space="0" w:color="auto"/>
        <w:right w:val="none" w:sz="0" w:space="0" w:color="auto"/>
      </w:divBdr>
    </w:div>
    <w:div w:id="167451020">
      <w:marLeft w:val="0"/>
      <w:marRight w:val="0"/>
      <w:marTop w:val="0"/>
      <w:marBottom w:val="0"/>
      <w:divBdr>
        <w:top w:val="none" w:sz="0" w:space="0" w:color="auto"/>
        <w:left w:val="none" w:sz="0" w:space="0" w:color="auto"/>
        <w:bottom w:val="none" w:sz="0" w:space="0" w:color="auto"/>
        <w:right w:val="none" w:sz="0" w:space="0" w:color="auto"/>
      </w:divBdr>
    </w:div>
    <w:div w:id="167451021">
      <w:marLeft w:val="0"/>
      <w:marRight w:val="0"/>
      <w:marTop w:val="0"/>
      <w:marBottom w:val="0"/>
      <w:divBdr>
        <w:top w:val="none" w:sz="0" w:space="0" w:color="auto"/>
        <w:left w:val="none" w:sz="0" w:space="0" w:color="auto"/>
        <w:bottom w:val="none" w:sz="0" w:space="0" w:color="auto"/>
        <w:right w:val="none" w:sz="0" w:space="0" w:color="auto"/>
      </w:divBdr>
    </w:div>
    <w:div w:id="167451022">
      <w:marLeft w:val="0"/>
      <w:marRight w:val="0"/>
      <w:marTop w:val="0"/>
      <w:marBottom w:val="0"/>
      <w:divBdr>
        <w:top w:val="none" w:sz="0" w:space="0" w:color="auto"/>
        <w:left w:val="none" w:sz="0" w:space="0" w:color="auto"/>
        <w:bottom w:val="none" w:sz="0" w:space="0" w:color="auto"/>
        <w:right w:val="none" w:sz="0" w:space="0" w:color="auto"/>
      </w:divBdr>
    </w:div>
    <w:div w:id="167451023">
      <w:marLeft w:val="0"/>
      <w:marRight w:val="0"/>
      <w:marTop w:val="0"/>
      <w:marBottom w:val="0"/>
      <w:divBdr>
        <w:top w:val="none" w:sz="0" w:space="0" w:color="auto"/>
        <w:left w:val="none" w:sz="0" w:space="0" w:color="auto"/>
        <w:bottom w:val="none" w:sz="0" w:space="0" w:color="auto"/>
        <w:right w:val="none" w:sz="0" w:space="0" w:color="auto"/>
      </w:divBdr>
    </w:div>
    <w:div w:id="167451025">
      <w:marLeft w:val="0"/>
      <w:marRight w:val="0"/>
      <w:marTop w:val="0"/>
      <w:marBottom w:val="0"/>
      <w:divBdr>
        <w:top w:val="none" w:sz="0" w:space="0" w:color="auto"/>
        <w:left w:val="none" w:sz="0" w:space="0" w:color="auto"/>
        <w:bottom w:val="none" w:sz="0" w:space="0" w:color="auto"/>
        <w:right w:val="none" w:sz="0" w:space="0" w:color="auto"/>
      </w:divBdr>
      <w:divsChild>
        <w:div w:id="167451024">
          <w:marLeft w:val="0"/>
          <w:marRight w:val="0"/>
          <w:marTop w:val="0"/>
          <w:marBottom w:val="0"/>
          <w:divBdr>
            <w:top w:val="none" w:sz="0" w:space="0" w:color="auto"/>
            <w:left w:val="none" w:sz="0" w:space="0" w:color="auto"/>
            <w:bottom w:val="none" w:sz="0" w:space="0" w:color="auto"/>
            <w:right w:val="none" w:sz="0" w:space="0" w:color="auto"/>
          </w:divBdr>
        </w:div>
      </w:divsChild>
    </w:div>
    <w:div w:id="167451026">
      <w:marLeft w:val="0"/>
      <w:marRight w:val="0"/>
      <w:marTop w:val="0"/>
      <w:marBottom w:val="0"/>
      <w:divBdr>
        <w:top w:val="none" w:sz="0" w:space="0" w:color="auto"/>
        <w:left w:val="none" w:sz="0" w:space="0" w:color="auto"/>
        <w:bottom w:val="none" w:sz="0" w:space="0" w:color="auto"/>
        <w:right w:val="none" w:sz="0" w:space="0" w:color="auto"/>
      </w:divBdr>
    </w:div>
    <w:div w:id="167451028">
      <w:marLeft w:val="0"/>
      <w:marRight w:val="0"/>
      <w:marTop w:val="0"/>
      <w:marBottom w:val="0"/>
      <w:divBdr>
        <w:top w:val="none" w:sz="0" w:space="0" w:color="auto"/>
        <w:left w:val="none" w:sz="0" w:space="0" w:color="auto"/>
        <w:bottom w:val="none" w:sz="0" w:space="0" w:color="auto"/>
        <w:right w:val="none" w:sz="0" w:space="0" w:color="auto"/>
      </w:divBdr>
      <w:divsChild>
        <w:div w:id="167451027">
          <w:marLeft w:val="0"/>
          <w:marRight w:val="0"/>
          <w:marTop w:val="0"/>
          <w:marBottom w:val="0"/>
          <w:divBdr>
            <w:top w:val="none" w:sz="0" w:space="0" w:color="auto"/>
            <w:left w:val="none" w:sz="0" w:space="0" w:color="auto"/>
            <w:bottom w:val="none" w:sz="0" w:space="0" w:color="auto"/>
            <w:right w:val="none" w:sz="0" w:space="0" w:color="auto"/>
          </w:divBdr>
        </w:div>
      </w:divsChild>
    </w:div>
    <w:div w:id="167451029">
      <w:marLeft w:val="0"/>
      <w:marRight w:val="0"/>
      <w:marTop w:val="0"/>
      <w:marBottom w:val="0"/>
      <w:divBdr>
        <w:top w:val="none" w:sz="0" w:space="0" w:color="auto"/>
        <w:left w:val="none" w:sz="0" w:space="0" w:color="auto"/>
        <w:bottom w:val="none" w:sz="0" w:space="0" w:color="auto"/>
        <w:right w:val="none" w:sz="0" w:space="0" w:color="auto"/>
      </w:divBdr>
    </w:div>
    <w:div w:id="167451030">
      <w:marLeft w:val="0"/>
      <w:marRight w:val="0"/>
      <w:marTop w:val="0"/>
      <w:marBottom w:val="0"/>
      <w:divBdr>
        <w:top w:val="none" w:sz="0" w:space="0" w:color="auto"/>
        <w:left w:val="none" w:sz="0" w:space="0" w:color="auto"/>
        <w:bottom w:val="none" w:sz="0" w:space="0" w:color="auto"/>
        <w:right w:val="none" w:sz="0" w:space="0" w:color="auto"/>
      </w:divBdr>
    </w:div>
    <w:div w:id="167451031">
      <w:marLeft w:val="0"/>
      <w:marRight w:val="0"/>
      <w:marTop w:val="0"/>
      <w:marBottom w:val="0"/>
      <w:divBdr>
        <w:top w:val="none" w:sz="0" w:space="0" w:color="auto"/>
        <w:left w:val="none" w:sz="0" w:space="0" w:color="auto"/>
        <w:bottom w:val="none" w:sz="0" w:space="0" w:color="auto"/>
        <w:right w:val="none" w:sz="0" w:space="0" w:color="auto"/>
      </w:divBdr>
    </w:div>
    <w:div w:id="167451032">
      <w:marLeft w:val="0"/>
      <w:marRight w:val="0"/>
      <w:marTop w:val="0"/>
      <w:marBottom w:val="0"/>
      <w:divBdr>
        <w:top w:val="none" w:sz="0" w:space="0" w:color="auto"/>
        <w:left w:val="none" w:sz="0" w:space="0" w:color="auto"/>
        <w:bottom w:val="none" w:sz="0" w:space="0" w:color="auto"/>
        <w:right w:val="none" w:sz="0" w:space="0" w:color="auto"/>
      </w:divBdr>
    </w:div>
    <w:div w:id="1674510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image" Target="media/image1.emf"/><Relationship Id="rId39" Type="http://schemas.openxmlformats.org/officeDocument/2006/relationships/footer" Target="footer14.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header" Target="header13.xml"/><Relationship Id="rId42" Type="http://schemas.openxmlformats.org/officeDocument/2006/relationships/footer" Target="footer15.xml"/><Relationship Id="rId47" Type="http://schemas.openxmlformats.org/officeDocument/2006/relationships/footer" Target="footer17.xml"/><Relationship Id="rId50" Type="http://schemas.openxmlformats.org/officeDocument/2006/relationships/footer" Target="footer19.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1.xml"/><Relationship Id="rId38" Type="http://schemas.openxmlformats.org/officeDocument/2006/relationships/footer" Target="footer13.xml"/><Relationship Id="rId46" Type="http://schemas.openxmlformats.org/officeDocument/2006/relationships/header" Target="header20.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image" Target="media/image3.wmf"/><Relationship Id="rId41" Type="http://schemas.openxmlformats.org/officeDocument/2006/relationships/header" Target="header1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8.xml"/><Relationship Id="rId32" Type="http://schemas.openxmlformats.org/officeDocument/2006/relationships/footer" Target="footer10.xml"/><Relationship Id="rId37" Type="http://schemas.openxmlformats.org/officeDocument/2006/relationships/header" Target="header15.xml"/><Relationship Id="rId40" Type="http://schemas.openxmlformats.org/officeDocument/2006/relationships/header" Target="header16.xml"/><Relationship Id="rId45" Type="http://schemas.openxmlformats.org/officeDocument/2006/relationships/header" Target="header1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image" Target="media/image2.wmf"/><Relationship Id="rId36" Type="http://schemas.openxmlformats.org/officeDocument/2006/relationships/header" Target="header14.xml"/><Relationship Id="rId49" Type="http://schemas.openxmlformats.org/officeDocument/2006/relationships/header" Target="header21.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header" Target="header12.xml"/><Relationship Id="rId44" Type="http://schemas.openxmlformats.org/officeDocument/2006/relationships/footer" Target="footer16.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oleObject" Target="embeddings/oleObject1.bin"/><Relationship Id="rId30" Type="http://schemas.openxmlformats.org/officeDocument/2006/relationships/header" Target="header11.xml"/><Relationship Id="rId35" Type="http://schemas.openxmlformats.org/officeDocument/2006/relationships/footer" Target="footer12.xml"/><Relationship Id="rId43" Type="http://schemas.openxmlformats.org/officeDocument/2006/relationships/header" Target="header18.xml"/><Relationship Id="rId48" Type="http://schemas.openxmlformats.org/officeDocument/2006/relationships/footer" Target="footer18.xml"/><Relationship Id="rId8" Type="http://schemas.openxmlformats.org/officeDocument/2006/relationships/header" Target="header2.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TotalTime>
  <Pages>39</Pages>
  <Words>12686</Words>
  <Characters>-32766</Characters>
  <Application>Microsoft Office Outlook</Application>
  <DocSecurity>0</DocSecurity>
  <Lines>0</Lines>
  <Paragraphs>0</Paragraphs>
  <ScaleCrop>false</ScaleCrop>
  <Company>RTI International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subject/>
  <dc:creator>spowell</dc:creator>
  <cp:keywords/>
  <dc:description/>
  <cp:lastModifiedBy>#Administrator</cp:lastModifiedBy>
  <cp:revision>5</cp:revision>
  <cp:lastPrinted>2011-03-18T19:37:00Z</cp:lastPrinted>
  <dcterms:created xsi:type="dcterms:W3CDTF">2011-03-18T19:31:00Z</dcterms:created>
  <dcterms:modified xsi:type="dcterms:W3CDTF">2011-03-21T18:59:00Z</dcterms:modified>
</cp:coreProperties>
</file>