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Focus Group Research </w:t>
      </w:r>
    </w:p>
    <w:p w:rsidR="00E303E2" w:rsidRPr="002D2CB6" w:rsidRDefault="00E303E2" w:rsidP="00E26F73">
      <w:pPr>
        <w:spacing w:after="0" w:line="240" w:lineRule="auto"/>
        <w:ind w:firstLine="720"/>
        <w:rPr>
          <w:rFonts w:ascii="Arial" w:hAnsi="Arial" w:cs="Arial"/>
          <w:b/>
          <w:sz w:val="24"/>
          <w:szCs w:val="24"/>
        </w:rPr>
      </w:pPr>
      <w:r w:rsidRPr="002D2CB6">
        <w:rPr>
          <w:rFonts w:ascii="Arial" w:hAnsi="Arial" w:cs="Arial"/>
          <w:b/>
          <w:sz w:val="24"/>
          <w:szCs w:val="24"/>
        </w:rPr>
        <w:t xml:space="preserve">                                                  (OMB #1545-1349) </w:t>
      </w:r>
    </w:p>
    <w:p w:rsidR="00E303E2"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CB1DDE" w:rsidRDefault="00E303E2">
      <w:pPr>
        <w:spacing w:after="0" w:line="240" w:lineRule="auto"/>
        <w:rPr>
          <w:rFonts w:ascii="Arial" w:hAnsi="Arial" w:cs="Arial"/>
          <w:b/>
          <w:sz w:val="28"/>
          <w:szCs w:val="28"/>
        </w:rPr>
      </w:pPr>
      <w:r w:rsidRPr="00CB1DDE">
        <w:rPr>
          <w:rFonts w:ascii="Arial" w:hAnsi="Arial" w:cs="Arial"/>
          <w:b/>
          <w:sz w:val="28"/>
          <w:szCs w:val="28"/>
        </w:rPr>
        <w:t>Automated Collection System (ACS) Focus Groups</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2D2CB6" w:rsidRDefault="00E303E2">
      <w:pPr>
        <w:pStyle w:val="ListParagraph"/>
        <w:spacing w:after="0" w:line="240" w:lineRule="auto"/>
        <w:ind w:left="0"/>
        <w:rPr>
          <w:rFonts w:ascii="Arial" w:hAnsi="Arial" w:cs="Arial"/>
          <w:b/>
          <w:sz w:val="24"/>
          <w:szCs w:val="24"/>
        </w:rPr>
      </w:pP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E303E2" w:rsidRPr="00E65EB7" w:rsidRDefault="00E303E2">
      <w:pPr>
        <w:spacing w:after="0" w:line="240" w:lineRule="auto"/>
        <w:rPr>
          <w:rFonts w:ascii="Arial" w:hAnsi="Arial" w:cs="Arial"/>
          <w:b/>
          <w:sz w:val="24"/>
          <w:szCs w:val="24"/>
        </w:rPr>
      </w:pP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W&amp;I to garner customer feedback in an efficient, timely manner, in accordance with our commitment to improving service delivery.  The information collected from our customers and stakeholders will help ensure that users have an effective, efficient, and satisfying experience with the W&amp;I’s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p>
    <w:p w:rsidR="00E303E2" w:rsidRPr="002D2CB6" w:rsidRDefault="00E303E2">
      <w:pPr>
        <w:spacing w:after="0" w:line="240" w:lineRule="auto"/>
        <w:rPr>
          <w:rFonts w:ascii="Arial" w:hAnsi="Arial" w:cs="Arial"/>
          <w:sz w:val="24"/>
          <w:szCs w:val="24"/>
          <w:highlight w:val="yellow"/>
        </w:rPr>
      </w:pPr>
    </w:p>
    <w:p w:rsidR="00E303E2" w:rsidRPr="002D2CB6" w:rsidRDefault="00E303E2" w:rsidP="002D2CB6">
      <w:pPr>
        <w:rPr>
          <w:rFonts w:ascii="Arial" w:hAnsi="Arial" w:cs="Arial"/>
          <w:sz w:val="24"/>
          <w:szCs w:val="24"/>
        </w:rPr>
      </w:pPr>
      <w:r w:rsidRPr="002D2CB6">
        <w:rPr>
          <w:rFonts w:ascii="Arial" w:hAnsi="Arial" w:cs="Arial"/>
          <w:sz w:val="24"/>
          <w:szCs w:val="24"/>
        </w:rPr>
        <w:t xml:space="preserve">The </w:t>
      </w:r>
      <w:r>
        <w:rPr>
          <w:rFonts w:ascii="Arial" w:hAnsi="Arial" w:cs="Arial"/>
          <w:sz w:val="24"/>
          <w:szCs w:val="24"/>
        </w:rPr>
        <w:t>Automated Collection System (</w:t>
      </w:r>
      <w:r w:rsidRPr="002D2CB6">
        <w:rPr>
          <w:rFonts w:ascii="Arial" w:hAnsi="Arial" w:cs="Arial"/>
          <w:sz w:val="24"/>
          <w:szCs w:val="24"/>
        </w:rPr>
        <w:t>ACS</w:t>
      </w:r>
      <w:r>
        <w:rPr>
          <w:rFonts w:ascii="Arial" w:hAnsi="Arial" w:cs="Arial"/>
          <w:sz w:val="24"/>
          <w:szCs w:val="24"/>
        </w:rPr>
        <w:t>)</w:t>
      </w:r>
      <w:r w:rsidRPr="002D2CB6">
        <w:rPr>
          <w:rFonts w:ascii="Arial" w:hAnsi="Arial" w:cs="Arial"/>
          <w:sz w:val="24"/>
          <w:szCs w:val="24"/>
        </w:rPr>
        <w:t xml:space="preserve"> is responsible for resolving Federal tax delinquencies that involve unpaid taxes and/or unfiled returns. ACS primarily interacts with taxpayers over the phone. Since ACS is empowered to take enforcement action to resolve delinquent accounts, many contacts are the result of taxpayers calling ACS in response to a proposed, or completed, enforcement action. Such actions can include issuing a notice of levy against a taxpayer’s property, wages, bank accounts or accounts receivable; or filing a notice of federal tax lien to secure the government’s interest against the taxpayer’s property. </w:t>
      </w:r>
    </w:p>
    <w:p w:rsidR="00E303E2" w:rsidRPr="002D2CB6" w:rsidRDefault="00E303E2" w:rsidP="008E5A2B">
      <w:pPr>
        <w:rPr>
          <w:rFonts w:ascii="Arial" w:hAnsi="Arial" w:cs="Arial"/>
          <w:sz w:val="24"/>
          <w:szCs w:val="24"/>
        </w:rPr>
      </w:pPr>
      <w:r w:rsidRPr="002D2CB6">
        <w:rPr>
          <w:rFonts w:ascii="Arial" w:hAnsi="Arial" w:cs="Arial"/>
          <w:sz w:val="24"/>
          <w:szCs w:val="24"/>
        </w:rPr>
        <w:t>When taxpayers call, ACS employees attempt to secure sufficient information to resolve the tax issues. If the taxpayer does not provide all the required information, they may be instructed to follow up by mailing in documents, or calling back at another time when the information is available. ACS employees must often walk a fine line in providing top-quality service to taxpayers while also fulfilling their responsibilities to resolve tax liabilities in an efficient and effective manner.</w:t>
      </w:r>
      <w:r>
        <w:rPr>
          <w:rFonts w:ascii="Arial" w:hAnsi="Arial" w:cs="Arial"/>
          <w:sz w:val="24"/>
          <w:szCs w:val="24"/>
        </w:rPr>
        <w:t xml:space="preserve"> The ACS focus group study is designed to obtain taxpayers’ feedback to improve service provided.</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E303E2" w:rsidRPr="002D2CB6" w:rsidRDefault="00E303E2">
      <w:pPr>
        <w:spacing w:after="0" w:line="240" w:lineRule="auto"/>
        <w:rPr>
          <w:rFonts w:ascii="Arial" w:hAnsi="Arial" w:cs="Arial"/>
          <w:sz w:val="24"/>
          <w:szCs w:val="24"/>
          <w:highlight w:val="yellow"/>
        </w:rPr>
      </w:pPr>
    </w:p>
    <w:p w:rsidR="00E303E2" w:rsidRPr="002D2CB6" w:rsidRDefault="00E303E2" w:rsidP="00CB4F67">
      <w:pPr>
        <w:spacing w:after="0" w:line="240" w:lineRule="auto"/>
        <w:rPr>
          <w:rFonts w:ascii="Arial" w:hAnsi="Arial" w:cs="Arial"/>
          <w:sz w:val="24"/>
          <w:szCs w:val="24"/>
        </w:rPr>
      </w:pPr>
      <w:r w:rsidRPr="002D2CB6">
        <w:rPr>
          <w:rFonts w:ascii="Arial" w:hAnsi="Arial" w:cs="Arial"/>
          <w:sz w:val="24"/>
          <w:szCs w:val="24"/>
        </w:rPr>
        <w:t>If appropriate, the contractor will collect information electronically and/or use online collaboration tools to reduce burden.</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are gathered or maintained by W&amp;I or are available from other sources known to W&amp;I.</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Small business or other small entities are not involved in this research effort.  </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Consequences of Not Conducting Collection </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Without these types of feedback, W&amp;I will not have information to adjust its services to meet individual taxpayer needs.</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W&amp;I </w:t>
      </w:r>
      <w:r>
        <w:rPr>
          <w:rFonts w:ascii="Arial" w:hAnsi="Arial" w:cs="Arial"/>
          <w:b/>
          <w:sz w:val="24"/>
          <w:szCs w:val="24"/>
        </w:rPr>
        <w:t>ACS</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rsidP="00CB4F67">
      <w:pPr>
        <w:spacing w:after="0" w:line="240" w:lineRule="auto"/>
        <w:rPr>
          <w:rFonts w:ascii="Arial" w:hAnsi="Arial" w:cs="Arial"/>
          <w:sz w:val="24"/>
          <w:szCs w:val="24"/>
        </w:rPr>
      </w:pPr>
      <w:r w:rsidRPr="002D2CB6">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W&amp;I plans to provide a stipend of $50 per participant, an industry-standard amount for participating in this form of research. </w:t>
      </w:r>
    </w:p>
    <w:p w:rsidR="00E303E2" w:rsidRPr="002D2CB6" w:rsidRDefault="00E303E2">
      <w:pPr>
        <w:spacing w:after="0" w:line="240" w:lineRule="auto"/>
        <w:rPr>
          <w:rFonts w:ascii="Arial" w:hAnsi="Arial" w:cs="Arial"/>
          <w:sz w:val="24"/>
          <w:szCs w:val="24"/>
        </w:rPr>
      </w:pPr>
    </w:p>
    <w:p w:rsidR="00E303E2"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Confidentiality </w:t>
      </w:r>
    </w:p>
    <w:p w:rsidR="00E303E2" w:rsidRPr="002D2CB6" w:rsidRDefault="00E303E2">
      <w:pPr>
        <w:spacing w:after="0" w:line="240" w:lineRule="auto"/>
        <w:rPr>
          <w:rFonts w:ascii="Arial" w:hAnsi="Arial" w:cs="Arial"/>
          <w:sz w:val="24"/>
          <w:szCs w:val="24"/>
        </w:rPr>
      </w:pPr>
      <w:bookmarkStart w:id="0" w:name="_GoBack"/>
    </w:p>
    <w:bookmarkEnd w:id="0"/>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groups.  Moderator will indicate that no names will be used in the final report.  Also, the data returned to IRS will have no identifying information relating specific records to individual taxpayers. Nonetheless, IRS will ensure that privacy to extent allowed by law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Audiotapes used to record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Burden of Information Collection</w:t>
      </w:r>
    </w:p>
    <w:p w:rsidR="00E303E2" w:rsidRDefault="00E303E2" w:rsidP="0006753B">
      <w:pPr>
        <w:pStyle w:val="ListParagraph"/>
        <w:spacing w:after="0" w:line="240" w:lineRule="auto"/>
        <w:rPr>
          <w:rFonts w:ascii="Arial" w:hAnsi="Arial" w:cs="Arial"/>
          <w:b/>
          <w:sz w:val="24"/>
          <w:szCs w:val="24"/>
        </w:rPr>
      </w:pPr>
    </w:p>
    <w:p w:rsidR="00E303E2" w:rsidRPr="003004AD" w:rsidRDefault="00E303E2" w:rsidP="0006753B">
      <w:pPr>
        <w:rPr>
          <w:rFonts w:ascii="Arial" w:hAnsi="Arial" w:cs="Arial"/>
          <w:sz w:val="24"/>
          <w:szCs w:val="24"/>
        </w:rPr>
      </w:pPr>
      <w:r w:rsidRPr="003004AD">
        <w:rPr>
          <w:rFonts w:ascii="Arial" w:hAnsi="Arial" w:cs="Arial"/>
          <w:sz w:val="24"/>
          <w:szCs w:val="24"/>
        </w:rPr>
        <w:t>The recruitment phase will take approximately 5 minutes per participant and 1 minute for those not interested in participating. From prior experience, we estimate contacting 380 individuals to recruit up to 18 taxpayers. The response rate is estimated at 5%.</w:t>
      </w:r>
    </w:p>
    <w:p w:rsidR="00E303E2" w:rsidRPr="003004AD" w:rsidRDefault="00E303E2" w:rsidP="0006753B">
      <w:pPr>
        <w:pStyle w:val="Heading1"/>
        <w:rPr>
          <w:rFonts w:ascii="Arial" w:hAnsi="Arial" w:cs="Arial"/>
          <w:b w:val="0"/>
        </w:rPr>
      </w:pPr>
      <w:r w:rsidRPr="003004AD">
        <w:rPr>
          <w:rFonts w:ascii="Arial" w:hAnsi="Arial" w:cs="Arial"/>
          <w:b w:val="0"/>
        </w:rPr>
        <w:t xml:space="preserve">Each focus group will take place in the form of a one-hour conference call. Participants will dial a toll-free number at a designated date and time. The estimated burden for participants will be one hour x 12 taxpayers (expect 6 to show per group). </w:t>
      </w:r>
    </w:p>
    <w:p w:rsidR="00E303E2" w:rsidRPr="003004AD" w:rsidRDefault="00E303E2" w:rsidP="0006753B">
      <w:pPr>
        <w:rPr>
          <w:rFonts w:ascii="Arial" w:hAnsi="Arial" w:cs="Arial"/>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530"/>
        <w:gridCol w:w="1620"/>
        <w:gridCol w:w="1813"/>
      </w:tblGrid>
      <w:tr w:rsidR="00E303E2" w:rsidRPr="00CE380A" w:rsidTr="003009B4">
        <w:trPr>
          <w:trHeight w:val="274"/>
        </w:trPr>
        <w:tc>
          <w:tcPr>
            <w:tcW w:w="4698" w:type="dxa"/>
          </w:tcPr>
          <w:p w:rsidR="00E303E2" w:rsidRPr="00CE380A" w:rsidRDefault="00E303E2" w:rsidP="003009B4">
            <w:pPr>
              <w:rPr>
                <w:b/>
              </w:rPr>
            </w:pPr>
            <w:r w:rsidRPr="00CE380A">
              <w:rPr>
                <w:b/>
              </w:rPr>
              <w:t xml:space="preserve">Category of Respondent </w:t>
            </w:r>
          </w:p>
        </w:tc>
        <w:tc>
          <w:tcPr>
            <w:tcW w:w="1530" w:type="dxa"/>
          </w:tcPr>
          <w:p w:rsidR="00E303E2" w:rsidRPr="00CE380A" w:rsidRDefault="00E303E2" w:rsidP="003009B4">
            <w:pPr>
              <w:rPr>
                <w:b/>
              </w:rPr>
            </w:pPr>
            <w:r w:rsidRPr="00CE380A">
              <w:rPr>
                <w:b/>
              </w:rPr>
              <w:t>No. of Respondents</w:t>
            </w:r>
          </w:p>
        </w:tc>
        <w:tc>
          <w:tcPr>
            <w:tcW w:w="1620" w:type="dxa"/>
          </w:tcPr>
          <w:p w:rsidR="00E303E2" w:rsidRPr="00CE380A" w:rsidRDefault="00E303E2" w:rsidP="003009B4">
            <w:pPr>
              <w:rPr>
                <w:b/>
              </w:rPr>
            </w:pPr>
            <w:r w:rsidRPr="00CE380A">
              <w:rPr>
                <w:b/>
              </w:rPr>
              <w:t>Participation Time</w:t>
            </w:r>
          </w:p>
        </w:tc>
        <w:tc>
          <w:tcPr>
            <w:tcW w:w="1813" w:type="dxa"/>
          </w:tcPr>
          <w:p w:rsidR="00E303E2" w:rsidRPr="00CE380A" w:rsidRDefault="00E303E2" w:rsidP="003009B4">
            <w:pPr>
              <w:rPr>
                <w:b/>
              </w:rPr>
            </w:pPr>
            <w:r w:rsidRPr="00CE380A">
              <w:rPr>
                <w:b/>
              </w:rPr>
              <w:t>Burden</w:t>
            </w:r>
          </w:p>
        </w:tc>
      </w:tr>
      <w:tr w:rsidR="00E303E2" w:rsidRPr="00CE380A" w:rsidTr="003009B4">
        <w:trPr>
          <w:trHeight w:val="274"/>
        </w:trPr>
        <w:tc>
          <w:tcPr>
            <w:tcW w:w="4698" w:type="dxa"/>
          </w:tcPr>
          <w:p w:rsidR="00E303E2" w:rsidRPr="00CE380A" w:rsidRDefault="00E303E2" w:rsidP="003009B4">
            <w:r w:rsidRPr="00CE380A">
              <w:t>Recruitment for Focus Groups – Not Interested</w:t>
            </w:r>
          </w:p>
        </w:tc>
        <w:tc>
          <w:tcPr>
            <w:tcW w:w="1530" w:type="dxa"/>
          </w:tcPr>
          <w:p w:rsidR="00E303E2" w:rsidRPr="00CE380A" w:rsidRDefault="00E303E2" w:rsidP="003009B4">
            <w:r>
              <w:t>380</w:t>
            </w:r>
          </w:p>
        </w:tc>
        <w:tc>
          <w:tcPr>
            <w:tcW w:w="1620" w:type="dxa"/>
          </w:tcPr>
          <w:p w:rsidR="00E303E2" w:rsidRPr="00CE380A" w:rsidRDefault="00E303E2" w:rsidP="003009B4">
            <w:r w:rsidRPr="00CE380A">
              <w:t>1 minute</w:t>
            </w:r>
          </w:p>
        </w:tc>
        <w:tc>
          <w:tcPr>
            <w:tcW w:w="1813" w:type="dxa"/>
          </w:tcPr>
          <w:p w:rsidR="00E303E2" w:rsidRPr="00CE380A" w:rsidRDefault="00E303E2" w:rsidP="003009B4">
            <w:r>
              <w:t xml:space="preserve">6.3 </w:t>
            </w:r>
            <w:r w:rsidRPr="00CE380A">
              <w:t>hours</w:t>
            </w:r>
          </w:p>
        </w:tc>
      </w:tr>
      <w:tr w:rsidR="00E303E2" w:rsidRPr="00CE380A" w:rsidTr="003009B4">
        <w:trPr>
          <w:trHeight w:val="274"/>
        </w:trPr>
        <w:tc>
          <w:tcPr>
            <w:tcW w:w="4698" w:type="dxa"/>
          </w:tcPr>
          <w:p w:rsidR="00E303E2" w:rsidRPr="00CE380A" w:rsidRDefault="00E303E2" w:rsidP="003009B4">
            <w:r w:rsidRPr="00CE380A">
              <w:t>Recruitment for Focus Groups - Participants</w:t>
            </w:r>
          </w:p>
        </w:tc>
        <w:tc>
          <w:tcPr>
            <w:tcW w:w="1530" w:type="dxa"/>
          </w:tcPr>
          <w:p w:rsidR="00E303E2" w:rsidRPr="00CE380A" w:rsidRDefault="00E303E2" w:rsidP="003009B4">
            <w:r>
              <w:t>18</w:t>
            </w:r>
          </w:p>
        </w:tc>
        <w:tc>
          <w:tcPr>
            <w:tcW w:w="1620" w:type="dxa"/>
          </w:tcPr>
          <w:p w:rsidR="00E303E2" w:rsidRPr="00CE380A" w:rsidRDefault="00E303E2" w:rsidP="003009B4">
            <w:r w:rsidRPr="00CE380A">
              <w:t>5 minutes</w:t>
            </w:r>
          </w:p>
        </w:tc>
        <w:tc>
          <w:tcPr>
            <w:tcW w:w="1813" w:type="dxa"/>
          </w:tcPr>
          <w:p w:rsidR="00E303E2" w:rsidRPr="00CE380A" w:rsidRDefault="00E303E2" w:rsidP="003009B4">
            <w:r>
              <w:t xml:space="preserve"> 1.5</w:t>
            </w:r>
            <w:r w:rsidRPr="00CE380A">
              <w:t xml:space="preserve"> hours</w:t>
            </w:r>
          </w:p>
        </w:tc>
      </w:tr>
      <w:tr w:rsidR="00E303E2" w:rsidRPr="00CE380A" w:rsidTr="003009B4">
        <w:trPr>
          <w:trHeight w:val="274"/>
        </w:trPr>
        <w:tc>
          <w:tcPr>
            <w:tcW w:w="4698" w:type="dxa"/>
          </w:tcPr>
          <w:p w:rsidR="00E303E2" w:rsidRPr="00CE380A" w:rsidRDefault="00E303E2" w:rsidP="003009B4">
            <w:r w:rsidRPr="00CE380A">
              <w:t>Reminder Call to Participants</w:t>
            </w:r>
          </w:p>
        </w:tc>
        <w:tc>
          <w:tcPr>
            <w:tcW w:w="1530" w:type="dxa"/>
          </w:tcPr>
          <w:p w:rsidR="00E303E2" w:rsidRPr="00CE380A" w:rsidRDefault="00E303E2" w:rsidP="003009B4">
            <w:r>
              <w:t>18</w:t>
            </w:r>
          </w:p>
        </w:tc>
        <w:tc>
          <w:tcPr>
            <w:tcW w:w="1620" w:type="dxa"/>
          </w:tcPr>
          <w:p w:rsidR="00E303E2" w:rsidRPr="00CE380A" w:rsidRDefault="00E303E2" w:rsidP="003009B4">
            <w:r w:rsidRPr="00CE380A">
              <w:t>1 minute</w:t>
            </w:r>
          </w:p>
        </w:tc>
        <w:tc>
          <w:tcPr>
            <w:tcW w:w="1813" w:type="dxa"/>
          </w:tcPr>
          <w:p w:rsidR="00E303E2" w:rsidRPr="00CE380A" w:rsidRDefault="00E303E2" w:rsidP="003009B4">
            <w:r>
              <w:t xml:space="preserve"> .3</w:t>
            </w:r>
            <w:r w:rsidRPr="00CE380A">
              <w:t xml:space="preserve"> hours</w:t>
            </w:r>
          </w:p>
        </w:tc>
      </w:tr>
      <w:tr w:rsidR="00E303E2" w:rsidRPr="00CE380A" w:rsidTr="003009B4">
        <w:trPr>
          <w:trHeight w:val="289"/>
        </w:trPr>
        <w:tc>
          <w:tcPr>
            <w:tcW w:w="4698" w:type="dxa"/>
          </w:tcPr>
          <w:p w:rsidR="00E303E2" w:rsidRPr="00CE380A" w:rsidRDefault="00E303E2" w:rsidP="003009B4">
            <w:r w:rsidRPr="00CE380A">
              <w:t xml:space="preserve">Participation in Focus Group </w:t>
            </w:r>
          </w:p>
        </w:tc>
        <w:tc>
          <w:tcPr>
            <w:tcW w:w="1530" w:type="dxa"/>
          </w:tcPr>
          <w:p w:rsidR="00E303E2" w:rsidRPr="00CE380A" w:rsidRDefault="00E303E2" w:rsidP="003009B4">
            <w:r>
              <w:t>12</w:t>
            </w:r>
          </w:p>
        </w:tc>
        <w:tc>
          <w:tcPr>
            <w:tcW w:w="1620" w:type="dxa"/>
          </w:tcPr>
          <w:p w:rsidR="00E303E2" w:rsidRPr="00CE380A" w:rsidRDefault="00E303E2" w:rsidP="003009B4">
            <w:r w:rsidRPr="00CE380A">
              <w:t>60 minutes</w:t>
            </w:r>
          </w:p>
        </w:tc>
        <w:tc>
          <w:tcPr>
            <w:tcW w:w="1813" w:type="dxa"/>
          </w:tcPr>
          <w:p w:rsidR="00E303E2" w:rsidRPr="00CE380A" w:rsidRDefault="00E303E2" w:rsidP="003009B4">
            <w:r>
              <w:t>12</w:t>
            </w:r>
            <w:r w:rsidRPr="00CE380A">
              <w:t xml:space="preserve"> hours</w:t>
            </w:r>
          </w:p>
        </w:tc>
      </w:tr>
      <w:tr w:rsidR="00E303E2" w:rsidRPr="00CE380A" w:rsidTr="003009B4">
        <w:trPr>
          <w:trHeight w:val="289"/>
        </w:trPr>
        <w:tc>
          <w:tcPr>
            <w:tcW w:w="4698" w:type="dxa"/>
          </w:tcPr>
          <w:p w:rsidR="00E303E2" w:rsidRPr="00CE380A" w:rsidRDefault="00E303E2" w:rsidP="003009B4">
            <w:pPr>
              <w:rPr>
                <w:b/>
              </w:rPr>
            </w:pPr>
            <w:r w:rsidRPr="00CE380A">
              <w:rPr>
                <w:b/>
              </w:rPr>
              <w:t>Totals</w:t>
            </w:r>
          </w:p>
        </w:tc>
        <w:tc>
          <w:tcPr>
            <w:tcW w:w="1530" w:type="dxa"/>
          </w:tcPr>
          <w:p w:rsidR="00E303E2" w:rsidRPr="00CE380A" w:rsidRDefault="00E303E2" w:rsidP="003009B4">
            <w:pPr>
              <w:rPr>
                <w:b/>
              </w:rPr>
            </w:pPr>
          </w:p>
        </w:tc>
        <w:tc>
          <w:tcPr>
            <w:tcW w:w="1620" w:type="dxa"/>
          </w:tcPr>
          <w:p w:rsidR="00E303E2" w:rsidRPr="00CE380A" w:rsidRDefault="00E303E2" w:rsidP="003009B4"/>
        </w:tc>
        <w:tc>
          <w:tcPr>
            <w:tcW w:w="1813" w:type="dxa"/>
          </w:tcPr>
          <w:p w:rsidR="00E303E2" w:rsidRPr="00CE380A" w:rsidRDefault="00E303E2" w:rsidP="003009B4">
            <w:pPr>
              <w:rPr>
                <w:b/>
              </w:rPr>
            </w:pPr>
            <w:r>
              <w:rPr>
                <w:b/>
              </w:rPr>
              <w:t xml:space="preserve">20.1 </w:t>
            </w:r>
            <w:r w:rsidRPr="00CE380A">
              <w:rPr>
                <w:b/>
              </w:rPr>
              <w:t>hrs</w:t>
            </w:r>
          </w:p>
        </w:tc>
      </w:tr>
    </w:tbl>
    <w:p w:rsidR="00E303E2" w:rsidRDefault="00E303E2" w:rsidP="0006753B">
      <w:pPr>
        <w:pStyle w:val="ListParagraph"/>
        <w:spacing w:after="0" w:line="240" w:lineRule="auto"/>
        <w:rPr>
          <w:rFonts w:ascii="Arial" w:hAnsi="Arial" w:cs="Arial"/>
          <w:b/>
          <w:sz w:val="24"/>
          <w:szCs w:val="24"/>
        </w:rPr>
      </w:pPr>
    </w:p>
    <w:p w:rsidR="00E303E2" w:rsidRPr="002D2CB6" w:rsidRDefault="00E303E2" w:rsidP="0006753B">
      <w:pPr>
        <w:pStyle w:val="ListParagraph"/>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The anticipated cost to the Federal Government is approximately $1</w:t>
      </w:r>
      <w:r>
        <w:rPr>
          <w:rFonts w:ascii="Arial" w:hAnsi="Arial" w:cs="Arial"/>
          <w:sz w:val="24"/>
          <w:szCs w:val="24"/>
        </w:rPr>
        <w:t>2,552.76 for the two focus group sessions</w:t>
      </w:r>
      <w:r w:rsidRPr="002D2CB6">
        <w:rPr>
          <w:rFonts w:ascii="Arial" w:hAnsi="Arial" w:cs="Arial"/>
          <w:sz w:val="24"/>
          <w:szCs w:val="24"/>
        </w:rPr>
        <w:t>.  These costs are comprised of: focus group recruiting costs,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E303E2" w:rsidRPr="002D2CB6" w:rsidRDefault="00E303E2">
      <w:pPr>
        <w:spacing w:after="0" w:line="240" w:lineRule="auto"/>
        <w:rPr>
          <w:rFonts w:ascii="Arial" w:hAnsi="Arial" w:cs="Arial"/>
          <w:b/>
          <w:sz w:val="24"/>
          <w:szCs w:val="24"/>
        </w:rPr>
      </w:pP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E303E2" w:rsidRPr="002D2CB6" w:rsidRDefault="00E303E2" w:rsidP="003E339C">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the W&amp;I does not intend to publish its findings, W&amp;I will disseminate the findings when appropriate, strictly following "Guidelines for Ensuring the Quality of Information Disseminated to the Public.",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Display of OMB Approval Date</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2D2CB6">
        <w:rPr>
          <w:rFonts w:ascii="Arial" w:hAnsi="Arial" w:cs="Arial"/>
          <w:b/>
          <w:sz w:val="24"/>
          <w:szCs w:val="24"/>
        </w:rPr>
        <w:t>19.  Dates collection will begin and end</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rsidP="00CF712D">
      <w:pPr>
        <w:spacing w:after="0" w:line="240" w:lineRule="auto"/>
        <w:rPr>
          <w:rFonts w:ascii="Arial" w:hAnsi="Arial" w:cs="Arial"/>
          <w:sz w:val="24"/>
          <w:szCs w:val="24"/>
        </w:rPr>
      </w:pPr>
      <w:r w:rsidRPr="002D2CB6">
        <w:rPr>
          <w:rFonts w:ascii="Arial" w:hAnsi="Arial" w:cs="Arial"/>
          <w:sz w:val="24"/>
          <w:szCs w:val="24"/>
        </w:rPr>
        <w:t>Data collection will begin in</w:t>
      </w:r>
      <w:r>
        <w:rPr>
          <w:rFonts w:ascii="Arial" w:hAnsi="Arial" w:cs="Arial"/>
          <w:sz w:val="24"/>
          <w:szCs w:val="24"/>
        </w:rPr>
        <w:t xml:space="preserve"> May 2012 and end by July 1</w:t>
      </w:r>
      <w:r w:rsidRPr="002D2CB6">
        <w:rPr>
          <w:rFonts w:ascii="Arial" w:hAnsi="Arial" w:cs="Arial"/>
          <w:sz w:val="24"/>
          <w:szCs w:val="24"/>
        </w:rPr>
        <w:t>8, 2012.</w:t>
      </w:r>
    </w:p>
    <w:p w:rsidR="00E303E2" w:rsidRPr="002D2CB6" w:rsidRDefault="00E303E2" w:rsidP="00CF712D">
      <w:pPr>
        <w:rPr>
          <w:rFonts w:ascii="Arial" w:hAnsi="Arial" w:cs="Arial"/>
          <w:sz w:val="24"/>
          <w:szCs w:val="24"/>
        </w:rPr>
      </w:pPr>
    </w:p>
    <w:p w:rsidR="00E303E2" w:rsidRPr="002D2CB6" w:rsidRDefault="00E303E2" w:rsidP="00CF712D">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Pr="002D2CB6" w:rsidRDefault="00E303E2">
      <w:pPr>
        <w:pStyle w:val="ListParagraph"/>
        <w:spacing w:after="0" w:line="240" w:lineRule="auto"/>
        <w:ind w:left="360"/>
        <w:rPr>
          <w:rFonts w:ascii="Arial" w:hAnsi="Arial" w:cs="Arial"/>
          <w:b/>
          <w:sz w:val="24"/>
          <w:szCs w:val="24"/>
        </w:rPr>
      </w:pP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E303E2" w:rsidRPr="002D2CB6"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Qualitative surveys are tools used by program managers to change or improve programs, products, or services.  The accuracy, reliability, and applicability of the results of these surveys are adequate for their purpose.</w:t>
      </w:r>
    </w:p>
    <w:p w:rsidR="00E303E2" w:rsidRPr="002D2CB6" w:rsidRDefault="00E303E2">
      <w:pPr>
        <w:pStyle w:val="ListParagraph"/>
        <w:spacing w:after="0" w:line="240" w:lineRule="auto"/>
        <w:ind w:left="360"/>
        <w:rPr>
          <w:rFonts w:ascii="Arial" w:hAnsi="Arial" w:cs="Arial"/>
          <w:sz w:val="24"/>
          <w:szCs w:val="24"/>
        </w:rPr>
      </w:pPr>
    </w:p>
    <w:p w:rsidR="00E303E2" w:rsidRPr="002D2CB6" w:rsidRDefault="00E303E2" w:rsidP="004A1EA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samples associated with this collection are not subjected to the same scrutiny as scientifically drawn samples where estimates are published or otherwise released to the public.  </w:t>
      </w:r>
      <w:r w:rsidRPr="002D2CB6">
        <w:rPr>
          <w:rFonts w:ascii="Arial" w:hAnsi="Arial" w:cs="Arial"/>
          <w:sz w:val="24"/>
          <w:szCs w:val="24"/>
        </w:rPr>
        <w:tab/>
      </w:r>
    </w:p>
    <w:p w:rsidR="00E303E2" w:rsidRPr="002D2CB6" w:rsidRDefault="00E303E2">
      <w:pPr>
        <w:pStyle w:val="ListParagraph"/>
        <w:spacing w:after="0" w:line="240" w:lineRule="auto"/>
        <w:ind w:left="360"/>
        <w:rPr>
          <w:rFonts w:ascii="Arial" w:hAnsi="Arial" w:cs="Arial"/>
          <w:sz w:val="24"/>
          <w:szCs w:val="24"/>
        </w:rPr>
      </w:pP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W&amp;I expects to use telephone data collection methods, both for recruiting and for conducting the focus groups. The focus groups will be moderated by professional moderators at Pacific Consulting Group.</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E303E2" w:rsidRPr="002D2CB6" w:rsidRDefault="00E303E2">
      <w:pPr>
        <w:pStyle w:val="ListParagraph"/>
        <w:spacing w:after="0" w:line="240" w:lineRule="auto"/>
        <w:ind w:left="360"/>
        <w:rPr>
          <w:rFonts w:ascii="Arial" w:hAnsi="Arial" w:cs="Arial"/>
          <w:sz w:val="24"/>
          <w:szCs w:val="24"/>
        </w:rPr>
      </w:pP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 xml:space="preserve">Information collected will not yield generalizable quantitative findings; it can provide useful customer input, but it does not yield data about customer opinions that can be generalized.  </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b/>
          <w:sz w:val="24"/>
          <w:szCs w:val="24"/>
        </w:rPr>
        <w:t xml:space="preserve"> </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 xml:space="preserve">No pretest is necessary for these focus groups as W&amp;I has evidence from previous research that the research procedures to be used for this task are successful. </w:t>
      </w:r>
    </w:p>
    <w:p w:rsidR="00E303E2" w:rsidRPr="002D2CB6" w:rsidRDefault="00E303E2" w:rsidP="00457290">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Contacts for Statistical Aspects and Data Collection</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rsidP="00BD725A">
      <w:pPr>
        <w:autoSpaceDE w:val="0"/>
        <w:autoSpaceDN w:val="0"/>
        <w:adjustRightInd w:val="0"/>
        <w:spacing w:after="0" w:line="240" w:lineRule="auto"/>
        <w:rPr>
          <w:rFonts w:ascii="Arial" w:hAnsi="Arial" w:cs="Arial"/>
          <w:color w:val="000080"/>
          <w:sz w:val="24"/>
          <w:szCs w:val="24"/>
        </w:rPr>
      </w:pPr>
      <w:r w:rsidRPr="002D2CB6">
        <w:rPr>
          <w:rFonts w:ascii="Arial" w:hAnsi="Arial" w:cs="Arial"/>
          <w:color w:val="000080"/>
          <w:sz w:val="24"/>
          <w:szCs w:val="24"/>
        </w:rPr>
        <w:t xml:space="preserve">Elaine Chan  |  Direct: 650-223-8222  |  Main: 650-327-8108  |  Fax: 650-326-6768 Pacific Consulting Group  |  200 S. California Avenue, Suite 200, Palo Alto, CA 94306  |  </w:t>
      </w:r>
      <w:hyperlink r:id="rId7" w:history="1">
        <w:r w:rsidRPr="002D2CB6">
          <w:rPr>
            <w:rFonts w:ascii="Arial" w:hAnsi="Arial" w:cs="Arial"/>
            <w:color w:val="0000FF"/>
            <w:sz w:val="24"/>
            <w:szCs w:val="24"/>
            <w:u w:val="single"/>
          </w:rPr>
          <w:t>www.pcgfirm.com&lt;http://www.pcgfirm.com&gt;</w:t>
        </w:r>
      </w:hyperlink>
    </w:p>
    <w:p w:rsidR="00E303E2" w:rsidRPr="002D2CB6" w:rsidRDefault="00E303E2" w:rsidP="00BD725A">
      <w:pPr>
        <w:spacing w:after="0" w:line="240" w:lineRule="auto"/>
        <w:ind w:left="360"/>
        <w:rPr>
          <w:rFonts w:ascii="Arial" w:hAnsi="Arial" w:cs="Arial"/>
          <w:sz w:val="24"/>
          <w:szCs w:val="24"/>
        </w:rPr>
      </w:pPr>
    </w:p>
    <w:sectPr w:rsidR="00E303E2" w:rsidRPr="002D2CB6" w:rsidSect="0098209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3E2" w:rsidRDefault="00E303E2">
      <w:pPr>
        <w:spacing w:after="0" w:line="240" w:lineRule="auto"/>
      </w:pPr>
      <w:r>
        <w:separator/>
      </w:r>
    </w:p>
  </w:endnote>
  <w:endnote w:type="continuationSeparator" w:id="0">
    <w:p w:rsidR="00E303E2" w:rsidRDefault="00E30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303E2" w:rsidRDefault="00E303E2" w:rsidP="00E62E77">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3E2" w:rsidRDefault="00E303E2">
      <w:pPr>
        <w:spacing w:after="0" w:line="240" w:lineRule="auto"/>
      </w:pPr>
      <w:r>
        <w:separator/>
      </w:r>
    </w:p>
  </w:footnote>
  <w:footnote w:type="continuationSeparator" w:id="0">
    <w:p w:rsidR="00E303E2" w:rsidRDefault="00E303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E2" w:rsidRDefault="00E303E2" w:rsidP="00F626FD">
    <w:pPr>
      <w:pStyle w:val="Header"/>
      <w:jc w:val="right"/>
    </w:pPr>
    <w:r>
      <w:t>OMB # 1545-1349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3"/>
  </w:num>
  <w:num w:numId="3">
    <w:abstractNumId w:val="10"/>
  </w:num>
  <w:num w:numId="4">
    <w:abstractNumId w:val="12"/>
  </w:num>
  <w:num w:numId="5">
    <w:abstractNumId w:val="22"/>
  </w:num>
  <w:num w:numId="6">
    <w:abstractNumId w:val="18"/>
  </w:num>
  <w:num w:numId="7">
    <w:abstractNumId w:val="21"/>
  </w:num>
  <w:num w:numId="8">
    <w:abstractNumId w:val="17"/>
  </w:num>
  <w:num w:numId="9">
    <w:abstractNumId w:val="20"/>
  </w:num>
  <w:num w:numId="10">
    <w:abstractNumId w:val="14"/>
  </w:num>
  <w:num w:numId="11">
    <w:abstractNumId w:val="24"/>
  </w:num>
  <w:num w:numId="12">
    <w:abstractNumId w:val="15"/>
  </w:num>
  <w:num w:numId="13">
    <w:abstractNumId w:val="11"/>
  </w:num>
  <w:num w:numId="14">
    <w:abstractNumId w:val="25"/>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05D28"/>
    <w:rsid w:val="0002390D"/>
    <w:rsid w:val="00043B2E"/>
    <w:rsid w:val="00066515"/>
    <w:rsid w:val="0006753B"/>
    <w:rsid w:val="00076CB1"/>
    <w:rsid w:val="00077766"/>
    <w:rsid w:val="00085515"/>
    <w:rsid w:val="000A410F"/>
    <w:rsid w:val="000B4026"/>
    <w:rsid w:val="000C0A7E"/>
    <w:rsid w:val="000E09E1"/>
    <w:rsid w:val="000E0E62"/>
    <w:rsid w:val="001029B0"/>
    <w:rsid w:val="00120A60"/>
    <w:rsid w:val="00122C6A"/>
    <w:rsid w:val="001322FB"/>
    <w:rsid w:val="00153E20"/>
    <w:rsid w:val="001628A1"/>
    <w:rsid w:val="00172EEC"/>
    <w:rsid w:val="001768FD"/>
    <w:rsid w:val="001A0D23"/>
    <w:rsid w:val="001A1E1C"/>
    <w:rsid w:val="001B43EE"/>
    <w:rsid w:val="001B5644"/>
    <w:rsid w:val="001B7CBE"/>
    <w:rsid w:val="001C756A"/>
    <w:rsid w:val="001D0BFA"/>
    <w:rsid w:val="001E44AB"/>
    <w:rsid w:val="001E7A97"/>
    <w:rsid w:val="001F7BC9"/>
    <w:rsid w:val="00215607"/>
    <w:rsid w:val="00256D0E"/>
    <w:rsid w:val="00281863"/>
    <w:rsid w:val="00284D3A"/>
    <w:rsid w:val="0029408A"/>
    <w:rsid w:val="002A35E6"/>
    <w:rsid w:val="002B0B32"/>
    <w:rsid w:val="002D2CB6"/>
    <w:rsid w:val="002F7F45"/>
    <w:rsid w:val="003004AD"/>
    <w:rsid w:val="003009B4"/>
    <w:rsid w:val="00324AF8"/>
    <w:rsid w:val="00335BAF"/>
    <w:rsid w:val="00336169"/>
    <w:rsid w:val="00353852"/>
    <w:rsid w:val="00377B51"/>
    <w:rsid w:val="003A14D8"/>
    <w:rsid w:val="003A2F20"/>
    <w:rsid w:val="003A5CE6"/>
    <w:rsid w:val="003A7A16"/>
    <w:rsid w:val="003C0261"/>
    <w:rsid w:val="003D5649"/>
    <w:rsid w:val="003E339C"/>
    <w:rsid w:val="003F1A77"/>
    <w:rsid w:val="003F5F2D"/>
    <w:rsid w:val="00404071"/>
    <w:rsid w:val="0044553C"/>
    <w:rsid w:val="00446C94"/>
    <w:rsid w:val="00457290"/>
    <w:rsid w:val="00460EB1"/>
    <w:rsid w:val="00474C83"/>
    <w:rsid w:val="00486BD4"/>
    <w:rsid w:val="004970C8"/>
    <w:rsid w:val="004A1CF9"/>
    <w:rsid w:val="004A1EA2"/>
    <w:rsid w:val="004B5DD2"/>
    <w:rsid w:val="004C79B7"/>
    <w:rsid w:val="004D06FB"/>
    <w:rsid w:val="004D3314"/>
    <w:rsid w:val="005016C3"/>
    <w:rsid w:val="00513A34"/>
    <w:rsid w:val="005362FC"/>
    <w:rsid w:val="00540EF2"/>
    <w:rsid w:val="005471D3"/>
    <w:rsid w:val="00547CA0"/>
    <w:rsid w:val="00562B18"/>
    <w:rsid w:val="00571BDB"/>
    <w:rsid w:val="00572831"/>
    <w:rsid w:val="005A10E3"/>
    <w:rsid w:val="005B3D1D"/>
    <w:rsid w:val="005E5A3B"/>
    <w:rsid w:val="005E60A0"/>
    <w:rsid w:val="00607287"/>
    <w:rsid w:val="006656C5"/>
    <w:rsid w:val="0067270D"/>
    <w:rsid w:val="006914DF"/>
    <w:rsid w:val="006B2FF7"/>
    <w:rsid w:val="006C068A"/>
    <w:rsid w:val="00701CF7"/>
    <w:rsid w:val="00731D48"/>
    <w:rsid w:val="0074733F"/>
    <w:rsid w:val="00756D06"/>
    <w:rsid w:val="00763942"/>
    <w:rsid w:val="00783842"/>
    <w:rsid w:val="007903D0"/>
    <w:rsid w:val="00792628"/>
    <w:rsid w:val="007A268D"/>
    <w:rsid w:val="007A6A7B"/>
    <w:rsid w:val="007B3121"/>
    <w:rsid w:val="007E102D"/>
    <w:rsid w:val="00892D26"/>
    <w:rsid w:val="00894356"/>
    <w:rsid w:val="008A6FC5"/>
    <w:rsid w:val="008E5A2B"/>
    <w:rsid w:val="008F21DF"/>
    <w:rsid w:val="0090364D"/>
    <w:rsid w:val="00914716"/>
    <w:rsid w:val="00915BDA"/>
    <w:rsid w:val="00936D67"/>
    <w:rsid w:val="00954C10"/>
    <w:rsid w:val="00982095"/>
    <w:rsid w:val="009E75C8"/>
    <w:rsid w:val="00A12AC9"/>
    <w:rsid w:val="00A16BD3"/>
    <w:rsid w:val="00A36DDB"/>
    <w:rsid w:val="00A52F7E"/>
    <w:rsid w:val="00A659A9"/>
    <w:rsid w:val="00A666FD"/>
    <w:rsid w:val="00A85A4D"/>
    <w:rsid w:val="00A95E43"/>
    <w:rsid w:val="00A96367"/>
    <w:rsid w:val="00A97E53"/>
    <w:rsid w:val="00AA3F96"/>
    <w:rsid w:val="00AC207F"/>
    <w:rsid w:val="00AC2497"/>
    <w:rsid w:val="00AE393C"/>
    <w:rsid w:val="00AF066B"/>
    <w:rsid w:val="00AF1F5F"/>
    <w:rsid w:val="00AF55E9"/>
    <w:rsid w:val="00B16915"/>
    <w:rsid w:val="00B44676"/>
    <w:rsid w:val="00B52960"/>
    <w:rsid w:val="00B66281"/>
    <w:rsid w:val="00B86AFD"/>
    <w:rsid w:val="00BA1806"/>
    <w:rsid w:val="00BB4011"/>
    <w:rsid w:val="00BC63CD"/>
    <w:rsid w:val="00BD13BB"/>
    <w:rsid w:val="00BD5C0A"/>
    <w:rsid w:val="00BD702D"/>
    <w:rsid w:val="00BD725A"/>
    <w:rsid w:val="00BE0599"/>
    <w:rsid w:val="00BF2E89"/>
    <w:rsid w:val="00BF7558"/>
    <w:rsid w:val="00C200D1"/>
    <w:rsid w:val="00C61970"/>
    <w:rsid w:val="00C62FA2"/>
    <w:rsid w:val="00C741F7"/>
    <w:rsid w:val="00CB1DDE"/>
    <w:rsid w:val="00CB4F67"/>
    <w:rsid w:val="00CC2FDD"/>
    <w:rsid w:val="00CD321F"/>
    <w:rsid w:val="00CE380A"/>
    <w:rsid w:val="00CF712D"/>
    <w:rsid w:val="00D30F06"/>
    <w:rsid w:val="00D453B8"/>
    <w:rsid w:val="00D64405"/>
    <w:rsid w:val="00D64AAF"/>
    <w:rsid w:val="00D93FE0"/>
    <w:rsid w:val="00DA3AFF"/>
    <w:rsid w:val="00DA561D"/>
    <w:rsid w:val="00DA7129"/>
    <w:rsid w:val="00DD5532"/>
    <w:rsid w:val="00DE07E7"/>
    <w:rsid w:val="00DF7F92"/>
    <w:rsid w:val="00E04B7B"/>
    <w:rsid w:val="00E247D4"/>
    <w:rsid w:val="00E26F73"/>
    <w:rsid w:val="00E303E2"/>
    <w:rsid w:val="00E42ABF"/>
    <w:rsid w:val="00E62E77"/>
    <w:rsid w:val="00E65EB7"/>
    <w:rsid w:val="00E8563A"/>
    <w:rsid w:val="00EA783E"/>
    <w:rsid w:val="00EB2D61"/>
    <w:rsid w:val="00ED135D"/>
    <w:rsid w:val="00F15BAA"/>
    <w:rsid w:val="00F31E34"/>
    <w:rsid w:val="00F626FD"/>
    <w:rsid w:val="00F75DF8"/>
    <w:rsid w:val="00FA1D10"/>
    <w:rsid w:val="00FA3CB9"/>
    <w:rsid w:val="00FB1178"/>
    <w:rsid w:val="00FD101D"/>
    <w:rsid w:val="00FD4291"/>
    <w:rsid w:val="00FE40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r="http://schemas.openxmlformats.org/officeDocument/2006/relationships" xmlns:w="http://schemas.openxmlformats.org/wordprocessingml/2006/main">
  <w:divs>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pcgfirm.com%3chttp://www.pcgfirm.com%3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369</TotalTime>
  <Pages>5</Pages>
  <Words>1341</Words>
  <Characters>7645</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GTMJB</cp:lastModifiedBy>
  <cp:revision>40</cp:revision>
  <cp:lastPrinted>2012-02-02T21:42:00Z</cp:lastPrinted>
  <dcterms:created xsi:type="dcterms:W3CDTF">2011-06-03T19:08:00Z</dcterms:created>
  <dcterms:modified xsi:type="dcterms:W3CDTF">2012-04-20T19:38:00Z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