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8F" w:rsidRDefault="003A3989">
      <w:r>
        <w:rPr>
          <w:noProof/>
        </w:rPr>
        <w:pict>
          <v:rect id="_x0000_s1026" style="position:absolute;margin-left:0;margin-top:39.2pt;width:500.4pt;height:21.6pt;z-index:251658240;mso-position-horizontal-relative:margin;mso-position-vertical-relative:page" fillcolor="black" stroked="f">
            <w10:wrap anchorx="margin" anchory="page"/>
          </v:rect>
        </w:pict>
      </w:r>
    </w:p>
    <w:tbl>
      <w:tblPr>
        <w:tblW w:w="0" w:type="auto"/>
        <w:tblInd w:w="108" w:type="dxa"/>
        <w:tblLayout w:type="fixed"/>
        <w:tblLook w:val="0000" w:firstRow="0" w:lastRow="0" w:firstColumn="0" w:lastColumn="0" w:noHBand="0" w:noVBand="0"/>
      </w:tblPr>
      <w:tblGrid>
        <w:gridCol w:w="5040"/>
        <w:gridCol w:w="5040"/>
      </w:tblGrid>
      <w:tr w:rsidR="004D0F8F">
        <w:trPr>
          <w:trHeight w:val="900"/>
        </w:trPr>
        <w:tc>
          <w:tcPr>
            <w:tcW w:w="5040" w:type="dxa"/>
            <w:tcBorders>
              <w:top w:val="nil"/>
              <w:left w:val="nil"/>
              <w:bottom w:val="nil"/>
              <w:right w:val="nil"/>
            </w:tcBorders>
          </w:tcPr>
          <w:p w:rsidR="004D0F8F" w:rsidRDefault="004D0F8F">
            <w:pPr>
              <w:rPr>
                <w:rFonts w:ascii="Frutiger 45 Light" w:hAnsi="Frutiger 45 Light"/>
                <w:b/>
                <w:bCs/>
                <w:sz w:val="20"/>
                <w:szCs w:val="20"/>
              </w:rPr>
            </w:pPr>
            <w:r>
              <w:rPr>
                <w:rFonts w:ascii="Frutiger 45 Light" w:hAnsi="Frutiger 45 Light"/>
                <w:b/>
                <w:bCs/>
                <w:sz w:val="20"/>
                <w:szCs w:val="20"/>
              </w:rPr>
              <w:t>National Park Service</w:t>
            </w:r>
          </w:p>
          <w:p w:rsidR="004D0F8F" w:rsidRDefault="004D0F8F">
            <w:pPr>
              <w:rPr>
                <w:rFonts w:ascii="Frutiger 45 Light" w:hAnsi="Frutiger 45 Light"/>
                <w:b/>
                <w:bCs/>
                <w:sz w:val="20"/>
                <w:szCs w:val="20"/>
              </w:rPr>
            </w:pPr>
            <w:smartTag w:uri="urn:schemas-microsoft-com:office:smarttags" w:element="place">
              <w:smartTag w:uri="urn:schemas-microsoft-com:office:smarttags" w:element="country-region">
                <w:r>
                  <w:rPr>
                    <w:rFonts w:ascii="Frutiger 45 Light" w:hAnsi="Frutiger 45 Light"/>
                    <w:b/>
                    <w:bCs/>
                    <w:sz w:val="20"/>
                    <w:szCs w:val="20"/>
                  </w:rPr>
                  <w:t>U.S.</w:t>
                </w:r>
              </w:smartTag>
            </w:smartTag>
            <w:r>
              <w:rPr>
                <w:rFonts w:ascii="Frutiger 45 Light" w:hAnsi="Frutiger 45 Light"/>
                <w:b/>
                <w:bCs/>
                <w:sz w:val="20"/>
                <w:szCs w:val="20"/>
              </w:rPr>
              <w:t xml:space="preserve"> Department of the Interior</w:t>
            </w:r>
          </w:p>
          <w:p w:rsidR="004D0F8F" w:rsidRDefault="004D0F8F">
            <w:pPr>
              <w:pStyle w:val="TOC2"/>
              <w:tabs>
                <w:tab w:val="clear" w:pos="720"/>
                <w:tab w:val="clear" w:pos="9350"/>
              </w:tabs>
              <w:rPr>
                <w:rFonts w:ascii="Frutiger 45 Light" w:hAnsi="Frutiger 45 Light"/>
                <w:noProof w:val="0"/>
                <w:sz w:val="12"/>
                <w:szCs w:val="12"/>
              </w:rPr>
            </w:pPr>
          </w:p>
          <w:p w:rsidR="004D0F8F" w:rsidRDefault="004D0F8F">
            <w:r>
              <w:rPr>
                <w:rFonts w:ascii="Frutiger 45 Light" w:hAnsi="Frutiger 45 Light"/>
                <w:b/>
                <w:bCs/>
                <w:sz w:val="20"/>
                <w:szCs w:val="20"/>
              </w:rPr>
              <w:t>Social Science Division</w:t>
            </w:r>
          </w:p>
        </w:tc>
        <w:tc>
          <w:tcPr>
            <w:tcW w:w="5040" w:type="dxa"/>
            <w:tcBorders>
              <w:top w:val="nil"/>
              <w:left w:val="nil"/>
              <w:bottom w:val="nil"/>
              <w:right w:val="nil"/>
            </w:tcBorders>
          </w:tcPr>
          <w:p w:rsidR="004D0F8F" w:rsidRDefault="00347082">
            <w:pPr>
              <w:spacing w:before="40"/>
              <w:jc w:val="right"/>
            </w:pPr>
            <w:r>
              <w:rPr>
                <w:noProof/>
              </w:rPr>
              <w:drawing>
                <wp:inline distT="0" distB="0" distL="0" distR="0">
                  <wp:extent cx="381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1000" cy="495300"/>
                          </a:xfrm>
                          <a:prstGeom prst="rect">
                            <a:avLst/>
                          </a:prstGeom>
                          <a:noFill/>
                          <a:ln w="9525">
                            <a:noFill/>
                            <a:miter lim="800000"/>
                            <a:headEnd/>
                            <a:tailEnd/>
                          </a:ln>
                        </pic:spPr>
                      </pic:pic>
                    </a:graphicData>
                  </a:graphic>
                </wp:inline>
              </w:drawing>
            </w:r>
          </w:p>
        </w:tc>
      </w:tr>
    </w:tbl>
    <w:p w:rsidR="004D0F8F" w:rsidRDefault="003A3989">
      <w:pPr>
        <w:pStyle w:val="Header"/>
        <w:tabs>
          <w:tab w:val="clear" w:pos="4320"/>
          <w:tab w:val="clear" w:pos="8640"/>
        </w:tabs>
        <w:spacing w:before="200"/>
        <w:rPr>
          <w:rFonts w:ascii="NPSRawlinson" w:hAnsi="NPSRawlinson"/>
          <w:b/>
          <w:bCs/>
        </w:rPr>
      </w:pPr>
      <w:r>
        <w:rPr>
          <w:noProof/>
        </w:rPr>
        <w:pict>
          <v:line id="_x0000_s1027" style="position:absolute;z-index:251659264;mso-position-horizontal-relative:text;mso-position-vertical-relative:text" from="0,4.4pt" to="500.4pt,4.4pt"/>
        </w:pict>
      </w:r>
      <w:r w:rsidR="004D0F8F">
        <w:rPr>
          <w:rFonts w:ascii="NPSRawlinson" w:hAnsi="NPSRawlinson"/>
          <w:b/>
          <w:bCs/>
        </w:rPr>
        <w:t xml:space="preserve">  Expedited Approval for NPS-Sponsored Public Surveys</w:t>
      </w:r>
    </w:p>
    <w:p w:rsidR="004D0F8F" w:rsidRDefault="004D0F8F">
      <w:pPr>
        <w:pStyle w:val="Header"/>
        <w:tabs>
          <w:tab w:val="clear" w:pos="4320"/>
          <w:tab w:val="clear" w:pos="8640"/>
        </w:tabs>
        <w:jc w:val="center"/>
        <w:rPr>
          <w:rFonts w:ascii="Frutiger 45 Light" w:hAnsi="Frutiger 45 Light"/>
          <w:b/>
          <w:bCs/>
          <w:sz w:val="16"/>
          <w:szCs w:val="16"/>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
        <w:gridCol w:w="1537"/>
        <w:gridCol w:w="36"/>
        <w:gridCol w:w="953"/>
        <w:gridCol w:w="600"/>
        <w:gridCol w:w="210"/>
        <w:gridCol w:w="361"/>
        <w:gridCol w:w="179"/>
        <w:gridCol w:w="153"/>
        <w:gridCol w:w="388"/>
        <w:gridCol w:w="90"/>
        <w:gridCol w:w="62"/>
        <w:gridCol w:w="373"/>
        <w:gridCol w:w="510"/>
        <w:gridCol w:w="225"/>
        <w:gridCol w:w="495"/>
        <w:gridCol w:w="525"/>
        <w:gridCol w:w="41"/>
        <w:gridCol w:w="244"/>
        <w:gridCol w:w="109"/>
        <w:gridCol w:w="457"/>
        <w:gridCol w:w="90"/>
        <w:gridCol w:w="19"/>
        <w:gridCol w:w="210"/>
        <w:gridCol w:w="372"/>
        <w:gridCol w:w="209"/>
        <w:gridCol w:w="829"/>
        <w:gridCol w:w="63"/>
      </w:tblGrid>
      <w:tr w:rsidR="004D0F8F" w:rsidTr="00AD604B">
        <w:trPr>
          <w:gridAfter w:val="1"/>
          <w:wAfter w:w="63" w:type="dxa"/>
          <w:cantSplit/>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20"/>
                <w:szCs w:val="20"/>
              </w:rPr>
              <w:br w:type="page"/>
            </w:r>
            <w:r>
              <w:rPr>
                <w:rFonts w:ascii="NPSRawlinson" w:hAnsi="NPSRawlinson"/>
                <w:sz w:val="20"/>
                <w:szCs w:val="20"/>
              </w:rPr>
              <w:br w:type="page"/>
            </w:r>
            <w:r>
              <w:rPr>
                <w:rFonts w:ascii="NPSRawlinson" w:hAnsi="NPSRawlinson"/>
                <w:sz w:val="18"/>
                <w:szCs w:val="18"/>
              </w:rPr>
              <w:t>1.</w:t>
            </w: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Project Title</w:t>
            </w:r>
            <w:r>
              <w:rPr>
                <w:rFonts w:ascii="NPSRawlinson" w:hAnsi="NPSRawlinson"/>
                <w:sz w:val="18"/>
                <w:szCs w:val="18"/>
              </w:rPr>
              <w:sym w:font="Symbol" w:char="F0EA"/>
            </w:r>
          </w:p>
          <w:p w:rsidR="004D0F8F" w:rsidRDefault="004D0F8F">
            <w:pPr>
              <w:jc w:val="right"/>
              <w:rPr>
                <w:rFonts w:ascii="NPSRawlinson" w:hAnsi="NPSRawlinson"/>
                <w:b/>
                <w:bCs/>
                <w:sz w:val="18"/>
                <w:szCs w:val="18"/>
              </w:rPr>
            </w:pPr>
            <w:r>
              <w:rPr>
                <w:rFonts w:ascii="NPSRawlinson" w:hAnsi="NPSRawlinson"/>
                <w:b/>
                <w:bCs/>
                <w:sz w:val="18"/>
                <w:szCs w:val="18"/>
              </w:rPr>
              <w:t>Submission Date:</w:t>
            </w:r>
          </w:p>
        </w:tc>
        <w:tc>
          <w:tcPr>
            <w:tcW w:w="6011" w:type="dxa"/>
            <w:gridSpan w:val="19"/>
            <w:tcBorders>
              <w:bottom w:val="nil"/>
            </w:tcBorders>
          </w:tcPr>
          <w:p w:rsidR="004D0F8F" w:rsidRDefault="004D0F8F" w:rsidP="00090A3E">
            <w:pPr>
              <w:rPr>
                <w:sz w:val="20"/>
                <w:szCs w:val="20"/>
              </w:rPr>
            </w:pPr>
            <w:r>
              <w:rPr>
                <w:sz w:val="20"/>
                <w:szCs w:val="20"/>
              </w:rPr>
              <w:t xml:space="preserve">Understanding Transportation-related Effects on Visitor Experience Quality in Mount Rainier and </w:t>
            </w:r>
            <w:smartTag w:uri="urn:schemas-microsoft-com:office:smarttags" w:element="place">
              <w:smartTag w:uri="urn:schemas-microsoft-com:office:smarttags" w:element="PlaceName">
                <w:r>
                  <w:rPr>
                    <w:sz w:val="20"/>
                    <w:szCs w:val="20"/>
                  </w:rPr>
                  <w:t>Denali</w:t>
                </w:r>
              </w:smartTag>
              <w:r>
                <w:rPr>
                  <w:sz w:val="20"/>
                  <w:szCs w:val="20"/>
                </w:rPr>
                <w:t xml:space="preserve"> </w:t>
              </w:r>
              <w:smartTag w:uri="urn:schemas-microsoft-com:office:smarttags" w:element="PlaceType">
                <w:r>
                  <w:rPr>
                    <w:sz w:val="20"/>
                    <w:szCs w:val="20"/>
                  </w:rPr>
                  <w:t>National Parks</w:t>
                </w:r>
              </w:smartTag>
            </w:smartTag>
          </w:p>
        </w:tc>
        <w:tc>
          <w:tcPr>
            <w:tcW w:w="1729" w:type="dxa"/>
            <w:gridSpan w:val="6"/>
            <w:tcBorders>
              <w:bottom w:val="nil"/>
            </w:tcBorders>
          </w:tcPr>
          <w:p w:rsidR="004D0F8F" w:rsidRDefault="003E6326">
            <w:pPr>
              <w:rPr>
                <w:sz w:val="20"/>
                <w:szCs w:val="20"/>
              </w:rPr>
            </w:pPr>
            <w:r>
              <w:rPr>
                <w:sz w:val="20"/>
                <w:szCs w:val="20"/>
              </w:rPr>
              <w:t>February 24, 2011</w:t>
            </w:r>
          </w:p>
        </w:tc>
      </w:tr>
      <w:tr w:rsidR="004D0F8F" w:rsidTr="00AD604B">
        <w:trPr>
          <w:gridAfter w:val="1"/>
          <w:wAfter w:w="63" w:type="dxa"/>
          <w:trHeight w:val="125"/>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left w:val="nil"/>
              <w:bottom w:val="nil"/>
              <w:right w:val="nil"/>
            </w:tcBorders>
          </w:tcPr>
          <w:p w:rsidR="004D0F8F" w:rsidRDefault="004D0F8F">
            <w:pPr>
              <w:pStyle w:val="TOC1"/>
              <w:rPr>
                <w:rFonts w:ascii="NPSRawlinson" w:hAnsi="NPSRawlinson"/>
                <w:sz w:val="20"/>
                <w:szCs w:val="20"/>
              </w:rPr>
            </w:pPr>
          </w:p>
        </w:tc>
      </w:tr>
      <w:tr w:rsidR="004D0F8F" w:rsidTr="00AD604B">
        <w:trPr>
          <w:gridAfter w:val="1"/>
          <w:wAfter w:w="63" w:type="dxa"/>
          <w:trHeight w:val="1763"/>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Abstract:</w:t>
            </w:r>
          </w:p>
        </w:tc>
        <w:tc>
          <w:tcPr>
            <w:tcW w:w="7740" w:type="dxa"/>
            <w:gridSpan w:val="25"/>
          </w:tcPr>
          <w:p w:rsidR="004D0F8F" w:rsidRDefault="004D0F8F" w:rsidP="00BA1F88">
            <w:pPr>
              <w:rPr>
                <w:sz w:val="20"/>
                <w:szCs w:val="20"/>
              </w:rPr>
            </w:pPr>
            <w:r>
              <w:rPr>
                <w:sz w:val="20"/>
                <w:szCs w:val="20"/>
              </w:rPr>
              <w:t>The purpose of this project is to conduct onsite surveys of visitors in Mount Rainier and Denali National Parks to collect information on transportation-related effects on visitor experiences, as well as visitors’ perceptions of and attitudes regarding transportation-related impacts to visitor experience quality and park resources. The surveys (listed below) will be conducted during the summer of 2011, and will be used to inform park planning and management decisions, including the development of transportation and soundscape-related indicators and standards of visitors experience quality.</w:t>
            </w:r>
          </w:p>
        </w:tc>
      </w:tr>
      <w:tr w:rsidR="004D0F8F" w:rsidTr="00AD604B">
        <w:trPr>
          <w:gridAfter w:val="1"/>
          <w:wAfter w:w="63" w:type="dxa"/>
          <w:trHeight w:val="152"/>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r>
              <w:rPr>
                <w:rFonts w:ascii="NPSRawlinson" w:hAnsi="NPSRawlinson"/>
                <w:sz w:val="16"/>
                <w:szCs w:val="16"/>
              </w:rPr>
              <w:t>(not to exceed 150 words)</w:t>
            </w:r>
          </w:p>
        </w:tc>
      </w:tr>
      <w:tr w:rsidR="004D0F8F" w:rsidTr="00AD604B">
        <w:trPr>
          <w:gridAfter w:val="1"/>
          <w:wAfter w:w="63" w:type="dxa"/>
          <w:cantSplit/>
          <w:trHeight w:val="405"/>
          <w:jc w:val="center"/>
        </w:trPr>
        <w:tc>
          <w:tcPr>
            <w:tcW w:w="675" w:type="dxa"/>
            <w:tcBorders>
              <w:top w:val="nil"/>
              <w:left w:val="nil"/>
              <w:bottom w:val="nil"/>
              <w:right w:val="nil"/>
            </w:tcBorders>
            <w:vAlign w:val="center"/>
          </w:tcPr>
          <w:p w:rsidR="004D0F8F" w:rsidRDefault="004D0F8F">
            <w:pPr>
              <w:jc w:val="right"/>
              <w:rPr>
                <w:rFonts w:ascii="NPSRawlinson" w:hAnsi="NPSRawlinson"/>
                <w:sz w:val="18"/>
                <w:szCs w:val="18"/>
              </w:rPr>
            </w:pPr>
            <w:r>
              <w:rPr>
                <w:rFonts w:ascii="NPSRawlinson" w:hAnsi="NPSRawlinson"/>
                <w:sz w:val="18"/>
                <w:szCs w:val="18"/>
              </w:rPr>
              <w:t>3.</w:t>
            </w:r>
          </w:p>
        </w:tc>
        <w:tc>
          <w:tcPr>
            <w:tcW w:w="9315" w:type="dxa"/>
            <w:gridSpan w:val="27"/>
            <w:tcBorders>
              <w:top w:val="nil"/>
              <w:left w:val="nil"/>
              <w:bottom w:val="nil"/>
              <w:right w:val="nil"/>
            </w:tcBorders>
            <w:vAlign w:val="center"/>
          </w:tcPr>
          <w:p w:rsidR="004D0F8F" w:rsidRDefault="004D0F8F">
            <w:pPr>
              <w:rPr>
                <w:rFonts w:ascii="NPSRawlinson" w:hAnsi="NPSRawlinson"/>
                <w:b/>
                <w:bCs/>
                <w:sz w:val="20"/>
                <w:szCs w:val="20"/>
              </w:rPr>
            </w:pPr>
            <w:r>
              <w:rPr>
                <w:rFonts w:ascii="NPSRawlinson" w:hAnsi="NPSRawlinson"/>
                <w:b/>
                <w:bCs/>
                <w:sz w:val="20"/>
                <w:szCs w:val="20"/>
              </w:rPr>
              <w:t>Principal Investigator Contact Information</w:t>
            </w:r>
          </w:p>
        </w:tc>
      </w:tr>
      <w:tr w:rsidR="004D0F8F" w:rsidTr="00AD604B">
        <w:trPr>
          <w:gridAfter w:val="1"/>
          <w:wAfter w:w="63" w:type="dxa"/>
          <w:jc w:val="center"/>
        </w:trPr>
        <w:tc>
          <w:tcPr>
            <w:tcW w:w="675" w:type="dxa"/>
            <w:tcBorders>
              <w:top w:val="nil"/>
              <w:left w:val="nil"/>
              <w:bottom w:val="nil"/>
              <w:right w:val="nil"/>
            </w:tcBorders>
          </w:tcPr>
          <w:p w:rsidR="004D0F8F" w:rsidRDefault="004D0F8F">
            <w:pP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First Name:</w:t>
            </w:r>
          </w:p>
        </w:tc>
        <w:tc>
          <w:tcPr>
            <w:tcW w:w="2880" w:type="dxa"/>
            <w:gridSpan w:val="8"/>
          </w:tcPr>
          <w:p w:rsidR="004D0F8F" w:rsidRDefault="004D0F8F">
            <w:pPr>
              <w:rPr>
                <w:sz w:val="20"/>
                <w:szCs w:val="20"/>
              </w:rPr>
            </w:pPr>
            <w:r>
              <w:rPr>
                <w:sz w:val="20"/>
                <w:szCs w:val="20"/>
              </w:rPr>
              <w:t>Steve</w:t>
            </w:r>
          </w:p>
        </w:tc>
        <w:tc>
          <w:tcPr>
            <w:tcW w:w="1260" w:type="dxa"/>
            <w:gridSpan w:val="5"/>
            <w:tcBorders>
              <w:top w:val="nil"/>
              <w:bottom w:val="nil"/>
            </w:tcBorders>
          </w:tcPr>
          <w:p w:rsidR="004D0F8F" w:rsidRDefault="004D0F8F">
            <w:pPr>
              <w:jc w:val="right"/>
              <w:rPr>
                <w:rFonts w:ascii="NPSRawlinson" w:hAnsi="NPSRawlinson"/>
                <w:sz w:val="20"/>
                <w:szCs w:val="20"/>
              </w:rPr>
            </w:pPr>
            <w:r>
              <w:rPr>
                <w:rFonts w:ascii="NPSRawlinson" w:hAnsi="NPSRawlinson"/>
                <w:b/>
                <w:bCs/>
                <w:sz w:val="18"/>
                <w:szCs w:val="18"/>
              </w:rPr>
              <w:t>Last Name:</w:t>
            </w:r>
          </w:p>
        </w:tc>
        <w:tc>
          <w:tcPr>
            <w:tcW w:w="3600" w:type="dxa"/>
            <w:gridSpan w:val="12"/>
          </w:tcPr>
          <w:p w:rsidR="004D0F8F" w:rsidRDefault="004D0F8F">
            <w:pPr>
              <w:rPr>
                <w:sz w:val="20"/>
                <w:szCs w:val="20"/>
              </w:rPr>
            </w:pPr>
            <w:r>
              <w:rPr>
                <w:sz w:val="20"/>
                <w:szCs w:val="20"/>
              </w:rPr>
              <w:t>Lawson</w:t>
            </w: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Title:</w:t>
            </w:r>
          </w:p>
        </w:tc>
        <w:tc>
          <w:tcPr>
            <w:tcW w:w="3915" w:type="dxa"/>
            <w:gridSpan w:val="12"/>
            <w:tcBorders>
              <w:right w:val="nil"/>
            </w:tcBorders>
          </w:tcPr>
          <w:p w:rsidR="004D0F8F" w:rsidRDefault="004D0F8F">
            <w:pPr>
              <w:rPr>
                <w:sz w:val="20"/>
                <w:szCs w:val="20"/>
              </w:rPr>
            </w:pPr>
            <w:r>
              <w:rPr>
                <w:sz w:val="20"/>
                <w:szCs w:val="20"/>
              </w:rPr>
              <w:t>Director</w:t>
            </w:r>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cente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Affiliation:</w:t>
            </w:r>
          </w:p>
        </w:tc>
        <w:tc>
          <w:tcPr>
            <w:tcW w:w="3915" w:type="dxa"/>
            <w:gridSpan w:val="12"/>
            <w:tcBorders>
              <w:right w:val="nil"/>
            </w:tcBorders>
          </w:tcPr>
          <w:p w:rsidR="004D0F8F" w:rsidRDefault="004D0F8F">
            <w:pPr>
              <w:rPr>
                <w:sz w:val="20"/>
                <w:szCs w:val="20"/>
              </w:rPr>
            </w:pPr>
            <w:r>
              <w:rPr>
                <w:sz w:val="20"/>
                <w:szCs w:val="20"/>
              </w:rPr>
              <w:t>Resource Systems Group, Inc.</w:t>
            </w:r>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cantSplit/>
          <w:jc w:val="center"/>
        </w:trPr>
        <w:tc>
          <w:tcPr>
            <w:tcW w:w="9990" w:type="dxa"/>
            <w:gridSpan w:val="28"/>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Street Address:</w:t>
            </w:r>
          </w:p>
        </w:tc>
        <w:tc>
          <w:tcPr>
            <w:tcW w:w="3915" w:type="dxa"/>
            <w:gridSpan w:val="12"/>
            <w:tcBorders>
              <w:right w:val="nil"/>
            </w:tcBorders>
          </w:tcPr>
          <w:p w:rsidR="004D0F8F" w:rsidRDefault="004D0F8F">
            <w:pPr>
              <w:rPr>
                <w:sz w:val="20"/>
                <w:szCs w:val="20"/>
              </w:rPr>
            </w:pPr>
            <w:r>
              <w:rPr>
                <w:sz w:val="20"/>
                <w:szCs w:val="20"/>
              </w:rPr>
              <w:t>55 Railroad Row</w:t>
            </w:r>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trHeight w:val="251"/>
          <w:jc w:val="center"/>
        </w:trPr>
        <w:tc>
          <w:tcPr>
            <w:tcW w:w="675" w:type="dxa"/>
            <w:tcBorders>
              <w:top w:val="nil"/>
              <w:left w:val="nil"/>
              <w:bottom w:val="nil"/>
              <w:right w:val="nil"/>
            </w:tcBorders>
          </w:tcPr>
          <w:p w:rsidR="004D0F8F" w:rsidRDefault="004D0F8F">
            <w:pPr>
              <w:jc w:val="cente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City:</w:t>
            </w:r>
          </w:p>
        </w:tc>
        <w:tc>
          <w:tcPr>
            <w:tcW w:w="2160" w:type="dxa"/>
            <w:gridSpan w:val="5"/>
          </w:tcPr>
          <w:p w:rsidR="004D0F8F" w:rsidRDefault="004D0F8F">
            <w:pPr>
              <w:rPr>
                <w:sz w:val="20"/>
                <w:szCs w:val="20"/>
              </w:rPr>
            </w:pPr>
            <w:smartTag w:uri="urn:schemas-microsoft-com:office:smarttags" w:element="place">
              <w:r>
                <w:rPr>
                  <w:sz w:val="20"/>
                  <w:szCs w:val="20"/>
                </w:rPr>
                <w:t>White River</w:t>
              </w:r>
            </w:smartTag>
            <w:r>
              <w:rPr>
                <w:sz w:val="20"/>
                <w:szCs w:val="20"/>
              </w:rPr>
              <w:t xml:space="preserve"> Junction</w:t>
            </w:r>
          </w:p>
        </w:tc>
        <w:tc>
          <w:tcPr>
            <w:tcW w:w="810" w:type="dxa"/>
            <w:gridSpan w:val="4"/>
            <w:tcBorders>
              <w:top w:val="nil"/>
              <w:bottom w:val="nil"/>
            </w:tcBorders>
          </w:tcPr>
          <w:p w:rsidR="004D0F8F" w:rsidRDefault="004D0F8F">
            <w:pPr>
              <w:jc w:val="right"/>
              <w:rPr>
                <w:rFonts w:ascii="NPSRawlinson" w:hAnsi="NPSRawlinson"/>
                <w:sz w:val="20"/>
                <w:szCs w:val="20"/>
              </w:rPr>
            </w:pPr>
            <w:r>
              <w:rPr>
                <w:rFonts w:ascii="NPSRawlinson" w:hAnsi="NPSRawlinson"/>
                <w:b/>
                <w:bCs/>
                <w:sz w:val="18"/>
                <w:szCs w:val="18"/>
              </w:rPr>
              <w:t>State:</w:t>
            </w:r>
          </w:p>
        </w:tc>
        <w:tc>
          <w:tcPr>
            <w:tcW w:w="945" w:type="dxa"/>
            <w:gridSpan w:val="3"/>
          </w:tcPr>
          <w:p w:rsidR="004D0F8F" w:rsidRDefault="004D0F8F">
            <w:pPr>
              <w:rPr>
                <w:sz w:val="20"/>
                <w:szCs w:val="20"/>
              </w:rPr>
            </w:pPr>
            <w:r>
              <w:rPr>
                <w:sz w:val="20"/>
                <w:szCs w:val="20"/>
              </w:rPr>
              <w:t>VT</w:t>
            </w:r>
          </w:p>
        </w:tc>
        <w:tc>
          <w:tcPr>
            <w:tcW w:w="1286" w:type="dxa"/>
            <w:gridSpan w:val="4"/>
            <w:tcBorders>
              <w:top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Zip code:</w:t>
            </w:r>
          </w:p>
        </w:tc>
        <w:tc>
          <w:tcPr>
            <w:tcW w:w="900" w:type="dxa"/>
            <w:gridSpan w:val="4"/>
          </w:tcPr>
          <w:p w:rsidR="004D0F8F" w:rsidRDefault="004D0F8F">
            <w:pPr>
              <w:rPr>
                <w:sz w:val="20"/>
                <w:szCs w:val="20"/>
              </w:rPr>
            </w:pPr>
            <w:r>
              <w:rPr>
                <w:sz w:val="20"/>
                <w:szCs w:val="20"/>
              </w:rPr>
              <w:t>05043</w:t>
            </w:r>
          </w:p>
        </w:tc>
        <w:tc>
          <w:tcPr>
            <w:tcW w:w="1639" w:type="dxa"/>
            <w:gridSpan w:val="5"/>
            <w:tcBorders>
              <w:top w:val="nil"/>
              <w:left w:val="nil"/>
              <w:bottom w:val="nil"/>
              <w:right w:val="nil"/>
            </w:tcBorders>
          </w:tcPr>
          <w:p w:rsidR="004D0F8F" w:rsidRDefault="004D0F8F">
            <w:pPr>
              <w:rPr>
                <w:rFonts w:ascii="NPSRawlinson" w:hAnsi="NPSRawlinson"/>
                <w:b/>
                <w:bCs/>
                <w:sz w:val="18"/>
                <w:szCs w:val="18"/>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Phone:</w:t>
            </w:r>
          </w:p>
        </w:tc>
        <w:tc>
          <w:tcPr>
            <w:tcW w:w="2160" w:type="dxa"/>
            <w:gridSpan w:val="5"/>
          </w:tcPr>
          <w:p w:rsidR="004D0F8F" w:rsidRDefault="004D0F8F">
            <w:pPr>
              <w:rPr>
                <w:sz w:val="20"/>
                <w:szCs w:val="20"/>
              </w:rPr>
            </w:pPr>
            <w:r>
              <w:rPr>
                <w:sz w:val="20"/>
                <w:szCs w:val="20"/>
              </w:rPr>
              <w:t>(802) 295-4999</w:t>
            </w:r>
          </w:p>
        </w:tc>
        <w:tc>
          <w:tcPr>
            <w:tcW w:w="810" w:type="dxa"/>
            <w:gridSpan w:val="4"/>
            <w:tcBorders>
              <w:top w:val="nil"/>
              <w:bottom w:val="nil"/>
            </w:tcBorders>
          </w:tcPr>
          <w:p w:rsidR="004D0F8F" w:rsidRDefault="004D0F8F">
            <w:pPr>
              <w:jc w:val="right"/>
              <w:rPr>
                <w:rFonts w:ascii="NPSRawlinson" w:hAnsi="NPSRawlinson"/>
                <w:sz w:val="20"/>
                <w:szCs w:val="20"/>
              </w:rPr>
            </w:pPr>
            <w:r>
              <w:rPr>
                <w:rFonts w:ascii="NPSRawlinson" w:hAnsi="NPSRawlinson"/>
                <w:b/>
                <w:bCs/>
                <w:sz w:val="18"/>
                <w:szCs w:val="18"/>
              </w:rPr>
              <w:t>Fax:</w:t>
            </w:r>
          </w:p>
        </w:tc>
        <w:tc>
          <w:tcPr>
            <w:tcW w:w="2190" w:type="dxa"/>
            <w:gridSpan w:val="6"/>
          </w:tcPr>
          <w:p w:rsidR="004D0F8F" w:rsidRDefault="004D0F8F">
            <w:pPr>
              <w:rPr>
                <w:sz w:val="20"/>
                <w:szCs w:val="20"/>
              </w:rPr>
            </w:pPr>
            <w:r>
              <w:rPr>
                <w:sz w:val="20"/>
                <w:szCs w:val="20"/>
              </w:rPr>
              <w:t>(802) 295-1006</w:t>
            </w:r>
          </w:p>
        </w:tc>
        <w:tc>
          <w:tcPr>
            <w:tcW w:w="2580" w:type="dxa"/>
            <w:gridSpan w:val="10"/>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Email:</w:t>
            </w:r>
          </w:p>
        </w:tc>
        <w:tc>
          <w:tcPr>
            <w:tcW w:w="3405" w:type="dxa"/>
            <w:gridSpan w:val="11"/>
          </w:tcPr>
          <w:p w:rsidR="004D0F8F" w:rsidRDefault="004D0F8F">
            <w:pPr>
              <w:rPr>
                <w:sz w:val="20"/>
                <w:szCs w:val="20"/>
              </w:rPr>
            </w:pPr>
            <w:r>
              <w:rPr>
                <w:sz w:val="20"/>
                <w:szCs w:val="20"/>
              </w:rPr>
              <w:t>slawson@rsginc.com</w:t>
            </w:r>
          </w:p>
        </w:tc>
        <w:tc>
          <w:tcPr>
            <w:tcW w:w="4335" w:type="dxa"/>
            <w:gridSpan w:val="14"/>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cantSplit/>
          <w:trHeight w:val="413"/>
          <w:jc w:val="center"/>
        </w:trPr>
        <w:tc>
          <w:tcPr>
            <w:tcW w:w="675" w:type="dxa"/>
            <w:tcBorders>
              <w:top w:val="nil"/>
              <w:left w:val="nil"/>
              <w:bottom w:val="nil"/>
              <w:right w:val="nil"/>
            </w:tcBorders>
            <w:vAlign w:val="center"/>
          </w:tcPr>
          <w:p w:rsidR="004D0F8F" w:rsidRDefault="004D0F8F">
            <w:pPr>
              <w:rPr>
                <w:rFonts w:ascii="NPSRawlinson" w:hAnsi="NPSRawlinson"/>
                <w:sz w:val="18"/>
                <w:szCs w:val="18"/>
              </w:rPr>
            </w:pPr>
            <w:r>
              <w:rPr>
                <w:rFonts w:ascii="NPSRawlinson" w:hAnsi="NPSRawlinson"/>
                <w:sz w:val="18"/>
                <w:szCs w:val="18"/>
              </w:rPr>
              <w:t xml:space="preserve">4. </w:t>
            </w:r>
          </w:p>
        </w:tc>
        <w:tc>
          <w:tcPr>
            <w:tcW w:w="9315" w:type="dxa"/>
            <w:gridSpan w:val="27"/>
            <w:tcBorders>
              <w:top w:val="nil"/>
              <w:left w:val="nil"/>
              <w:bottom w:val="nil"/>
              <w:right w:val="nil"/>
            </w:tcBorders>
            <w:vAlign w:val="center"/>
          </w:tcPr>
          <w:p w:rsidR="004D0F8F" w:rsidRDefault="004D0F8F">
            <w:pPr>
              <w:rPr>
                <w:rFonts w:ascii="NPSRawlinson" w:hAnsi="NPSRawlinson"/>
                <w:b/>
                <w:bCs/>
                <w:sz w:val="20"/>
                <w:szCs w:val="20"/>
              </w:rPr>
            </w:pPr>
            <w:r>
              <w:rPr>
                <w:rFonts w:ascii="NPSRawlinson" w:hAnsi="NPSRawlinson"/>
                <w:b/>
                <w:bCs/>
                <w:sz w:val="20"/>
                <w:szCs w:val="20"/>
              </w:rPr>
              <w:t>Park or Program Liaison Contact Information</w:t>
            </w:r>
          </w:p>
        </w:tc>
      </w:tr>
      <w:tr w:rsidR="004D0F8F" w:rsidTr="00AD604B">
        <w:trPr>
          <w:gridAfter w:val="1"/>
          <w:wAfter w:w="63" w:type="dxa"/>
          <w:jc w:val="center"/>
        </w:trPr>
        <w:tc>
          <w:tcPr>
            <w:tcW w:w="675" w:type="dxa"/>
            <w:tcBorders>
              <w:top w:val="nil"/>
              <w:left w:val="nil"/>
              <w:bottom w:val="nil"/>
              <w:right w:val="nil"/>
            </w:tcBorders>
          </w:tcPr>
          <w:p w:rsidR="004D0F8F" w:rsidRDefault="004D0F8F">
            <w:pP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First Name:</w:t>
            </w:r>
          </w:p>
        </w:tc>
        <w:tc>
          <w:tcPr>
            <w:tcW w:w="2880" w:type="dxa"/>
            <w:gridSpan w:val="8"/>
          </w:tcPr>
          <w:p w:rsidR="004D0F8F" w:rsidRDefault="004D0F8F">
            <w:pPr>
              <w:rPr>
                <w:sz w:val="20"/>
                <w:szCs w:val="20"/>
              </w:rPr>
            </w:pPr>
            <w:r>
              <w:rPr>
                <w:sz w:val="20"/>
                <w:szCs w:val="20"/>
              </w:rPr>
              <w:t>Barbara</w:t>
            </w:r>
          </w:p>
        </w:tc>
        <w:tc>
          <w:tcPr>
            <w:tcW w:w="1260" w:type="dxa"/>
            <w:gridSpan w:val="5"/>
            <w:tcBorders>
              <w:top w:val="nil"/>
              <w:bottom w:val="nil"/>
            </w:tcBorders>
          </w:tcPr>
          <w:p w:rsidR="004D0F8F" w:rsidRDefault="004D0F8F">
            <w:pPr>
              <w:jc w:val="right"/>
              <w:rPr>
                <w:rFonts w:ascii="NPSRawlinson" w:hAnsi="NPSRawlinson"/>
                <w:sz w:val="20"/>
                <w:szCs w:val="20"/>
              </w:rPr>
            </w:pPr>
            <w:r>
              <w:rPr>
                <w:rFonts w:ascii="NPSRawlinson" w:hAnsi="NPSRawlinson"/>
                <w:b/>
                <w:bCs/>
                <w:sz w:val="18"/>
                <w:szCs w:val="18"/>
              </w:rPr>
              <w:t>Last Name:</w:t>
            </w:r>
          </w:p>
        </w:tc>
        <w:tc>
          <w:tcPr>
            <w:tcW w:w="3600" w:type="dxa"/>
            <w:gridSpan w:val="12"/>
          </w:tcPr>
          <w:p w:rsidR="004D0F8F" w:rsidRDefault="004D0F8F">
            <w:pPr>
              <w:rPr>
                <w:sz w:val="20"/>
                <w:szCs w:val="20"/>
              </w:rPr>
            </w:pPr>
            <w:proofErr w:type="spellStart"/>
            <w:r>
              <w:rPr>
                <w:sz w:val="20"/>
                <w:szCs w:val="20"/>
              </w:rPr>
              <w:t>Samora</w:t>
            </w:r>
            <w:proofErr w:type="spellEnd"/>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Title:</w:t>
            </w:r>
          </w:p>
        </w:tc>
        <w:tc>
          <w:tcPr>
            <w:tcW w:w="3915" w:type="dxa"/>
            <w:gridSpan w:val="12"/>
            <w:tcBorders>
              <w:right w:val="nil"/>
            </w:tcBorders>
          </w:tcPr>
          <w:p w:rsidR="004D0F8F" w:rsidRDefault="004D0F8F">
            <w:pPr>
              <w:rPr>
                <w:sz w:val="20"/>
                <w:szCs w:val="20"/>
              </w:rPr>
            </w:pPr>
            <w:r>
              <w:rPr>
                <w:sz w:val="20"/>
                <w:szCs w:val="20"/>
              </w:rPr>
              <w:t>Natural Resource Manager</w:t>
            </w:r>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cente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Park:</w:t>
            </w:r>
          </w:p>
        </w:tc>
        <w:tc>
          <w:tcPr>
            <w:tcW w:w="3915" w:type="dxa"/>
            <w:gridSpan w:val="12"/>
            <w:tcBorders>
              <w:bottom w:val="nil"/>
              <w:right w:val="nil"/>
            </w:tcBorders>
          </w:tcPr>
          <w:p w:rsidR="004D0F8F" w:rsidRDefault="004D0F8F">
            <w:pPr>
              <w:rPr>
                <w:sz w:val="20"/>
                <w:szCs w:val="20"/>
              </w:rPr>
            </w:pPr>
            <w:smartTag w:uri="urn:schemas-microsoft-com:office:smarttags" w:element="place">
              <w:smartTag w:uri="urn:schemas-microsoft-com:office:smarttags" w:element="PlaceName">
                <w:r>
                  <w:rPr>
                    <w:sz w:val="20"/>
                    <w:szCs w:val="20"/>
                  </w:rPr>
                  <w:t>Mount Rainier</w:t>
                </w:r>
              </w:smartTag>
              <w:r>
                <w:rPr>
                  <w:sz w:val="20"/>
                  <w:szCs w:val="20"/>
                </w:rPr>
                <w:t xml:space="preserve"> </w:t>
              </w:r>
              <w:smartTag w:uri="urn:schemas-microsoft-com:office:smarttags" w:element="PlaceType">
                <w:r>
                  <w:rPr>
                    <w:sz w:val="20"/>
                    <w:szCs w:val="20"/>
                  </w:rPr>
                  <w:t>National Park</w:t>
                </w:r>
              </w:smartTag>
            </w:smartTag>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cente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3915" w:type="dxa"/>
            <w:gridSpan w:val="12"/>
            <w:tcBorders>
              <w:left w:val="nil"/>
              <w:right w:val="nil"/>
            </w:tcBorders>
          </w:tcPr>
          <w:p w:rsidR="004D0F8F" w:rsidRDefault="004D0F8F">
            <w:pPr>
              <w:rPr>
                <w:rFonts w:ascii="NPSRawlinson" w:hAnsi="NPSRawlinson"/>
                <w:sz w:val="20"/>
                <w:szCs w:val="20"/>
              </w:rPr>
            </w:pPr>
          </w:p>
        </w:tc>
        <w:tc>
          <w:tcPr>
            <w:tcW w:w="3825" w:type="dxa"/>
            <w:gridSpan w:val="13"/>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cente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Park Office/Division:</w:t>
            </w:r>
          </w:p>
        </w:tc>
        <w:tc>
          <w:tcPr>
            <w:tcW w:w="3915" w:type="dxa"/>
            <w:gridSpan w:val="12"/>
            <w:tcBorders>
              <w:right w:val="nil"/>
            </w:tcBorders>
          </w:tcPr>
          <w:p w:rsidR="004D0F8F" w:rsidRDefault="004D0F8F">
            <w:pPr>
              <w:rPr>
                <w:sz w:val="20"/>
                <w:szCs w:val="20"/>
              </w:rPr>
            </w:pPr>
            <w:r>
              <w:rPr>
                <w:sz w:val="20"/>
                <w:szCs w:val="20"/>
              </w:rPr>
              <w:t>Division of Resources Management and Science</w:t>
            </w:r>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Street Address:</w:t>
            </w:r>
          </w:p>
        </w:tc>
        <w:tc>
          <w:tcPr>
            <w:tcW w:w="3915" w:type="dxa"/>
            <w:gridSpan w:val="12"/>
            <w:tcBorders>
              <w:right w:val="nil"/>
            </w:tcBorders>
          </w:tcPr>
          <w:p w:rsidR="004D0F8F" w:rsidRPr="00B32538" w:rsidRDefault="004D0F8F" w:rsidP="00B32538">
            <w:pPr>
              <w:adjustRightInd w:val="0"/>
              <w:rPr>
                <w:sz w:val="20"/>
                <w:szCs w:val="20"/>
              </w:rPr>
            </w:pPr>
            <w:smartTag w:uri="urn:schemas-microsoft-com:office:smarttags" w:element="address">
              <w:smartTag w:uri="urn:schemas-microsoft-com:office:smarttags" w:element="Street">
                <w:r w:rsidRPr="00B32538">
                  <w:rPr>
                    <w:sz w:val="20"/>
                    <w:szCs w:val="20"/>
                  </w:rPr>
                  <w:t>55210 238th Avenue East</w:t>
                </w:r>
              </w:smartTag>
            </w:smartTag>
          </w:p>
          <w:p w:rsidR="004D0F8F" w:rsidRDefault="004D0F8F" w:rsidP="00B32538">
            <w:pPr>
              <w:rPr>
                <w:sz w:val="20"/>
                <w:szCs w:val="20"/>
              </w:rPr>
            </w:pPr>
          </w:p>
        </w:tc>
        <w:tc>
          <w:tcPr>
            <w:tcW w:w="3825" w:type="dxa"/>
            <w:gridSpan w:val="13"/>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center"/>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City:</w:t>
            </w:r>
          </w:p>
        </w:tc>
        <w:tc>
          <w:tcPr>
            <w:tcW w:w="2160" w:type="dxa"/>
            <w:gridSpan w:val="5"/>
          </w:tcPr>
          <w:p w:rsidR="004D0F8F" w:rsidRDefault="004D0F8F">
            <w:pPr>
              <w:rPr>
                <w:sz w:val="20"/>
                <w:szCs w:val="20"/>
              </w:rPr>
            </w:pPr>
            <w:r>
              <w:rPr>
                <w:sz w:val="20"/>
                <w:szCs w:val="20"/>
              </w:rPr>
              <w:t>Ashford</w:t>
            </w:r>
          </w:p>
        </w:tc>
        <w:tc>
          <w:tcPr>
            <w:tcW w:w="810" w:type="dxa"/>
            <w:gridSpan w:val="4"/>
            <w:tcBorders>
              <w:top w:val="nil"/>
              <w:bottom w:val="nil"/>
            </w:tcBorders>
          </w:tcPr>
          <w:p w:rsidR="004D0F8F" w:rsidRDefault="004D0F8F">
            <w:pPr>
              <w:jc w:val="right"/>
              <w:rPr>
                <w:rFonts w:ascii="NPSRawlinson" w:hAnsi="NPSRawlinson"/>
                <w:b/>
                <w:bCs/>
                <w:sz w:val="18"/>
                <w:szCs w:val="18"/>
              </w:rPr>
            </w:pPr>
            <w:r>
              <w:rPr>
                <w:rFonts w:ascii="NPSRawlinson" w:hAnsi="NPSRawlinson"/>
                <w:b/>
                <w:bCs/>
                <w:sz w:val="18"/>
                <w:szCs w:val="18"/>
              </w:rPr>
              <w:t>State:</w:t>
            </w:r>
          </w:p>
        </w:tc>
        <w:tc>
          <w:tcPr>
            <w:tcW w:w="945" w:type="dxa"/>
            <w:gridSpan w:val="3"/>
          </w:tcPr>
          <w:p w:rsidR="004D0F8F" w:rsidRDefault="004D0F8F">
            <w:pPr>
              <w:rPr>
                <w:sz w:val="20"/>
                <w:szCs w:val="20"/>
              </w:rPr>
            </w:pPr>
            <w:r>
              <w:rPr>
                <w:sz w:val="20"/>
                <w:szCs w:val="20"/>
              </w:rPr>
              <w:t>WA</w:t>
            </w:r>
          </w:p>
        </w:tc>
        <w:tc>
          <w:tcPr>
            <w:tcW w:w="1286" w:type="dxa"/>
            <w:gridSpan w:val="4"/>
            <w:tcBorders>
              <w:top w:val="nil"/>
              <w:bottom w:val="nil"/>
              <w:right w:val="nil"/>
            </w:tcBorders>
          </w:tcPr>
          <w:p w:rsidR="004D0F8F" w:rsidRDefault="004D0F8F">
            <w:pPr>
              <w:jc w:val="right"/>
              <w:rPr>
                <w:rFonts w:ascii="NPSRawlinson" w:hAnsi="NPSRawlinson"/>
                <w:b/>
                <w:bCs/>
                <w:sz w:val="18"/>
                <w:szCs w:val="18"/>
              </w:rPr>
            </w:pPr>
            <w:r>
              <w:rPr>
                <w:rFonts w:ascii="NPSRawlinson" w:hAnsi="NPSRawlinson"/>
                <w:sz w:val="20"/>
                <w:szCs w:val="20"/>
              </w:rPr>
              <w:t xml:space="preserve"> </w:t>
            </w:r>
            <w:r>
              <w:rPr>
                <w:rFonts w:ascii="NPSRawlinson" w:hAnsi="NPSRawlinson"/>
                <w:b/>
                <w:bCs/>
                <w:sz w:val="18"/>
                <w:szCs w:val="18"/>
              </w:rPr>
              <w:t>Zip code:</w:t>
            </w:r>
          </w:p>
        </w:tc>
        <w:tc>
          <w:tcPr>
            <w:tcW w:w="919" w:type="dxa"/>
            <w:gridSpan w:val="5"/>
          </w:tcPr>
          <w:p w:rsidR="004D0F8F" w:rsidRDefault="004D0F8F">
            <w:pPr>
              <w:rPr>
                <w:sz w:val="20"/>
                <w:szCs w:val="20"/>
              </w:rPr>
            </w:pPr>
            <w:r>
              <w:rPr>
                <w:sz w:val="20"/>
                <w:szCs w:val="20"/>
              </w:rPr>
              <w:t>98304</w:t>
            </w:r>
          </w:p>
        </w:tc>
        <w:tc>
          <w:tcPr>
            <w:tcW w:w="1620" w:type="dxa"/>
            <w:gridSpan w:val="4"/>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Phone:</w:t>
            </w:r>
          </w:p>
        </w:tc>
        <w:tc>
          <w:tcPr>
            <w:tcW w:w="2160" w:type="dxa"/>
            <w:gridSpan w:val="5"/>
          </w:tcPr>
          <w:p w:rsidR="004D0F8F" w:rsidRPr="00B32538" w:rsidRDefault="004D0F8F" w:rsidP="00E47E9F">
            <w:pPr>
              <w:rPr>
                <w:sz w:val="20"/>
                <w:szCs w:val="20"/>
              </w:rPr>
            </w:pPr>
            <w:r w:rsidRPr="00B32538">
              <w:rPr>
                <w:sz w:val="20"/>
                <w:szCs w:val="20"/>
              </w:rPr>
              <w:t>360 569-2211 x3372</w:t>
            </w:r>
          </w:p>
        </w:tc>
        <w:tc>
          <w:tcPr>
            <w:tcW w:w="810" w:type="dxa"/>
            <w:gridSpan w:val="4"/>
            <w:tcBorders>
              <w:top w:val="nil"/>
              <w:bottom w:val="nil"/>
            </w:tcBorders>
          </w:tcPr>
          <w:p w:rsidR="004D0F8F" w:rsidRDefault="004D0F8F">
            <w:pPr>
              <w:jc w:val="right"/>
              <w:rPr>
                <w:rFonts w:ascii="NPSRawlinson" w:hAnsi="NPSRawlinson"/>
                <w:sz w:val="20"/>
                <w:szCs w:val="20"/>
              </w:rPr>
            </w:pPr>
            <w:r>
              <w:rPr>
                <w:rFonts w:ascii="NPSRawlinson" w:hAnsi="NPSRawlinson"/>
                <w:b/>
                <w:bCs/>
                <w:sz w:val="18"/>
                <w:szCs w:val="18"/>
              </w:rPr>
              <w:t>Fax:</w:t>
            </w:r>
          </w:p>
        </w:tc>
        <w:tc>
          <w:tcPr>
            <w:tcW w:w="2190" w:type="dxa"/>
            <w:gridSpan w:val="6"/>
          </w:tcPr>
          <w:p w:rsidR="004D0F8F" w:rsidRDefault="004D0F8F" w:rsidP="00E47E9F">
            <w:pPr>
              <w:rPr>
                <w:sz w:val="20"/>
                <w:szCs w:val="20"/>
              </w:rPr>
            </w:pPr>
          </w:p>
        </w:tc>
        <w:tc>
          <w:tcPr>
            <w:tcW w:w="2580" w:type="dxa"/>
            <w:gridSpan w:val="10"/>
            <w:tcBorders>
              <w:top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40" w:type="dxa"/>
            <w:gridSpan w:val="25"/>
            <w:tcBorders>
              <w:top w:val="nil"/>
              <w:left w:val="nil"/>
              <w:bottom w:val="nil"/>
              <w:right w:val="nil"/>
            </w:tcBorders>
          </w:tcPr>
          <w:p w:rsidR="004D0F8F" w:rsidRDefault="004D0F8F">
            <w:pPr>
              <w:rPr>
                <w:rFonts w:ascii="NPSRawlinson" w:hAnsi="NPSRawlinson"/>
                <w:sz w:val="20"/>
                <w:szCs w:val="20"/>
              </w:rPr>
            </w:pPr>
          </w:p>
        </w:tc>
      </w:tr>
      <w:tr w:rsidR="004D0F8F" w:rsidTr="00AD604B">
        <w:trPr>
          <w:gridAfter w:val="1"/>
          <w:wAfter w:w="63" w:type="dxa"/>
          <w:jc w:val="center"/>
        </w:trPr>
        <w:tc>
          <w:tcPr>
            <w:tcW w:w="675" w:type="dxa"/>
            <w:tcBorders>
              <w:top w:val="nil"/>
              <w:left w:val="nil"/>
              <w:bottom w:val="nil"/>
              <w:right w:val="nil"/>
            </w:tcBorders>
          </w:tcPr>
          <w:p w:rsidR="004D0F8F" w:rsidRDefault="004D0F8F">
            <w:pPr>
              <w:jc w:val="right"/>
              <w:rPr>
                <w:rFonts w:ascii="NPSRawlinson" w:hAnsi="NPSRawlinson"/>
                <w:sz w:val="18"/>
                <w:szCs w:val="18"/>
              </w:rPr>
            </w:pPr>
          </w:p>
        </w:tc>
        <w:tc>
          <w:tcPr>
            <w:tcW w:w="1575"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Email:</w:t>
            </w:r>
          </w:p>
        </w:tc>
        <w:tc>
          <w:tcPr>
            <w:tcW w:w="3405" w:type="dxa"/>
            <w:gridSpan w:val="11"/>
          </w:tcPr>
          <w:p w:rsidR="004D0F8F" w:rsidRPr="00B32538" w:rsidRDefault="004D0F8F" w:rsidP="003F6762">
            <w:pPr>
              <w:rPr>
                <w:sz w:val="20"/>
                <w:szCs w:val="20"/>
              </w:rPr>
            </w:pPr>
            <w:r w:rsidRPr="00B32538">
              <w:rPr>
                <w:sz w:val="20"/>
                <w:szCs w:val="20"/>
              </w:rPr>
              <w:t>Barbara_Samora@nps.gov</w:t>
            </w:r>
          </w:p>
        </w:tc>
        <w:tc>
          <w:tcPr>
            <w:tcW w:w="4335" w:type="dxa"/>
            <w:gridSpan w:val="14"/>
            <w:tcBorders>
              <w:top w:val="nil"/>
              <w:left w:val="nil"/>
              <w:bottom w:val="nil"/>
              <w:right w:val="nil"/>
            </w:tcBorders>
          </w:tcPr>
          <w:p w:rsidR="004D0F8F" w:rsidRDefault="004D0F8F">
            <w:pPr>
              <w:rPr>
                <w:rFonts w:ascii="NPSRawlinson" w:hAnsi="NPSRawlinson"/>
                <w:sz w:val="20"/>
                <w:szCs w:val="20"/>
              </w:rPr>
            </w:pPr>
          </w:p>
        </w:tc>
      </w:tr>
      <w:tr w:rsidR="004D0F8F" w:rsidTr="00AD604B">
        <w:trPr>
          <w:cantSplit/>
          <w:jc w:val="center"/>
        </w:trPr>
        <w:tc>
          <w:tcPr>
            <w:tcW w:w="10053" w:type="dxa"/>
            <w:gridSpan w:val="29"/>
            <w:tcBorders>
              <w:top w:val="nil"/>
              <w:left w:val="nil"/>
              <w:bottom w:val="nil"/>
              <w:right w:val="nil"/>
            </w:tcBorders>
          </w:tcPr>
          <w:p w:rsidR="004D0F8F" w:rsidRDefault="004D0F8F">
            <w:pPr>
              <w:pStyle w:val="Heading4"/>
              <w:rPr>
                <w:rFonts w:ascii="NPSRawlinson" w:hAnsi="NPSRawlinson"/>
                <w:sz w:val="20"/>
                <w:szCs w:val="20"/>
              </w:rPr>
            </w:pPr>
            <w:r>
              <w:rPr>
                <w:rFonts w:ascii="NPSRawlinson" w:hAnsi="NPSRawlinson"/>
                <w:sz w:val="20"/>
                <w:szCs w:val="20"/>
              </w:rPr>
              <w:lastRenderedPageBreak/>
              <w:t>Project  Information</w:t>
            </w:r>
          </w:p>
          <w:p w:rsidR="004D0F8F" w:rsidRDefault="004D0F8F">
            <w:pPr>
              <w:rPr>
                <w:rFonts w:ascii="NPSRawlinson" w:hAnsi="NPSRawlinson"/>
                <w:sz w:val="20"/>
                <w:szCs w:val="20"/>
                <w:u w:val="single"/>
              </w:rPr>
            </w:pPr>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18"/>
                <w:szCs w:val="18"/>
              </w:rPr>
              <w:t>5.</w:t>
            </w:r>
          </w:p>
        </w:tc>
        <w:tc>
          <w:tcPr>
            <w:tcW w:w="3126" w:type="dxa"/>
            <w:gridSpan w:val="4"/>
            <w:tcBorders>
              <w:top w:val="nil"/>
              <w:left w:val="nil"/>
              <w:bottom w:val="nil"/>
              <w:right w:val="nil"/>
            </w:tcBorders>
          </w:tcPr>
          <w:p w:rsidR="004D0F8F" w:rsidRDefault="004D0F8F">
            <w:pPr>
              <w:rPr>
                <w:rFonts w:ascii="NPSRawlinson" w:hAnsi="NPSRawlinson"/>
                <w:b/>
                <w:bCs/>
                <w:sz w:val="18"/>
                <w:szCs w:val="18"/>
              </w:rPr>
            </w:pPr>
            <w:r>
              <w:rPr>
                <w:rFonts w:ascii="NPSRawlinson" w:hAnsi="NPSRawlinson"/>
                <w:b/>
                <w:bCs/>
                <w:sz w:val="18"/>
                <w:szCs w:val="18"/>
              </w:rPr>
              <w:t>Park(s) For Which Research is to be Conducted:</w:t>
            </w:r>
          </w:p>
        </w:tc>
        <w:tc>
          <w:tcPr>
            <w:tcW w:w="6214" w:type="dxa"/>
            <w:gridSpan w:val="23"/>
            <w:tcBorders>
              <w:bottom w:val="nil"/>
            </w:tcBorders>
          </w:tcPr>
          <w:p w:rsidR="004D0F8F" w:rsidRDefault="004D0F8F">
            <w:pPr>
              <w:rPr>
                <w:sz w:val="20"/>
                <w:szCs w:val="20"/>
              </w:rPr>
            </w:pPr>
            <w:smartTag w:uri="urn:schemas-microsoft-com:office:smarttags" w:element="PlaceName">
              <w:r>
                <w:rPr>
                  <w:sz w:val="20"/>
                  <w:szCs w:val="20"/>
                </w:rPr>
                <w:t>Mount Rainier</w:t>
              </w:r>
            </w:smartTag>
            <w:r>
              <w:rPr>
                <w:sz w:val="20"/>
                <w:szCs w:val="20"/>
              </w:rPr>
              <w:t xml:space="preserve"> </w:t>
            </w:r>
            <w:smartTag w:uri="urn:schemas-microsoft-com:office:smarttags" w:element="PlaceType">
              <w:r>
                <w:rPr>
                  <w:sz w:val="20"/>
                  <w:szCs w:val="20"/>
                </w:rPr>
                <w:t>National Park</w:t>
              </w:r>
            </w:smartTag>
            <w:r>
              <w:rPr>
                <w:sz w:val="20"/>
                <w:szCs w:val="20"/>
              </w:rPr>
              <w:t xml:space="preserve">; </w:t>
            </w:r>
            <w:smartTag w:uri="urn:schemas-microsoft-com:office:smarttags" w:element="place">
              <w:smartTag w:uri="urn:schemas-microsoft-com:office:smarttags" w:element="PlaceName">
                <w:r>
                  <w:rPr>
                    <w:sz w:val="20"/>
                    <w:szCs w:val="20"/>
                  </w:rPr>
                  <w:t>Denali</w:t>
                </w:r>
              </w:smartTag>
              <w:r>
                <w:rPr>
                  <w:sz w:val="20"/>
                  <w:szCs w:val="20"/>
                </w:rPr>
                <w:t xml:space="preserve"> </w:t>
              </w:r>
              <w:smartTag w:uri="urn:schemas-microsoft-com:office:smarttags" w:element="PlaceType">
                <w:r>
                  <w:rPr>
                    <w:sz w:val="20"/>
                    <w:szCs w:val="20"/>
                  </w:rPr>
                  <w:t>National Park</w:t>
                </w:r>
              </w:smartTag>
            </w:smartTag>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3126" w:type="dxa"/>
            <w:gridSpan w:val="4"/>
            <w:tcBorders>
              <w:top w:val="nil"/>
              <w:left w:val="nil"/>
              <w:bottom w:val="nil"/>
              <w:right w:val="nil"/>
            </w:tcBorders>
          </w:tcPr>
          <w:p w:rsidR="004D0F8F" w:rsidRDefault="004D0F8F">
            <w:pPr>
              <w:rPr>
                <w:rFonts w:ascii="NPSRawlinson" w:hAnsi="NPSRawlinson"/>
                <w:b/>
                <w:bCs/>
                <w:sz w:val="18"/>
                <w:szCs w:val="18"/>
              </w:rPr>
            </w:pPr>
          </w:p>
        </w:tc>
        <w:tc>
          <w:tcPr>
            <w:tcW w:w="6214" w:type="dxa"/>
            <w:gridSpan w:val="23"/>
            <w:tcBorders>
              <w:left w:val="nil"/>
              <w:bottom w:val="nil"/>
              <w:right w:val="nil"/>
            </w:tcBorders>
          </w:tcPr>
          <w:p w:rsidR="004D0F8F" w:rsidRDefault="004D0F8F">
            <w:pPr>
              <w:rPr>
                <w:rFonts w:ascii="NPSRawlinson" w:hAnsi="NPSRawlinson"/>
                <w:sz w:val="20"/>
                <w:szCs w:val="20"/>
              </w:rPr>
            </w:pPr>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18"/>
                <w:szCs w:val="18"/>
              </w:rPr>
              <w:t>6.</w:t>
            </w:r>
          </w:p>
        </w:tc>
        <w:tc>
          <w:tcPr>
            <w:tcW w:w="1573" w:type="dxa"/>
            <w:gridSpan w:val="2"/>
            <w:tcBorders>
              <w:top w:val="nil"/>
              <w:left w:val="nil"/>
              <w:bottom w:val="nil"/>
              <w:right w:val="nil"/>
            </w:tcBorders>
          </w:tcPr>
          <w:p w:rsidR="004D0F8F" w:rsidRDefault="004D0F8F">
            <w:pPr>
              <w:rPr>
                <w:rFonts w:ascii="NPSRawlinson" w:hAnsi="NPSRawlinson"/>
                <w:b/>
                <w:bCs/>
                <w:sz w:val="18"/>
                <w:szCs w:val="18"/>
              </w:rPr>
            </w:pPr>
            <w:r>
              <w:rPr>
                <w:rFonts w:ascii="NPSRawlinson" w:hAnsi="NPSRawlinson"/>
                <w:b/>
                <w:bCs/>
                <w:sz w:val="18"/>
                <w:szCs w:val="18"/>
              </w:rPr>
              <w:t>Survey Dates:</w:t>
            </w:r>
          </w:p>
        </w:tc>
        <w:tc>
          <w:tcPr>
            <w:tcW w:w="2456" w:type="dxa"/>
            <w:gridSpan w:val="6"/>
          </w:tcPr>
          <w:p w:rsidR="004D0F8F" w:rsidRDefault="004D0F8F" w:rsidP="00C02998">
            <w:pPr>
              <w:rPr>
                <w:sz w:val="20"/>
                <w:szCs w:val="20"/>
              </w:rPr>
            </w:pPr>
            <w:r>
              <w:rPr>
                <w:sz w:val="20"/>
                <w:szCs w:val="20"/>
              </w:rPr>
              <w:t>05/01/2011</w:t>
            </w:r>
          </w:p>
        </w:tc>
        <w:tc>
          <w:tcPr>
            <w:tcW w:w="1423" w:type="dxa"/>
            <w:gridSpan w:val="5"/>
            <w:tcBorders>
              <w:top w:val="nil"/>
              <w:bottom w:val="nil"/>
              <w:right w:val="nil"/>
            </w:tcBorders>
            <w:vAlign w:val="center"/>
          </w:tcPr>
          <w:p w:rsidR="004D0F8F" w:rsidRDefault="004D0F8F">
            <w:pPr>
              <w:rPr>
                <w:rFonts w:ascii="NPSRawlinson" w:hAnsi="NPSRawlinson"/>
                <w:sz w:val="18"/>
                <w:szCs w:val="18"/>
              </w:rPr>
            </w:pPr>
            <w:r>
              <w:rPr>
                <w:rFonts w:ascii="NPSRawlinson" w:hAnsi="NPSRawlinson"/>
                <w:sz w:val="18"/>
                <w:szCs w:val="18"/>
              </w:rPr>
              <w:t>(mm/</w:t>
            </w:r>
            <w:proofErr w:type="spellStart"/>
            <w:r>
              <w:rPr>
                <w:rFonts w:ascii="NPSRawlinson" w:hAnsi="NPSRawlinson"/>
                <w:sz w:val="18"/>
                <w:szCs w:val="18"/>
              </w:rPr>
              <w:t>dd</w:t>
            </w:r>
            <w:proofErr w:type="spellEnd"/>
            <w:r>
              <w:rPr>
                <w:rFonts w:ascii="NPSRawlinson" w:hAnsi="NPSRawlinson"/>
                <w:sz w:val="18"/>
                <w:szCs w:val="18"/>
              </w:rPr>
              <w:t>/</w:t>
            </w:r>
            <w:proofErr w:type="spellStart"/>
            <w:r>
              <w:rPr>
                <w:rFonts w:ascii="NPSRawlinson" w:hAnsi="NPSRawlinson"/>
                <w:sz w:val="18"/>
                <w:szCs w:val="18"/>
              </w:rPr>
              <w:t>yyyy</w:t>
            </w:r>
            <w:proofErr w:type="spellEnd"/>
            <w:r>
              <w:rPr>
                <w:rFonts w:ascii="NPSRawlinson" w:hAnsi="NPSRawlinson"/>
                <w:sz w:val="18"/>
                <w:szCs w:val="18"/>
              </w:rPr>
              <w:t>)</w:t>
            </w:r>
          </w:p>
        </w:tc>
        <w:tc>
          <w:tcPr>
            <w:tcW w:w="1245" w:type="dxa"/>
            <w:gridSpan w:val="3"/>
            <w:tcBorders>
              <w:top w:val="nil"/>
              <w:left w:val="nil"/>
              <w:bottom w:val="nil"/>
            </w:tcBorders>
            <w:vAlign w:val="center"/>
          </w:tcPr>
          <w:p w:rsidR="004D0F8F" w:rsidRDefault="004D0F8F">
            <w:pPr>
              <w:rPr>
                <w:rFonts w:ascii="NPSRawlinson" w:hAnsi="NPSRawlinson"/>
                <w:sz w:val="18"/>
                <w:szCs w:val="18"/>
              </w:rPr>
            </w:pPr>
            <w:r>
              <w:rPr>
                <w:rFonts w:ascii="NPSRawlinson" w:hAnsi="NPSRawlinson"/>
                <w:sz w:val="18"/>
                <w:szCs w:val="18"/>
              </w:rPr>
              <w:t>to</w:t>
            </w:r>
          </w:p>
        </w:tc>
        <w:tc>
          <w:tcPr>
            <w:tcW w:w="1170" w:type="dxa"/>
            <w:gridSpan w:val="7"/>
            <w:vAlign w:val="center"/>
          </w:tcPr>
          <w:p w:rsidR="004D0F8F" w:rsidRDefault="004D0F8F" w:rsidP="004F0C3A">
            <w:pPr>
              <w:rPr>
                <w:sz w:val="20"/>
                <w:szCs w:val="20"/>
              </w:rPr>
            </w:pPr>
            <w:r>
              <w:rPr>
                <w:sz w:val="20"/>
                <w:szCs w:val="20"/>
              </w:rPr>
              <w:t>09/30/2011</w:t>
            </w:r>
          </w:p>
        </w:tc>
        <w:tc>
          <w:tcPr>
            <w:tcW w:w="1473" w:type="dxa"/>
            <w:gridSpan w:val="4"/>
            <w:tcBorders>
              <w:top w:val="nil"/>
              <w:left w:val="nil"/>
              <w:bottom w:val="nil"/>
              <w:right w:val="nil"/>
            </w:tcBorders>
            <w:vAlign w:val="center"/>
          </w:tcPr>
          <w:p w:rsidR="004D0F8F" w:rsidRDefault="004D0F8F">
            <w:pPr>
              <w:rPr>
                <w:rFonts w:ascii="NPSRawlinson" w:hAnsi="NPSRawlinson"/>
                <w:sz w:val="18"/>
                <w:szCs w:val="18"/>
              </w:rPr>
            </w:pPr>
            <w:r>
              <w:rPr>
                <w:rFonts w:ascii="NPSRawlinson" w:hAnsi="NPSRawlinson"/>
                <w:sz w:val="18"/>
                <w:szCs w:val="18"/>
              </w:rPr>
              <w:t>(mm/</w:t>
            </w:r>
            <w:proofErr w:type="spellStart"/>
            <w:r>
              <w:rPr>
                <w:rFonts w:ascii="NPSRawlinson" w:hAnsi="NPSRawlinson"/>
                <w:sz w:val="18"/>
                <w:szCs w:val="18"/>
              </w:rPr>
              <w:t>dd</w:t>
            </w:r>
            <w:proofErr w:type="spellEnd"/>
            <w:r>
              <w:rPr>
                <w:rFonts w:ascii="NPSRawlinson" w:hAnsi="NPSRawlinson"/>
                <w:i/>
                <w:iCs/>
                <w:sz w:val="18"/>
                <w:szCs w:val="18"/>
              </w:rPr>
              <w:t>/</w:t>
            </w:r>
            <w:proofErr w:type="spellStart"/>
            <w:r>
              <w:rPr>
                <w:rFonts w:ascii="NPSRawlinson" w:hAnsi="NPSRawlinson"/>
                <w:sz w:val="18"/>
                <w:szCs w:val="18"/>
              </w:rPr>
              <w:t>yyyy</w:t>
            </w:r>
            <w:proofErr w:type="spellEnd"/>
            <w:r>
              <w:rPr>
                <w:rFonts w:ascii="NPSRawlinson" w:hAnsi="NPSRawlinson"/>
                <w:sz w:val="18"/>
                <w:szCs w:val="18"/>
              </w:rPr>
              <w:t>)</w:t>
            </w:r>
          </w:p>
        </w:tc>
      </w:tr>
      <w:tr w:rsidR="004D0F8F" w:rsidTr="00AD604B">
        <w:trPr>
          <w:cantSplit/>
          <w:trHeight w:val="287"/>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9340" w:type="dxa"/>
            <w:gridSpan w:val="27"/>
            <w:tcBorders>
              <w:top w:val="nil"/>
              <w:left w:val="nil"/>
              <w:bottom w:val="nil"/>
              <w:right w:val="nil"/>
            </w:tcBorders>
          </w:tcPr>
          <w:p w:rsidR="004D0F8F" w:rsidRDefault="004D0F8F">
            <w:pPr>
              <w:rPr>
                <w:rFonts w:ascii="NPSRawlinson" w:hAnsi="NPSRawlinson"/>
                <w:b/>
                <w:bCs/>
                <w:sz w:val="18"/>
                <w:szCs w:val="18"/>
              </w:rPr>
            </w:pPr>
          </w:p>
        </w:tc>
      </w:tr>
      <w:tr w:rsidR="004D0F8F" w:rsidTr="00AD604B">
        <w:trPr>
          <w:cantSplit/>
          <w:trHeight w:val="387"/>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18"/>
                <w:szCs w:val="18"/>
              </w:rPr>
              <w:t>7.</w:t>
            </w:r>
          </w:p>
        </w:tc>
        <w:tc>
          <w:tcPr>
            <w:tcW w:w="9340" w:type="dxa"/>
            <w:gridSpan w:val="27"/>
            <w:tcBorders>
              <w:top w:val="nil"/>
              <w:left w:val="nil"/>
              <w:bottom w:val="nil"/>
              <w:right w:val="nil"/>
            </w:tcBorders>
          </w:tcPr>
          <w:p w:rsidR="004D0F8F" w:rsidRDefault="004D0F8F">
            <w:pPr>
              <w:rPr>
                <w:rFonts w:ascii="NPSRawlinson" w:hAnsi="NPSRawlinson"/>
                <w:sz w:val="20"/>
                <w:szCs w:val="20"/>
              </w:rPr>
            </w:pPr>
            <w:r>
              <w:rPr>
                <w:rFonts w:ascii="NPSRawlinson" w:hAnsi="NPSRawlinson"/>
                <w:b/>
                <w:bCs/>
                <w:sz w:val="18"/>
                <w:szCs w:val="18"/>
              </w:rPr>
              <w:t>Type of Information Collection Instrument (Check ALL that Apply)</w:t>
            </w:r>
          </w:p>
        </w:tc>
      </w:tr>
      <w:tr w:rsidR="004D0F8F" w:rsidTr="00AD604B">
        <w:trPr>
          <w:cantSplit/>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1573" w:type="dxa"/>
            <w:gridSpan w:val="2"/>
            <w:tcBorders>
              <w:top w:val="nil"/>
              <w:left w:val="nil"/>
              <w:bottom w:val="nil"/>
              <w:right w:val="nil"/>
            </w:tcBorders>
          </w:tcPr>
          <w:p w:rsidR="004D0F8F" w:rsidRDefault="004D0F8F">
            <w:pPr>
              <w:rPr>
                <w:rFonts w:ascii="NPSRawlinson" w:hAnsi="NPSRawlinson"/>
                <w:b/>
                <w:bCs/>
                <w:sz w:val="18"/>
                <w:szCs w:val="18"/>
              </w:rPr>
            </w:pPr>
            <w:r>
              <w:rPr>
                <w:rFonts w:ascii="NPSRawlinson" w:hAnsi="NPSRawlinson"/>
                <w:b/>
                <w:bCs/>
                <w:sz w:val="18"/>
                <w:szCs w:val="18"/>
              </w:rPr>
              <w:t>Mail-Back Questionnaire</w:t>
            </w:r>
          </w:p>
          <w:p w:rsidR="004D0F8F" w:rsidRDefault="004D0F8F">
            <w:pPr>
              <w:rPr>
                <w:rFonts w:ascii="NPSRawlinson" w:hAnsi="NPSRawlinson"/>
                <w:b/>
                <w:bCs/>
                <w:sz w:val="18"/>
                <w:szCs w:val="18"/>
              </w:rPr>
            </w:pPr>
          </w:p>
        </w:tc>
        <w:tc>
          <w:tcPr>
            <w:tcW w:w="2996" w:type="dxa"/>
            <w:gridSpan w:val="9"/>
            <w:tcBorders>
              <w:top w:val="nil"/>
              <w:left w:val="nil"/>
              <w:bottom w:val="nil"/>
              <w:right w:val="nil"/>
            </w:tcBorders>
          </w:tcPr>
          <w:p w:rsidR="004D0F8F" w:rsidRDefault="003E6326" w:rsidP="003E6326">
            <w:pPr>
              <w:rPr>
                <w:rFonts w:ascii="NPSRawlinson" w:hAnsi="NPSRawlinson" w:cs="NPSRawlinson"/>
                <w:sz w:val="20"/>
                <w:szCs w:val="20"/>
              </w:rPr>
            </w:pPr>
            <w:r w:rsidRPr="003E6326">
              <w:rPr>
                <w:rFonts w:ascii="NPSRawlinson" w:hAnsi="NPSRawlinson" w:cs="NPSRawlinson"/>
                <w:b/>
                <w:bCs/>
                <w:sz w:val="28"/>
                <w:szCs w:val="28"/>
              </w:rPr>
              <w:t xml:space="preserve">X </w:t>
            </w:r>
            <w:r>
              <w:rPr>
                <w:rFonts w:ascii="NPSRawlinson" w:hAnsi="NPSRawlinson" w:cs="NPSRawlinson"/>
                <w:b/>
                <w:bCs/>
                <w:sz w:val="18"/>
                <w:szCs w:val="18"/>
              </w:rPr>
              <w:t xml:space="preserve"> </w:t>
            </w:r>
            <w:r w:rsidR="004D0F8F">
              <w:rPr>
                <w:rFonts w:ascii="NPSRawlinson" w:hAnsi="NPSRawlinson" w:cs="NPSRawlinson"/>
                <w:b/>
                <w:bCs/>
                <w:sz w:val="18"/>
                <w:szCs w:val="18"/>
              </w:rPr>
              <w:t>On-Site Questionnaire</w:t>
            </w:r>
          </w:p>
        </w:tc>
        <w:tc>
          <w:tcPr>
            <w:tcW w:w="2128" w:type="dxa"/>
            <w:gridSpan w:val="5"/>
            <w:tcBorders>
              <w:top w:val="nil"/>
              <w:left w:val="nil"/>
              <w:bottom w:val="nil"/>
              <w:right w:val="nil"/>
            </w:tcBorders>
          </w:tcPr>
          <w:p w:rsidR="004D0F8F" w:rsidRDefault="004D0F8F">
            <w:pPr>
              <w:rPr>
                <w:rFonts w:ascii="NPSRawlinson" w:hAnsi="NPSRawlinson"/>
                <w:sz w:val="20"/>
                <w:szCs w:val="20"/>
              </w:rPr>
            </w:pPr>
            <w:r>
              <w:rPr>
                <w:rFonts w:ascii="NPSRawlinson" w:hAnsi="NPSRawlinson"/>
                <w:b/>
                <w:bCs/>
                <w:sz w:val="18"/>
                <w:szCs w:val="18"/>
              </w:rPr>
              <w:t>Face-to-Face Interview</w:t>
            </w:r>
          </w:p>
        </w:tc>
        <w:tc>
          <w:tcPr>
            <w:tcW w:w="1542" w:type="dxa"/>
            <w:gridSpan w:val="8"/>
            <w:tcBorders>
              <w:top w:val="nil"/>
              <w:left w:val="nil"/>
              <w:bottom w:val="nil"/>
              <w:right w:val="nil"/>
            </w:tcBorders>
          </w:tcPr>
          <w:p w:rsidR="004D0F8F" w:rsidRDefault="004D0F8F">
            <w:pPr>
              <w:tabs>
                <w:tab w:val="left" w:pos="289"/>
              </w:tabs>
              <w:ind w:left="-52"/>
              <w:rPr>
                <w:rFonts w:ascii="NPSRawlinson" w:hAnsi="NPSRawlinson"/>
                <w:b/>
                <w:bCs/>
                <w:sz w:val="18"/>
                <w:szCs w:val="18"/>
              </w:rPr>
            </w:pPr>
            <w:r>
              <w:rPr>
                <w:rFonts w:ascii="NPSRawlinson" w:hAnsi="NPSRawlinson"/>
                <w:b/>
                <w:bCs/>
                <w:sz w:val="18"/>
                <w:szCs w:val="18"/>
              </w:rPr>
              <w:t>Telephone Survey</w:t>
            </w:r>
          </w:p>
        </w:tc>
        <w:tc>
          <w:tcPr>
            <w:tcW w:w="1101" w:type="dxa"/>
            <w:gridSpan w:val="3"/>
            <w:tcBorders>
              <w:top w:val="nil"/>
              <w:left w:val="nil"/>
              <w:bottom w:val="nil"/>
              <w:right w:val="nil"/>
            </w:tcBorders>
          </w:tcPr>
          <w:p w:rsidR="004D0F8F" w:rsidRDefault="004D0F8F">
            <w:pPr>
              <w:tabs>
                <w:tab w:val="left" w:pos="289"/>
              </w:tabs>
              <w:ind w:left="-52"/>
              <w:rPr>
                <w:rFonts w:ascii="NPSRawlinson" w:hAnsi="NPSRawlinson"/>
                <w:b/>
                <w:bCs/>
                <w:sz w:val="18"/>
                <w:szCs w:val="18"/>
              </w:rPr>
            </w:pPr>
            <w:r>
              <w:rPr>
                <w:rFonts w:ascii="NPSRawlinson" w:hAnsi="NPSRawlinson"/>
                <w:b/>
                <w:bCs/>
                <w:sz w:val="18"/>
                <w:szCs w:val="18"/>
              </w:rPr>
              <w:t>Focus Groups</w:t>
            </w:r>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1573" w:type="dxa"/>
            <w:gridSpan w:val="2"/>
            <w:tcBorders>
              <w:top w:val="nil"/>
              <w:left w:val="nil"/>
              <w:bottom w:val="nil"/>
              <w:right w:val="nil"/>
            </w:tcBorders>
          </w:tcPr>
          <w:p w:rsidR="004D0F8F" w:rsidRDefault="004D0F8F">
            <w:pPr>
              <w:numPr>
                <w:ilvl w:val="0"/>
                <w:numId w:val="24"/>
              </w:numPr>
              <w:rPr>
                <w:rFonts w:ascii="NPSRawlinson" w:hAnsi="NPSRawlinson"/>
                <w:b/>
                <w:bCs/>
                <w:sz w:val="18"/>
                <w:szCs w:val="18"/>
              </w:rPr>
            </w:pPr>
            <w:r>
              <w:rPr>
                <w:rFonts w:ascii="NPSRawlinson" w:hAnsi="NPSRawlinson"/>
                <w:b/>
                <w:bCs/>
                <w:sz w:val="18"/>
                <w:szCs w:val="18"/>
              </w:rPr>
              <w:t>Other (explain)</w:t>
            </w:r>
          </w:p>
        </w:tc>
        <w:tc>
          <w:tcPr>
            <w:tcW w:w="5518" w:type="dxa"/>
            <w:gridSpan w:val="17"/>
          </w:tcPr>
          <w:p w:rsidR="004D0F8F" w:rsidRDefault="004D0F8F">
            <w:pPr>
              <w:rPr>
                <w:sz w:val="20"/>
                <w:szCs w:val="20"/>
              </w:rPr>
            </w:pPr>
          </w:p>
        </w:tc>
        <w:tc>
          <w:tcPr>
            <w:tcW w:w="2249" w:type="dxa"/>
            <w:gridSpan w:val="8"/>
            <w:tcBorders>
              <w:top w:val="nil"/>
              <w:left w:val="nil"/>
              <w:bottom w:val="nil"/>
              <w:right w:val="nil"/>
            </w:tcBorders>
          </w:tcPr>
          <w:p w:rsidR="004D0F8F" w:rsidRDefault="004D0F8F">
            <w:pPr>
              <w:rPr>
                <w:rFonts w:ascii="NPSRawlinson" w:hAnsi="NPSRawlinson"/>
                <w:sz w:val="20"/>
                <w:szCs w:val="20"/>
              </w:rPr>
            </w:pPr>
          </w:p>
        </w:tc>
      </w:tr>
      <w:tr w:rsidR="004D0F8F" w:rsidTr="00AD604B">
        <w:trPr>
          <w:cantSplit/>
          <w:jc w:val="center"/>
        </w:trPr>
        <w:tc>
          <w:tcPr>
            <w:tcW w:w="10053" w:type="dxa"/>
            <w:gridSpan w:val="29"/>
            <w:tcBorders>
              <w:top w:val="nil"/>
              <w:left w:val="nil"/>
              <w:bottom w:val="nil"/>
              <w:right w:val="nil"/>
            </w:tcBorders>
          </w:tcPr>
          <w:p w:rsidR="004D0F8F" w:rsidRDefault="004D0F8F">
            <w:pPr>
              <w:rPr>
                <w:rFonts w:ascii="NPSRawlinson" w:hAnsi="NPSRawlinson"/>
                <w:b/>
                <w:bCs/>
                <w:sz w:val="20"/>
                <w:szCs w:val="20"/>
              </w:rPr>
            </w:pPr>
          </w:p>
        </w:tc>
      </w:tr>
      <w:tr w:rsidR="004D0F8F" w:rsidTr="00AD604B">
        <w:trPr>
          <w:trHeight w:val="6110"/>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18"/>
                <w:szCs w:val="18"/>
              </w:rPr>
              <w:t>8.</w:t>
            </w:r>
          </w:p>
        </w:tc>
        <w:tc>
          <w:tcPr>
            <w:tcW w:w="1573"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Survey Justification:</w:t>
            </w:r>
          </w:p>
          <w:p w:rsidR="004D0F8F" w:rsidRDefault="004D0F8F">
            <w:pPr>
              <w:jc w:val="right"/>
              <w:rPr>
                <w:rFonts w:ascii="NPSRawlinson" w:hAnsi="NPSRawlinson"/>
                <w:b/>
                <w:bCs/>
                <w:sz w:val="18"/>
                <w:szCs w:val="18"/>
              </w:rPr>
            </w:pPr>
            <w:r>
              <w:rPr>
                <w:rFonts w:ascii="NPSRawlinson" w:hAnsi="NPSRawlinson"/>
                <w:b/>
                <w:bCs/>
                <w:sz w:val="18"/>
                <w:szCs w:val="18"/>
              </w:rPr>
              <w:t>(Use as much space as needed; if necessary include additional explanation on a</w:t>
            </w:r>
          </w:p>
          <w:p w:rsidR="004D0F8F" w:rsidRDefault="004D0F8F">
            <w:pPr>
              <w:jc w:val="right"/>
              <w:rPr>
                <w:rFonts w:ascii="NPSRawlinson" w:hAnsi="NPSRawlinson"/>
                <w:b/>
                <w:bCs/>
                <w:sz w:val="18"/>
                <w:szCs w:val="18"/>
              </w:rPr>
            </w:pPr>
            <w:r>
              <w:rPr>
                <w:rFonts w:ascii="NPSRawlinson" w:hAnsi="NPSRawlinson"/>
                <w:b/>
                <w:bCs/>
                <w:sz w:val="18"/>
                <w:szCs w:val="18"/>
              </w:rPr>
              <w:t>separate page.)</w:t>
            </w:r>
          </w:p>
        </w:tc>
        <w:tc>
          <w:tcPr>
            <w:tcW w:w="7767" w:type="dxa"/>
            <w:gridSpan w:val="25"/>
            <w:tcBorders>
              <w:bottom w:val="nil"/>
              <w:right w:val="single" w:sz="4" w:space="0" w:color="auto"/>
            </w:tcBorders>
          </w:tcPr>
          <w:p w:rsidR="004D0F8F" w:rsidRPr="003E6326" w:rsidRDefault="004D0F8F" w:rsidP="00A30D56">
            <w:pPr>
              <w:rPr>
                <w:i/>
                <w:sz w:val="22"/>
                <w:szCs w:val="22"/>
              </w:rPr>
            </w:pPr>
            <w:r w:rsidRPr="003E6326">
              <w:rPr>
                <w:i/>
                <w:sz w:val="22"/>
                <w:szCs w:val="22"/>
                <w:u w:val="single"/>
              </w:rPr>
              <w:t>Legal Justification:</w:t>
            </w:r>
            <w:r w:rsidRPr="003E6326">
              <w:rPr>
                <w:i/>
                <w:sz w:val="22"/>
                <w:szCs w:val="22"/>
              </w:rPr>
              <w:t xml:space="preserve">    The National Park Service Act of 1916, 38 Stat 535, 16 USC 1, et seq., requires 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 </w:t>
            </w:r>
          </w:p>
          <w:p w:rsidR="004D0F8F" w:rsidRPr="003E6326" w:rsidRDefault="004D0F8F" w:rsidP="003F6762">
            <w:pPr>
              <w:rPr>
                <w:sz w:val="22"/>
                <w:szCs w:val="22"/>
              </w:rPr>
            </w:pPr>
          </w:p>
          <w:p w:rsidR="004D0F8F" w:rsidRPr="003E6326" w:rsidRDefault="004D0F8F" w:rsidP="003F6762">
            <w:pPr>
              <w:rPr>
                <w:sz w:val="22"/>
                <w:szCs w:val="22"/>
              </w:rPr>
            </w:pPr>
            <w:r w:rsidRPr="003E6326">
              <w:rPr>
                <w:sz w:val="22"/>
                <w:szCs w:val="22"/>
              </w:rPr>
              <w:t xml:space="preserve">Further, social science research in support of park planning and management is mandated in the </w:t>
            </w:r>
            <w:r w:rsidRPr="003E6326">
              <w:rPr>
                <w:i/>
                <w:iCs/>
                <w:sz w:val="22"/>
                <w:szCs w:val="22"/>
              </w:rPr>
              <w:t>NPS Management Policies 2006</w:t>
            </w:r>
            <w:r w:rsidRPr="003E6326">
              <w:rPr>
                <w:sz w:val="22"/>
                <w:szCs w:val="22"/>
              </w:rPr>
              <w:t xml:space="preserve">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 operations, management, education, and interpretive activities.</w:t>
            </w:r>
          </w:p>
          <w:p w:rsidR="004D0F8F" w:rsidRPr="003E6326" w:rsidRDefault="004D0F8F" w:rsidP="003F6762">
            <w:pPr>
              <w:rPr>
                <w:sz w:val="22"/>
                <w:szCs w:val="22"/>
              </w:rPr>
            </w:pPr>
          </w:p>
          <w:p w:rsidR="004D0F8F" w:rsidRPr="003E6326" w:rsidRDefault="00596F6A" w:rsidP="001642C4">
            <w:pPr>
              <w:rPr>
                <w:sz w:val="22"/>
                <w:szCs w:val="22"/>
              </w:rPr>
            </w:pPr>
            <w:r w:rsidRPr="003E6326">
              <w:rPr>
                <w:sz w:val="22"/>
                <w:szCs w:val="22"/>
              </w:rPr>
              <w:t>Protecting natural sounds is an important goal set by the National Park Service in management policy 4.9: Park natural soundscape resources encompass all the natural sounds that occur in parks, including the physical capacity for transmitting those natural sounds and the interrelationships among park natural sounds of different frequencies and volumes. Natural sounds occur within and beyond the range of sounds that humans can perceive, and they can be transmitted through air, water, or solid materials. The National Park Service will preserve, to the greatest extent possible, the natural soundscapes of parks.  The Service will restore to the natural condition wherever possible those park soundscapes that have become degraded by unnatural sounds (noise), and will protect natural soundscapes from any unacceptable impacts  (National Park Service Management Policies, 2006).</w:t>
            </w:r>
          </w:p>
          <w:p w:rsidR="004D0F8F" w:rsidRPr="003E6326" w:rsidRDefault="004D0F8F" w:rsidP="003F6762">
            <w:pPr>
              <w:rPr>
                <w:sz w:val="22"/>
                <w:szCs w:val="22"/>
              </w:rPr>
            </w:pPr>
          </w:p>
          <w:p w:rsidR="004D0F8F" w:rsidRDefault="004D0F8F" w:rsidP="00534957">
            <w:pPr>
              <w:rPr>
                <w:sz w:val="22"/>
                <w:szCs w:val="22"/>
              </w:rPr>
            </w:pPr>
            <w:r w:rsidRPr="003E6326">
              <w:rPr>
                <w:sz w:val="22"/>
                <w:szCs w:val="22"/>
                <w:u w:val="single"/>
              </w:rPr>
              <w:t>Management Justification:</w:t>
            </w:r>
            <w:r w:rsidRPr="003E6326">
              <w:rPr>
                <w:sz w:val="22"/>
                <w:szCs w:val="22"/>
              </w:rPr>
              <w:t xml:space="preserve"> Transportation systems, operations, and programs are necessary to facilitate public access and visitor enjoyment of national parks. However, there can be a number of transportation-related impacts to national park resources and visitor experience quality (Daigle, 2008). For example, Mount Rainier National Park accommodates more than 1 million visitors annually and experiences intensive visitation during summer months. Associated with intensive park visitation are a number of transportation-related impacts, including traffic congestion at park entrances and on park roads, parking shortages and associated visitor frustration, and resource impacts from unendorsed parking. Denali National Park does not experience </w:t>
            </w:r>
            <w:r w:rsidRPr="003E6326">
              <w:rPr>
                <w:sz w:val="22"/>
                <w:szCs w:val="22"/>
              </w:rPr>
              <w:lastRenderedPageBreak/>
              <w:t xml:space="preserve">the same levels of visitation as Mount Rainier National Park, yet transportation-related impacts are evident there as well. For example, visitor’s primary means of access to the park’s interior is via tour buses, which have visual, soundscape, and air quality impacts on park resources and visitor experience quality (Ambrose &amp; </w:t>
            </w:r>
            <w:proofErr w:type="spellStart"/>
            <w:r w:rsidRPr="003E6326">
              <w:rPr>
                <w:sz w:val="22"/>
                <w:szCs w:val="22"/>
              </w:rPr>
              <w:t>Burson</w:t>
            </w:r>
            <w:proofErr w:type="spellEnd"/>
            <w:r w:rsidRPr="003E6326">
              <w:rPr>
                <w:sz w:val="22"/>
                <w:szCs w:val="22"/>
              </w:rPr>
              <w:t xml:space="preserve">, 2004; </w:t>
            </w:r>
            <w:proofErr w:type="spellStart"/>
            <w:r w:rsidRPr="003E6326">
              <w:rPr>
                <w:sz w:val="22"/>
                <w:szCs w:val="22"/>
              </w:rPr>
              <w:t>Krog</w:t>
            </w:r>
            <w:proofErr w:type="spellEnd"/>
            <w:r w:rsidRPr="003E6326">
              <w:rPr>
                <w:sz w:val="22"/>
                <w:szCs w:val="22"/>
              </w:rPr>
              <w:t xml:space="preserve"> &amp; </w:t>
            </w:r>
            <w:proofErr w:type="spellStart"/>
            <w:r w:rsidRPr="003E6326">
              <w:rPr>
                <w:sz w:val="22"/>
                <w:szCs w:val="22"/>
              </w:rPr>
              <w:t>Engdahl</w:t>
            </w:r>
            <w:proofErr w:type="spellEnd"/>
            <w:r w:rsidRPr="003E6326">
              <w:rPr>
                <w:sz w:val="22"/>
                <w:szCs w:val="22"/>
              </w:rPr>
              <w:t xml:space="preserve">, 2005; </w:t>
            </w:r>
            <w:proofErr w:type="spellStart"/>
            <w:r w:rsidRPr="003E6326">
              <w:rPr>
                <w:sz w:val="22"/>
                <w:szCs w:val="22"/>
              </w:rPr>
              <w:t>Ouis</w:t>
            </w:r>
            <w:proofErr w:type="spellEnd"/>
            <w:r w:rsidRPr="003E6326">
              <w:rPr>
                <w:sz w:val="22"/>
                <w:szCs w:val="22"/>
              </w:rPr>
              <w:t>, 2001).  While transportation planning, management, and operations are inextricably linked to visitor use and visitor experience quality, few studies have examined these relationships (Lawson et al., 2009). The package of surveys included in this study are designed to examine the impacts of transportation on visitor experience quality and visitors’ perceptions of and attitudes about managing transportation-related impacts in national parks, and include:</w:t>
            </w:r>
          </w:p>
          <w:p w:rsidR="003E6326" w:rsidRPr="003E6326" w:rsidRDefault="003E6326" w:rsidP="00534957">
            <w:pPr>
              <w:rPr>
                <w:sz w:val="22"/>
                <w:szCs w:val="22"/>
              </w:rPr>
            </w:pPr>
          </w:p>
          <w:p w:rsidR="004D0F8F" w:rsidRPr="003E6326" w:rsidRDefault="004D0F8F" w:rsidP="00534957">
            <w:pPr>
              <w:rPr>
                <w:sz w:val="20"/>
                <w:szCs w:val="20"/>
              </w:rPr>
            </w:pPr>
            <w:r w:rsidRPr="003E6326">
              <w:rPr>
                <w:b/>
                <w:sz w:val="20"/>
                <w:szCs w:val="20"/>
              </w:rPr>
              <w:t>Instrument A -</w:t>
            </w:r>
            <w:r w:rsidRPr="003E6326">
              <w:rPr>
                <w:sz w:val="20"/>
                <w:szCs w:val="20"/>
              </w:rPr>
              <w:t xml:space="preserve"> Transportation Effects on Soundscape Experience - DENA </w:t>
            </w:r>
          </w:p>
          <w:p w:rsidR="004D0F8F" w:rsidRPr="003E6326" w:rsidRDefault="004D0F8F" w:rsidP="00534957">
            <w:pPr>
              <w:rPr>
                <w:sz w:val="20"/>
                <w:szCs w:val="20"/>
              </w:rPr>
            </w:pPr>
            <w:r w:rsidRPr="003E6326">
              <w:rPr>
                <w:b/>
                <w:sz w:val="20"/>
                <w:szCs w:val="20"/>
              </w:rPr>
              <w:t>Instrument B -</w:t>
            </w:r>
            <w:r w:rsidRPr="003E6326">
              <w:rPr>
                <w:sz w:val="20"/>
                <w:szCs w:val="20"/>
              </w:rPr>
              <w:t xml:space="preserve"> Transportation Effects on Soundscape Experience - MORA</w:t>
            </w:r>
          </w:p>
          <w:p w:rsidR="004D0F8F" w:rsidRPr="003E6326" w:rsidRDefault="004D0F8F" w:rsidP="00534957">
            <w:pPr>
              <w:rPr>
                <w:sz w:val="20"/>
                <w:szCs w:val="20"/>
              </w:rPr>
            </w:pPr>
            <w:r w:rsidRPr="003E6326">
              <w:rPr>
                <w:b/>
                <w:sz w:val="20"/>
                <w:szCs w:val="20"/>
              </w:rPr>
              <w:t>Instrument C -</w:t>
            </w:r>
            <w:r w:rsidRPr="003E6326">
              <w:rPr>
                <w:sz w:val="20"/>
                <w:szCs w:val="20"/>
              </w:rPr>
              <w:t xml:space="preserve"> Transportation Effects on Auto Touring Experience, Park Roads - MORA </w:t>
            </w:r>
          </w:p>
          <w:p w:rsidR="004D0F8F" w:rsidRPr="003E6326" w:rsidRDefault="004D0F8F" w:rsidP="00534957">
            <w:pPr>
              <w:rPr>
                <w:sz w:val="20"/>
                <w:szCs w:val="20"/>
              </w:rPr>
            </w:pPr>
            <w:r w:rsidRPr="003E6326">
              <w:rPr>
                <w:b/>
                <w:sz w:val="20"/>
                <w:szCs w:val="20"/>
              </w:rPr>
              <w:t>Instrument D -</w:t>
            </w:r>
            <w:r w:rsidRPr="003E6326">
              <w:rPr>
                <w:sz w:val="20"/>
                <w:szCs w:val="20"/>
              </w:rPr>
              <w:t xml:space="preserve"> Transportation Effects on Auto Touring Experience, Scenic Overlooks - MORA </w:t>
            </w:r>
          </w:p>
          <w:p w:rsidR="004D0F8F" w:rsidRPr="003E6326" w:rsidRDefault="004D0F8F" w:rsidP="00534957">
            <w:pPr>
              <w:rPr>
                <w:sz w:val="20"/>
                <w:szCs w:val="20"/>
              </w:rPr>
            </w:pPr>
            <w:r w:rsidRPr="003E6326">
              <w:rPr>
                <w:b/>
                <w:sz w:val="20"/>
                <w:szCs w:val="20"/>
              </w:rPr>
              <w:t>Instrument E -</w:t>
            </w:r>
            <w:r w:rsidRPr="003E6326">
              <w:rPr>
                <w:sz w:val="20"/>
                <w:szCs w:val="20"/>
              </w:rPr>
              <w:t xml:space="preserve"> Transportation Effects on Park Shuttle Experience - MORA </w:t>
            </w:r>
          </w:p>
          <w:p w:rsidR="004D0F8F" w:rsidRPr="003E6326" w:rsidRDefault="004D0F8F" w:rsidP="00534957">
            <w:pPr>
              <w:rPr>
                <w:sz w:val="20"/>
                <w:szCs w:val="20"/>
              </w:rPr>
            </w:pPr>
            <w:r w:rsidRPr="003E6326">
              <w:rPr>
                <w:b/>
                <w:sz w:val="20"/>
                <w:szCs w:val="20"/>
              </w:rPr>
              <w:t>Instrument F -</w:t>
            </w:r>
            <w:r w:rsidRPr="003E6326">
              <w:rPr>
                <w:sz w:val="20"/>
                <w:szCs w:val="20"/>
              </w:rPr>
              <w:t xml:space="preserve"> Transportation Effects on Decisions to Use Park Shuttle Service - MORA</w:t>
            </w:r>
          </w:p>
          <w:p w:rsidR="004D0F8F" w:rsidRPr="003E6326" w:rsidRDefault="004D0F8F" w:rsidP="00534957">
            <w:pPr>
              <w:rPr>
                <w:sz w:val="22"/>
                <w:szCs w:val="22"/>
              </w:rPr>
            </w:pPr>
          </w:p>
          <w:p w:rsidR="004D0F8F" w:rsidRPr="003E6326" w:rsidRDefault="004D0F8F" w:rsidP="00534957">
            <w:pPr>
              <w:rPr>
                <w:sz w:val="22"/>
                <w:szCs w:val="22"/>
              </w:rPr>
            </w:pPr>
            <w:r w:rsidRPr="003E6326">
              <w:rPr>
                <w:sz w:val="22"/>
                <w:szCs w:val="22"/>
              </w:rPr>
              <w:t xml:space="preserve">The results of this study will be used to inform park transportation and visitor use planning and management decisions, including the development of transportation and soundscape-related indicators and standards of visitors experience quality (Lawson et al., 2007; Newman et al., 2006). More generally, the findings from this study will help park managers take actions to improve transportation systems and operations in a manner that is consistent with the parks’ fundamental visitor experience and resource protection objectives. </w:t>
            </w:r>
          </w:p>
          <w:p w:rsidR="004D0F8F" w:rsidRDefault="004D0F8F" w:rsidP="003A5D62">
            <w:pPr>
              <w:rPr>
                <w:sz w:val="20"/>
                <w:szCs w:val="20"/>
              </w:rPr>
            </w:pPr>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1573"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67" w:type="dxa"/>
            <w:gridSpan w:val="25"/>
            <w:tcBorders>
              <w:left w:val="nil"/>
              <w:bottom w:val="single" w:sz="4" w:space="0" w:color="auto"/>
              <w:right w:val="nil"/>
            </w:tcBorders>
          </w:tcPr>
          <w:p w:rsidR="004D0F8F" w:rsidRDefault="004D0F8F">
            <w:pPr>
              <w:rPr>
                <w:rFonts w:ascii="NPSRawlinson" w:hAnsi="NPSRawlinson"/>
                <w:sz w:val="20"/>
                <w:szCs w:val="20"/>
              </w:rPr>
            </w:pPr>
          </w:p>
        </w:tc>
      </w:tr>
      <w:tr w:rsidR="004D0F8F" w:rsidTr="00AD604B">
        <w:trPr>
          <w:trHeight w:val="2870"/>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18"/>
                <w:szCs w:val="18"/>
              </w:rPr>
              <w:t>9.</w:t>
            </w:r>
          </w:p>
        </w:tc>
        <w:tc>
          <w:tcPr>
            <w:tcW w:w="1573"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Survey Methodology: (Use as much space as needed; if necessary include additional explanation on a</w:t>
            </w:r>
          </w:p>
          <w:p w:rsidR="004D0F8F" w:rsidRDefault="004D0F8F">
            <w:pPr>
              <w:jc w:val="right"/>
              <w:rPr>
                <w:rFonts w:ascii="NPSRawlinson" w:hAnsi="NPSRawlinson"/>
                <w:b/>
                <w:bCs/>
                <w:sz w:val="18"/>
                <w:szCs w:val="18"/>
              </w:rPr>
            </w:pPr>
            <w:r>
              <w:rPr>
                <w:rFonts w:ascii="NPSRawlinson" w:hAnsi="NPSRawlinson"/>
                <w:b/>
                <w:bCs/>
                <w:sz w:val="18"/>
                <w:szCs w:val="18"/>
              </w:rPr>
              <w:t>separate</w:t>
            </w:r>
            <w:bookmarkStart w:id="0" w:name="_GoBack"/>
            <w:bookmarkEnd w:id="0"/>
            <w:r>
              <w:rPr>
                <w:rFonts w:ascii="NPSRawlinson" w:hAnsi="NPSRawlinson"/>
                <w:b/>
                <w:bCs/>
                <w:sz w:val="18"/>
                <w:szCs w:val="18"/>
              </w:rPr>
              <w:t xml:space="preserve"> page.)</w:t>
            </w:r>
          </w:p>
        </w:tc>
        <w:tc>
          <w:tcPr>
            <w:tcW w:w="7767" w:type="dxa"/>
            <w:gridSpan w:val="25"/>
            <w:tcBorders>
              <w:bottom w:val="single" w:sz="4" w:space="0" w:color="auto"/>
              <w:right w:val="single" w:sz="4" w:space="0" w:color="auto"/>
            </w:tcBorders>
          </w:tcPr>
          <w:p w:rsidR="006E65A6" w:rsidRPr="006E65A6" w:rsidRDefault="004D0F8F" w:rsidP="006E65A6">
            <w:pPr>
              <w:numPr>
                <w:ilvl w:val="0"/>
                <w:numId w:val="30"/>
              </w:numPr>
              <w:rPr>
                <w:b/>
                <w:bCs/>
                <w:sz w:val="22"/>
                <w:szCs w:val="22"/>
              </w:rPr>
            </w:pPr>
            <w:r w:rsidRPr="003E6326">
              <w:rPr>
                <w:rFonts w:ascii="NPSRawlinson" w:hAnsi="NPSRawlinson"/>
                <w:b/>
                <w:bCs/>
                <w:sz w:val="22"/>
                <w:szCs w:val="22"/>
              </w:rPr>
              <w:t xml:space="preserve">Respondent </w:t>
            </w:r>
            <w:r w:rsidR="00AD604B">
              <w:rPr>
                <w:rFonts w:ascii="NPSRawlinson" w:hAnsi="NPSRawlinson"/>
                <w:b/>
                <w:bCs/>
                <w:sz w:val="22"/>
                <w:szCs w:val="22"/>
              </w:rPr>
              <w:t>U</w:t>
            </w:r>
            <w:r w:rsidRPr="003E6326">
              <w:rPr>
                <w:rFonts w:ascii="NPSRawlinson" w:hAnsi="NPSRawlinson"/>
                <w:b/>
                <w:bCs/>
                <w:sz w:val="22"/>
                <w:szCs w:val="22"/>
              </w:rPr>
              <w:t xml:space="preserve">niverse:  </w:t>
            </w:r>
          </w:p>
          <w:p w:rsidR="00AD604B" w:rsidRPr="003E6326" w:rsidRDefault="00AD604B" w:rsidP="00AD604B">
            <w:pPr>
              <w:ind w:left="360"/>
              <w:rPr>
                <w:b/>
                <w:bCs/>
                <w:sz w:val="22"/>
                <w:szCs w:val="22"/>
              </w:rPr>
            </w:pPr>
          </w:p>
          <w:p w:rsidR="004D0F8F" w:rsidRPr="003E6326" w:rsidRDefault="004D0F8F" w:rsidP="003A1B33">
            <w:pPr>
              <w:adjustRightInd w:val="0"/>
              <w:rPr>
                <w:sz w:val="22"/>
                <w:szCs w:val="22"/>
              </w:rPr>
            </w:pPr>
            <w:r w:rsidRPr="003E6326">
              <w:rPr>
                <w:b/>
                <w:sz w:val="22"/>
                <w:szCs w:val="22"/>
              </w:rPr>
              <w:t>Instrument A</w:t>
            </w:r>
            <w:r w:rsidRPr="003E6326">
              <w:rPr>
                <w:sz w:val="22"/>
                <w:szCs w:val="22"/>
              </w:rPr>
              <w:t xml:space="preserve">: The respondent universe for the </w:t>
            </w:r>
            <w:r w:rsidR="00C76302" w:rsidRPr="00C76302">
              <w:rPr>
                <w:sz w:val="22"/>
                <w:szCs w:val="22"/>
              </w:rPr>
              <w:t xml:space="preserve">Denali National Park </w:t>
            </w:r>
            <w:r w:rsidRPr="003E6326">
              <w:rPr>
                <w:sz w:val="22"/>
                <w:szCs w:val="22"/>
              </w:rPr>
              <w:t xml:space="preserve">visitor survey will be all recreational visitors (18 years of age and older) to the </w:t>
            </w:r>
            <w:proofErr w:type="spellStart"/>
            <w:r w:rsidRPr="003E6326">
              <w:rPr>
                <w:sz w:val="22"/>
                <w:szCs w:val="22"/>
              </w:rPr>
              <w:t>Talkeetna</w:t>
            </w:r>
            <w:proofErr w:type="spellEnd"/>
            <w:r w:rsidRPr="003E6326">
              <w:rPr>
                <w:sz w:val="22"/>
                <w:szCs w:val="22"/>
              </w:rPr>
              <w:t xml:space="preserve"> Ranger Station, the Backcountry Information Center and the Savage River Trail area during the study period. </w:t>
            </w:r>
            <w:r w:rsidR="00E16B9B">
              <w:rPr>
                <w:sz w:val="22"/>
                <w:szCs w:val="22"/>
              </w:rPr>
              <w:t>During the last 5 years, the park averaged j</w:t>
            </w:r>
            <w:r w:rsidR="007A0E38">
              <w:rPr>
                <w:sz w:val="22"/>
                <w:szCs w:val="22"/>
              </w:rPr>
              <w:t>ust over</w:t>
            </w:r>
            <w:r w:rsidR="00E16B9B">
              <w:rPr>
                <w:sz w:val="22"/>
                <w:szCs w:val="22"/>
              </w:rPr>
              <w:t xml:space="preserve"> 225,000 recreation</w:t>
            </w:r>
            <w:r w:rsidR="000C2B90">
              <w:rPr>
                <w:sz w:val="22"/>
                <w:szCs w:val="22"/>
              </w:rPr>
              <w:t>al</w:t>
            </w:r>
            <w:r w:rsidR="00E16B9B">
              <w:rPr>
                <w:sz w:val="22"/>
                <w:szCs w:val="22"/>
              </w:rPr>
              <w:t xml:space="preserve"> visits during the study period</w:t>
            </w:r>
            <w:r w:rsidR="00EE6B45">
              <w:rPr>
                <w:sz w:val="22"/>
                <w:szCs w:val="22"/>
              </w:rPr>
              <w:t xml:space="preserve"> (peak summer season)</w:t>
            </w:r>
            <w:r w:rsidR="006E65A6">
              <w:rPr>
                <w:sz w:val="22"/>
                <w:szCs w:val="22"/>
              </w:rPr>
              <w:t>; this study proposal anticipates contacting 375 recreation visitors</w:t>
            </w:r>
            <w:r w:rsidR="00E16B9B">
              <w:rPr>
                <w:sz w:val="22"/>
                <w:szCs w:val="22"/>
              </w:rPr>
              <w:t>.</w:t>
            </w:r>
          </w:p>
          <w:p w:rsidR="004D0F8F" w:rsidRPr="003E6326" w:rsidRDefault="004D0F8F" w:rsidP="003A1B33">
            <w:pPr>
              <w:adjustRightInd w:val="0"/>
              <w:rPr>
                <w:sz w:val="22"/>
                <w:szCs w:val="22"/>
              </w:rPr>
            </w:pPr>
          </w:p>
          <w:p w:rsidR="006E65A6" w:rsidRDefault="006E65A6" w:rsidP="003A1B33">
            <w:pPr>
              <w:adjustRightInd w:val="0"/>
              <w:rPr>
                <w:b/>
                <w:sz w:val="22"/>
                <w:szCs w:val="22"/>
              </w:rPr>
            </w:pPr>
            <w:r>
              <w:rPr>
                <w:b/>
                <w:sz w:val="22"/>
                <w:szCs w:val="22"/>
              </w:rPr>
              <w:t xml:space="preserve">Instruments B-F: </w:t>
            </w:r>
            <w:r>
              <w:rPr>
                <w:sz w:val="22"/>
                <w:szCs w:val="22"/>
              </w:rPr>
              <w:t>Instruments B-F will be administering in Mount Rainier National Park, and the respondent universe</w:t>
            </w:r>
            <w:r w:rsidR="00C76302">
              <w:rPr>
                <w:sz w:val="22"/>
                <w:szCs w:val="22"/>
              </w:rPr>
              <w:t xml:space="preserve"> </w:t>
            </w:r>
            <w:r>
              <w:rPr>
                <w:sz w:val="22"/>
                <w:szCs w:val="22"/>
              </w:rPr>
              <w:t xml:space="preserve">will be all recreational visitors (18 years of age and older) to the study area during the study period. During the last 5 years, the park averaged </w:t>
            </w:r>
            <w:r w:rsidR="00723661">
              <w:rPr>
                <w:sz w:val="22"/>
                <w:szCs w:val="22"/>
              </w:rPr>
              <w:t>approximately</w:t>
            </w:r>
            <w:r>
              <w:rPr>
                <w:sz w:val="22"/>
                <w:szCs w:val="22"/>
              </w:rPr>
              <w:t xml:space="preserve"> </w:t>
            </w:r>
            <w:r w:rsidR="00723661">
              <w:rPr>
                <w:sz w:val="22"/>
                <w:szCs w:val="22"/>
              </w:rPr>
              <w:t>875</w:t>
            </w:r>
            <w:r w:rsidR="0038284D">
              <w:rPr>
                <w:sz w:val="22"/>
                <w:szCs w:val="22"/>
              </w:rPr>
              <w:t>,000</w:t>
            </w:r>
            <w:r>
              <w:rPr>
                <w:sz w:val="22"/>
                <w:szCs w:val="22"/>
              </w:rPr>
              <w:t xml:space="preserve"> recreation</w:t>
            </w:r>
            <w:r w:rsidR="000C2B90">
              <w:rPr>
                <w:sz w:val="22"/>
                <w:szCs w:val="22"/>
              </w:rPr>
              <w:t>al</w:t>
            </w:r>
            <w:r>
              <w:rPr>
                <w:sz w:val="22"/>
                <w:szCs w:val="22"/>
              </w:rPr>
              <w:t xml:space="preserve"> visits during the study period (peak summer season); this study proposal anticipates contacting </w:t>
            </w:r>
            <w:r w:rsidR="000C2B90">
              <w:rPr>
                <w:sz w:val="22"/>
                <w:szCs w:val="22"/>
              </w:rPr>
              <w:t>1,875</w:t>
            </w:r>
            <w:r>
              <w:rPr>
                <w:sz w:val="22"/>
                <w:szCs w:val="22"/>
              </w:rPr>
              <w:t xml:space="preserve"> recreation</w:t>
            </w:r>
            <w:r w:rsidR="000C2B90">
              <w:rPr>
                <w:sz w:val="22"/>
                <w:szCs w:val="22"/>
              </w:rPr>
              <w:t>al</w:t>
            </w:r>
            <w:r>
              <w:rPr>
                <w:sz w:val="22"/>
                <w:szCs w:val="22"/>
              </w:rPr>
              <w:t xml:space="preserve"> visitors.</w:t>
            </w:r>
            <w:r w:rsidR="00B921DE">
              <w:rPr>
                <w:sz w:val="22"/>
                <w:szCs w:val="22"/>
              </w:rPr>
              <w:t xml:space="preserve"> Additional details about the respondent universe for each of Instruments B-F are reported in the </w:t>
            </w:r>
            <w:r w:rsidR="00950491">
              <w:rPr>
                <w:sz w:val="22"/>
                <w:szCs w:val="22"/>
              </w:rPr>
              <w:t>remainder of this section</w:t>
            </w:r>
            <w:r w:rsidR="00B921DE">
              <w:rPr>
                <w:sz w:val="22"/>
                <w:szCs w:val="22"/>
              </w:rPr>
              <w:t>.</w:t>
            </w:r>
          </w:p>
          <w:p w:rsidR="006E65A6" w:rsidRDefault="006E65A6" w:rsidP="003A1B33">
            <w:pPr>
              <w:adjustRightInd w:val="0"/>
              <w:rPr>
                <w:b/>
                <w:sz w:val="22"/>
                <w:szCs w:val="22"/>
              </w:rPr>
            </w:pPr>
          </w:p>
          <w:p w:rsidR="004D0F8F" w:rsidRPr="003E6326" w:rsidRDefault="004D0F8F" w:rsidP="003A1B33">
            <w:pPr>
              <w:adjustRightInd w:val="0"/>
              <w:rPr>
                <w:sz w:val="22"/>
                <w:szCs w:val="22"/>
              </w:rPr>
            </w:pPr>
            <w:r w:rsidRPr="003E6326">
              <w:rPr>
                <w:b/>
                <w:sz w:val="22"/>
                <w:szCs w:val="22"/>
              </w:rPr>
              <w:t>Instrument B:</w:t>
            </w:r>
            <w:r w:rsidRPr="003E6326">
              <w:rPr>
                <w:sz w:val="22"/>
                <w:szCs w:val="22"/>
              </w:rPr>
              <w:t xml:space="preserve"> </w:t>
            </w:r>
            <w:r w:rsidR="00F76CEA">
              <w:rPr>
                <w:sz w:val="22"/>
                <w:szCs w:val="22"/>
              </w:rPr>
              <w:t xml:space="preserve"> </w:t>
            </w:r>
            <w:r w:rsidRPr="003E6326">
              <w:rPr>
                <w:sz w:val="22"/>
                <w:szCs w:val="22"/>
              </w:rPr>
              <w:t xml:space="preserve">The respondent universe for the visitor survey will be all recreational visitors (18 years of age and older) to the Clover Lake and Van Trump Park areas of Mount Rainier National Park during the study period. </w:t>
            </w:r>
          </w:p>
          <w:p w:rsidR="004D0F8F" w:rsidRPr="003E6326" w:rsidRDefault="004D0F8F" w:rsidP="003A1B33">
            <w:pPr>
              <w:adjustRightInd w:val="0"/>
              <w:rPr>
                <w:sz w:val="22"/>
                <w:szCs w:val="22"/>
              </w:rPr>
            </w:pPr>
          </w:p>
          <w:p w:rsidR="004D0F8F" w:rsidRPr="003E6326" w:rsidRDefault="004D0F8F" w:rsidP="003A1B33">
            <w:pPr>
              <w:adjustRightInd w:val="0"/>
              <w:rPr>
                <w:sz w:val="22"/>
                <w:szCs w:val="22"/>
              </w:rPr>
            </w:pPr>
            <w:r w:rsidRPr="003E6326">
              <w:rPr>
                <w:b/>
                <w:sz w:val="22"/>
                <w:szCs w:val="22"/>
              </w:rPr>
              <w:t>Instrument C:</w:t>
            </w:r>
            <w:r w:rsidRPr="003E6326">
              <w:rPr>
                <w:sz w:val="22"/>
                <w:szCs w:val="22"/>
              </w:rPr>
              <w:t xml:space="preserve"> </w:t>
            </w:r>
            <w:r w:rsidR="00F76CEA">
              <w:rPr>
                <w:sz w:val="22"/>
                <w:szCs w:val="22"/>
              </w:rPr>
              <w:t xml:space="preserve"> </w:t>
            </w:r>
            <w:r w:rsidRPr="003E6326">
              <w:rPr>
                <w:sz w:val="22"/>
                <w:szCs w:val="22"/>
              </w:rPr>
              <w:t xml:space="preserve">The respondent universe for the visitor survey will be all recreational visitors (18 years of age and older) auto touring in the Nisqually/Stevens Canyon </w:t>
            </w:r>
            <w:r w:rsidRPr="003E6326">
              <w:rPr>
                <w:sz w:val="22"/>
                <w:szCs w:val="22"/>
              </w:rPr>
              <w:lastRenderedPageBreak/>
              <w:t>Road Corridor of Mount Rainier National Park during the study period.</w:t>
            </w:r>
          </w:p>
          <w:p w:rsidR="004D0F8F" w:rsidRPr="003E6326" w:rsidRDefault="004D0F8F" w:rsidP="003A1B33">
            <w:pPr>
              <w:adjustRightInd w:val="0"/>
              <w:rPr>
                <w:sz w:val="22"/>
                <w:szCs w:val="22"/>
              </w:rPr>
            </w:pPr>
          </w:p>
          <w:p w:rsidR="004D0F8F" w:rsidRPr="003E6326" w:rsidRDefault="004D0F8F" w:rsidP="003A1B33">
            <w:pPr>
              <w:adjustRightInd w:val="0"/>
              <w:rPr>
                <w:sz w:val="22"/>
                <w:szCs w:val="22"/>
              </w:rPr>
            </w:pPr>
            <w:r w:rsidRPr="003E6326">
              <w:rPr>
                <w:b/>
                <w:sz w:val="22"/>
                <w:szCs w:val="22"/>
              </w:rPr>
              <w:t>Instrument D:</w:t>
            </w:r>
            <w:r w:rsidRPr="003E6326">
              <w:rPr>
                <w:sz w:val="22"/>
                <w:szCs w:val="22"/>
              </w:rPr>
              <w:t xml:space="preserve"> </w:t>
            </w:r>
            <w:r w:rsidR="00F76CEA">
              <w:rPr>
                <w:sz w:val="22"/>
                <w:szCs w:val="22"/>
              </w:rPr>
              <w:t xml:space="preserve"> </w:t>
            </w:r>
            <w:r w:rsidRPr="003E6326">
              <w:rPr>
                <w:sz w:val="22"/>
                <w:szCs w:val="22"/>
              </w:rPr>
              <w:t>The respondent universe for the visitor survey will be all recreational visitors (18 years of age and older) stopped at scenic overlooks while auto touring in the Nisqually/Stevens Canyon Road Corridor of Mount Rainier National Park during the study period.</w:t>
            </w:r>
          </w:p>
          <w:p w:rsidR="004D0F8F" w:rsidRPr="003E6326" w:rsidRDefault="004D0F8F" w:rsidP="003A1B33">
            <w:pPr>
              <w:adjustRightInd w:val="0"/>
              <w:rPr>
                <w:sz w:val="22"/>
                <w:szCs w:val="22"/>
              </w:rPr>
            </w:pPr>
          </w:p>
          <w:p w:rsidR="004D0F8F" w:rsidRPr="003E6326" w:rsidRDefault="004D0F8F" w:rsidP="003A1B33">
            <w:pPr>
              <w:adjustRightInd w:val="0"/>
              <w:rPr>
                <w:sz w:val="22"/>
                <w:szCs w:val="22"/>
              </w:rPr>
            </w:pPr>
            <w:r w:rsidRPr="003E6326">
              <w:rPr>
                <w:b/>
                <w:sz w:val="22"/>
                <w:szCs w:val="22"/>
              </w:rPr>
              <w:t>Instrument E:</w:t>
            </w:r>
            <w:r w:rsidRPr="003E6326">
              <w:rPr>
                <w:sz w:val="22"/>
                <w:szCs w:val="22"/>
              </w:rPr>
              <w:t xml:space="preserve"> </w:t>
            </w:r>
            <w:r w:rsidR="00F76CEA">
              <w:rPr>
                <w:sz w:val="22"/>
                <w:szCs w:val="22"/>
              </w:rPr>
              <w:t xml:space="preserve"> </w:t>
            </w:r>
            <w:r w:rsidRPr="003E6326">
              <w:rPr>
                <w:sz w:val="22"/>
                <w:szCs w:val="22"/>
              </w:rPr>
              <w:t>The respondent universe for the visitor survey will be all recreational visitors (18 years of age and older) using the park’s shuttle system in Mount Rainier National Park during the study period.</w:t>
            </w:r>
          </w:p>
          <w:p w:rsidR="00AD604B" w:rsidRDefault="004D0F8F" w:rsidP="00AD604B">
            <w:pPr>
              <w:adjustRightInd w:val="0"/>
              <w:rPr>
                <w:sz w:val="22"/>
                <w:szCs w:val="22"/>
              </w:rPr>
            </w:pPr>
            <w:r w:rsidRPr="003E6326">
              <w:rPr>
                <w:b/>
                <w:sz w:val="22"/>
                <w:szCs w:val="22"/>
              </w:rPr>
              <w:t>Instrument F:</w:t>
            </w:r>
            <w:r w:rsidRPr="003E6326">
              <w:rPr>
                <w:sz w:val="22"/>
                <w:szCs w:val="22"/>
              </w:rPr>
              <w:t xml:space="preserve"> </w:t>
            </w:r>
            <w:r w:rsidR="00F76CEA">
              <w:rPr>
                <w:sz w:val="22"/>
                <w:szCs w:val="22"/>
              </w:rPr>
              <w:t xml:space="preserve"> </w:t>
            </w:r>
            <w:r w:rsidRPr="003E6326">
              <w:rPr>
                <w:sz w:val="22"/>
                <w:szCs w:val="22"/>
              </w:rPr>
              <w:t>The respondent universe for the visitor survey will be all recreational visitors (18 years of age and older) in the Nisqually/Stevens Canyon Road Corridor of Mount Rainier National Park during the study period.</w:t>
            </w:r>
          </w:p>
          <w:p w:rsidR="00AD604B" w:rsidRDefault="00AD604B" w:rsidP="00AD604B">
            <w:pPr>
              <w:adjustRightInd w:val="0"/>
              <w:rPr>
                <w:sz w:val="22"/>
                <w:szCs w:val="22"/>
              </w:rPr>
            </w:pPr>
          </w:p>
          <w:p w:rsidR="00F76CEA" w:rsidRDefault="004D0F8F" w:rsidP="00AD604B">
            <w:pPr>
              <w:adjustRightInd w:val="0"/>
              <w:rPr>
                <w:rFonts w:ascii="NPSRawlinson" w:hAnsi="NPSRawlinson"/>
                <w:b/>
                <w:bCs/>
                <w:sz w:val="22"/>
                <w:szCs w:val="22"/>
              </w:rPr>
            </w:pPr>
            <w:r w:rsidRPr="003E6326">
              <w:rPr>
                <w:rFonts w:ascii="NPSRawlinson" w:hAnsi="NPSRawlinson"/>
                <w:b/>
                <w:bCs/>
                <w:sz w:val="22"/>
                <w:szCs w:val="22"/>
              </w:rPr>
              <w:t>Sampling plan/procedures:</w:t>
            </w:r>
          </w:p>
          <w:p w:rsidR="004D0F8F" w:rsidRPr="003E6326" w:rsidRDefault="004D0F8F" w:rsidP="00AD604B">
            <w:pPr>
              <w:adjustRightInd w:val="0"/>
              <w:rPr>
                <w:b/>
                <w:bCs/>
                <w:sz w:val="22"/>
                <w:szCs w:val="22"/>
              </w:rPr>
            </w:pPr>
            <w:r w:rsidRPr="003E6326">
              <w:rPr>
                <w:rFonts w:ascii="NPSRawlinson" w:hAnsi="NPSRawlinson"/>
                <w:b/>
                <w:bCs/>
                <w:sz w:val="22"/>
                <w:szCs w:val="22"/>
              </w:rPr>
              <w:t xml:space="preserve">  </w:t>
            </w:r>
          </w:p>
          <w:p w:rsidR="004D0F8F" w:rsidRPr="003E6326" w:rsidRDefault="004D0F8F" w:rsidP="00F73E06">
            <w:pPr>
              <w:adjustRightInd w:val="0"/>
              <w:rPr>
                <w:sz w:val="22"/>
                <w:szCs w:val="22"/>
              </w:rPr>
            </w:pPr>
            <w:r w:rsidRPr="003E6326">
              <w:rPr>
                <w:b/>
                <w:sz w:val="22"/>
                <w:szCs w:val="22"/>
              </w:rPr>
              <w:t>Instrument A:</w:t>
            </w:r>
            <w:r w:rsidRPr="003E6326">
              <w:rPr>
                <w:sz w:val="22"/>
                <w:szCs w:val="22"/>
              </w:rPr>
              <w:t xml:space="preserve"> </w:t>
            </w:r>
            <w:r w:rsidR="00F76CEA">
              <w:rPr>
                <w:sz w:val="22"/>
                <w:szCs w:val="22"/>
              </w:rPr>
              <w:t xml:space="preserve"> </w:t>
            </w:r>
            <w:r w:rsidRPr="003E6326">
              <w:rPr>
                <w:sz w:val="22"/>
                <w:szCs w:val="22"/>
              </w:rPr>
              <w:t xml:space="preserve">The visitor survey sampling period will occur on a total of </w:t>
            </w:r>
            <w:r w:rsidR="00783660">
              <w:rPr>
                <w:sz w:val="22"/>
                <w:szCs w:val="22"/>
              </w:rPr>
              <w:t>30</w:t>
            </w:r>
            <w:r w:rsidRPr="003E6326">
              <w:rPr>
                <w:sz w:val="22"/>
                <w:szCs w:val="22"/>
              </w:rPr>
              <w:t xml:space="preserve"> randomly selected days during the peak summer visitation season at Denali National Park and Preserve. Sampling days will be stratified by day of the week and location. Furthermore, each location will be sampled an equal number of times. On each sampling day, trained surveyors will be stationed at each selected point from 8am to 5pm. The surveyors will recruit study participants by contacting a random sample of visitor groups as they are walking past the study area and ask them to participate in a listening exercise.</w:t>
            </w:r>
            <w:r w:rsidR="00783660">
              <w:rPr>
                <w:sz w:val="22"/>
                <w:szCs w:val="22"/>
              </w:rPr>
              <w:t xml:space="preserve"> </w:t>
            </w:r>
            <w:r w:rsidRPr="003E6326">
              <w:rPr>
                <w:sz w:val="22"/>
                <w:szCs w:val="22"/>
              </w:rPr>
              <w:t xml:space="preserve">Only one individual from each intercepted group will be asked to participate </w:t>
            </w:r>
            <w:r w:rsidR="00783660" w:rsidRPr="003E6326">
              <w:rPr>
                <w:sz w:val="22"/>
                <w:szCs w:val="22"/>
              </w:rPr>
              <w:t>using the next-birthday method of respondent selection</w:t>
            </w:r>
            <w:r w:rsidRPr="003E6326">
              <w:rPr>
                <w:sz w:val="22"/>
                <w:szCs w:val="22"/>
              </w:rPr>
              <w:t>. Therefore, the surveyor will not distract listeners by talking to people passing by. When the visitor is relaxed and ready to listen, the surveyors will instruct them to close their eyes and listen for approximately three minutes to the sounds around them, including both human and natural sounds. After three minutes, they will be instructed to open their eyes and then complete the visitor survey. Instructions for the visitor survey will be posted on the front page; however the surveyors will also explain these instructions before passing out the survey. When the individual finishes the survey, the surveyor will then randomly select another individual to participate in the visitor survey.</w:t>
            </w:r>
          </w:p>
          <w:p w:rsidR="004D0F8F" w:rsidRPr="003E6326" w:rsidRDefault="004D0F8F" w:rsidP="00617644">
            <w:pPr>
              <w:adjustRightInd w:val="0"/>
              <w:rPr>
                <w:sz w:val="22"/>
                <w:szCs w:val="22"/>
              </w:rPr>
            </w:pPr>
          </w:p>
          <w:p w:rsidR="004D0F8F" w:rsidRPr="003E6326" w:rsidRDefault="004D0F8F" w:rsidP="00617644">
            <w:pPr>
              <w:adjustRightInd w:val="0"/>
              <w:rPr>
                <w:sz w:val="22"/>
                <w:szCs w:val="22"/>
              </w:rPr>
            </w:pPr>
            <w:r w:rsidRPr="003E6326">
              <w:rPr>
                <w:b/>
                <w:sz w:val="22"/>
                <w:szCs w:val="22"/>
              </w:rPr>
              <w:t>Instrument B:</w:t>
            </w:r>
            <w:r w:rsidRPr="003E6326">
              <w:rPr>
                <w:sz w:val="22"/>
                <w:szCs w:val="22"/>
              </w:rPr>
              <w:t xml:space="preserve"> </w:t>
            </w:r>
            <w:r w:rsidR="00F76CEA">
              <w:rPr>
                <w:sz w:val="22"/>
                <w:szCs w:val="22"/>
              </w:rPr>
              <w:t xml:space="preserve"> </w:t>
            </w:r>
            <w:r w:rsidRPr="003E6326">
              <w:rPr>
                <w:sz w:val="22"/>
                <w:szCs w:val="22"/>
              </w:rPr>
              <w:t xml:space="preserve">Sampling will occur on 10 randomly selected days during the peak summer visitation season at Mount Rainier. Sampling will be stratified by day of the week and location, with two sampling locations – Comet Falls and Clover Lake. Both sampling locations will be in backcountry locations (Transition Trail Zone and Semi-Primitive Trail Zone of park’s GMP) of the park, approximately 1-2 miles from the corresponding trailheads. On each sampling day, trained surveyors will be stationed at selected intercept points from 10 AM to 6 PM. The surveyors will recruit study participants by contacting a random sample of visitor groups as they are walking past the study area and ask them to participate in a listening exercise. Only one individual from each intercepted group will be asked to participate using the next-birthday method of respondent selection. The study will be conducted employing the “attended listening” method originally developed and tested at Grand Teton National Park in 2006 (OMB 1024-0224, NPS 06-043) and refined at Haleakala National Park in 2007 (OMB 1024-0224, NPS 07-014), and at Sequoia and Kings Canyon national parks in 2008 (OMB 1024-0224, NPS 08-029). Participants will be instructed to close their eyes and listen to the sounds around them, including transportation-related sounds. After they have heard all the sounds that they think they can hear, they will </w:t>
            </w:r>
            <w:r w:rsidRPr="003E6326">
              <w:rPr>
                <w:sz w:val="22"/>
                <w:szCs w:val="22"/>
              </w:rPr>
              <w:lastRenderedPageBreak/>
              <w:t>be instructed to open their eyes and complete the questionnaire. Instructions will be printed on the front page of the survey instrument; however, the surveyors also will explain these instructions when distributing the questionnaire. After a visitor completes the questionnaire, the surveyor will then intercept the next group to pass the sampling point and randomly select another individual to participate in the visitor survey.</w:t>
            </w:r>
          </w:p>
          <w:p w:rsidR="004D0F8F" w:rsidRDefault="004D0F8F" w:rsidP="00617644">
            <w:pPr>
              <w:adjustRightInd w:val="0"/>
              <w:rPr>
                <w:sz w:val="20"/>
                <w:szCs w:val="20"/>
              </w:rPr>
            </w:pPr>
          </w:p>
          <w:p w:rsidR="004D0F8F" w:rsidRDefault="004D0F8F" w:rsidP="00B167B8">
            <w:pPr>
              <w:rPr>
                <w:sz w:val="22"/>
                <w:szCs w:val="22"/>
              </w:rPr>
            </w:pPr>
            <w:r w:rsidRPr="003E6326">
              <w:rPr>
                <w:b/>
                <w:sz w:val="22"/>
                <w:szCs w:val="22"/>
                <w:u w:val="single"/>
              </w:rPr>
              <w:t>Instrument C</w:t>
            </w:r>
            <w:r w:rsidRPr="003E6326">
              <w:rPr>
                <w:b/>
                <w:sz w:val="22"/>
                <w:szCs w:val="22"/>
              </w:rPr>
              <w:t>:</w:t>
            </w:r>
            <w:r w:rsidRPr="003E6326">
              <w:rPr>
                <w:sz w:val="22"/>
                <w:szCs w:val="22"/>
              </w:rPr>
              <w:t xml:space="preserve">  The sampling period is designed to include the park's peak use period.  A survey will be administered to visitors at two of the primary auto touring destinations in the Nisqually/Stevens Canyon Road Corridor - Paradise and </w:t>
            </w:r>
            <w:proofErr w:type="spellStart"/>
            <w:r w:rsidRPr="003E6326">
              <w:rPr>
                <w:sz w:val="22"/>
                <w:szCs w:val="22"/>
              </w:rPr>
              <w:t>Ricksecker</w:t>
            </w:r>
            <w:proofErr w:type="spellEnd"/>
            <w:r w:rsidRPr="003E6326">
              <w:rPr>
                <w:sz w:val="22"/>
                <w:szCs w:val="22"/>
              </w:rPr>
              <w:t xml:space="preserve"> Point. At each site, sampling will be conducted on five randomly selected days throughout the period of the study. The sampling days will be spread out over the days of the week and the sampling period will be from 10 AM to 6 PM. During each sampling period, trained surveyors will be stationed at the study sites. When the sampling period begins, the surveyors will approach the first visitor group exiting the site and ask them to participate in the survey.  If members of the visitor group agree to participate, the eligible person in the group whose birthday is closest to the sampling day will be asked to complete the questionnaire. When the surveyor has completed his/her contact with the group, the surveyor will ask the next visitor group exiting the site to participate in the survey.  This process will continue throughout the sampling period. Visitors will complete the on-site questionnaire in the presence of the surveyors, who will answer any questions that arise and collect the surveys upon completion. A screening question will be asked to assure that participants will not be surveyed more than once and to ensure they are auto touring in personal vehicles, rather than riding the park’s shuttle buses.</w:t>
            </w:r>
          </w:p>
          <w:p w:rsidR="003E6326" w:rsidRPr="003E6326" w:rsidRDefault="003E6326" w:rsidP="00B167B8">
            <w:pPr>
              <w:rPr>
                <w:sz w:val="22"/>
                <w:szCs w:val="22"/>
              </w:rPr>
            </w:pPr>
          </w:p>
          <w:p w:rsidR="004D0F8F" w:rsidRPr="003E6326" w:rsidRDefault="004D0F8F" w:rsidP="005E0BEA">
            <w:pPr>
              <w:rPr>
                <w:sz w:val="22"/>
                <w:szCs w:val="22"/>
              </w:rPr>
            </w:pPr>
            <w:r w:rsidRPr="003E6326">
              <w:rPr>
                <w:b/>
                <w:sz w:val="22"/>
                <w:szCs w:val="22"/>
                <w:u w:val="single"/>
              </w:rPr>
              <w:t>Instrument D</w:t>
            </w:r>
            <w:r w:rsidRPr="003E6326">
              <w:rPr>
                <w:b/>
                <w:sz w:val="22"/>
                <w:szCs w:val="22"/>
              </w:rPr>
              <w:t>:</w:t>
            </w:r>
            <w:r w:rsidRPr="003E6326">
              <w:rPr>
                <w:sz w:val="22"/>
                <w:szCs w:val="22"/>
              </w:rPr>
              <w:t xml:space="preserve">  The sampling period is designed to include the park's peak use period.  A survey will be administered to visitors at two of the primary scenic overlooks visited by auto touring visitors in the Nisqually/Stevens Canyon Road Corridor – </w:t>
            </w:r>
            <w:proofErr w:type="spellStart"/>
            <w:r w:rsidRPr="003E6326">
              <w:rPr>
                <w:sz w:val="22"/>
                <w:szCs w:val="22"/>
              </w:rPr>
              <w:t>Narada</w:t>
            </w:r>
            <w:proofErr w:type="spellEnd"/>
            <w:r w:rsidRPr="003E6326">
              <w:rPr>
                <w:sz w:val="22"/>
                <w:szCs w:val="22"/>
              </w:rPr>
              <w:t xml:space="preserve"> Falls and Inspiration Point. At each site, sampling will be conducted on five randomly selected days throughout the period of the study. The sampling days will be spread out over the days of the week and the sampling period will be from 10 AM to 6 PM. During each sampling period, trained surveyors will be stationed at the study sites. When the sampling period begins, the surveyors will approach the first visitor group exiting the site and ask them to participate in the survey.  If members of the visitor group agree to participate, the eligible person in the group whose birthday is closest to the sampling day will be asked to complete the questionnaire. When the surveyor has completed his/her contact with the group, the surveyor will ask the next visitor group exiting the site to participate in the survey.  This process will continue throughout the sampling period. Visitors will complete the on-site questionnaire in the presence of the surveyors, who will answer any questions that arise and collect the surveys upon completion. A screening question will be asked to assure that participants will not be surveyed more than once and to record visitor’s mode of travel to the study site (i.e., personal vehicle or park shuttle bus).</w:t>
            </w:r>
          </w:p>
          <w:p w:rsidR="004D0F8F" w:rsidRPr="003E6326" w:rsidRDefault="004D0F8F" w:rsidP="005E0BEA">
            <w:pPr>
              <w:rPr>
                <w:sz w:val="22"/>
                <w:szCs w:val="22"/>
              </w:rPr>
            </w:pPr>
          </w:p>
          <w:p w:rsidR="004D0F8F" w:rsidRDefault="004D0F8F" w:rsidP="005E0BEA">
            <w:pPr>
              <w:rPr>
                <w:sz w:val="22"/>
                <w:szCs w:val="22"/>
              </w:rPr>
            </w:pPr>
            <w:r w:rsidRPr="003E6326">
              <w:rPr>
                <w:b/>
                <w:sz w:val="22"/>
                <w:szCs w:val="22"/>
                <w:u w:val="single"/>
              </w:rPr>
              <w:t>Instrument E</w:t>
            </w:r>
            <w:r w:rsidRPr="003E6326">
              <w:rPr>
                <w:b/>
                <w:sz w:val="22"/>
                <w:szCs w:val="22"/>
              </w:rPr>
              <w:t>:</w:t>
            </w:r>
            <w:r w:rsidRPr="003E6326">
              <w:rPr>
                <w:sz w:val="22"/>
                <w:szCs w:val="22"/>
              </w:rPr>
              <w:t xml:space="preserve">  The sampling period is designed to include the park's peak use period.  A survey will be administered to visitors at two of the primary shuttle bus stops in the Nisqually/Stevens Canyon Road Corridor – Cougar Rock and Longmire. At each site, sampling will be conducted on five randomly selected days throughout the period of the study. The sampling days will be spread out over the days of the week and the sampling period will be from 10 AM to 6 PM. During each sampling </w:t>
            </w:r>
            <w:r w:rsidRPr="003E6326">
              <w:rPr>
                <w:sz w:val="22"/>
                <w:szCs w:val="22"/>
              </w:rPr>
              <w:lastRenderedPageBreak/>
              <w:t>period, trained surveyors will be stationed at the study sites. When the sampling period begins, the surveyors will approach the first visitor group exiting the shuttle bus and ask them to participate in the survey.  If members of the visitor group agree to participate, the eligible person in the group whose birthday is closest to the sampling day will be asked to complete the questionnaire. When the surveyor has completed his/her contact with the group, the surveyor will ask the next visitor group exiting the bus to participate in the survey.  This process will continue throughout the sampling period. Visitors will complete the on-site questionnaire in the presence of the surveyors, who will answer any questions that arise and collect the surveys upon completion. A screening question will be asked to assure that participants will not be surveyed more than once.</w:t>
            </w:r>
          </w:p>
          <w:p w:rsidR="00F76CEA" w:rsidRPr="003E6326" w:rsidRDefault="00F76CEA" w:rsidP="005E0BEA">
            <w:pPr>
              <w:rPr>
                <w:sz w:val="22"/>
                <w:szCs w:val="22"/>
              </w:rPr>
            </w:pPr>
          </w:p>
          <w:p w:rsidR="004D0F8F" w:rsidRPr="003E6326" w:rsidRDefault="004D0F8F" w:rsidP="00212165">
            <w:pPr>
              <w:rPr>
                <w:sz w:val="22"/>
                <w:szCs w:val="22"/>
              </w:rPr>
            </w:pPr>
            <w:r w:rsidRPr="003E6326">
              <w:rPr>
                <w:b/>
                <w:sz w:val="22"/>
                <w:szCs w:val="22"/>
                <w:u w:val="single"/>
              </w:rPr>
              <w:t>Instrument F</w:t>
            </w:r>
            <w:r w:rsidRPr="003E6326">
              <w:rPr>
                <w:b/>
                <w:sz w:val="22"/>
                <w:szCs w:val="22"/>
              </w:rPr>
              <w:t>:</w:t>
            </w:r>
            <w:r w:rsidRPr="003E6326">
              <w:rPr>
                <w:sz w:val="22"/>
                <w:szCs w:val="22"/>
              </w:rPr>
              <w:t xml:space="preserve">  The sampling period is designed to include the park's peak use period.  A survey will be administered to visitors at Paradise, which is the most popular visitor destination in the park. Sampling will be conducted on ten randomly selected days throughout the period of the study. The sampling days will be spread out over the days of the week and the sampling period will be from 10 AM to 6 PM. During each sampling period, trained surveyors will be stationed at Paradise. When the sampling period begins, the surveyors will approach the first visitor group exiting the site and ask them to participate in the survey.  If members of the visitor group agree to participate, the eligible person in the group whose birthday is closest to the sampling day will be asked to complete the questionnaire. When the surveyor has completed his/her contact with the group, the surveyor will ask the next visitor group exiting the site to participate in the survey.  This process will continue throughout the sampling period. Visitors will complete the on-site questionnaire in the presence of the surveyors, who will answer any questions that arise and collect the surveys upon completion. A screening question will be asked to assure that participants will not be surveyed more than once and to record visitors mode of travel to Paradise (i.e., personal vehicle or park shuttle bus).</w:t>
            </w:r>
          </w:p>
          <w:p w:rsidR="004D0F8F" w:rsidRDefault="004D0F8F">
            <w:pPr>
              <w:rPr>
                <w:sz w:val="20"/>
                <w:szCs w:val="20"/>
              </w:rPr>
            </w:pPr>
          </w:p>
          <w:p w:rsidR="004D0F8F" w:rsidRPr="003E6326" w:rsidRDefault="004D0F8F">
            <w:pPr>
              <w:numPr>
                <w:ilvl w:val="0"/>
                <w:numId w:val="30"/>
              </w:numPr>
              <w:rPr>
                <w:b/>
                <w:bCs/>
                <w:sz w:val="22"/>
                <w:szCs w:val="22"/>
              </w:rPr>
            </w:pPr>
            <w:r w:rsidRPr="003E6326">
              <w:rPr>
                <w:rFonts w:ascii="NPSRawlinson" w:hAnsi="NPSRawlinson"/>
                <w:b/>
                <w:bCs/>
                <w:sz w:val="22"/>
                <w:szCs w:val="22"/>
              </w:rPr>
              <w:t xml:space="preserve">Instrument </w:t>
            </w:r>
            <w:r w:rsidR="00AD604B">
              <w:rPr>
                <w:rFonts w:ascii="NPSRawlinson" w:hAnsi="NPSRawlinson"/>
                <w:b/>
                <w:bCs/>
                <w:sz w:val="22"/>
                <w:szCs w:val="22"/>
              </w:rPr>
              <w:t>A</w:t>
            </w:r>
            <w:r w:rsidRPr="003E6326">
              <w:rPr>
                <w:rFonts w:ascii="NPSRawlinson" w:hAnsi="NPSRawlinson"/>
                <w:b/>
                <w:bCs/>
                <w:sz w:val="22"/>
                <w:szCs w:val="22"/>
              </w:rPr>
              <w:t xml:space="preserve">dministration:  </w:t>
            </w:r>
          </w:p>
          <w:p w:rsidR="004D0F8F" w:rsidRPr="003E6326" w:rsidRDefault="004D0F8F">
            <w:pPr>
              <w:rPr>
                <w:sz w:val="22"/>
                <w:szCs w:val="22"/>
              </w:rPr>
            </w:pPr>
          </w:p>
          <w:p w:rsidR="004D0F8F" w:rsidRDefault="004D0F8F">
            <w:pPr>
              <w:rPr>
                <w:b/>
                <w:sz w:val="22"/>
                <w:szCs w:val="22"/>
                <w:u w:val="single"/>
              </w:rPr>
            </w:pPr>
            <w:r w:rsidRPr="003E6326">
              <w:rPr>
                <w:b/>
                <w:sz w:val="22"/>
                <w:szCs w:val="22"/>
                <w:u w:val="single"/>
              </w:rPr>
              <w:t>Instruments A-F:</w:t>
            </w:r>
          </w:p>
          <w:p w:rsidR="00F76CEA" w:rsidRPr="003E6326" w:rsidRDefault="00F76CEA">
            <w:pPr>
              <w:rPr>
                <w:b/>
                <w:sz w:val="22"/>
                <w:szCs w:val="22"/>
                <w:u w:val="single"/>
              </w:rPr>
            </w:pPr>
          </w:p>
          <w:p w:rsidR="004D0F8F" w:rsidRPr="003E6326" w:rsidRDefault="004D0F8F">
            <w:pPr>
              <w:rPr>
                <w:sz w:val="22"/>
                <w:szCs w:val="22"/>
              </w:rPr>
            </w:pPr>
            <w:r w:rsidRPr="003E6326">
              <w:rPr>
                <w:sz w:val="22"/>
                <w:szCs w:val="22"/>
              </w:rPr>
              <w:t>Visitors selected for participation in any of the surveys included in this study will be read the following script:</w:t>
            </w:r>
          </w:p>
          <w:p w:rsidR="004D0F8F" w:rsidRPr="003E6326" w:rsidRDefault="004D0F8F">
            <w:pPr>
              <w:rPr>
                <w:sz w:val="22"/>
                <w:szCs w:val="22"/>
              </w:rPr>
            </w:pPr>
          </w:p>
          <w:p w:rsidR="004D0F8F" w:rsidRPr="00C76302" w:rsidRDefault="004D0F8F" w:rsidP="00BA1F88">
            <w:pPr>
              <w:ind w:left="690" w:right="953"/>
              <w:rPr>
                <w:i/>
                <w:sz w:val="20"/>
                <w:szCs w:val="20"/>
              </w:rPr>
            </w:pPr>
            <w:r w:rsidRPr="00C76302">
              <w:rPr>
                <w:sz w:val="20"/>
                <w:szCs w:val="20"/>
              </w:rPr>
              <w:t>“</w:t>
            </w:r>
            <w:r w:rsidRPr="00C76302">
              <w:rPr>
                <w:i/>
                <w:sz w:val="20"/>
                <w:szCs w:val="20"/>
              </w:rPr>
              <w:t>Hello, my name is _________.  I am conducting a survey for the National Park Service to better understand your attitudes toward transportation and visitor use in Mount Rainier/Denali National Park. Participation is voluntary and all the responses are anonymous. Would you be willing to spend a few minutes to answer some important questions regarding your visit here? This will only take about 15 minutes.”</w:t>
            </w:r>
          </w:p>
          <w:p w:rsidR="004D0F8F" w:rsidRPr="00C76302" w:rsidRDefault="004D0F8F" w:rsidP="00BA1F88">
            <w:pPr>
              <w:ind w:left="690" w:right="953"/>
              <w:rPr>
                <w:i/>
                <w:sz w:val="20"/>
                <w:szCs w:val="20"/>
              </w:rPr>
            </w:pPr>
          </w:p>
          <w:p w:rsidR="004D0F8F" w:rsidRPr="00C76302" w:rsidRDefault="004D0F8F" w:rsidP="00BA1F88">
            <w:pPr>
              <w:ind w:left="690" w:right="953"/>
              <w:rPr>
                <w:i/>
                <w:sz w:val="20"/>
                <w:szCs w:val="20"/>
              </w:rPr>
            </w:pPr>
            <w:r w:rsidRPr="00C76302">
              <w:rPr>
                <w:i/>
                <w:sz w:val="20"/>
                <w:szCs w:val="20"/>
              </w:rPr>
              <w:t>If “NO” then, “Thank you, I hope you enjoy your visit.”</w:t>
            </w:r>
            <w:r w:rsidRPr="00C76302">
              <w:rPr>
                <w:i/>
                <w:sz w:val="20"/>
                <w:szCs w:val="20"/>
              </w:rPr>
              <w:br/>
            </w:r>
          </w:p>
          <w:p w:rsidR="004D0F8F" w:rsidRPr="00C76302" w:rsidRDefault="004D0F8F" w:rsidP="00BA1F88">
            <w:pPr>
              <w:ind w:left="690" w:right="953"/>
              <w:rPr>
                <w:i/>
                <w:sz w:val="20"/>
                <w:szCs w:val="20"/>
              </w:rPr>
            </w:pPr>
            <w:r w:rsidRPr="00C76302">
              <w:rPr>
                <w:i/>
                <w:sz w:val="20"/>
                <w:szCs w:val="20"/>
              </w:rPr>
              <w:t>If “YES” then, “Thank you, has any member of your group participated in this survey before?”</w:t>
            </w:r>
            <w:r w:rsidRPr="00C76302">
              <w:rPr>
                <w:i/>
                <w:sz w:val="20"/>
                <w:szCs w:val="20"/>
              </w:rPr>
              <w:br/>
            </w:r>
          </w:p>
          <w:p w:rsidR="004D0F8F" w:rsidRPr="00C76302" w:rsidRDefault="004D0F8F" w:rsidP="00BA1F88">
            <w:pPr>
              <w:ind w:left="690" w:right="953"/>
              <w:rPr>
                <w:i/>
                <w:sz w:val="20"/>
                <w:szCs w:val="20"/>
              </w:rPr>
            </w:pPr>
            <w:r w:rsidRPr="00C76302">
              <w:rPr>
                <w:i/>
                <w:sz w:val="20"/>
                <w:szCs w:val="20"/>
              </w:rPr>
              <w:t xml:space="preserve">If “YES” then, “Thank you for participating in this study but you </w:t>
            </w:r>
            <w:proofErr w:type="gramStart"/>
            <w:r w:rsidRPr="00C76302">
              <w:rPr>
                <w:i/>
                <w:sz w:val="20"/>
                <w:szCs w:val="20"/>
              </w:rPr>
              <w:t>have</w:t>
            </w:r>
            <w:proofErr w:type="gramEnd"/>
            <w:r w:rsidRPr="00C76302">
              <w:rPr>
                <w:i/>
                <w:sz w:val="20"/>
                <w:szCs w:val="20"/>
              </w:rPr>
              <w:t xml:space="preserve"> already provided us with the information we need.  Have a great day.”</w:t>
            </w:r>
          </w:p>
          <w:p w:rsidR="004D0F8F" w:rsidRPr="00C76302" w:rsidRDefault="004D0F8F" w:rsidP="00BA1F88">
            <w:pPr>
              <w:ind w:left="690" w:right="953"/>
              <w:rPr>
                <w:i/>
                <w:sz w:val="20"/>
                <w:szCs w:val="20"/>
              </w:rPr>
            </w:pPr>
          </w:p>
          <w:p w:rsidR="004D0F8F" w:rsidRPr="00C76302" w:rsidRDefault="004D0F8F" w:rsidP="00BA1F88">
            <w:pPr>
              <w:ind w:left="690" w:right="953"/>
              <w:rPr>
                <w:i/>
                <w:sz w:val="20"/>
                <w:szCs w:val="20"/>
              </w:rPr>
            </w:pPr>
            <w:r w:rsidRPr="00C76302">
              <w:rPr>
                <w:i/>
                <w:sz w:val="20"/>
                <w:szCs w:val="20"/>
              </w:rPr>
              <w:lastRenderedPageBreak/>
              <w:t>If “NO” then, “Thank you for agreeing to participate in this study.  The results from this survey will help the National Park Service better understand visitor experiences, perceptions, and attitudes towards transportation and visitor use in Mount Rainier/Denali National Park. Who in your group (who is at least 18 years old) has the next birthday?”</w:t>
            </w:r>
          </w:p>
          <w:p w:rsidR="004D0F8F" w:rsidRPr="003E6326" w:rsidRDefault="004D0F8F" w:rsidP="003F6762">
            <w:pPr>
              <w:rPr>
                <w:sz w:val="22"/>
                <w:szCs w:val="22"/>
              </w:rPr>
            </w:pPr>
          </w:p>
          <w:p w:rsidR="004D0F8F" w:rsidRPr="003E6326" w:rsidRDefault="004D0F8F">
            <w:pPr>
              <w:rPr>
                <w:sz w:val="22"/>
                <w:szCs w:val="22"/>
              </w:rPr>
            </w:pPr>
            <w:r w:rsidRPr="003E6326">
              <w:rPr>
                <w:sz w:val="22"/>
                <w:szCs w:val="22"/>
              </w:rPr>
              <w:t xml:space="preserve">Study participants will be instructed to complete the questionnaire onsite and address any questions to the surveyor.  </w:t>
            </w:r>
          </w:p>
          <w:p w:rsidR="004D0F8F" w:rsidRPr="003E6326" w:rsidRDefault="004D0F8F">
            <w:pPr>
              <w:rPr>
                <w:sz w:val="22"/>
                <w:szCs w:val="22"/>
              </w:rPr>
            </w:pPr>
          </w:p>
          <w:p w:rsidR="004D0F8F" w:rsidRPr="003E6326" w:rsidRDefault="004D0F8F" w:rsidP="00D51DC4">
            <w:pPr>
              <w:adjustRightInd w:val="0"/>
              <w:rPr>
                <w:sz w:val="22"/>
                <w:szCs w:val="22"/>
              </w:rPr>
            </w:pPr>
            <w:r w:rsidRPr="003E6326">
              <w:rPr>
                <w:sz w:val="22"/>
                <w:szCs w:val="22"/>
              </w:rPr>
              <w:t>The group size and type of activity (i.e., day hiking, backpacking) of all groups contacted (including those who choose not to participate) will be recorded in a survey log for the purposes of testing for non-response bias.</w:t>
            </w:r>
            <w:r w:rsidRPr="003E6326">
              <w:rPr>
                <w:sz w:val="22"/>
                <w:szCs w:val="22"/>
              </w:rPr>
              <w:br/>
            </w:r>
          </w:p>
          <w:p w:rsidR="004D0F8F" w:rsidRPr="00F76CEA" w:rsidRDefault="004D0F8F">
            <w:pPr>
              <w:numPr>
                <w:ilvl w:val="0"/>
                <w:numId w:val="30"/>
              </w:numPr>
              <w:rPr>
                <w:b/>
                <w:bCs/>
                <w:sz w:val="22"/>
                <w:szCs w:val="22"/>
              </w:rPr>
            </w:pPr>
            <w:r w:rsidRPr="003E6326">
              <w:rPr>
                <w:rFonts w:ascii="NPSRawlinson" w:hAnsi="NPSRawlinson"/>
                <w:b/>
                <w:bCs/>
                <w:sz w:val="22"/>
                <w:szCs w:val="22"/>
              </w:rPr>
              <w:t xml:space="preserve">Expected response rate/confidence levels: </w:t>
            </w:r>
          </w:p>
          <w:p w:rsidR="00F76CEA" w:rsidRPr="003E6326" w:rsidRDefault="00F76CEA" w:rsidP="00F76CEA">
            <w:pPr>
              <w:ind w:left="360"/>
              <w:rPr>
                <w:b/>
                <w:bCs/>
                <w:sz w:val="22"/>
                <w:szCs w:val="22"/>
              </w:rPr>
            </w:pPr>
          </w:p>
          <w:p w:rsidR="004D0F8F" w:rsidRPr="003E6326" w:rsidRDefault="004D0F8F" w:rsidP="00D51DC4">
            <w:pPr>
              <w:adjustRightInd w:val="0"/>
              <w:rPr>
                <w:b/>
                <w:sz w:val="22"/>
                <w:szCs w:val="22"/>
                <w:u w:val="single"/>
              </w:rPr>
            </w:pPr>
            <w:r w:rsidRPr="003E6326">
              <w:rPr>
                <w:b/>
                <w:sz w:val="22"/>
                <w:szCs w:val="22"/>
                <w:u w:val="single"/>
              </w:rPr>
              <w:t>Instruments A-F:</w:t>
            </w:r>
          </w:p>
          <w:p w:rsidR="004D0F8F" w:rsidRPr="003E6326" w:rsidRDefault="004D0F8F" w:rsidP="00D51DC4">
            <w:pPr>
              <w:adjustRightInd w:val="0"/>
              <w:rPr>
                <w:sz w:val="22"/>
                <w:szCs w:val="22"/>
              </w:rPr>
            </w:pPr>
            <w:r w:rsidRPr="003E6326">
              <w:rPr>
                <w:sz w:val="22"/>
                <w:szCs w:val="22"/>
              </w:rPr>
              <w:t>For each survey instrument, a total of 375 visitor groups will be contacted during the sampling period. Based on previous and nearly identical studies in Grand Teton, Yosemite, and Sequoia and Kings Canyon National parks, it is expected that 300 (80%) will agree to participate in the survey. The number of refusals will be recorded and reported in a survey log, and will be used in calculating the response rate. Based on the day-use survey sample size, there will be 95% confidence that the day-use survey findings will be accurate to within 5.6 percentage points, and will have a power level greater than .80 for any number of statistical tests (two-tailed independent samples t-test, multivariate regression), at the .05 alpha-level. Thus, the proposed sample size will be adequate for bi-</w:t>
            </w:r>
            <w:proofErr w:type="spellStart"/>
            <w:r w:rsidRPr="003E6326">
              <w:rPr>
                <w:sz w:val="22"/>
                <w:szCs w:val="22"/>
              </w:rPr>
              <w:t>variate</w:t>
            </w:r>
            <w:proofErr w:type="spellEnd"/>
            <w:r w:rsidRPr="003E6326">
              <w:rPr>
                <w:sz w:val="22"/>
                <w:szCs w:val="22"/>
              </w:rPr>
              <w:t xml:space="preserve"> comparisons and will allow for comparisons between study sites and more sophisticated multivariate analysis if deemed necessary.  </w:t>
            </w:r>
          </w:p>
          <w:p w:rsidR="004D0F8F" w:rsidRPr="003E6326" w:rsidRDefault="004D0F8F" w:rsidP="00D51DC4">
            <w:pPr>
              <w:adjustRightInd w:val="0"/>
              <w:rPr>
                <w:sz w:val="22"/>
                <w:szCs w:val="22"/>
              </w:rPr>
            </w:pPr>
          </w:p>
          <w:p w:rsidR="004D0F8F" w:rsidRPr="003E6326" w:rsidRDefault="004D0F8F">
            <w:pPr>
              <w:numPr>
                <w:ilvl w:val="0"/>
                <w:numId w:val="30"/>
              </w:numPr>
              <w:rPr>
                <w:b/>
                <w:bCs/>
                <w:sz w:val="22"/>
                <w:szCs w:val="22"/>
              </w:rPr>
            </w:pPr>
            <w:r w:rsidRPr="003E6326">
              <w:rPr>
                <w:rFonts w:ascii="NPSRawlinson" w:hAnsi="NPSRawlinson"/>
                <w:b/>
                <w:bCs/>
                <w:sz w:val="22"/>
                <w:szCs w:val="22"/>
              </w:rPr>
              <w:t xml:space="preserve">Strategies for dealing with potential non-response bias: </w:t>
            </w:r>
          </w:p>
          <w:p w:rsidR="004D0F8F" w:rsidRPr="003E6326" w:rsidRDefault="004D0F8F">
            <w:pPr>
              <w:rPr>
                <w:sz w:val="22"/>
                <w:szCs w:val="22"/>
              </w:rPr>
            </w:pPr>
          </w:p>
          <w:p w:rsidR="004D0F8F" w:rsidRPr="003E6326" w:rsidRDefault="004D0F8F">
            <w:pPr>
              <w:rPr>
                <w:b/>
                <w:sz w:val="22"/>
                <w:szCs w:val="22"/>
                <w:u w:val="single"/>
              </w:rPr>
            </w:pPr>
            <w:r w:rsidRPr="003E6326">
              <w:rPr>
                <w:b/>
                <w:sz w:val="22"/>
                <w:szCs w:val="22"/>
                <w:u w:val="single"/>
              </w:rPr>
              <w:t>Instruments A-F:</w:t>
            </w:r>
          </w:p>
          <w:p w:rsidR="004D0F8F" w:rsidRPr="003E6326" w:rsidRDefault="004D0F8F">
            <w:pPr>
              <w:rPr>
                <w:sz w:val="22"/>
                <w:szCs w:val="22"/>
              </w:rPr>
            </w:pPr>
            <w:r w:rsidRPr="003E6326">
              <w:rPr>
                <w:sz w:val="22"/>
                <w:szCs w:val="22"/>
              </w:rPr>
              <w:t xml:space="preserve">The data recorded on the survey log for each survey instrument will be used to compare participating groups’ characteristics (group size and activity type – i.e., day hiking, backpacking, </w:t>
            </w:r>
            <w:proofErr w:type="spellStart"/>
            <w:r w:rsidRPr="003E6326">
              <w:rPr>
                <w:sz w:val="22"/>
                <w:szCs w:val="22"/>
              </w:rPr>
              <w:t>etc</w:t>
            </w:r>
            <w:proofErr w:type="spellEnd"/>
            <w:r w:rsidRPr="003E6326">
              <w:rPr>
                <w:sz w:val="22"/>
                <w:szCs w:val="22"/>
              </w:rPr>
              <w:t>) to non-participating groups’ characteristics. The reasons for refusals (when volunteered) also will be noted on the survey log. Results of the non-response analyses will be reported, and the implications for interpreting the results will be discussed in the final report.</w:t>
            </w:r>
          </w:p>
          <w:p w:rsidR="004D0F8F" w:rsidRPr="003E6326" w:rsidRDefault="004D0F8F">
            <w:pPr>
              <w:rPr>
                <w:sz w:val="22"/>
                <w:szCs w:val="22"/>
              </w:rPr>
            </w:pPr>
          </w:p>
          <w:p w:rsidR="004D0F8F" w:rsidRPr="00F76CEA" w:rsidRDefault="004D0F8F">
            <w:pPr>
              <w:numPr>
                <w:ilvl w:val="0"/>
                <w:numId w:val="30"/>
              </w:numPr>
              <w:rPr>
                <w:b/>
                <w:bCs/>
                <w:sz w:val="22"/>
                <w:szCs w:val="22"/>
              </w:rPr>
            </w:pPr>
            <w:r w:rsidRPr="003E6326">
              <w:rPr>
                <w:rFonts w:ascii="NPSRawlinson" w:hAnsi="NPSRawlinson"/>
                <w:b/>
                <w:bCs/>
                <w:sz w:val="22"/>
                <w:szCs w:val="22"/>
              </w:rPr>
              <w:t>Description of any pre-testing and peer review of the methods and/or instrument (recommended):</w:t>
            </w:r>
          </w:p>
          <w:p w:rsidR="00F76CEA" w:rsidRPr="003E6326" w:rsidRDefault="00F76CEA" w:rsidP="00F76CEA">
            <w:pPr>
              <w:ind w:left="360"/>
              <w:rPr>
                <w:b/>
                <w:bCs/>
                <w:sz w:val="22"/>
                <w:szCs w:val="22"/>
              </w:rPr>
            </w:pPr>
          </w:p>
          <w:p w:rsidR="004D0F8F" w:rsidRPr="003E6326" w:rsidRDefault="004D0F8F" w:rsidP="00D51DC4">
            <w:pPr>
              <w:adjustRightInd w:val="0"/>
              <w:rPr>
                <w:sz w:val="22"/>
                <w:szCs w:val="22"/>
              </w:rPr>
            </w:pPr>
            <w:r w:rsidRPr="003E6326">
              <w:rPr>
                <w:sz w:val="22"/>
                <w:szCs w:val="22"/>
              </w:rPr>
              <w:t>The questions included in these surveys were initially designed and reviewed by the</w:t>
            </w:r>
          </w:p>
          <w:p w:rsidR="004D0F8F" w:rsidRPr="003E6326" w:rsidRDefault="004D0F8F" w:rsidP="006A4AE0">
            <w:pPr>
              <w:adjustRightInd w:val="0"/>
              <w:rPr>
                <w:sz w:val="22"/>
                <w:szCs w:val="22"/>
              </w:rPr>
            </w:pPr>
            <w:r w:rsidRPr="003E6326">
              <w:rPr>
                <w:sz w:val="22"/>
                <w:szCs w:val="22"/>
              </w:rPr>
              <w:t>principal investigator, research staff, scientists from other universities with expertise in survey research methods, and NPS staff. Nearly identical survey instruments were tested in 2006 and 2007 in Grand Teton, Haleakala, Yosemite, and Sequoia and Kings Canyon National Parks.</w:t>
            </w:r>
          </w:p>
          <w:p w:rsidR="004D0F8F" w:rsidRPr="00621F36" w:rsidRDefault="004D0F8F" w:rsidP="006A4AE0">
            <w:pPr>
              <w:adjustRightInd w:val="0"/>
              <w:rPr>
                <w:sz w:val="20"/>
                <w:szCs w:val="20"/>
              </w:rPr>
            </w:pPr>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1573"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67" w:type="dxa"/>
            <w:gridSpan w:val="25"/>
            <w:tcBorders>
              <w:top w:val="nil"/>
              <w:left w:val="nil"/>
              <w:bottom w:val="nil"/>
              <w:right w:val="nil"/>
            </w:tcBorders>
          </w:tcPr>
          <w:p w:rsidR="004D0F8F" w:rsidRDefault="004D0F8F">
            <w:pPr>
              <w:rPr>
                <w:rFonts w:ascii="NPSRawlinson" w:hAnsi="NPSRawlinson"/>
                <w:sz w:val="20"/>
                <w:szCs w:val="20"/>
              </w:rPr>
            </w:pPr>
          </w:p>
        </w:tc>
      </w:tr>
      <w:tr w:rsidR="003E6326" w:rsidTr="00AD604B">
        <w:trPr>
          <w:cantSplit/>
          <w:trHeight w:val="1430"/>
          <w:jc w:val="center"/>
        </w:trPr>
        <w:tc>
          <w:tcPr>
            <w:tcW w:w="713" w:type="dxa"/>
            <w:gridSpan w:val="2"/>
            <w:vMerge w:val="restart"/>
            <w:tcBorders>
              <w:top w:val="nil"/>
              <w:left w:val="nil"/>
              <w:right w:val="nil"/>
            </w:tcBorders>
          </w:tcPr>
          <w:p w:rsidR="003E6326" w:rsidRDefault="003E6326">
            <w:pPr>
              <w:jc w:val="right"/>
              <w:rPr>
                <w:rFonts w:ascii="NPSRawlinson" w:hAnsi="NPSRawlinson"/>
                <w:sz w:val="18"/>
                <w:szCs w:val="18"/>
              </w:rPr>
            </w:pPr>
            <w:r>
              <w:rPr>
                <w:rFonts w:ascii="NPSRawlinson" w:hAnsi="NPSRawlinson"/>
                <w:sz w:val="18"/>
                <w:szCs w:val="18"/>
              </w:rPr>
              <w:lastRenderedPageBreak/>
              <w:t>10.</w:t>
            </w:r>
          </w:p>
        </w:tc>
        <w:tc>
          <w:tcPr>
            <w:tcW w:w="1573" w:type="dxa"/>
            <w:gridSpan w:val="2"/>
            <w:tcBorders>
              <w:top w:val="nil"/>
              <w:left w:val="nil"/>
              <w:bottom w:val="nil"/>
              <w:right w:val="nil"/>
            </w:tcBorders>
          </w:tcPr>
          <w:p w:rsidR="003E6326" w:rsidRDefault="003E6326">
            <w:pPr>
              <w:jc w:val="right"/>
              <w:rPr>
                <w:rFonts w:ascii="NPSRawlinson" w:hAnsi="NPSRawlinson"/>
                <w:b/>
                <w:bCs/>
                <w:sz w:val="18"/>
                <w:szCs w:val="18"/>
              </w:rPr>
            </w:pPr>
            <w:r>
              <w:rPr>
                <w:rFonts w:ascii="NPSRawlinson" w:hAnsi="NPSRawlinson"/>
                <w:b/>
                <w:bCs/>
                <w:sz w:val="18"/>
                <w:szCs w:val="18"/>
              </w:rPr>
              <w:t xml:space="preserve">Total Number of </w:t>
            </w:r>
          </w:p>
          <w:p w:rsidR="003E6326" w:rsidRDefault="003E6326">
            <w:pPr>
              <w:jc w:val="right"/>
              <w:rPr>
                <w:rFonts w:ascii="NPSRawlinson" w:hAnsi="NPSRawlinson"/>
                <w:b/>
                <w:bCs/>
                <w:sz w:val="18"/>
                <w:szCs w:val="18"/>
              </w:rPr>
            </w:pPr>
            <w:r>
              <w:rPr>
                <w:rFonts w:ascii="NPSRawlinson" w:hAnsi="NPSRawlinson"/>
                <w:b/>
                <w:bCs/>
                <w:sz w:val="18"/>
                <w:szCs w:val="18"/>
              </w:rPr>
              <w:t>Initial Contacts |</w:t>
            </w:r>
          </w:p>
          <w:p w:rsidR="003E6326" w:rsidRDefault="003E6326">
            <w:pPr>
              <w:jc w:val="right"/>
              <w:rPr>
                <w:rFonts w:ascii="NPSRawlinson" w:hAnsi="NPSRawlinson"/>
                <w:b/>
                <w:bCs/>
                <w:sz w:val="18"/>
                <w:szCs w:val="18"/>
              </w:rPr>
            </w:pPr>
            <w:r>
              <w:rPr>
                <w:rFonts w:ascii="NPSRawlinson" w:hAnsi="NPSRawlinson"/>
                <w:b/>
                <w:bCs/>
                <w:sz w:val="18"/>
                <w:szCs w:val="18"/>
              </w:rPr>
              <w:t>Expected Respondents:</w:t>
            </w:r>
          </w:p>
        </w:tc>
        <w:tc>
          <w:tcPr>
            <w:tcW w:w="953" w:type="dxa"/>
            <w:tcBorders>
              <w:bottom w:val="nil"/>
            </w:tcBorders>
          </w:tcPr>
          <w:p w:rsidR="003E6326" w:rsidRPr="00BB1643" w:rsidRDefault="003E6326">
            <w:pPr>
              <w:rPr>
                <w:sz w:val="20"/>
                <w:szCs w:val="20"/>
              </w:rPr>
            </w:pPr>
            <w:r w:rsidRPr="00BB1643">
              <w:rPr>
                <w:sz w:val="20"/>
                <w:szCs w:val="20"/>
              </w:rPr>
              <w:t>A: 375</w:t>
            </w:r>
          </w:p>
          <w:p w:rsidR="003E6326" w:rsidRPr="00BB1643" w:rsidRDefault="003E6326">
            <w:pPr>
              <w:rPr>
                <w:sz w:val="20"/>
                <w:szCs w:val="20"/>
              </w:rPr>
            </w:pPr>
            <w:r w:rsidRPr="00BB1643">
              <w:rPr>
                <w:sz w:val="20"/>
                <w:szCs w:val="20"/>
              </w:rPr>
              <w:t>B: 375</w:t>
            </w:r>
          </w:p>
          <w:p w:rsidR="003E6326" w:rsidRPr="00BB1643" w:rsidRDefault="003E6326">
            <w:pPr>
              <w:rPr>
                <w:sz w:val="20"/>
                <w:szCs w:val="20"/>
              </w:rPr>
            </w:pPr>
            <w:r w:rsidRPr="00BB1643">
              <w:rPr>
                <w:sz w:val="20"/>
                <w:szCs w:val="20"/>
              </w:rPr>
              <w:t>C: 375</w:t>
            </w:r>
          </w:p>
          <w:p w:rsidR="003E6326" w:rsidRPr="00BB1643" w:rsidRDefault="003E6326">
            <w:pPr>
              <w:rPr>
                <w:sz w:val="20"/>
                <w:szCs w:val="20"/>
              </w:rPr>
            </w:pPr>
            <w:r w:rsidRPr="00BB1643">
              <w:rPr>
                <w:sz w:val="20"/>
                <w:szCs w:val="20"/>
              </w:rPr>
              <w:t>D: 375</w:t>
            </w:r>
          </w:p>
          <w:p w:rsidR="003E6326" w:rsidRPr="00BB1643" w:rsidRDefault="003E6326">
            <w:pPr>
              <w:rPr>
                <w:sz w:val="20"/>
                <w:szCs w:val="20"/>
              </w:rPr>
            </w:pPr>
            <w:r w:rsidRPr="00BB1643">
              <w:rPr>
                <w:sz w:val="20"/>
                <w:szCs w:val="20"/>
              </w:rPr>
              <w:t>E: 375</w:t>
            </w:r>
          </w:p>
          <w:p w:rsidR="003E6326" w:rsidRPr="00BB1643" w:rsidRDefault="003E6326">
            <w:pPr>
              <w:rPr>
                <w:b/>
                <w:sz w:val="20"/>
                <w:szCs w:val="20"/>
              </w:rPr>
            </w:pPr>
            <w:r w:rsidRPr="00BB1643">
              <w:rPr>
                <w:sz w:val="20"/>
                <w:szCs w:val="20"/>
              </w:rPr>
              <w:t>F: 375</w:t>
            </w:r>
          </w:p>
        </w:tc>
        <w:tc>
          <w:tcPr>
            <w:tcW w:w="810" w:type="dxa"/>
            <w:gridSpan w:val="2"/>
            <w:tcBorders>
              <w:bottom w:val="nil"/>
            </w:tcBorders>
          </w:tcPr>
          <w:p w:rsidR="003E6326" w:rsidRPr="00BB1643" w:rsidRDefault="003E6326" w:rsidP="00D571D3">
            <w:pPr>
              <w:rPr>
                <w:sz w:val="20"/>
                <w:szCs w:val="20"/>
              </w:rPr>
            </w:pPr>
            <w:r w:rsidRPr="00BB1643">
              <w:rPr>
                <w:sz w:val="20"/>
                <w:szCs w:val="20"/>
              </w:rPr>
              <w:t>A: 300</w:t>
            </w:r>
          </w:p>
          <w:p w:rsidR="003E6326" w:rsidRPr="00BB1643" w:rsidRDefault="003E6326" w:rsidP="00D571D3">
            <w:pPr>
              <w:rPr>
                <w:sz w:val="20"/>
                <w:szCs w:val="20"/>
              </w:rPr>
            </w:pPr>
            <w:r w:rsidRPr="00BB1643">
              <w:rPr>
                <w:sz w:val="20"/>
                <w:szCs w:val="20"/>
              </w:rPr>
              <w:t>B: 300</w:t>
            </w:r>
          </w:p>
          <w:p w:rsidR="003E6326" w:rsidRPr="00BB1643" w:rsidRDefault="003E6326" w:rsidP="00D571D3">
            <w:pPr>
              <w:rPr>
                <w:sz w:val="20"/>
                <w:szCs w:val="20"/>
              </w:rPr>
            </w:pPr>
            <w:r w:rsidRPr="00BB1643">
              <w:rPr>
                <w:sz w:val="20"/>
                <w:szCs w:val="20"/>
              </w:rPr>
              <w:t>C: 300</w:t>
            </w:r>
          </w:p>
          <w:p w:rsidR="003E6326" w:rsidRPr="00BB1643" w:rsidRDefault="003E6326" w:rsidP="00D571D3">
            <w:pPr>
              <w:rPr>
                <w:sz w:val="20"/>
                <w:szCs w:val="20"/>
              </w:rPr>
            </w:pPr>
            <w:r w:rsidRPr="00BB1643">
              <w:rPr>
                <w:sz w:val="20"/>
                <w:szCs w:val="20"/>
              </w:rPr>
              <w:t>D: 300</w:t>
            </w:r>
          </w:p>
          <w:p w:rsidR="003E6326" w:rsidRPr="00BB1643" w:rsidRDefault="003E6326" w:rsidP="00D571D3">
            <w:pPr>
              <w:rPr>
                <w:sz w:val="20"/>
                <w:szCs w:val="20"/>
              </w:rPr>
            </w:pPr>
            <w:r w:rsidRPr="00BB1643">
              <w:rPr>
                <w:sz w:val="20"/>
                <w:szCs w:val="20"/>
              </w:rPr>
              <w:t>E: 300</w:t>
            </w:r>
          </w:p>
          <w:p w:rsidR="003E6326" w:rsidRPr="00BB1643" w:rsidRDefault="003E6326" w:rsidP="00D95E6C">
            <w:pPr>
              <w:rPr>
                <w:b/>
                <w:sz w:val="20"/>
                <w:szCs w:val="20"/>
              </w:rPr>
            </w:pPr>
            <w:r w:rsidRPr="00BB1643">
              <w:rPr>
                <w:sz w:val="20"/>
                <w:szCs w:val="20"/>
              </w:rPr>
              <w:t>F: 300</w:t>
            </w:r>
          </w:p>
        </w:tc>
        <w:tc>
          <w:tcPr>
            <w:tcW w:w="540" w:type="dxa"/>
            <w:gridSpan w:val="2"/>
            <w:tcBorders>
              <w:top w:val="nil"/>
              <w:left w:val="nil"/>
              <w:bottom w:val="nil"/>
              <w:right w:val="nil"/>
            </w:tcBorders>
          </w:tcPr>
          <w:p w:rsidR="003E6326" w:rsidRDefault="003E6326">
            <w:pPr>
              <w:jc w:val="right"/>
              <w:rPr>
                <w:rFonts w:ascii="NPSRawlinson" w:hAnsi="NPSRawlinson"/>
                <w:sz w:val="18"/>
                <w:szCs w:val="18"/>
              </w:rPr>
            </w:pPr>
            <w:r>
              <w:rPr>
                <w:rFonts w:ascii="NPSRawlinson" w:hAnsi="NPSRawlinson"/>
                <w:sz w:val="18"/>
                <w:szCs w:val="18"/>
              </w:rPr>
              <w:t>11.</w:t>
            </w:r>
          </w:p>
        </w:tc>
        <w:tc>
          <w:tcPr>
            <w:tcW w:w="1576" w:type="dxa"/>
            <w:gridSpan w:val="6"/>
            <w:tcBorders>
              <w:top w:val="nil"/>
              <w:left w:val="nil"/>
              <w:bottom w:val="nil"/>
            </w:tcBorders>
          </w:tcPr>
          <w:p w:rsidR="003E6326" w:rsidRDefault="003E6326">
            <w:pPr>
              <w:jc w:val="right"/>
              <w:rPr>
                <w:rFonts w:ascii="NPSRawlinson" w:hAnsi="NPSRawlinson"/>
                <w:sz w:val="20"/>
                <w:szCs w:val="20"/>
              </w:rPr>
            </w:pPr>
            <w:r>
              <w:rPr>
                <w:rFonts w:ascii="NPSRawlinson" w:hAnsi="NPSRawlinson"/>
                <w:b/>
                <w:bCs/>
                <w:sz w:val="18"/>
                <w:szCs w:val="18"/>
              </w:rPr>
              <w:t>Estimated Time to Complete Initial Contact | Instrument (</w:t>
            </w:r>
            <w:proofErr w:type="spellStart"/>
            <w:r>
              <w:rPr>
                <w:rFonts w:ascii="NPSRawlinson" w:hAnsi="NPSRawlinson"/>
                <w:b/>
                <w:bCs/>
                <w:sz w:val="18"/>
                <w:szCs w:val="18"/>
              </w:rPr>
              <w:t>mins</w:t>
            </w:r>
            <w:proofErr w:type="spellEnd"/>
            <w:r>
              <w:rPr>
                <w:rFonts w:ascii="NPSRawlinson" w:hAnsi="NPSRawlinson"/>
                <w:b/>
                <w:bCs/>
                <w:sz w:val="18"/>
                <w:szCs w:val="18"/>
              </w:rPr>
              <w:t>.):</w:t>
            </w:r>
          </w:p>
        </w:tc>
        <w:tc>
          <w:tcPr>
            <w:tcW w:w="720" w:type="dxa"/>
            <w:gridSpan w:val="2"/>
            <w:tcBorders>
              <w:bottom w:val="nil"/>
            </w:tcBorders>
          </w:tcPr>
          <w:p w:rsidR="003E6326" w:rsidRPr="00BB1643" w:rsidRDefault="003E6326" w:rsidP="00613E95">
            <w:pPr>
              <w:rPr>
                <w:sz w:val="20"/>
                <w:szCs w:val="20"/>
              </w:rPr>
            </w:pPr>
            <w:r w:rsidRPr="00BB1643">
              <w:rPr>
                <w:sz w:val="20"/>
                <w:szCs w:val="20"/>
              </w:rPr>
              <w:t>A: 1</w:t>
            </w:r>
          </w:p>
          <w:p w:rsidR="003E6326" w:rsidRDefault="003E6326" w:rsidP="00613E95">
            <w:pPr>
              <w:rPr>
                <w:sz w:val="20"/>
                <w:szCs w:val="20"/>
              </w:rPr>
            </w:pPr>
            <w:r>
              <w:rPr>
                <w:sz w:val="20"/>
                <w:szCs w:val="20"/>
              </w:rPr>
              <w:t>B: 1</w:t>
            </w:r>
          </w:p>
          <w:p w:rsidR="003E6326" w:rsidRDefault="003E6326" w:rsidP="00613E95">
            <w:pPr>
              <w:rPr>
                <w:sz w:val="20"/>
                <w:szCs w:val="20"/>
              </w:rPr>
            </w:pPr>
            <w:r>
              <w:rPr>
                <w:sz w:val="20"/>
                <w:szCs w:val="20"/>
              </w:rPr>
              <w:t>C: 1</w:t>
            </w:r>
          </w:p>
          <w:p w:rsidR="003E6326" w:rsidRDefault="003E6326" w:rsidP="00613E95">
            <w:pPr>
              <w:rPr>
                <w:sz w:val="20"/>
                <w:szCs w:val="20"/>
              </w:rPr>
            </w:pPr>
            <w:r>
              <w:rPr>
                <w:sz w:val="20"/>
                <w:szCs w:val="20"/>
              </w:rPr>
              <w:t>D: 1</w:t>
            </w:r>
          </w:p>
          <w:p w:rsidR="003E6326" w:rsidRDefault="003E6326" w:rsidP="00613E95">
            <w:pPr>
              <w:rPr>
                <w:sz w:val="20"/>
                <w:szCs w:val="20"/>
              </w:rPr>
            </w:pPr>
            <w:r>
              <w:rPr>
                <w:sz w:val="20"/>
                <w:szCs w:val="20"/>
              </w:rPr>
              <w:t>E: 1</w:t>
            </w:r>
          </w:p>
          <w:p w:rsidR="003E6326" w:rsidRDefault="003E6326" w:rsidP="00613E95">
            <w:pPr>
              <w:rPr>
                <w:sz w:val="20"/>
                <w:szCs w:val="20"/>
              </w:rPr>
            </w:pPr>
            <w:r>
              <w:rPr>
                <w:sz w:val="20"/>
                <w:szCs w:val="20"/>
              </w:rPr>
              <w:t>F: 1</w:t>
            </w:r>
          </w:p>
        </w:tc>
        <w:tc>
          <w:tcPr>
            <w:tcW w:w="810" w:type="dxa"/>
            <w:gridSpan w:val="3"/>
            <w:tcBorders>
              <w:bottom w:val="nil"/>
            </w:tcBorders>
          </w:tcPr>
          <w:p w:rsidR="003E6326" w:rsidRPr="00BB1643" w:rsidRDefault="003E6326" w:rsidP="00613E95">
            <w:pPr>
              <w:rPr>
                <w:sz w:val="20"/>
                <w:szCs w:val="20"/>
              </w:rPr>
            </w:pPr>
            <w:r w:rsidRPr="00BB1643">
              <w:rPr>
                <w:sz w:val="20"/>
                <w:szCs w:val="20"/>
              </w:rPr>
              <w:t>A: 15</w:t>
            </w:r>
          </w:p>
          <w:p w:rsidR="003E6326" w:rsidRDefault="003E6326" w:rsidP="00613E95">
            <w:pPr>
              <w:rPr>
                <w:sz w:val="20"/>
                <w:szCs w:val="20"/>
              </w:rPr>
            </w:pPr>
            <w:r>
              <w:rPr>
                <w:sz w:val="20"/>
                <w:szCs w:val="20"/>
              </w:rPr>
              <w:t>B: 15</w:t>
            </w:r>
          </w:p>
          <w:p w:rsidR="003E6326" w:rsidRDefault="003E6326" w:rsidP="00613E95">
            <w:pPr>
              <w:rPr>
                <w:sz w:val="20"/>
                <w:szCs w:val="20"/>
              </w:rPr>
            </w:pPr>
            <w:r>
              <w:rPr>
                <w:sz w:val="20"/>
                <w:szCs w:val="20"/>
              </w:rPr>
              <w:t>C: 15</w:t>
            </w:r>
          </w:p>
          <w:p w:rsidR="003E6326" w:rsidRDefault="003E6326" w:rsidP="00613E95">
            <w:pPr>
              <w:rPr>
                <w:sz w:val="20"/>
                <w:szCs w:val="20"/>
              </w:rPr>
            </w:pPr>
            <w:r>
              <w:rPr>
                <w:sz w:val="20"/>
                <w:szCs w:val="20"/>
              </w:rPr>
              <w:t>D: 15</w:t>
            </w:r>
          </w:p>
          <w:p w:rsidR="003E6326" w:rsidRDefault="003E6326" w:rsidP="00613E95">
            <w:pPr>
              <w:rPr>
                <w:sz w:val="20"/>
                <w:szCs w:val="20"/>
              </w:rPr>
            </w:pPr>
            <w:r>
              <w:rPr>
                <w:sz w:val="20"/>
                <w:szCs w:val="20"/>
              </w:rPr>
              <w:t>E: 15</w:t>
            </w:r>
          </w:p>
          <w:p w:rsidR="003E6326" w:rsidRDefault="003E6326" w:rsidP="00613E95">
            <w:pPr>
              <w:rPr>
                <w:sz w:val="20"/>
                <w:szCs w:val="20"/>
              </w:rPr>
            </w:pPr>
            <w:r>
              <w:rPr>
                <w:sz w:val="20"/>
                <w:szCs w:val="20"/>
              </w:rPr>
              <w:t>F: 15</w:t>
            </w:r>
          </w:p>
        </w:tc>
        <w:tc>
          <w:tcPr>
            <w:tcW w:w="566" w:type="dxa"/>
            <w:gridSpan w:val="2"/>
            <w:tcBorders>
              <w:top w:val="nil"/>
              <w:left w:val="nil"/>
              <w:bottom w:val="nil"/>
              <w:right w:val="nil"/>
            </w:tcBorders>
          </w:tcPr>
          <w:p w:rsidR="003E6326" w:rsidRDefault="003E6326">
            <w:pPr>
              <w:jc w:val="right"/>
              <w:rPr>
                <w:rFonts w:ascii="NPSRawlinson" w:hAnsi="NPSRawlinson"/>
                <w:sz w:val="20"/>
                <w:szCs w:val="20"/>
              </w:rPr>
            </w:pPr>
            <w:r>
              <w:rPr>
                <w:rFonts w:ascii="NPSRawlinson" w:hAnsi="NPSRawlinson"/>
                <w:sz w:val="18"/>
                <w:szCs w:val="18"/>
              </w:rPr>
              <w:t>12.</w:t>
            </w:r>
          </w:p>
        </w:tc>
        <w:tc>
          <w:tcPr>
            <w:tcW w:w="900" w:type="dxa"/>
            <w:gridSpan w:val="5"/>
            <w:tcBorders>
              <w:top w:val="nil"/>
              <w:left w:val="nil"/>
              <w:bottom w:val="nil"/>
              <w:right w:val="nil"/>
            </w:tcBorders>
          </w:tcPr>
          <w:p w:rsidR="003E6326" w:rsidRDefault="003E6326">
            <w:pPr>
              <w:jc w:val="right"/>
              <w:rPr>
                <w:rFonts w:ascii="NPSRawlinson" w:hAnsi="NPSRawlinson"/>
                <w:sz w:val="20"/>
                <w:szCs w:val="20"/>
              </w:rPr>
            </w:pPr>
            <w:r>
              <w:rPr>
                <w:rFonts w:ascii="NPSRawlinson" w:hAnsi="NPSRawlinson"/>
                <w:b/>
                <w:bCs/>
                <w:sz w:val="18"/>
                <w:szCs w:val="18"/>
              </w:rPr>
              <w:t>Total Burden Hours:</w:t>
            </w:r>
          </w:p>
        </w:tc>
        <w:tc>
          <w:tcPr>
            <w:tcW w:w="892" w:type="dxa"/>
            <w:gridSpan w:val="2"/>
            <w:tcBorders>
              <w:bottom w:val="nil"/>
              <w:right w:val="single" w:sz="4" w:space="0" w:color="auto"/>
            </w:tcBorders>
          </w:tcPr>
          <w:p w:rsidR="003E6326" w:rsidRPr="00BB1643" w:rsidRDefault="003E6326" w:rsidP="00613E95">
            <w:pPr>
              <w:rPr>
                <w:sz w:val="20"/>
                <w:szCs w:val="20"/>
              </w:rPr>
            </w:pPr>
            <w:r w:rsidRPr="00BB1643">
              <w:rPr>
                <w:sz w:val="20"/>
                <w:szCs w:val="20"/>
              </w:rPr>
              <w:t>A: 81</w:t>
            </w:r>
          </w:p>
          <w:p w:rsidR="003E6326" w:rsidRDefault="003E6326" w:rsidP="00613E95">
            <w:pPr>
              <w:rPr>
                <w:sz w:val="20"/>
                <w:szCs w:val="20"/>
              </w:rPr>
            </w:pPr>
            <w:r>
              <w:rPr>
                <w:sz w:val="20"/>
                <w:szCs w:val="20"/>
              </w:rPr>
              <w:t>B: 81</w:t>
            </w:r>
          </w:p>
          <w:p w:rsidR="003E6326" w:rsidRDefault="003E6326" w:rsidP="00613E95">
            <w:pPr>
              <w:rPr>
                <w:sz w:val="20"/>
                <w:szCs w:val="20"/>
              </w:rPr>
            </w:pPr>
            <w:r>
              <w:rPr>
                <w:sz w:val="20"/>
                <w:szCs w:val="20"/>
              </w:rPr>
              <w:t>C: 81</w:t>
            </w:r>
          </w:p>
          <w:p w:rsidR="003E6326" w:rsidRDefault="003E6326" w:rsidP="00613E95">
            <w:pPr>
              <w:rPr>
                <w:sz w:val="20"/>
                <w:szCs w:val="20"/>
              </w:rPr>
            </w:pPr>
            <w:r>
              <w:rPr>
                <w:sz w:val="20"/>
                <w:szCs w:val="20"/>
              </w:rPr>
              <w:t>D: 81</w:t>
            </w:r>
          </w:p>
          <w:p w:rsidR="003E6326" w:rsidRDefault="003E6326" w:rsidP="00613E95">
            <w:pPr>
              <w:rPr>
                <w:sz w:val="20"/>
                <w:szCs w:val="20"/>
              </w:rPr>
            </w:pPr>
            <w:r>
              <w:rPr>
                <w:sz w:val="20"/>
                <w:szCs w:val="20"/>
              </w:rPr>
              <w:t>E: 81</w:t>
            </w:r>
          </w:p>
          <w:p w:rsidR="003E6326" w:rsidRPr="003E6326" w:rsidRDefault="003E6326" w:rsidP="00613E95">
            <w:pPr>
              <w:rPr>
                <w:sz w:val="20"/>
                <w:szCs w:val="20"/>
              </w:rPr>
            </w:pPr>
            <w:r>
              <w:rPr>
                <w:sz w:val="20"/>
                <w:szCs w:val="20"/>
              </w:rPr>
              <w:t>F: 81</w:t>
            </w:r>
          </w:p>
        </w:tc>
      </w:tr>
      <w:tr w:rsidR="003E6326" w:rsidTr="00AE787E">
        <w:trPr>
          <w:cantSplit/>
          <w:trHeight w:val="368"/>
          <w:jc w:val="center"/>
        </w:trPr>
        <w:tc>
          <w:tcPr>
            <w:tcW w:w="713" w:type="dxa"/>
            <w:gridSpan w:val="2"/>
            <w:vMerge/>
            <w:tcBorders>
              <w:left w:val="nil"/>
              <w:bottom w:val="nil"/>
              <w:right w:val="nil"/>
            </w:tcBorders>
          </w:tcPr>
          <w:p w:rsidR="003E6326" w:rsidRDefault="003E6326">
            <w:pPr>
              <w:jc w:val="right"/>
              <w:rPr>
                <w:rFonts w:ascii="NPSRawlinson" w:hAnsi="NPSRawlinson"/>
                <w:sz w:val="18"/>
                <w:szCs w:val="18"/>
              </w:rPr>
            </w:pPr>
          </w:p>
        </w:tc>
        <w:tc>
          <w:tcPr>
            <w:tcW w:w="1573" w:type="dxa"/>
            <w:gridSpan w:val="2"/>
            <w:tcBorders>
              <w:top w:val="nil"/>
              <w:left w:val="nil"/>
              <w:bottom w:val="nil"/>
              <w:right w:val="nil"/>
            </w:tcBorders>
            <w:vAlign w:val="center"/>
          </w:tcPr>
          <w:p w:rsidR="003E6326" w:rsidRPr="003E6326" w:rsidRDefault="003E6326" w:rsidP="003E6326">
            <w:pPr>
              <w:jc w:val="right"/>
              <w:rPr>
                <w:rFonts w:ascii="NPSRawlinson" w:hAnsi="NPSRawlinson"/>
                <w:b/>
                <w:bCs/>
                <w:sz w:val="20"/>
                <w:szCs w:val="20"/>
              </w:rPr>
            </w:pPr>
            <w:r w:rsidRPr="003E6326">
              <w:rPr>
                <w:rFonts w:ascii="NPSRawlinson" w:hAnsi="NPSRawlinson"/>
                <w:b/>
                <w:bCs/>
                <w:sz w:val="20"/>
                <w:szCs w:val="20"/>
              </w:rPr>
              <w:t>Total</w:t>
            </w:r>
          </w:p>
        </w:tc>
        <w:tc>
          <w:tcPr>
            <w:tcW w:w="953" w:type="dxa"/>
            <w:tcBorders>
              <w:top w:val="nil"/>
            </w:tcBorders>
            <w:vAlign w:val="center"/>
          </w:tcPr>
          <w:p w:rsidR="003E6326" w:rsidRPr="003E6326" w:rsidRDefault="003E6326" w:rsidP="003E6326">
            <w:pPr>
              <w:jc w:val="right"/>
              <w:rPr>
                <w:b/>
                <w:sz w:val="20"/>
                <w:szCs w:val="20"/>
              </w:rPr>
            </w:pPr>
            <w:r w:rsidRPr="003E6326">
              <w:rPr>
                <w:b/>
                <w:sz w:val="20"/>
                <w:szCs w:val="20"/>
              </w:rPr>
              <w:t>2250</w:t>
            </w:r>
          </w:p>
        </w:tc>
        <w:tc>
          <w:tcPr>
            <w:tcW w:w="810" w:type="dxa"/>
            <w:gridSpan w:val="2"/>
            <w:tcBorders>
              <w:top w:val="nil"/>
            </w:tcBorders>
            <w:vAlign w:val="center"/>
          </w:tcPr>
          <w:p w:rsidR="003E6326" w:rsidRPr="003E6326" w:rsidRDefault="003E6326" w:rsidP="003E6326">
            <w:pPr>
              <w:jc w:val="right"/>
              <w:rPr>
                <w:sz w:val="20"/>
                <w:szCs w:val="20"/>
              </w:rPr>
            </w:pPr>
            <w:r w:rsidRPr="003E6326">
              <w:rPr>
                <w:b/>
                <w:sz w:val="20"/>
                <w:szCs w:val="20"/>
              </w:rPr>
              <w:t>1800</w:t>
            </w:r>
          </w:p>
        </w:tc>
        <w:tc>
          <w:tcPr>
            <w:tcW w:w="540" w:type="dxa"/>
            <w:gridSpan w:val="2"/>
            <w:tcBorders>
              <w:top w:val="nil"/>
              <w:left w:val="nil"/>
              <w:bottom w:val="nil"/>
              <w:right w:val="nil"/>
            </w:tcBorders>
          </w:tcPr>
          <w:p w:rsidR="003E6326" w:rsidRDefault="003E6326" w:rsidP="003E6326">
            <w:pPr>
              <w:jc w:val="right"/>
              <w:rPr>
                <w:rFonts w:ascii="NPSRawlinson" w:hAnsi="NPSRawlinson"/>
                <w:sz w:val="18"/>
                <w:szCs w:val="18"/>
              </w:rPr>
            </w:pPr>
          </w:p>
        </w:tc>
        <w:tc>
          <w:tcPr>
            <w:tcW w:w="1576" w:type="dxa"/>
            <w:gridSpan w:val="6"/>
            <w:tcBorders>
              <w:top w:val="nil"/>
              <w:left w:val="nil"/>
              <w:bottom w:val="nil"/>
            </w:tcBorders>
          </w:tcPr>
          <w:p w:rsidR="003E6326" w:rsidRDefault="003E6326" w:rsidP="003E6326">
            <w:pPr>
              <w:jc w:val="right"/>
              <w:rPr>
                <w:rFonts w:ascii="NPSRawlinson" w:hAnsi="NPSRawlinson"/>
                <w:b/>
                <w:bCs/>
                <w:sz w:val="18"/>
                <w:szCs w:val="18"/>
              </w:rPr>
            </w:pPr>
          </w:p>
        </w:tc>
        <w:tc>
          <w:tcPr>
            <w:tcW w:w="720" w:type="dxa"/>
            <w:gridSpan w:val="2"/>
            <w:tcBorders>
              <w:top w:val="nil"/>
            </w:tcBorders>
          </w:tcPr>
          <w:p w:rsidR="003E6326" w:rsidRPr="00BB1643" w:rsidRDefault="003E6326" w:rsidP="00613E95">
            <w:pPr>
              <w:rPr>
                <w:sz w:val="20"/>
                <w:szCs w:val="20"/>
              </w:rPr>
            </w:pPr>
          </w:p>
        </w:tc>
        <w:tc>
          <w:tcPr>
            <w:tcW w:w="810" w:type="dxa"/>
            <w:gridSpan w:val="3"/>
            <w:tcBorders>
              <w:top w:val="nil"/>
            </w:tcBorders>
          </w:tcPr>
          <w:p w:rsidR="003E6326" w:rsidRPr="00BB1643" w:rsidRDefault="003E6326" w:rsidP="00613E95">
            <w:pPr>
              <w:rPr>
                <w:sz w:val="20"/>
                <w:szCs w:val="20"/>
              </w:rPr>
            </w:pPr>
          </w:p>
        </w:tc>
        <w:tc>
          <w:tcPr>
            <w:tcW w:w="566" w:type="dxa"/>
            <w:gridSpan w:val="2"/>
            <w:tcBorders>
              <w:top w:val="nil"/>
              <w:left w:val="nil"/>
              <w:bottom w:val="nil"/>
              <w:right w:val="nil"/>
            </w:tcBorders>
          </w:tcPr>
          <w:p w:rsidR="003E6326" w:rsidRDefault="003E6326" w:rsidP="003E6326">
            <w:pPr>
              <w:jc w:val="right"/>
              <w:rPr>
                <w:rFonts w:ascii="NPSRawlinson" w:hAnsi="NPSRawlinson"/>
                <w:sz w:val="18"/>
                <w:szCs w:val="18"/>
              </w:rPr>
            </w:pPr>
          </w:p>
        </w:tc>
        <w:tc>
          <w:tcPr>
            <w:tcW w:w="900" w:type="dxa"/>
            <w:gridSpan w:val="5"/>
            <w:tcBorders>
              <w:top w:val="nil"/>
              <w:left w:val="nil"/>
              <w:bottom w:val="nil"/>
              <w:right w:val="nil"/>
            </w:tcBorders>
          </w:tcPr>
          <w:p w:rsidR="003E6326" w:rsidRDefault="00347082" w:rsidP="003E6326">
            <w:pPr>
              <w:jc w:val="right"/>
              <w:rPr>
                <w:rFonts w:ascii="NPSRawlinson" w:hAnsi="NPSRawlinson"/>
                <w:b/>
                <w:bCs/>
                <w:sz w:val="18"/>
                <w:szCs w:val="18"/>
              </w:rPr>
            </w:pPr>
            <w:r w:rsidRPr="00D95E6C">
              <w:rPr>
                <w:b/>
                <w:sz w:val="20"/>
                <w:szCs w:val="20"/>
              </w:rPr>
              <w:t>Total:</w:t>
            </w:r>
          </w:p>
        </w:tc>
        <w:tc>
          <w:tcPr>
            <w:tcW w:w="892" w:type="dxa"/>
            <w:gridSpan w:val="2"/>
            <w:tcBorders>
              <w:top w:val="nil"/>
              <w:right w:val="single" w:sz="4" w:space="0" w:color="auto"/>
            </w:tcBorders>
          </w:tcPr>
          <w:p w:rsidR="003E6326" w:rsidRPr="00BB1643" w:rsidRDefault="003E6326" w:rsidP="00613E95">
            <w:pPr>
              <w:rPr>
                <w:sz w:val="20"/>
                <w:szCs w:val="20"/>
              </w:rPr>
            </w:pPr>
            <w:r w:rsidRPr="00D95E6C">
              <w:rPr>
                <w:b/>
                <w:sz w:val="20"/>
                <w:szCs w:val="20"/>
              </w:rPr>
              <w:t>486</w:t>
            </w:r>
          </w:p>
        </w:tc>
      </w:tr>
      <w:tr w:rsidR="004D0F8F" w:rsidTr="00AD604B">
        <w:trPr>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p>
        </w:tc>
        <w:tc>
          <w:tcPr>
            <w:tcW w:w="1573" w:type="dxa"/>
            <w:gridSpan w:val="2"/>
            <w:tcBorders>
              <w:top w:val="nil"/>
              <w:left w:val="nil"/>
              <w:bottom w:val="nil"/>
              <w:right w:val="nil"/>
            </w:tcBorders>
          </w:tcPr>
          <w:p w:rsidR="004D0F8F" w:rsidRDefault="004D0F8F">
            <w:pPr>
              <w:jc w:val="right"/>
              <w:rPr>
                <w:rFonts w:ascii="NPSRawlinson" w:hAnsi="NPSRawlinson"/>
                <w:b/>
                <w:bCs/>
                <w:sz w:val="18"/>
                <w:szCs w:val="18"/>
              </w:rPr>
            </w:pPr>
          </w:p>
        </w:tc>
        <w:tc>
          <w:tcPr>
            <w:tcW w:w="7767" w:type="dxa"/>
            <w:gridSpan w:val="25"/>
            <w:tcBorders>
              <w:top w:val="nil"/>
              <w:left w:val="nil"/>
              <w:bottom w:val="single" w:sz="4" w:space="0" w:color="auto"/>
              <w:right w:val="nil"/>
            </w:tcBorders>
          </w:tcPr>
          <w:p w:rsidR="004D0F8F" w:rsidRDefault="004D0F8F">
            <w:pPr>
              <w:rPr>
                <w:rFonts w:ascii="NPSRawlinson" w:hAnsi="NPSRawlinson"/>
                <w:sz w:val="20"/>
                <w:szCs w:val="20"/>
              </w:rPr>
            </w:pPr>
          </w:p>
        </w:tc>
      </w:tr>
      <w:tr w:rsidR="004D0F8F" w:rsidTr="00AE787E">
        <w:trPr>
          <w:trHeight w:val="1070"/>
          <w:jc w:val="center"/>
        </w:trPr>
        <w:tc>
          <w:tcPr>
            <w:tcW w:w="713" w:type="dxa"/>
            <w:gridSpan w:val="2"/>
            <w:tcBorders>
              <w:top w:val="nil"/>
              <w:left w:val="nil"/>
              <w:bottom w:val="nil"/>
              <w:right w:val="nil"/>
            </w:tcBorders>
          </w:tcPr>
          <w:p w:rsidR="004D0F8F" w:rsidRDefault="004D0F8F">
            <w:pPr>
              <w:jc w:val="right"/>
              <w:rPr>
                <w:rFonts w:ascii="NPSRawlinson" w:hAnsi="NPSRawlinson"/>
                <w:sz w:val="18"/>
                <w:szCs w:val="18"/>
              </w:rPr>
            </w:pPr>
            <w:r>
              <w:rPr>
                <w:rFonts w:ascii="NPSRawlinson" w:hAnsi="NPSRawlinson"/>
                <w:sz w:val="18"/>
                <w:szCs w:val="18"/>
              </w:rPr>
              <w:t>13.</w:t>
            </w:r>
          </w:p>
        </w:tc>
        <w:tc>
          <w:tcPr>
            <w:tcW w:w="1573" w:type="dxa"/>
            <w:gridSpan w:val="2"/>
            <w:tcBorders>
              <w:top w:val="nil"/>
              <w:left w:val="nil"/>
              <w:bottom w:val="nil"/>
              <w:right w:val="nil"/>
            </w:tcBorders>
          </w:tcPr>
          <w:p w:rsidR="004D0F8F" w:rsidRDefault="004D0F8F">
            <w:pPr>
              <w:jc w:val="right"/>
              <w:rPr>
                <w:rFonts w:ascii="NPSRawlinson" w:hAnsi="NPSRawlinson"/>
                <w:b/>
                <w:bCs/>
                <w:sz w:val="18"/>
                <w:szCs w:val="18"/>
              </w:rPr>
            </w:pPr>
            <w:r>
              <w:rPr>
                <w:rFonts w:ascii="NPSRawlinson" w:hAnsi="NPSRawlinson"/>
                <w:b/>
                <w:bCs/>
                <w:sz w:val="18"/>
                <w:szCs w:val="18"/>
              </w:rPr>
              <w:t>Reporting Plan:</w:t>
            </w:r>
          </w:p>
        </w:tc>
        <w:tc>
          <w:tcPr>
            <w:tcW w:w="7767" w:type="dxa"/>
            <w:gridSpan w:val="25"/>
            <w:tcBorders>
              <w:right w:val="single" w:sz="4" w:space="0" w:color="auto"/>
            </w:tcBorders>
          </w:tcPr>
          <w:p w:rsidR="004D0F8F" w:rsidRPr="003E6326" w:rsidRDefault="004D0F8F">
            <w:pPr>
              <w:rPr>
                <w:sz w:val="22"/>
                <w:szCs w:val="22"/>
              </w:rPr>
            </w:pPr>
            <w:r w:rsidRPr="003E6326">
              <w:rPr>
                <w:sz w:val="22"/>
                <w:szCs w:val="22"/>
              </w:rPr>
              <w:t>A technical study report will summarize results and management recommendations. Journal manuscripts and academic papers will also be prepared. Data will be analyzed using Statistical Package for Social Sciences (SPSS) version 18.0 to compare and quantify acceptability of sounds heard in the audio recordings. These results will also be compared using demographic variables to look for statistical differences between groups. Copies of all reports and papers will be archived with the National Park Service Social Science Division for inclusion in the Social Science Studies Collection.  All surveys will be included in one final report to the NPS.</w:t>
            </w:r>
          </w:p>
          <w:p w:rsidR="004D0F8F" w:rsidRDefault="004D0F8F">
            <w:pPr>
              <w:rPr>
                <w:rFonts w:ascii="NPSRawlinson" w:hAnsi="NPSRawlinson"/>
                <w:sz w:val="20"/>
                <w:szCs w:val="20"/>
              </w:rPr>
            </w:pPr>
          </w:p>
        </w:tc>
      </w:tr>
    </w:tbl>
    <w:p w:rsidR="003E6326" w:rsidRDefault="003E6326">
      <w:pPr>
        <w:rPr>
          <w:rFonts w:ascii="NPSRawlinson" w:hAnsi="NPSRawlinson" w:cs="NPSRawlinson"/>
          <w:b/>
          <w:bCs/>
          <w:sz w:val="18"/>
          <w:szCs w:val="18"/>
        </w:rPr>
      </w:pPr>
    </w:p>
    <w:p w:rsidR="00AE787E" w:rsidRDefault="00AE787E">
      <w:pPr>
        <w:rPr>
          <w:rFonts w:ascii="NPSRawlinson" w:hAnsi="NPSRawlinson" w:cs="NPSRawlinson"/>
          <w:b/>
          <w:bCs/>
          <w:sz w:val="22"/>
          <w:szCs w:val="22"/>
        </w:rPr>
      </w:pPr>
    </w:p>
    <w:p w:rsidR="004D0F8F" w:rsidRPr="00347082" w:rsidRDefault="004D0F8F">
      <w:pPr>
        <w:rPr>
          <w:rFonts w:ascii="NPSRawlinson" w:hAnsi="NPSRawlinson" w:cs="NPSRawlinson"/>
          <w:b/>
          <w:bCs/>
          <w:sz w:val="22"/>
          <w:szCs w:val="22"/>
        </w:rPr>
      </w:pPr>
      <w:r w:rsidRPr="00347082">
        <w:rPr>
          <w:rFonts w:ascii="NPSRawlinson" w:hAnsi="NPSRawlinson" w:cs="NPSRawlinson"/>
          <w:b/>
          <w:bCs/>
          <w:sz w:val="22"/>
          <w:szCs w:val="22"/>
        </w:rPr>
        <w:t>References</w:t>
      </w:r>
    </w:p>
    <w:p w:rsidR="003E6326" w:rsidRDefault="003E6326">
      <w:pPr>
        <w:rPr>
          <w:rFonts w:ascii="NPSRawlinson" w:hAnsi="NPSRawlinson" w:cs="NPSRawlinson"/>
          <w:b/>
          <w:bCs/>
          <w:sz w:val="18"/>
          <w:szCs w:val="18"/>
        </w:rPr>
      </w:pPr>
    </w:p>
    <w:p w:rsidR="004D0F8F" w:rsidRPr="00347082" w:rsidRDefault="004D0F8F" w:rsidP="003E6326">
      <w:pPr>
        <w:pStyle w:val="NoSpacing"/>
        <w:tabs>
          <w:tab w:val="left" w:pos="450"/>
        </w:tabs>
        <w:ind w:left="360" w:hanging="360"/>
        <w:rPr>
          <w:sz w:val="22"/>
          <w:szCs w:val="22"/>
        </w:rPr>
      </w:pPr>
      <w:r w:rsidRPr="00347082">
        <w:rPr>
          <w:sz w:val="22"/>
          <w:szCs w:val="22"/>
        </w:rPr>
        <w:t xml:space="preserve">Daigle, J. (2008). Transportation needs in National Parks: A summary and exploration of future trends. The George Wright Forum, 25(1), 57-64. </w:t>
      </w:r>
    </w:p>
    <w:p w:rsidR="003E6326" w:rsidRPr="00347082" w:rsidRDefault="003E6326" w:rsidP="003E6326">
      <w:pPr>
        <w:pStyle w:val="NoSpacing"/>
        <w:tabs>
          <w:tab w:val="left" w:pos="450"/>
        </w:tabs>
        <w:ind w:left="360" w:hanging="360"/>
        <w:rPr>
          <w:sz w:val="22"/>
          <w:szCs w:val="22"/>
        </w:rPr>
      </w:pPr>
    </w:p>
    <w:p w:rsidR="004D0F8F" w:rsidRPr="00347082" w:rsidRDefault="004D0F8F" w:rsidP="003E6326">
      <w:pPr>
        <w:pStyle w:val="NoSpacing"/>
        <w:tabs>
          <w:tab w:val="left" w:pos="450"/>
        </w:tabs>
        <w:ind w:left="360" w:hanging="360"/>
        <w:rPr>
          <w:sz w:val="22"/>
          <w:szCs w:val="22"/>
        </w:rPr>
      </w:pPr>
      <w:r w:rsidRPr="00347082">
        <w:rPr>
          <w:sz w:val="22"/>
          <w:szCs w:val="22"/>
        </w:rPr>
        <w:t xml:space="preserve">Ambrose, S., &amp; </w:t>
      </w:r>
      <w:proofErr w:type="spellStart"/>
      <w:r w:rsidRPr="00347082">
        <w:rPr>
          <w:sz w:val="22"/>
          <w:szCs w:val="22"/>
        </w:rPr>
        <w:t>Burson</w:t>
      </w:r>
      <w:proofErr w:type="spellEnd"/>
      <w:r w:rsidRPr="00347082">
        <w:rPr>
          <w:sz w:val="22"/>
          <w:szCs w:val="22"/>
        </w:rPr>
        <w:t>, S. (2004 ). Soundscape studies in National Parks. The George Wright Forum, 21(1), 29-38.</w:t>
      </w:r>
    </w:p>
    <w:p w:rsidR="003E6326" w:rsidRPr="00347082" w:rsidRDefault="003E6326" w:rsidP="003E6326">
      <w:pPr>
        <w:pStyle w:val="NoSpacing"/>
        <w:tabs>
          <w:tab w:val="left" w:pos="450"/>
        </w:tabs>
        <w:ind w:left="360" w:hanging="360"/>
        <w:rPr>
          <w:sz w:val="22"/>
          <w:szCs w:val="22"/>
        </w:rPr>
      </w:pPr>
    </w:p>
    <w:p w:rsidR="004D0F8F" w:rsidRPr="00347082" w:rsidRDefault="004D0F8F" w:rsidP="003E6326">
      <w:pPr>
        <w:pStyle w:val="NoSpacing"/>
        <w:tabs>
          <w:tab w:val="left" w:pos="450"/>
        </w:tabs>
        <w:ind w:left="360" w:hanging="360"/>
        <w:rPr>
          <w:sz w:val="22"/>
          <w:szCs w:val="22"/>
        </w:rPr>
      </w:pPr>
      <w:proofErr w:type="spellStart"/>
      <w:r w:rsidRPr="00347082">
        <w:rPr>
          <w:sz w:val="22"/>
          <w:szCs w:val="22"/>
        </w:rPr>
        <w:t>Krog</w:t>
      </w:r>
      <w:proofErr w:type="spellEnd"/>
      <w:r w:rsidRPr="00347082">
        <w:rPr>
          <w:sz w:val="22"/>
          <w:szCs w:val="22"/>
        </w:rPr>
        <w:t xml:space="preserve">, N. H., &amp; </w:t>
      </w:r>
      <w:proofErr w:type="spellStart"/>
      <w:r w:rsidRPr="00347082">
        <w:rPr>
          <w:sz w:val="22"/>
          <w:szCs w:val="22"/>
        </w:rPr>
        <w:t>Engdahl</w:t>
      </w:r>
      <w:proofErr w:type="spellEnd"/>
      <w:r w:rsidRPr="00347082">
        <w:rPr>
          <w:sz w:val="22"/>
          <w:szCs w:val="22"/>
        </w:rPr>
        <w:t>, B. (2005). Annoyance with aircraft noise in local recreational areas and the recreationists' noise situation at home. Journal of the Acoustical Society of America, 117(1), 221-231.</w:t>
      </w:r>
    </w:p>
    <w:p w:rsidR="003E6326" w:rsidRPr="00347082" w:rsidRDefault="003E6326" w:rsidP="003E6326">
      <w:pPr>
        <w:pStyle w:val="NoSpacing"/>
        <w:tabs>
          <w:tab w:val="left" w:pos="450"/>
        </w:tabs>
        <w:ind w:left="360" w:hanging="360"/>
        <w:rPr>
          <w:sz w:val="22"/>
          <w:szCs w:val="22"/>
        </w:rPr>
      </w:pPr>
    </w:p>
    <w:p w:rsidR="004D0F8F" w:rsidRPr="00347082" w:rsidRDefault="004D0F8F" w:rsidP="003E6326">
      <w:pPr>
        <w:pStyle w:val="NoSpacing"/>
        <w:tabs>
          <w:tab w:val="left" w:pos="450"/>
        </w:tabs>
        <w:ind w:left="360" w:hanging="360"/>
        <w:rPr>
          <w:sz w:val="22"/>
          <w:szCs w:val="22"/>
        </w:rPr>
      </w:pPr>
      <w:r w:rsidRPr="00347082">
        <w:rPr>
          <w:sz w:val="22"/>
          <w:szCs w:val="22"/>
        </w:rPr>
        <w:t xml:space="preserve">Lawson, S., Kiser, B., </w:t>
      </w:r>
      <w:proofErr w:type="spellStart"/>
      <w:r w:rsidRPr="00347082">
        <w:rPr>
          <w:sz w:val="22"/>
          <w:szCs w:val="22"/>
        </w:rPr>
        <w:t>Hockett</w:t>
      </w:r>
      <w:proofErr w:type="spellEnd"/>
      <w:r w:rsidRPr="00347082">
        <w:rPr>
          <w:sz w:val="22"/>
          <w:szCs w:val="22"/>
        </w:rPr>
        <w:t xml:space="preserve">, K., </w:t>
      </w:r>
      <w:proofErr w:type="spellStart"/>
      <w:r w:rsidRPr="00347082">
        <w:rPr>
          <w:sz w:val="22"/>
          <w:szCs w:val="22"/>
        </w:rPr>
        <w:t>Reigner</w:t>
      </w:r>
      <w:proofErr w:type="spellEnd"/>
      <w:r w:rsidRPr="00347082">
        <w:rPr>
          <w:sz w:val="22"/>
          <w:szCs w:val="22"/>
        </w:rPr>
        <w:t xml:space="preserve">, N., Howard, J., Ingram, </w:t>
      </w:r>
      <w:r w:rsidR="003E6326" w:rsidRPr="00347082">
        <w:rPr>
          <w:sz w:val="22"/>
          <w:szCs w:val="22"/>
        </w:rPr>
        <w:t xml:space="preserve">&amp; </w:t>
      </w:r>
      <w:r w:rsidRPr="00347082">
        <w:rPr>
          <w:sz w:val="22"/>
          <w:szCs w:val="22"/>
        </w:rPr>
        <w:t xml:space="preserve">A., </w:t>
      </w:r>
      <w:proofErr w:type="spellStart"/>
      <w:r w:rsidRPr="00347082">
        <w:rPr>
          <w:sz w:val="22"/>
          <w:szCs w:val="22"/>
        </w:rPr>
        <w:t>Dymond</w:t>
      </w:r>
      <w:proofErr w:type="spellEnd"/>
      <w:r w:rsidRPr="00347082">
        <w:rPr>
          <w:sz w:val="22"/>
          <w:szCs w:val="22"/>
        </w:rPr>
        <w:t>, S., (2007.  Social science research to</w:t>
      </w:r>
      <w:r w:rsidR="003E6326" w:rsidRPr="00347082">
        <w:rPr>
          <w:sz w:val="22"/>
          <w:szCs w:val="22"/>
        </w:rPr>
        <w:t xml:space="preserve"> </w:t>
      </w:r>
      <w:r w:rsidRPr="00347082">
        <w:rPr>
          <w:sz w:val="22"/>
          <w:szCs w:val="22"/>
        </w:rPr>
        <w:t xml:space="preserve">inform soundscapes in Haleakala National Park. Final study report. Virginia Polytechnic and State University. </w:t>
      </w:r>
    </w:p>
    <w:p w:rsidR="004D0F8F" w:rsidRPr="00347082" w:rsidRDefault="004D0F8F" w:rsidP="003E6326">
      <w:pPr>
        <w:pStyle w:val="NoSpacing"/>
        <w:tabs>
          <w:tab w:val="left" w:pos="450"/>
        </w:tabs>
        <w:ind w:left="360" w:hanging="360"/>
        <w:rPr>
          <w:sz w:val="22"/>
          <w:szCs w:val="22"/>
        </w:rPr>
      </w:pPr>
    </w:p>
    <w:p w:rsidR="004D0F8F" w:rsidRPr="00347082" w:rsidRDefault="004D0F8F" w:rsidP="003E6326">
      <w:pPr>
        <w:pStyle w:val="NoSpacing"/>
        <w:tabs>
          <w:tab w:val="left" w:pos="450"/>
        </w:tabs>
        <w:ind w:left="360" w:hanging="360"/>
        <w:rPr>
          <w:sz w:val="22"/>
          <w:szCs w:val="22"/>
        </w:rPr>
      </w:pPr>
      <w:r w:rsidRPr="00347082">
        <w:rPr>
          <w:sz w:val="22"/>
          <w:szCs w:val="22"/>
        </w:rPr>
        <w:t xml:space="preserve">Lawson, S., Newman, P., Choi, J., </w:t>
      </w:r>
      <w:proofErr w:type="spellStart"/>
      <w:r w:rsidRPr="00347082">
        <w:rPr>
          <w:sz w:val="22"/>
          <w:szCs w:val="22"/>
        </w:rPr>
        <w:t>Pettebone</w:t>
      </w:r>
      <w:proofErr w:type="spellEnd"/>
      <w:r w:rsidRPr="00347082">
        <w:rPr>
          <w:sz w:val="22"/>
          <w:szCs w:val="22"/>
        </w:rPr>
        <w:t>, D., &amp; Meldrum, B. (2009 ). The numbers game: Integrated transportation and user capacity research in Yosemite National Park. Transportation Research Record,2119, 83-91.</w:t>
      </w:r>
    </w:p>
    <w:p w:rsidR="004D0F8F" w:rsidRPr="00347082" w:rsidRDefault="004D0F8F" w:rsidP="003E6326">
      <w:pPr>
        <w:pStyle w:val="NoSpacing"/>
        <w:tabs>
          <w:tab w:val="left" w:pos="450"/>
        </w:tabs>
        <w:ind w:left="360" w:hanging="360"/>
        <w:rPr>
          <w:sz w:val="22"/>
          <w:szCs w:val="22"/>
        </w:rPr>
      </w:pPr>
    </w:p>
    <w:p w:rsidR="004D0F8F" w:rsidRPr="00347082" w:rsidRDefault="004D0F8F" w:rsidP="003E6326">
      <w:pPr>
        <w:pStyle w:val="NoSpacing"/>
        <w:tabs>
          <w:tab w:val="left" w:pos="450"/>
        </w:tabs>
        <w:ind w:left="360" w:hanging="360"/>
        <w:rPr>
          <w:sz w:val="22"/>
          <w:szCs w:val="22"/>
        </w:rPr>
      </w:pPr>
      <w:r w:rsidRPr="00347082">
        <w:rPr>
          <w:sz w:val="22"/>
          <w:szCs w:val="22"/>
        </w:rPr>
        <w:t xml:space="preserve">Newman P., </w:t>
      </w:r>
      <w:proofErr w:type="spellStart"/>
      <w:r w:rsidRPr="00347082">
        <w:rPr>
          <w:sz w:val="22"/>
          <w:szCs w:val="22"/>
        </w:rPr>
        <w:t>Pilcher</w:t>
      </w:r>
      <w:proofErr w:type="spellEnd"/>
      <w:r w:rsidRPr="00347082">
        <w:rPr>
          <w:sz w:val="22"/>
          <w:szCs w:val="22"/>
        </w:rPr>
        <w:t xml:space="preserve">, E., &amp; Stack, D. (2006). Grand Teton National Park acoustic study: Development of indicators of quality related to soundscapes.  Final study report. Colorado State University. </w:t>
      </w:r>
    </w:p>
    <w:p w:rsidR="004D0F8F" w:rsidRPr="00347082" w:rsidRDefault="004D0F8F" w:rsidP="003E6326">
      <w:pPr>
        <w:pStyle w:val="NoSpacing"/>
        <w:tabs>
          <w:tab w:val="left" w:pos="450"/>
        </w:tabs>
        <w:ind w:left="360" w:hanging="360"/>
        <w:rPr>
          <w:sz w:val="22"/>
          <w:szCs w:val="22"/>
        </w:rPr>
      </w:pPr>
    </w:p>
    <w:p w:rsidR="004D0F8F" w:rsidRPr="00347082" w:rsidRDefault="004D0F8F" w:rsidP="003E6326">
      <w:pPr>
        <w:pStyle w:val="NoSpacing"/>
        <w:tabs>
          <w:tab w:val="left" w:pos="450"/>
        </w:tabs>
        <w:ind w:left="360" w:hanging="360"/>
        <w:rPr>
          <w:sz w:val="22"/>
          <w:szCs w:val="22"/>
        </w:rPr>
      </w:pPr>
      <w:proofErr w:type="spellStart"/>
      <w:r w:rsidRPr="00347082">
        <w:rPr>
          <w:sz w:val="22"/>
          <w:szCs w:val="22"/>
        </w:rPr>
        <w:t>Ouis</w:t>
      </w:r>
      <w:proofErr w:type="spellEnd"/>
      <w:r w:rsidRPr="00347082">
        <w:rPr>
          <w:sz w:val="22"/>
          <w:szCs w:val="22"/>
        </w:rPr>
        <w:t>, D. (2001). Annoyance from road traffic noise: A review. Journal of Environmental Psychology, 21(1), 101-120.</w:t>
      </w:r>
    </w:p>
    <w:sectPr w:rsidR="004D0F8F" w:rsidRPr="00347082" w:rsidSect="00A419E4">
      <w:footerReference w:type="default" r:id="rId9"/>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989" w:rsidRDefault="003A3989">
      <w:r>
        <w:separator/>
      </w:r>
    </w:p>
  </w:endnote>
  <w:endnote w:type="continuationSeparator" w:id="0">
    <w:p w:rsidR="003A3989" w:rsidRDefault="003A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NPSRawlinso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326" w:rsidRDefault="004A03C8">
    <w:pPr>
      <w:pStyle w:val="Footer"/>
      <w:jc w:val="right"/>
    </w:pPr>
    <w:r>
      <w:fldChar w:fldCharType="begin"/>
    </w:r>
    <w:r w:rsidR="00FC3F56">
      <w:instrText xml:space="preserve"> PAGE   \* MERGEFORMAT </w:instrText>
    </w:r>
    <w:r>
      <w:fldChar w:fldCharType="separate"/>
    </w:r>
    <w:r w:rsidR="007B7EA1">
      <w:rPr>
        <w:noProof/>
      </w:rPr>
      <w:t>4</w:t>
    </w:r>
    <w:r>
      <w:rPr>
        <w:noProof/>
      </w:rPr>
      <w:fldChar w:fldCharType="end"/>
    </w:r>
  </w:p>
  <w:p w:rsidR="003E6326" w:rsidRDefault="003E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989" w:rsidRDefault="003A3989">
      <w:r>
        <w:separator/>
      </w:r>
    </w:p>
  </w:footnote>
  <w:footnote w:type="continuationSeparator" w:id="0">
    <w:p w:rsidR="003A3989" w:rsidRDefault="003A3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4">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7A3B09"/>
    <w:multiLevelType w:val="hybridMultilevel"/>
    <w:tmpl w:val="2A181E9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1">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5">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1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19">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2">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3">
    <w:nsid w:val="636448E0"/>
    <w:multiLevelType w:val="singleLevel"/>
    <w:tmpl w:val="F5F2FBE0"/>
    <w:lvl w:ilvl="0">
      <w:start w:val="1"/>
      <w:numFmt w:val="bullet"/>
      <w:lvlText w:val=""/>
      <w:lvlJc w:val="left"/>
      <w:pPr>
        <w:tabs>
          <w:tab w:val="num" w:pos="1440"/>
        </w:tabs>
        <w:ind w:left="1440" w:hanging="720"/>
      </w:pPr>
      <w:rPr>
        <w:rFonts w:ascii="Wingdings" w:hAnsi="Wingdings" w:hint="default"/>
        <w:sz w:val="16"/>
      </w:rPr>
    </w:lvl>
  </w:abstractNum>
  <w:abstractNum w:abstractNumId="24">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2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27">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3"/>
    <w:lvlOverride w:ilvl="0">
      <w:startOverride w:val="1"/>
    </w:lvlOverride>
  </w:num>
  <w:num w:numId="5">
    <w:abstractNumId w:val="14"/>
  </w:num>
  <w:num w:numId="6">
    <w:abstractNumId w:val="18"/>
  </w:num>
  <w:num w:numId="7">
    <w:abstractNumId w:val="22"/>
  </w:num>
  <w:num w:numId="8">
    <w:abstractNumId w:val="26"/>
  </w:num>
  <w:num w:numId="9">
    <w:abstractNumId w:val="3"/>
    <w:lvlOverride w:ilvl="0">
      <w:startOverride w:val="500"/>
    </w:lvlOverride>
  </w:num>
  <w:num w:numId="10">
    <w:abstractNumId w:val="21"/>
  </w:num>
  <w:num w:numId="11">
    <w:abstractNumId w:val="17"/>
  </w:num>
  <w:num w:numId="12">
    <w:abstractNumId w:val="20"/>
  </w:num>
  <w:num w:numId="13">
    <w:abstractNumId w:val="9"/>
  </w:num>
  <w:num w:numId="14">
    <w:abstractNumId w:val="19"/>
  </w:num>
  <w:num w:numId="1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num>
  <w:num w:numId="19">
    <w:abstractNumId w:val="11"/>
  </w:num>
  <w:num w:numId="20">
    <w:abstractNumId w:val="16"/>
  </w:num>
  <w:num w:numId="21">
    <w:abstractNumId w:val="24"/>
  </w:num>
  <w:num w:numId="22">
    <w:abstractNumId w:val="5"/>
  </w:num>
  <w:num w:numId="23">
    <w:abstractNumId w:val="4"/>
  </w:num>
  <w:num w:numId="24">
    <w:abstractNumId w:val="12"/>
  </w:num>
  <w:num w:numId="25">
    <w:abstractNumId w:val="13"/>
  </w:num>
  <w:num w:numId="26">
    <w:abstractNumId w:val="7"/>
  </w:num>
  <w:num w:numId="27">
    <w:abstractNumId w:val="15"/>
  </w:num>
  <w:num w:numId="28">
    <w:abstractNumId w:val="1"/>
  </w:num>
  <w:num w:numId="29">
    <w:abstractNumId w:val="2"/>
  </w:num>
  <w:num w:numId="30">
    <w:abstractNumId w:val="10"/>
  </w:num>
  <w:num w:numId="31">
    <w:abstractNumId w:val="2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2"/>
  </w:compat>
  <w:rsids>
    <w:rsidRoot w:val="00AC541C"/>
    <w:rsid w:val="0001559C"/>
    <w:rsid w:val="000174A9"/>
    <w:rsid w:val="000217E7"/>
    <w:rsid w:val="00034121"/>
    <w:rsid w:val="00062E09"/>
    <w:rsid w:val="00090A3E"/>
    <w:rsid w:val="00095238"/>
    <w:rsid w:val="00095CDA"/>
    <w:rsid w:val="000C042D"/>
    <w:rsid w:val="000C2B90"/>
    <w:rsid w:val="000C5E81"/>
    <w:rsid w:val="000D0617"/>
    <w:rsid w:val="000E69F1"/>
    <w:rsid w:val="000E7AB9"/>
    <w:rsid w:val="00115B84"/>
    <w:rsid w:val="00131B3A"/>
    <w:rsid w:val="00140204"/>
    <w:rsid w:val="001642C4"/>
    <w:rsid w:val="001708D2"/>
    <w:rsid w:val="00173E14"/>
    <w:rsid w:val="0017576B"/>
    <w:rsid w:val="00184A6A"/>
    <w:rsid w:val="001A0433"/>
    <w:rsid w:val="001A53B0"/>
    <w:rsid w:val="001B0741"/>
    <w:rsid w:val="001B54BF"/>
    <w:rsid w:val="001C27CC"/>
    <w:rsid w:val="001C4EEA"/>
    <w:rsid w:val="001D4521"/>
    <w:rsid w:val="001E1CEF"/>
    <w:rsid w:val="00212165"/>
    <w:rsid w:val="00216834"/>
    <w:rsid w:val="00254958"/>
    <w:rsid w:val="002A477E"/>
    <w:rsid w:val="002B1B8E"/>
    <w:rsid w:val="002E4409"/>
    <w:rsid w:val="00301C82"/>
    <w:rsid w:val="003263A8"/>
    <w:rsid w:val="00341647"/>
    <w:rsid w:val="003431FD"/>
    <w:rsid w:val="00347082"/>
    <w:rsid w:val="00361FF6"/>
    <w:rsid w:val="0036538F"/>
    <w:rsid w:val="0038284D"/>
    <w:rsid w:val="00394FA0"/>
    <w:rsid w:val="003A1B33"/>
    <w:rsid w:val="003A212D"/>
    <w:rsid w:val="003A3989"/>
    <w:rsid w:val="003A5D62"/>
    <w:rsid w:val="003E06AC"/>
    <w:rsid w:val="003E6326"/>
    <w:rsid w:val="003F1020"/>
    <w:rsid w:val="003F6762"/>
    <w:rsid w:val="0040739D"/>
    <w:rsid w:val="004130B6"/>
    <w:rsid w:val="00423DCA"/>
    <w:rsid w:val="00437883"/>
    <w:rsid w:val="00445B64"/>
    <w:rsid w:val="0046074C"/>
    <w:rsid w:val="00465C22"/>
    <w:rsid w:val="00467564"/>
    <w:rsid w:val="00483C44"/>
    <w:rsid w:val="00491EBC"/>
    <w:rsid w:val="00493F6B"/>
    <w:rsid w:val="004958D3"/>
    <w:rsid w:val="004A03C8"/>
    <w:rsid w:val="004D0F8F"/>
    <w:rsid w:val="004D1999"/>
    <w:rsid w:val="004D2EED"/>
    <w:rsid w:val="004F0C3A"/>
    <w:rsid w:val="00512ECB"/>
    <w:rsid w:val="0051388D"/>
    <w:rsid w:val="00534957"/>
    <w:rsid w:val="005479C5"/>
    <w:rsid w:val="00554A93"/>
    <w:rsid w:val="005717B9"/>
    <w:rsid w:val="00576A30"/>
    <w:rsid w:val="0057782E"/>
    <w:rsid w:val="00595B89"/>
    <w:rsid w:val="00596F6A"/>
    <w:rsid w:val="005974B9"/>
    <w:rsid w:val="005A6EE8"/>
    <w:rsid w:val="005B27B1"/>
    <w:rsid w:val="005C156A"/>
    <w:rsid w:val="005D2A19"/>
    <w:rsid w:val="005D5E83"/>
    <w:rsid w:val="005E0BEA"/>
    <w:rsid w:val="005E1485"/>
    <w:rsid w:val="0060423D"/>
    <w:rsid w:val="00613E95"/>
    <w:rsid w:val="00617644"/>
    <w:rsid w:val="00621F36"/>
    <w:rsid w:val="00645D6E"/>
    <w:rsid w:val="00677932"/>
    <w:rsid w:val="0069295E"/>
    <w:rsid w:val="006A21D7"/>
    <w:rsid w:val="006A3DCB"/>
    <w:rsid w:val="006A4AE0"/>
    <w:rsid w:val="006E26C8"/>
    <w:rsid w:val="006E65A6"/>
    <w:rsid w:val="006F0D88"/>
    <w:rsid w:val="00700600"/>
    <w:rsid w:val="00704D0E"/>
    <w:rsid w:val="00723661"/>
    <w:rsid w:val="00725BCD"/>
    <w:rsid w:val="00727DB6"/>
    <w:rsid w:val="00732F26"/>
    <w:rsid w:val="00741F48"/>
    <w:rsid w:val="00755974"/>
    <w:rsid w:val="00763800"/>
    <w:rsid w:val="00772D82"/>
    <w:rsid w:val="00776EE3"/>
    <w:rsid w:val="007807C5"/>
    <w:rsid w:val="00783660"/>
    <w:rsid w:val="00793C51"/>
    <w:rsid w:val="00794463"/>
    <w:rsid w:val="00795A5C"/>
    <w:rsid w:val="00797571"/>
    <w:rsid w:val="007A0E38"/>
    <w:rsid w:val="007B66FC"/>
    <w:rsid w:val="007B7EA1"/>
    <w:rsid w:val="007C05B9"/>
    <w:rsid w:val="007D50CE"/>
    <w:rsid w:val="007E0FB2"/>
    <w:rsid w:val="007E4944"/>
    <w:rsid w:val="007E5B20"/>
    <w:rsid w:val="007E796A"/>
    <w:rsid w:val="007F3134"/>
    <w:rsid w:val="00817C7B"/>
    <w:rsid w:val="00861313"/>
    <w:rsid w:val="00884133"/>
    <w:rsid w:val="008B1BB2"/>
    <w:rsid w:val="008B3FE6"/>
    <w:rsid w:val="008B55C4"/>
    <w:rsid w:val="008C21A8"/>
    <w:rsid w:val="008E180E"/>
    <w:rsid w:val="008E5DC1"/>
    <w:rsid w:val="008E652B"/>
    <w:rsid w:val="008F1194"/>
    <w:rsid w:val="008F2D7A"/>
    <w:rsid w:val="00947C75"/>
    <w:rsid w:val="00950491"/>
    <w:rsid w:val="009577CC"/>
    <w:rsid w:val="00960FB1"/>
    <w:rsid w:val="0098484F"/>
    <w:rsid w:val="00994F27"/>
    <w:rsid w:val="009A6096"/>
    <w:rsid w:val="009B4A06"/>
    <w:rsid w:val="00A00114"/>
    <w:rsid w:val="00A06D24"/>
    <w:rsid w:val="00A14FD4"/>
    <w:rsid w:val="00A30D56"/>
    <w:rsid w:val="00A419E4"/>
    <w:rsid w:val="00A769FA"/>
    <w:rsid w:val="00A76BAB"/>
    <w:rsid w:val="00A82CB3"/>
    <w:rsid w:val="00A83C2A"/>
    <w:rsid w:val="00A92E7F"/>
    <w:rsid w:val="00AC42E3"/>
    <w:rsid w:val="00AC541C"/>
    <w:rsid w:val="00AD604B"/>
    <w:rsid w:val="00AD67F6"/>
    <w:rsid w:val="00AE407A"/>
    <w:rsid w:val="00AE787E"/>
    <w:rsid w:val="00B14228"/>
    <w:rsid w:val="00B167B8"/>
    <w:rsid w:val="00B32538"/>
    <w:rsid w:val="00B51F4B"/>
    <w:rsid w:val="00B71A4D"/>
    <w:rsid w:val="00B8317E"/>
    <w:rsid w:val="00B91F92"/>
    <w:rsid w:val="00B921DE"/>
    <w:rsid w:val="00B97102"/>
    <w:rsid w:val="00BA1F88"/>
    <w:rsid w:val="00BB1643"/>
    <w:rsid w:val="00BB33F2"/>
    <w:rsid w:val="00BE55F8"/>
    <w:rsid w:val="00BF4A12"/>
    <w:rsid w:val="00C01F12"/>
    <w:rsid w:val="00C02998"/>
    <w:rsid w:val="00C15949"/>
    <w:rsid w:val="00C62E50"/>
    <w:rsid w:val="00C76302"/>
    <w:rsid w:val="00C775E5"/>
    <w:rsid w:val="00C918D6"/>
    <w:rsid w:val="00C93B64"/>
    <w:rsid w:val="00C96B17"/>
    <w:rsid w:val="00CA0732"/>
    <w:rsid w:val="00CA4006"/>
    <w:rsid w:val="00CB2554"/>
    <w:rsid w:val="00CC2566"/>
    <w:rsid w:val="00CC32F6"/>
    <w:rsid w:val="00CC5509"/>
    <w:rsid w:val="00CE6ADD"/>
    <w:rsid w:val="00D219F1"/>
    <w:rsid w:val="00D22B7A"/>
    <w:rsid w:val="00D24E87"/>
    <w:rsid w:val="00D31AF3"/>
    <w:rsid w:val="00D51DC4"/>
    <w:rsid w:val="00D571D3"/>
    <w:rsid w:val="00D6304F"/>
    <w:rsid w:val="00D95E6C"/>
    <w:rsid w:val="00DB2737"/>
    <w:rsid w:val="00DE45FA"/>
    <w:rsid w:val="00DF30B1"/>
    <w:rsid w:val="00DF4AC9"/>
    <w:rsid w:val="00E0245F"/>
    <w:rsid w:val="00E13707"/>
    <w:rsid w:val="00E14FC5"/>
    <w:rsid w:val="00E16B9B"/>
    <w:rsid w:val="00E227C3"/>
    <w:rsid w:val="00E31AE8"/>
    <w:rsid w:val="00E47E9F"/>
    <w:rsid w:val="00E50A3F"/>
    <w:rsid w:val="00E51B83"/>
    <w:rsid w:val="00E56975"/>
    <w:rsid w:val="00E67032"/>
    <w:rsid w:val="00E71C44"/>
    <w:rsid w:val="00E80FFC"/>
    <w:rsid w:val="00E9298B"/>
    <w:rsid w:val="00EB57E6"/>
    <w:rsid w:val="00EC6FBB"/>
    <w:rsid w:val="00EE166C"/>
    <w:rsid w:val="00EE6B45"/>
    <w:rsid w:val="00EF5BC1"/>
    <w:rsid w:val="00F10360"/>
    <w:rsid w:val="00F22DB4"/>
    <w:rsid w:val="00F31DA3"/>
    <w:rsid w:val="00F379E3"/>
    <w:rsid w:val="00F50FE4"/>
    <w:rsid w:val="00F52C19"/>
    <w:rsid w:val="00F57D05"/>
    <w:rsid w:val="00F673A2"/>
    <w:rsid w:val="00F678BE"/>
    <w:rsid w:val="00F721F8"/>
    <w:rsid w:val="00F73E06"/>
    <w:rsid w:val="00F76CEA"/>
    <w:rsid w:val="00F9179C"/>
    <w:rsid w:val="00FB7556"/>
    <w:rsid w:val="00FC3F56"/>
    <w:rsid w:val="00FD1149"/>
    <w:rsid w:val="00FF2403"/>
    <w:rsid w:val="00FF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9E4"/>
    <w:pPr>
      <w:autoSpaceDE w:val="0"/>
      <w:autoSpaceDN w:val="0"/>
    </w:pPr>
    <w:rPr>
      <w:sz w:val="24"/>
      <w:szCs w:val="24"/>
    </w:rPr>
  </w:style>
  <w:style w:type="paragraph" w:styleId="Heading1">
    <w:name w:val="heading 1"/>
    <w:basedOn w:val="Normal"/>
    <w:next w:val="Normal"/>
    <w:link w:val="Heading1Char"/>
    <w:uiPriority w:val="99"/>
    <w:qFormat/>
    <w:rsid w:val="00A419E4"/>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A419E4"/>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A419E4"/>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A419E4"/>
    <w:pPr>
      <w:keepNext/>
      <w:outlineLvl w:val="3"/>
    </w:pPr>
    <w:rPr>
      <w:rFonts w:ascii="Baskerville BE Regular" w:hAnsi="Baskerville BE Regular"/>
      <w:b/>
      <w:bCs/>
    </w:rPr>
  </w:style>
  <w:style w:type="paragraph" w:styleId="Heading5">
    <w:name w:val="heading 5"/>
    <w:basedOn w:val="Normal"/>
    <w:next w:val="Normal"/>
    <w:link w:val="Heading5Char"/>
    <w:uiPriority w:val="99"/>
    <w:qFormat/>
    <w:rsid w:val="00A419E4"/>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A419E4"/>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A419E4"/>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A419E4"/>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A419E4"/>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C4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96C4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96C4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96C4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96C4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96C48"/>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96C4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96C4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96C48"/>
    <w:rPr>
      <w:rFonts w:ascii="Cambria" w:eastAsia="Times New Roman" w:hAnsi="Cambria" w:cs="Times New Roman"/>
    </w:rPr>
  </w:style>
  <w:style w:type="paragraph" w:styleId="Header">
    <w:name w:val="header"/>
    <w:basedOn w:val="Normal"/>
    <w:link w:val="HeaderChar"/>
    <w:uiPriority w:val="99"/>
    <w:rsid w:val="00A419E4"/>
    <w:pPr>
      <w:tabs>
        <w:tab w:val="center" w:pos="4320"/>
        <w:tab w:val="right" w:pos="8640"/>
      </w:tabs>
    </w:pPr>
  </w:style>
  <w:style w:type="character" w:customStyle="1" w:styleId="HeaderChar">
    <w:name w:val="Header Char"/>
    <w:basedOn w:val="DefaultParagraphFont"/>
    <w:link w:val="Header"/>
    <w:uiPriority w:val="99"/>
    <w:semiHidden/>
    <w:rsid w:val="00B96C48"/>
    <w:rPr>
      <w:sz w:val="24"/>
      <w:szCs w:val="24"/>
    </w:rPr>
  </w:style>
  <w:style w:type="paragraph" w:styleId="TOC1">
    <w:name w:val="toc 1"/>
    <w:basedOn w:val="Normal"/>
    <w:next w:val="Normal"/>
    <w:autoRedefine/>
    <w:uiPriority w:val="99"/>
    <w:semiHidden/>
    <w:rsid w:val="00A419E4"/>
    <w:rPr>
      <w:rFonts w:ascii="Arial" w:hAnsi="Arial" w:cs="Arial"/>
      <w:u w:val="single"/>
    </w:rPr>
  </w:style>
  <w:style w:type="paragraph" w:styleId="Footer">
    <w:name w:val="footer"/>
    <w:basedOn w:val="Normal"/>
    <w:link w:val="FooterChar"/>
    <w:uiPriority w:val="99"/>
    <w:rsid w:val="00A419E4"/>
    <w:pPr>
      <w:tabs>
        <w:tab w:val="center" w:pos="4320"/>
        <w:tab w:val="right" w:pos="8640"/>
      </w:tabs>
    </w:pPr>
  </w:style>
  <w:style w:type="character" w:customStyle="1" w:styleId="FooterChar">
    <w:name w:val="Footer Char"/>
    <w:basedOn w:val="DefaultParagraphFont"/>
    <w:link w:val="Footer"/>
    <w:uiPriority w:val="99"/>
    <w:rsid w:val="00B96C48"/>
    <w:rPr>
      <w:sz w:val="24"/>
      <w:szCs w:val="24"/>
    </w:rPr>
  </w:style>
  <w:style w:type="character" w:styleId="PageNumber">
    <w:name w:val="page number"/>
    <w:basedOn w:val="DefaultParagraphFont"/>
    <w:uiPriority w:val="99"/>
    <w:rsid w:val="00A419E4"/>
    <w:rPr>
      <w:rFonts w:cs="Times New Roman"/>
    </w:rPr>
  </w:style>
  <w:style w:type="paragraph" w:styleId="Caption">
    <w:name w:val="caption"/>
    <w:basedOn w:val="Normal"/>
    <w:next w:val="Normal"/>
    <w:uiPriority w:val="99"/>
    <w:qFormat/>
    <w:rsid w:val="00A419E4"/>
    <w:pPr>
      <w:jc w:val="center"/>
    </w:pPr>
    <w:rPr>
      <w:rFonts w:ascii="Baskerville Old Face" w:hAnsi="Baskerville Old Face"/>
      <w:b/>
      <w:bCs/>
      <w:i/>
      <w:iCs/>
    </w:rPr>
  </w:style>
  <w:style w:type="paragraph" w:styleId="TOC2">
    <w:name w:val="toc 2"/>
    <w:basedOn w:val="Normal"/>
    <w:next w:val="Normal"/>
    <w:autoRedefine/>
    <w:uiPriority w:val="99"/>
    <w:semiHidden/>
    <w:rsid w:val="00A419E4"/>
    <w:pPr>
      <w:tabs>
        <w:tab w:val="left" w:pos="720"/>
        <w:tab w:val="right" w:leader="dot" w:pos="9350"/>
      </w:tabs>
      <w:autoSpaceDE/>
      <w:autoSpaceDN/>
    </w:pPr>
    <w:rPr>
      <w:rFonts w:ascii="Baskerville Old Face" w:hAnsi="Baskerville Old Face"/>
      <w:b/>
      <w:bCs/>
      <w:noProof/>
    </w:rPr>
  </w:style>
  <w:style w:type="paragraph" w:styleId="BalloonText">
    <w:name w:val="Balloon Text"/>
    <w:basedOn w:val="Normal"/>
    <w:link w:val="BalloonTextChar"/>
    <w:uiPriority w:val="99"/>
    <w:semiHidden/>
    <w:rsid w:val="00A419E4"/>
    <w:rPr>
      <w:rFonts w:ascii="Tahoma" w:hAnsi="Tahoma" w:cs="Tahoma"/>
      <w:sz w:val="16"/>
      <w:szCs w:val="16"/>
    </w:rPr>
  </w:style>
  <w:style w:type="character" w:customStyle="1" w:styleId="BalloonTextChar">
    <w:name w:val="Balloon Text Char"/>
    <w:basedOn w:val="DefaultParagraphFont"/>
    <w:link w:val="BalloonText"/>
    <w:uiPriority w:val="99"/>
    <w:semiHidden/>
    <w:rsid w:val="00A419E4"/>
    <w:rPr>
      <w:rFonts w:ascii="Tahoma" w:hAnsi="Tahoma" w:cs="Tahoma"/>
      <w:sz w:val="16"/>
      <w:szCs w:val="16"/>
    </w:rPr>
  </w:style>
  <w:style w:type="paragraph" w:styleId="BodyTextIndent2">
    <w:name w:val="Body Text Indent 2"/>
    <w:basedOn w:val="Normal"/>
    <w:link w:val="BodyTextIndent2Char"/>
    <w:uiPriority w:val="99"/>
    <w:rsid w:val="00A419E4"/>
    <w:pPr>
      <w:autoSpaceDE/>
      <w:autoSpaceDN/>
      <w:ind w:left="374"/>
    </w:pPr>
  </w:style>
  <w:style w:type="character" w:customStyle="1" w:styleId="BodyTextIndent2Char">
    <w:name w:val="Body Text Indent 2 Char"/>
    <w:basedOn w:val="DefaultParagraphFont"/>
    <w:link w:val="BodyTextIndent2"/>
    <w:uiPriority w:val="99"/>
    <w:semiHidden/>
    <w:rsid w:val="00B96C48"/>
    <w:rPr>
      <w:sz w:val="24"/>
      <w:szCs w:val="24"/>
    </w:rPr>
  </w:style>
  <w:style w:type="paragraph" w:styleId="BodyTextIndent">
    <w:name w:val="Body Text Indent"/>
    <w:basedOn w:val="Normal"/>
    <w:link w:val="BodyTextIndentChar"/>
    <w:uiPriority w:val="99"/>
    <w:rsid w:val="00A419E4"/>
    <w:pPr>
      <w:ind w:left="270"/>
    </w:pPr>
    <w:rPr>
      <w:sz w:val="20"/>
    </w:rPr>
  </w:style>
  <w:style w:type="character" w:customStyle="1" w:styleId="BodyTextIndentChar">
    <w:name w:val="Body Text Indent Char"/>
    <w:basedOn w:val="DefaultParagraphFont"/>
    <w:link w:val="BodyTextIndent"/>
    <w:uiPriority w:val="99"/>
    <w:semiHidden/>
    <w:rsid w:val="00B96C48"/>
    <w:rPr>
      <w:sz w:val="24"/>
      <w:szCs w:val="24"/>
    </w:rPr>
  </w:style>
  <w:style w:type="character" w:styleId="CommentReference">
    <w:name w:val="annotation reference"/>
    <w:basedOn w:val="DefaultParagraphFont"/>
    <w:uiPriority w:val="99"/>
    <w:semiHidden/>
    <w:rsid w:val="0046074C"/>
    <w:rPr>
      <w:rFonts w:cs="Times New Roman"/>
      <w:sz w:val="16"/>
      <w:szCs w:val="16"/>
    </w:rPr>
  </w:style>
  <w:style w:type="paragraph" w:styleId="CommentText">
    <w:name w:val="annotation text"/>
    <w:basedOn w:val="Normal"/>
    <w:link w:val="CommentTextChar"/>
    <w:uiPriority w:val="99"/>
    <w:semiHidden/>
    <w:rsid w:val="0046074C"/>
    <w:rPr>
      <w:sz w:val="20"/>
      <w:szCs w:val="20"/>
    </w:rPr>
  </w:style>
  <w:style w:type="character" w:customStyle="1" w:styleId="CommentTextChar">
    <w:name w:val="Comment Text Char"/>
    <w:basedOn w:val="DefaultParagraphFont"/>
    <w:link w:val="CommentText"/>
    <w:uiPriority w:val="99"/>
    <w:semiHidden/>
    <w:rsid w:val="00B96C48"/>
    <w:rPr>
      <w:sz w:val="20"/>
      <w:szCs w:val="20"/>
    </w:rPr>
  </w:style>
  <w:style w:type="paragraph" w:styleId="CommentSubject">
    <w:name w:val="annotation subject"/>
    <w:basedOn w:val="CommentText"/>
    <w:next w:val="CommentText"/>
    <w:link w:val="CommentSubjectChar"/>
    <w:uiPriority w:val="99"/>
    <w:semiHidden/>
    <w:rsid w:val="0046074C"/>
    <w:rPr>
      <w:b/>
      <w:bCs/>
    </w:rPr>
  </w:style>
  <w:style w:type="character" w:customStyle="1" w:styleId="CommentSubjectChar">
    <w:name w:val="Comment Subject Char"/>
    <w:basedOn w:val="CommentTextChar"/>
    <w:link w:val="CommentSubject"/>
    <w:uiPriority w:val="99"/>
    <w:semiHidden/>
    <w:rsid w:val="00B96C48"/>
    <w:rPr>
      <w:b/>
      <w:bCs/>
      <w:sz w:val="20"/>
      <w:szCs w:val="20"/>
    </w:rPr>
  </w:style>
  <w:style w:type="paragraph" w:customStyle="1" w:styleId="style2">
    <w:name w:val="style2"/>
    <w:basedOn w:val="Normal"/>
    <w:uiPriority w:val="99"/>
    <w:rsid w:val="00E56975"/>
    <w:pPr>
      <w:autoSpaceDE/>
      <w:autoSpaceDN/>
      <w:spacing w:before="100" w:beforeAutospacing="1" w:after="100" w:afterAutospacing="1"/>
    </w:pPr>
    <w:rPr>
      <w:rFonts w:ascii="Verdana" w:hAnsi="Verdana"/>
      <w:sz w:val="18"/>
      <w:szCs w:val="18"/>
    </w:rPr>
  </w:style>
  <w:style w:type="paragraph" w:styleId="NoSpacing">
    <w:name w:val="No Spacing"/>
    <w:uiPriority w:val="1"/>
    <w:qFormat/>
    <w:rsid w:val="003E6326"/>
    <w:pPr>
      <w:autoSpaceDE w:val="0"/>
      <w:autoSpaceDN w:val="0"/>
    </w:pPr>
    <w:rPr>
      <w:sz w:val="24"/>
      <w:szCs w:val="24"/>
    </w:rPr>
  </w:style>
  <w:style w:type="character" w:styleId="FollowedHyperlink">
    <w:name w:val="FollowedHyperlink"/>
    <w:basedOn w:val="DefaultParagraphFont"/>
    <w:uiPriority w:val="99"/>
    <w:semiHidden/>
    <w:unhideWhenUsed/>
    <w:rsid w:val="008E5D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16339">
      <w:marLeft w:val="0"/>
      <w:marRight w:val="0"/>
      <w:marTop w:val="0"/>
      <w:marBottom w:val="0"/>
      <w:divBdr>
        <w:top w:val="none" w:sz="0" w:space="0" w:color="auto"/>
        <w:left w:val="none" w:sz="0" w:space="0" w:color="auto"/>
        <w:bottom w:val="none" w:sz="0" w:space="0" w:color="auto"/>
        <w:right w:val="none" w:sz="0" w:space="0" w:color="auto"/>
      </w:divBdr>
      <w:divsChild>
        <w:div w:id="151711634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24054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CPSU</dc:creator>
  <cp:keywords/>
  <dc:description/>
  <cp:lastModifiedBy>pondsp</cp:lastModifiedBy>
  <cp:revision>2</cp:revision>
  <cp:lastPrinted>2011-05-13T12:38:00Z</cp:lastPrinted>
  <dcterms:created xsi:type="dcterms:W3CDTF">2011-05-13T15:55:00Z</dcterms:created>
  <dcterms:modified xsi:type="dcterms:W3CDTF">2011-05-13T15:55:00Z</dcterms:modified>
</cp:coreProperties>
</file>