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86" w:rsidRDefault="00827923" w:rsidP="00D8088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>S</w:t>
      </w:r>
      <w:r w:rsidR="00E81415">
        <w:rPr>
          <w:rFonts w:ascii="Times New Roman" w:hAnsi="Times New Roman"/>
          <w:b/>
          <w:bCs/>
        </w:rPr>
        <w:t>upporting Statement for Form</w:t>
      </w:r>
      <w:r w:rsidR="00F41F9E">
        <w:rPr>
          <w:rFonts w:ascii="Times New Roman" w:hAnsi="Times New Roman"/>
          <w:b/>
          <w:bCs/>
        </w:rPr>
        <w:t xml:space="preserve"> SSA-44</w:t>
      </w:r>
      <w:r w:rsidR="00787C6F">
        <w:rPr>
          <w:rFonts w:ascii="Times New Roman" w:hAnsi="Times New Roman"/>
          <w:b/>
          <w:bCs/>
        </w:rPr>
        <w:t>,</w:t>
      </w:r>
    </w:p>
    <w:p w:rsidR="00F41F9E" w:rsidRPr="00307168" w:rsidRDefault="00D90F58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E81415">
        <w:rPr>
          <w:rFonts w:ascii="Times New Roman" w:hAnsi="Times New Roman"/>
          <w:b/>
          <w:bCs/>
        </w:rPr>
        <w:t xml:space="preserve">edicare </w:t>
      </w:r>
      <w:r>
        <w:rPr>
          <w:rFonts w:ascii="Times New Roman" w:hAnsi="Times New Roman"/>
          <w:b/>
          <w:bCs/>
        </w:rPr>
        <w:t>I</w:t>
      </w:r>
      <w:r w:rsidR="00E81415">
        <w:rPr>
          <w:rFonts w:ascii="Times New Roman" w:hAnsi="Times New Roman"/>
          <w:b/>
          <w:bCs/>
        </w:rPr>
        <w:t xml:space="preserve">ncome-Related </w:t>
      </w:r>
      <w:r w:rsidR="00DF26EA">
        <w:rPr>
          <w:rFonts w:ascii="Times New Roman" w:hAnsi="Times New Roman"/>
          <w:b/>
          <w:bCs/>
        </w:rPr>
        <w:t>Monthly Adjustment Amount</w:t>
      </w:r>
      <w:r w:rsidR="00E81415">
        <w:rPr>
          <w:rFonts w:ascii="Times New Roman" w:hAnsi="Times New Roman"/>
          <w:b/>
          <w:bCs/>
        </w:rPr>
        <w:t xml:space="preserve"> –</w:t>
      </w:r>
      <w:r>
        <w:rPr>
          <w:rFonts w:ascii="Times New Roman" w:hAnsi="Times New Roman"/>
          <w:b/>
          <w:bCs/>
        </w:rPr>
        <w:t xml:space="preserve"> L</w:t>
      </w:r>
      <w:r w:rsidR="00E81415">
        <w:rPr>
          <w:rFonts w:ascii="Times New Roman" w:hAnsi="Times New Roman"/>
          <w:b/>
          <w:bCs/>
        </w:rPr>
        <w:t xml:space="preserve">ife-Changing Event </w:t>
      </w:r>
    </w:p>
    <w:p w:rsidR="00787C6F" w:rsidRDefault="002342F4" w:rsidP="003562B7">
      <w:pPr>
        <w:jc w:val="center"/>
        <w:rPr>
          <w:rFonts w:ascii="Times New Roman" w:hAnsi="Times New Roman"/>
          <w:b/>
          <w:iCs/>
        </w:rPr>
      </w:pPr>
      <w:r w:rsidRPr="002342F4">
        <w:rPr>
          <w:rFonts w:ascii="Times New Roman" w:hAnsi="Times New Roman"/>
          <w:b/>
          <w:iCs/>
        </w:rPr>
        <w:t>20 CFR 418.</w:t>
      </w:r>
      <w:r w:rsidR="001B1185">
        <w:rPr>
          <w:rFonts w:ascii="Times New Roman" w:hAnsi="Times New Roman"/>
          <w:b/>
          <w:iCs/>
        </w:rPr>
        <w:t>1205, .1255, .1265</w:t>
      </w:r>
      <w:r w:rsidR="005A2904">
        <w:rPr>
          <w:rFonts w:ascii="Times New Roman" w:hAnsi="Times New Roman"/>
          <w:b/>
          <w:iCs/>
        </w:rPr>
        <w:t xml:space="preserve"> </w:t>
      </w:r>
      <w:r w:rsidR="00D80886">
        <w:rPr>
          <w:rFonts w:ascii="Times New Roman" w:hAnsi="Times New Roman"/>
          <w:b/>
          <w:iCs/>
        </w:rPr>
        <w:t>and</w:t>
      </w:r>
    </w:p>
    <w:p w:rsidR="00F41F9E" w:rsidRDefault="00787C6F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</w:rPr>
        <w:t>Proposed 20 CFR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418.2205,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.2255, .2265</w:t>
      </w:r>
    </w:p>
    <w:p w:rsidR="007759C8" w:rsidRPr="00827923" w:rsidRDefault="00827923" w:rsidP="002342F4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 w:rsidR="00307168">
        <w:rPr>
          <w:rFonts w:ascii="Times New Roman" w:hAnsi="Times New Roman"/>
          <w:b/>
          <w:bCs/>
        </w:rPr>
        <w:t>0960-</w:t>
      </w:r>
      <w:r w:rsidR="00CE1AFB">
        <w:rPr>
          <w:rFonts w:ascii="Times New Roman" w:hAnsi="Times New Roman"/>
          <w:b/>
          <w:bCs/>
        </w:rPr>
        <w:t>0784</w:t>
      </w: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AA2CC5" w:rsidRPr="0030548E" w:rsidRDefault="00AA2CC5" w:rsidP="00AA2CC5">
      <w:pPr>
        <w:ind w:right="-720"/>
        <w:rPr>
          <w:rFonts w:ascii="Times New Roman" w:hAnsi="Times New Roman"/>
          <w:b/>
          <w:bCs/>
        </w:rPr>
      </w:pPr>
      <w:r w:rsidRPr="0030548E">
        <w:rPr>
          <w:rFonts w:ascii="Times New Roman" w:hAnsi="Times New Roman"/>
          <w:b/>
          <w:bCs/>
        </w:rPr>
        <w:t xml:space="preserve">A. </w:t>
      </w:r>
      <w:r w:rsidRPr="0030548E">
        <w:rPr>
          <w:rFonts w:ascii="Times New Roman" w:hAnsi="Times New Roman"/>
          <w:b/>
          <w:bCs/>
        </w:rPr>
        <w:tab/>
      </w:r>
      <w:r w:rsidRPr="0030548E">
        <w:rPr>
          <w:rFonts w:ascii="Times New Roman" w:hAnsi="Times New Roman"/>
          <w:b/>
          <w:bCs/>
          <w:u w:val="single"/>
        </w:rPr>
        <w:t>Justification</w:t>
      </w:r>
    </w:p>
    <w:p w:rsidR="00AA2CC5" w:rsidRDefault="00AA2CC5" w:rsidP="00AA2C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7726D2" w:rsidRDefault="000011E3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961B62">
        <w:rPr>
          <w:rFonts w:ascii="Times New Roman" w:hAnsi="Times New Roman"/>
        </w:rPr>
        <w:t xml:space="preserve"> </w:t>
      </w:r>
      <w:r w:rsidR="004E6C06" w:rsidRPr="004E6C06">
        <w:rPr>
          <w:rFonts w:ascii="Times New Roman" w:hAnsi="Times New Roman"/>
          <w:i/>
        </w:rPr>
        <w:t>1860D-13(a)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Pr="00F6514B">
        <w:rPr>
          <w:rFonts w:ascii="Times New Roman" w:hAnsi="Times New Roman"/>
        </w:rPr>
        <w:t xml:space="preserve">added by section </w:t>
      </w:r>
      <w:r w:rsidRPr="004C309A">
        <w:rPr>
          <w:rFonts w:ascii="Times New Roman" w:hAnsi="Times New Roman"/>
          <w:i/>
        </w:rPr>
        <w:t>3308</w:t>
      </w:r>
      <w:r w:rsidRPr="00F6514B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</w:t>
      </w:r>
      <w:r w:rsidRPr="004C309A">
        <w:rPr>
          <w:rFonts w:ascii="Times New Roman" w:hAnsi="Times New Roman"/>
          <w:i/>
        </w:rPr>
        <w:t>Affordable Care Act</w:t>
      </w:r>
      <w:r w:rsidR="00840461">
        <w:rPr>
          <w:rFonts w:ascii="Times New Roman" w:hAnsi="Times New Roman"/>
        </w:rPr>
        <w:t xml:space="preserve"> (</w:t>
      </w:r>
      <w:r w:rsidR="00840461" w:rsidRPr="004C309A">
        <w:rPr>
          <w:rFonts w:ascii="Times New Roman" w:hAnsi="Times New Roman"/>
          <w:i/>
        </w:rPr>
        <w:t>Affordable Care Act</w:t>
      </w:r>
      <w:r w:rsidR="00840461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001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3562B7">
        <w:rPr>
          <w:rFonts w:ascii="Times New Roman" w:hAnsi="Times New Roman"/>
        </w:rPr>
        <w:t>Section</w:t>
      </w:r>
      <w:r>
        <w:rPr>
          <w:rFonts w:ascii="Times New Roman" w:hAnsi="Times New Roman"/>
          <w:i/>
          <w:iCs/>
        </w:rPr>
        <w:t xml:space="preserve"> 1839(i)</w:t>
      </w:r>
      <w:r>
        <w:rPr>
          <w:rFonts w:ascii="Times New Roman" w:hAnsi="Times New Roman"/>
        </w:rPr>
        <w:t xml:space="preserve"> </w:t>
      </w:r>
      <w:r w:rsidR="003562B7">
        <w:rPr>
          <w:rFonts w:ascii="Times New Roman" w:hAnsi="Times New Roman"/>
        </w:rPr>
        <w:t xml:space="preserve">of the </w:t>
      </w:r>
      <w:r w:rsidR="003562B7">
        <w:rPr>
          <w:rFonts w:ascii="Times New Roman" w:hAnsi="Times New Roman"/>
          <w:i/>
          <w:iCs/>
        </w:rPr>
        <w:t xml:space="preserve">Social Security </w:t>
      </w:r>
      <w:r w:rsidR="003562B7" w:rsidRPr="003562B7">
        <w:rPr>
          <w:rFonts w:ascii="Times New Roman" w:hAnsi="Times New Roman"/>
          <w:i/>
          <w:iCs/>
        </w:rPr>
        <w:t>Ac</w:t>
      </w:r>
      <w:r w:rsidR="00D90F58">
        <w:rPr>
          <w:rFonts w:ascii="Times New Roman" w:hAnsi="Times New Roman"/>
          <w:i/>
          <w:iCs/>
        </w:rPr>
        <w:t>t</w:t>
      </w:r>
      <w:r w:rsidR="009E4DEA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EF12EC">
        <w:rPr>
          <w:rFonts w:ascii="Times New Roman" w:hAnsi="Times New Roman"/>
          <w:iCs/>
        </w:rPr>
        <w:t>as</w:t>
      </w:r>
      <w:r w:rsidR="005D185A">
        <w:rPr>
          <w:rFonts w:ascii="Times New Roman" w:hAnsi="Times New Roman"/>
          <w:i/>
          <w:iCs/>
        </w:rPr>
        <w:t xml:space="preserve"> </w:t>
      </w:r>
      <w:r w:rsidR="00EF12EC" w:rsidRPr="009E4DEA">
        <w:rPr>
          <w:rFonts w:ascii="Times New Roman" w:hAnsi="Times New Roman"/>
          <w:iCs/>
        </w:rPr>
        <w:t>c</w:t>
      </w:r>
      <w:r w:rsidR="005D185A" w:rsidRPr="005D185A">
        <w:rPr>
          <w:rFonts w:ascii="Times New Roman" w:hAnsi="Times New Roman"/>
          <w:iCs/>
        </w:rPr>
        <w:t xml:space="preserve">odified </w:t>
      </w:r>
      <w:r w:rsidR="00CE1AFB">
        <w:rPr>
          <w:rFonts w:ascii="Times New Roman" w:hAnsi="Times New Roman"/>
          <w:iCs/>
        </w:rPr>
        <w:t xml:space="preserve">in regulations </w:t>
      </w:r>
      <w:r w:rsidR="005D185A" w:rsidRPr="00EF12EC">
        <w:rPr>
          <w:rFonts w:ascii="Times New Roman" w:hAnsi="Times New Roman"/>
          <w:iCs/>
        </w:rPr>
        <w:t>by</w:t>
      </w:r>
      <w:r w:rsidR="005D185A">
        <w:rPr>
          <w:rFonts w:ascii="Times New Roman" w:hAnsi="Times New Roman"/>
          <w:i/>
          <w:iCs/>
        </w:rPr>
        <w:t xml:space="preserve"> </w:t>
      </w:r>
      <w:r w:rsidR="00D80886">
        <w:rPr>
          <w:rFonts w:ascii="Times New Roman" w:hAnsi="Times New Roman"/>
          <w:i/>
          <w:iCs/>
        </w:rPr>
        <w:t>Title</w:t>
      </w:r>
      <w:r w:rsidR="009E4DEA">
        <w:rPr>
          <w:rFonts w:ascii="Times New Roman" w:hAnsi="Times New Roman"/>
          <w:iCs/>
        </w:rPr>
        <w:t xml:space="preserve"> </w:t>
      </w:r>
      <w:r w:rsidR="002342F4" w:rsidRPr="002342F4">
        <w:rPr>
          <w:rFonts w:ascii="Times New Roman" w:hAnsi="Times New Roman"/>
          <w:i/>
          <w:iCs/>
        </w:rPr>
        <w:t xml:space="preserve">20 </w:t>
      </w:r>
      <w:r w:rsidR="00D80886" w:rsidRPr="004C309A">
        <w:rPr>
          <w:rFonts w:ascii="Times New Roman" w:hAnsi="Times New Roman"/>
          <w:iCs/>
        </w:rPr>
        <w:t>of the</w:t>
      </w:r>
      <w:r w:rsidR="00D80886">
        <w:rPr>
          <w:rFonts w:ascii="Times New Roman" w:hAnsi="Times New Roman"/>
          <w:i/>
          <w:iCs/>
        </w:rPr>
        <w:t xml:space="preserve"> Code of Federal Regulations (</w:t>
      </w:r>
      <w:r w:rsidR="002342F4" w:rsidRPr="002342F4">
        <w:rPr>
          <w:rFonts w:ascii="Times New Roman" w:hAnsi="Times New Roman"/>
          <w:i/>
          <w:iCs/>
        </w:rPr>
        <w:t>CFR</w:t>
      </w:r>
      <w:r w:rsidR="00D80886">
        <w:rPr>
          <w:rFonts w:ascii="Times New Roman" w:hAnsi="Times New Roman"/>
          <w:i/>
          <w:iCs/>
        </w:rPr>
        <w:t>)</w:t>
      </w:r>
      <w:r w:rsidR="002342F4">
        <w:rPr>
          <w:rFonts w:ascii="Times New Roman" w:hAnsi="Times New Roman"/>
          <w:iCs/>
        </w:rPr>
        <w:t xml:space="preserve"> </w:t>
      </w:r>
      <w:r w:rsidR="00D80886">
        <w:rPr>
          <w:rFonts w:ascii="Times New Roman" w:hAnsi="Times New Roman"/>
          <w:iCs/>
        </w:rPr>
        <w:t xml:space="preserve">Part </w:t>
      </w:r>
      <w:r w:rsidR="001B1185">
        <w:rPr>
          <w:rFonts w:ascii="Times New Roman" w:hAnsi="Times New Roman"/>
          <w:i/>
          <w:iCs/>
        </w:rPr>
        <w:t>418</w:t>
      </w:r>
      <w:r w:rsidR="001768BB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5D185A">
        <w:rPr>
          <w:rFonts w:ascii="Times New Roman" w:hAnsi="Times New Roman"/>
          <w:iCs/>
        </w:rPr>
        <w:t xml:space="preserve">mandate </w:t>
      </w:r>
      <w:r w:rsidR="00ED6302">
        <w:rPr>
          <w:rFonts w:ascii="Times New Roman" w:hAnsi="Times New Roman"/>
        </w:rPr>
        <w:t>reduction</w:t>
      </w:r>
      <w:r w:rsidR="00D80886">
        <w:rPr>
          <w:rFonts w:ascii="Times New Roman" w:hAnsi="Times New Roman"/>
        </w:rPr>
        <w:t>s</w:t>
      </w:r>
      <w:r w:rsidR="00ED6302">
        <w:rPr>
          <w:rFonts w:ascii="Times New Roman" w:hAnsi="Times New Roman"/>
        </w:rPr>
        <w:t xml:space="preserve"> in the Federal </w:t>
      </w:r>
      <w:r w:rsidR="003562B7">
        <w:rPr>
          <w:rFonts w:ascii="Times New Roman" w:hAnsi="Times New Roman"/>
        </w:rPr>
        <w:t>Medicare Part</w:t>
      </w:r>
      <w:r w:rsidR="00393ED1">
        <w:rPr>
          <w:rFonts w:ascii="Times New Roman" w:hAnsi="Times New Roman"/>
        </w:rPr>
        <w:t> </w:t>
      </w:r>
      <w:r w:rsidR="005D185A">
        <w:rPr>
          <w:rFonts w:ascii="Times New Roman" w:hAnsi="Times New Roman"/>
        </w:rPr>
        <w:t xml:space="preserve">B </w:t>
      </w:r>
      <w:r w:rsidR="00AE529B">
        <w:rPr>
          <w:rFonts w:ascii="Times New Roman" w:hAnsi="Times New Roman"/>
        </w:rPr>
        <w:t xml:space="preserve">and prescription drug coverage </w:t>
      </w:r>
      <w:r w:rsidR="007C79EA">
        <w:rPr>
          <w:rFonts w:ascii="Times New Roman" w:hAnsi="Times New Roman"/>
        </w:rPr>
        <w:t>subsid</w:t>
      </w:r>
      <w:r w:rsidR="00787C6F">
        <w:rPr>
          <w:rFonts w:ascii="Times New Roman" w:hAnsi="Times New Roman"/>
        </w:rPr>
        <w:t>ies</w:t>
      </w:r>
      <w:r w:rsidR="00221A43">
        <w:rPr>
          <w:rFonts w:ascii="Times New Roman" w:hAnsi="Times New Roman"/>
        </w:rPr>
        <w:t>.</w:t>
      </w:r>
      <w:r w:rsidR="005D185A">
        <w:rPr>
          <w:rFonts w:ascii="Times New Roman" w:hAnsi="Times New Roman"/>
        </w:rPr>
        <w:t xml:space="preserve"> </w:t>
      </w:r>
      <w:r w:rsidR="00221A43">
        <w:rPr>
          <w:rFonts w:ascii="Times New Roman" w:hAnsi="Times New Roman"/>
        </w:rPr>
        <w:t xml:space="preserve"> This </w:t>
      </w:r>
      <w:r w:rsidR="00BC6692">
        <w:rPr>
          <w:rFonts w:ascii="Times New Roman" w:hAnsi="Times New Roman"/>
        </w:rPr>
        <w:t>result</w:t>
      </w:r>
      <w:r w:rsidR="00221A43">
        <w:rPr>
          <w:rFonts w:ascii="Times New Roman" w:hAnsi="Times New Roman"/>
        </w:rPr>
        <w:t>s</w:t>
      </w:r>
      <w:r w:rsidR="005D185A">
        <w:rPr>
          <w:rFonts w:ascii="Times New Roman" w:hAnsi="Times New Roman"/>
        </w:rPr>
        <w:t xml:space="preserve"> </w:t>
      </w:r>
      <w:r w:rsidR="00BC6692">
        <w:rPr>
          <w:rFonts w:ascii="Times New Roman" w:hAnsi="Times New Roman"/>
        </w:rPr>
        <w:t xml:space="preserve">in higher premiums for </w:t>
      </w:r>
      <w:r w:rsidR="00D80886">
        <w:rPr>
          <w:rFonts w:ascii="Times New Roman" w:hAnsi="Times New Roman"/>
        </w:rPr>
        <w:t xml:space="preserve">those with </w:t>
      </w:r>
      <w:r w:rsidR="00BC6692">
        <w:rPr>
          <w:rFonts w:ascii="Times New Roman" w:hAnsi="Times New Roman"/>
        </w:rPr>
        <w:t xml:space="preserve">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BC6692">
        <w:rPr>
          <w:rFonts w:ascii="Times New Roman" w:hAnsi="Times New Roman"/>
        </w:rPr>
        <w:t xml:space="preserve">with income above </w:t>
      </w:r>
      <w:r w:rsidR="009E4DEA">
        <w:rPr>
          <w:rFonts w:ascii="Times New Roman" w:hAnsi="Times New Roman"/>
        </w:rPr>
        <w:t>a specific</w:t>
      </w:r>
      <w:r w:rsidR="00BC6692">
        <w:rPr>
          <w:rFonts w:ascii="Times New Roman" w:hAnsi="Times New Roman"/>
        </w:rPr>
        <w:t xml:space="preserve"> threshold.  </w:t>
      </w:r>
      <w:r w:rsidR="006137D6">
        <w:rPr>
          <w:rFonts w:ascii="Times New Roman" w:hAnsi="Times New Roman"/>
        </w:rPr>
        <w:t xml:space="preserve">The amount of the premium subsidy reduction is </w:t>
      </w:r>
      <w:r w:rsidR="00F41F9E">
        <w:rPr>
          <w:rFonts w:ascii="Times New Roman" w:hAnsi="Times New Roman"/>
        </w:rPr>
        <w:t xml:space="preserve">an </w:t>
      </w:r>
      <w:r w:rsidR="00543B0B">
        <w:rPr>
          <w:rFonts w:ascii="Times New Roman" w:hAnsi="Times New Roman"/>
        </w:rPr>
        <w:t>income-related monthly adjustment amount</w:t>
      </w:r>
      <w:r w:rsidR="00F41F9E">
        <w:rPr>
          <w:rFonts w:ascii="Times New Roman" w:hAnsi="Times New Roman"/>
        </w:rPr>
        <w:t>, or IRMAA.</w:t>
      </w:r>
    </w:p>
    <w:p w:rsidR="00D3189A" w:rsidRDefault="00D3189A" w:rsidP="00836022">
      <w:pPr>
        <w:widowControl/>
        <w:ind w:left="1080"/>
        <w:rPr>
          <w:rFonts w:ascii="Times New Roman" w:hAnsi="Times New Roman"/>
        </w:rPr>
      </w:pPr>
    </w:p>
    <w:p w:rsidR="001768BB" w:rsidRDefault="00D80886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Medicare beneficiary who experiences a significant life-changing event (LCE) and a subsequent reduction in income can report these circumstances to SSA and receive a reduction in or elimination of IRMAA.  </w:t>
      </w:r>
      <w:r w:rsidR="00D3189A">
        <w:rPr>
          <w:rFonts w:ascii="Times New Roman" w:hAnsi="Times New Roman"/>
        </w:rPr>
        <w:t xml:space="preserve">The Medicare Part B regulations requiring a life-changing event for use of a more recent taxable year are in Subpart B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The parallel regulations for Medicare prescription drug coverage </w:t>
      </w:r>
      <w:r w:rsidR="00CE1AFB">
        <w:rPr>
          <w:rFonts w:ascii="Times New Roman" w:hAnsi="Times New Roman"/>
        </w:rPr>
        <w:t>are</w:t>
      </w:r>
      <w:r w:rsidR="00D3189A">
        <w:rPr>
          <w:rFonts w:ascii="Times New Roman" w:hAnsi="Times New Roman"/>
        </w:rPr>
        <w:t xml:space="preserve"> in Subpart C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</w:t>
      </w:r>
      <w:r w:rsidR="00297A38">
        <w:rPr>
          <w:rFonts w:ascii="Times New Roman" w:hAnsi="Times New Roman"/>
        </w:rPr>
        <w:t xml:space="preserve">Our regulations at </w:t>
      </w:r>
      <w:r w:rsidR="00297A38" w:rsidRPr="00DD47A8">
        <w:rPr>
          <w:rFonts w:ascii="Times New Roman" w:hAnsi="Times New Roman"/>
          <w:i/>
        </w:rPr>
        <w:t>20 CFR 418.1205</w:t>
      </w:r>
      <w:r w:rsidR="00297A38">
        <w:rPr>
          <w:rFonts w:ascii="Times New Roman" w:hAnsi="Times New Roman"/>
        </w:rPr>
        <w:t xml:space="preserve"> and </w:t>
      </w:r>
      <w:r w:rsidR="00297A38" w:rsidRPr="00DD47A8">
        <w:rPr>
          <w:rFonts w:ascii="Times New Roman" w:hAnsi="Times New Roman"/>
          <w:i/>
        </w:rPr>
        <w:t>20 CFR 418.2205</w:t>
      </w:r>
      <w:r w:rsidR="00297A38">
        <w:rPr>
          <w:rFonts w:ascii="Times New Roman" w:hAnsi="Times New Roman"/>
        </w:rPr>
        <w:t xml:space="preserve"> specify the LCEs.</w:t>
      </w:r>
      <w:bookmarkStart w:id="0" w:name="_GoBack"/>
      <w:bookmarkEnd w:id="0"/>
    </w:p>
    <w:p w:rsidR="00DD47A8" w:rsidRDefault="00DD47A8" w:rsidP="00836022">
      <w:pPr>
        <w:widowControl/>
        <w:ind w:left="1080"/>
        <w:rPr>
          <w:rFonts w:ascii="Times New Roman" w:hAnsi="Times New Roman"/>
        </w:rPr>
      </w:pPr>
    </w:p>
    <w:p w:rsidR="00D3189A" w:rsidRPr="007726D2" w:rsidRDefault="00961B62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The Social Security Administration (</w:t>
      </w:r>
      <w:r w:rsidR="00DD47A8">
        <w:rPr>
          <w:rFonts w:ascii="Times New Roman" w:hAnsi="Times New Roman"/>
        </w:rPr>
        <w:t>SSA</w:t>
      </w:r>
      <w:r>
        <w:rPr>
          <w:rFonts w:ascii="Times New Roman" w:hAnsi="Times New Roman"/>
        </w:rPr>
        <w:t>)</w:t>
      </w:r>
      <w:r w:rsidR="00DD47A8">
        <w:rPr>
          <w:rFonts w:ascii="Times New Roman" w:hAnsi="Times New Roman"/>
        </w:rPr>
        <w:t xml:space="preserve"> </w:t>
      </w:r>
      <w:r w:rsidR="0019415B" w:rsidRPr="0019415B">
        <w:rPr>
          <w:rFonts w:ascii="Times New Roman" w:hAnsi="Times New Roman"/>
        </w:rPr>
        <w:t>send</w:t>
      </w:r>
      <w:r w:rsidR="00CE1AFB">
        <w:rPr>
          <w:rFonts w:ascii="Times New Roman" w:hAnsi="Times New Roman"/>
        </w:rPr>
        <w:t>s</w:t>
      </w:r>
      <w:r w:rsidR="0019415B" w:rsidRPr="0019415B">
        <w:rPr>
          <w:rFonts w:ascii="Times New Roman" w:hAnsi="Times New Roman"/>
        </w:rPr>
        <w:t xml:space="preserve"> out IRMAA-specific notices to the public </w:t>
      </w:r>
      <w:r w:rsidR="00CE1AFB">
        <w:rPr>
          <w:rFonts w:ascii="Times New Roman" w:hAnsi="Times New Roman"/>
        </w:rPr>
        <w:t xml:space="preserve">when </w:t>
      </w:r>
      <w:r w:rsidR="00DD47A8">
        <w:rPr>
          <w:rFonts w:ascii="Times New Roman" w:hAnsi="Times New Roman"/>
        </w:rPr>
        <w:t xml:space="preserve">we make </w:t>
      </w:r>
      <w:r w:rsidR="00CE1AFB">
        <w:rPr>
          <w:rFonts w:ascii="Times New Roman" w:hAnsi="Times New Roman"/>
        </w:rPr>
        <w:t>an IRMAA determination.</w:t>
      </w:r>
      <w:r w:rsidR="0019415B" w:rsidRPr="0019415B">
        <w:rPr>
          <w:rFonts w:ascii="Times New Roman" w:hAnsi="Times New Roman"/>
        </w:rPr>
        <w:t>  Th</w:t>
      </w:r>
      <w:r w:rsidR="00CE1AFB">
        <w:rPr>
          <w:rFonts w:ascii="Times New Roman" w:hAnsi="Times New Roman"/>
        </w:rPr>
        <w:t>e</w:t>
      </w:r>
      <w:r w:rsidR="0019415B" w:rsidRPr="0019415B">
        <w:rPr>
          <w:rFonts w:ascii="Times New Roman" w:hAnsi="Times New Roman"/>
        </w:rPr>
        <w:t xml:space="preserve">se notices </w:t>
      </w:r>
      <w:r w:rsidR="00840461">
        <w:rPr>
          <w:rFonts w:ascii="Times New Roman" w:hAnsi="Times New Roman"/>
        </w:rPr>
        <w:t xml:space="preserve">explain how </w:t>
      </w:r>
      <w:r w:rsidR="0019415B" w:rsidRPr="0019415B">
        <w:rPr>
          <w:rFonts w:ascii="Times New Roman" w:hAnsi="Times New Roman"/>
        </w:rPr>
        <w:t xml:space="preserve">beneficiaries </w:t>
      </w:r>
      <w:r w:rsidR="00840461">
        <w:rPr>
          <w:rFonts w:ascii="Times New Roman" w:hAnsi="Times New Roman"/>
        </w:rPr>
        <w:t xml:space="preserve">can </w:t>
      </w:r>
      <w:r w:rsidR="0019415B" w:rsidRPr="0019415B">
        <w:rPr>
          <w:rFonts w:ascii="Times New Roman" w:hAnsi="Times New Roman"/>
        </w:rPr>
        <w:t>provide new informati</w:t>
      </w:r>
      <w:r w:rsidR="00DD47A8">
        <w:rPr>
          <w:rFonts w:ascii="Times New Roman" w:hAnsi="Times New Roman"/>
        </w:rPr>
        <w:t xml:space="preserve">on for SSA to consider for the </w:t>
      </w:r>
      <w:r w:rsidR="0019415B" w:rsidRPr="0019415B">
        <w:rPr>
          <w:rFonts w:ascii="Times New Roman" w:hAnsi="Times New Roman"/>
        </w:rPr>
        <w:t xml:space="preserve">IRMAA calculation.  </w:t>
      </w:r>
      <w:r w:rsidR="00840461">
        <w:rPr>
          <w:rFonts w:ascii="Times New Roman" w:hAnsi="Times New Roman"/>
        </w:rPr>
        <w:t>I</w:t>
      </w:r>
      <w:r w:rsidR="0019415B" w:rsidRPr="0019415B">
        <w:rPr>
          <w:rFonts w:ascii="Times New Roman" w:hAnsi="Times New Roman"/>
        </w:rPr>
        <w:t>f beneficiaries wish to report a life</w:t>
      </w:r>
      <w:r w:rsidR="00DD47A8">
        <w:rPr>
          <w:rFonts w:ascii="Times New Roman" w:hAnsi="Times New Roman"/>
        </w:rPr>
        <w:t>-changing event affecting their</w:t>
      </w:r>
      <w:r w:rsidR="0019415B" w:rsidRPr="0019415B">
        <w:rPr>
          <w:rFonts w:ascii="Times New Roman" w:hAnsi="Times New Roman"/>
        </w:rPr>
        <w:t xml:space="preserve"> IRMAA using </w:t>
      </w:r>
      <w:r w:rsidR="00840461">
        <w:rPr>
          <w:rFonts w:ascii="Times New Roman" w:hAnsi="Times New Roman"/>
        </w:rPr>
        <w:t xml:space="preserve">a form, </w:t>
      </w:r>
      <w:r w:rsidR="0019415B" w:rsidRPr="0019415B">
        <w:rPr>
          <w:rFonts w:ascii="Times New Roman" w:hAnsi="Times New Roman"/>
        </w:rPr>
        <w:t>the</w:t>
      </w:r>
      <w:r>
        <w:rPr>
          <w:rFonts w:ascii="Times New Roman" w:hAnsi="Times New Roman"/>
        </w:rPr>
        <w:t>y can use the form SSA-44 to do so</w:t>
      </w:r>
      <w:r w:rsidR="0019415B" w:rsidRPr="0019415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We received Emergency Approval for this form on </w:t>
      </w:r>
      <w:r w:rsidR="00297A38">
        <w:rPr>
          <w:rFonts w:ascii="Times New Roman" w:hAnsi="Times New Roman"/>
        </w:rPr>
        <w:t>November 23, 2010, and we are now seeking full approval for the collection.</w:t>
      </w:r>
      <w:r w:rsidR="0019415B" w:rsidRPr="0019415B">
        <w:rPr>
          <w:rFonts w:ascii="Times New Roman" w:hAnsi="Times New Roman"/>
        </w:rPr>
        <w:t xml:space="preserve">  </w:t>
      </w:r>
    </w:p>
    <w:p w:rsidR="007726D2" w:rsidRDefault="007726D2" w:rsidP="007726D2">
      <w:pPr>
        <w:ind w:left="1080" w:right="-720"/>
        <w:rPr>
          <w:rFonts w:ascii="Times New Roman" w:hAnsi="Times New Roman"/>
        </w:rPr>
      </w:pPr>
    </w:p>
    <w:p w:rsidR="00C07E83" w:rsidRPr="00836022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40461">
        <w:rPr>
          <w:rFonts w:ascii="Times New Roman" w:hAnsi="Times New Roman"/>
        </w:rPr>
        <w:t>he Centers for Medicare &amp; Medicaid Services in the Department of</w:t>
      </w:r>
      <w:r w:rsidR="001768BB">
        <w:rPr>
          <w:rFonts w:ascii="Times New Roman" w:hAnsi="Times New Roman"/>
        </w:rPr>
        <w:t xml:space="preserve"> Health and Human Services</w:t>
      </w:r>
      <w:r w:rsidR="0084046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responsib</w:t>
      </w:r>
      <w:r w:rsidR="00840461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for determining the amount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Medicare Part B monthly premiums</w:t>
      </w:r>
      <w:r w:rsidR="00DF26EA">
        <w:rPr>
          <w:rFonts w:ascii="Times New Roman" w:hAnsi="Times New Roman"/>
        </w:rPr>
        <w:t xml:space="preserve">, the national base </w:t>
      </w:r>
      <w:r w:rsidR="00840461">
        <w:rPr>
          <w:rFonts w:ascii="Times New Roman" w:hAnsi="Times New Roman"/>
        </w:rPr>
        <w:t xml:space="preserve">beneficiary </w:t>
      </w:r>
      <w:r w:rsidR="00DF26EA">
        <w:rPr>
          <w:rFonts w:ascii="Times New Roman" w:hAnsi="Times New Roman"/>
        </w:rPr>
        <w:t>premium</w:t>
      </w:r>
      <w:r w:rsidR="00840461">
        <w:rPr>
          <w:rFonts w:ascii="Times New Roman" w:hAnsi="Times New Roman"/>
        </w:rPr>
        <w:t xml:space="preserve"> for prescription drug coverage</w:t>
      </w:r>
      <w:r w:rsidR="00787C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 monthly income-related adjustment amounts</w:t>
      </w:r>
      <w:r w:rsidR="00840461">
        <w:rPr>
          <w:rFonts w:ascii="Times New Roman" w:hAnsi="Times New Roman"/>
        </w:rPr>
        <w:t>.</w:t>
      </w:r>
      <w:r w:rsidR="004C309A">
        <w:rPr>
          <w:rFonts w:ascii="Times New Roman" w:hAnsi="Times New Roman"/>
        </w:rPr>
        <w:t xml:space="preserve">  </w:t>
      </w:r>
      <w:r w:rsidR="00297A38">
        <w:rPr>
          <w:rFonts w:ascii="Times New Roman" w:hAnsi="Times New Roman"/>
        </w:rPr>
        <w:t xml:space="preserve">SSA </w:t>
      </w:r>
      <w:r>
        <w:rPr>
          <w:rFonts w:ascii="Times New Roman" w:hAnsi="Times New Roman"/>
        </w:rPr>
        <w:t xml:space="preserve">is responsible for several aspects of the </w:t>
      </w:r>
      <w:r w:rsidR="00D80886">
        <w:rPr>
          <w:rFonts w:ascii="Times New Roman" w:hAnsi="Times New Roman"/>
        </w:rPr>
        <w:t xml:space="preserve">premium collection </w:t>
      </w:r>
      <w:r>
        <w:rPr>
          <w:rFonts w:ascii="Times New Roman" w:hAnsi="Times New Roman"/>
        </w:rPr>
        <w:t xml:space="preserve">process.  </w:t>
      </w:r>
      <w:r w:rsidR="00F41F9E">
        <w:rPr>
          <w:rFonts w:ascii="Times New Roman" w:hAnsi="Times New Roman"/>
        </w:rPr>
        <w:t>As part of this process, SSA</w:t>
      </w:r>
      <w:r w:rsidR="00D80886">
        <w:rPr>
          <w:rFonts w:ascii="Times New Roman" w:hAnsi="Times New Roman"/>
        </w:rPr>
        <w:t>’s role includes</w:t>
      </w:r>
      <w:r w:rsidR="00F41F9E">
        <w:rPr>
          <w:rFonts w:ascii="Times New Roman" w:hAnsi="Times New Roman"/>
        </w:rPr>
        <w:t>: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</w:t>
      </w:r>
      <w:r w:rsidR="00D80886">
        <w:rPr>
          <w:rFonts w:ascii="Times New Roman" w:hAnsi="Times New Roman"/>
        </w:rPr>
        <w:t>ing</w:t>
      </w:r>
      <w:r w:rsidR="00836022">
        <w:rPr>
          <w:rFonts w:ascii="Times New Roman" w:hAnsi="Times New Roman"/>
        </w:rPr>
        <w:t xml:space="preserve"> which 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836022">
        <w:rPr>
          <w:rFonts w:ascii="Times New Roman" w:hAnsi="Times New Roman"/>
        </w:rPr>
        <w:t xml:space="preserve">recipients are subject to </w:t>
      </w:r>
      <w:r>
        <w:rPr>
          <w:rFonts w:ascii="Times New Roman" w:hAnsi="Times New Roman"/>
        </w:rPr>
        <w:t>IRMAA</w:t>
      </w:r>
      <w:r w:rsidR="00836022">
        <w:rPr>
          <w:rFonts w:ascii="Times New Roman" w:hAnsi="Times New Roman"/>
        </w:rPr>
        <w:t xml:space="preserve"> based on Federal tax return information from the Internal Revenue Service (IRS);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22A48">
        <w:rPr>
          <w:rFonts w:ascii="Times New Roman" w:hAnsi="Times New Roman"/>
        </w:rPr>
        <w:t>termin</w:t>
      </w:r>
      <w:r w:rsidR="00D80886">
        <w:rPr>
          <w:rFonts w:ascii="Times New Roman" w:hAnsi="Times New Roman"/>
        </w:rPr>
        <w:t>ing</w:t>
      </w:r>
      <w:r w:rsidR="00922A48">
        <w:rPr>
          <w:rFonts w:ascii="Times New Roman" w:hAnsi="Times New Roman"/>
        </w:rPr>
        <w:t xml:space="preserve"> </w:t>
      </w:r>
      <w:r w:rsidR="00C35A79">
        <w:rPr>
          <w:rFonts w:ascii="Times New Roman" w:hAnsi="Times New Roman"/>
        </w:rPr>
        <w:t xml:space="preserve">when to apply </w:t>
      </w:r>
      <w:r w:rsidR="001B67EB">
        <w:rPr>
          <w:rFonts w:ascii="Times New Roman" w:hAnsi="Times New Roman"/>
        </w:rPr>
        <w:t>an</w:t>
      </w:r>
      <w:r w:rsidR="00922A48">
        <w:rPr>
          <w:rFonts w:ascii="Times New Roman" w:hAnsi="Times New Roman"/>
        </w:rPr>
        <w:t xml:space="preserve"> IRMAA amount</w:t>
      </w:r>
      <w:r w:rsidR="00836022" w:rsidRPr="00836022">
        <w:rPr>
          <w:rFonts w:ascii="Times New Roman" w:hAnsi="Times New Roman"/>
        </w:rPr>
        <w:t>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Accept</w:t>
      </w:r>
      <w:r w:rsidR="00D80886">
        <w:rPr>
          <w:rFonts w:ascii="Times New Roman" w:hAnsi="Times New Roman"/>
        </w:rPr>
        <w:t>ing</w:t>
      </w:r>
      <w:r w:rsidR="00836022" w:rsidRPr="00836022">
        <w:rPr>
          <w:rFonts w:ascii="Times New Roman" w:hAnsi="Times New Roman"/>
        </w:rPr>
        <w:t xml:space="preserve"> </w:t>
      </w:r>
      <w:r w:rsidR="00E02593">
        <w:rPr>
          <w:rFonts w:ascii="Times New Roman" w:hAnsi="Times New Roman"/>
        </w:rPr>
        <w:t>information from recipients that</w:t>
      </w:r>
      <w:r w:rsidR="00836022" w:rsidRPr="00836022">
        <w:rPr>
          <w:rFonts w:ascii="Times New Roman" w:hAnsi="Times New Roman"/>
        </w:rPr>
        <w:t xml:space="preserve"> updates or clarifies the tax data provided by IRS;</w:t>
      </w:r>
      <w:r w:rsidR="00836022">
        <w:rPr>
          <w:rFonts w:ascii="Times New Roman" w:hAnsi="Times New Roman"/>
        </w:rPr>
        <w:t xml:space="preserve"> </w:t>
      </w:r>
      <w:r w:rsidR="00836022">
        <w:rPr>
          <w:rFonts w:ascii="Times New Roman" w:hAnsi="Times New Roman"/>
        </w:rPr>
        <w:lastRenderedPageBreak/>
        <w:t>a</w:t>
      </w:r>
      <w:r w:rsidR="00836022" w:rsidRPr="00836022">
        <w:rPr>
          <w:rFonts w:ascii="Times New Roman" w:hAnsi="Times New Roman"/>
        </w:rPr>
        <w:t>nd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Pr="00836022" w:rsidRDefault="00D80886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Making </w:t>
      </w:r>
      <w:r w:rsidR="00836022" w:rsidRPr="00836022">
        <w:rPr>
          <w:rFonts w:ascii="Times New Roman" w:hAnsi="Times New Roman"/>
        </w:rPr>
        <w:t xml:space="preserve">new initial </w:t>
      </w:r>
      <w:r w:rsidR="00F41F9E">
        <w:rPr>
          <w:rFonts w:ascii="Times New Roman" w:hAnsi="Times New Roman"/>
        </w:rPr>
        <w:t xml:space="preserve">IRMAA </w:t>
      </w:r>
      <w:r w:rsidR="00836022" w:rsidRPr="00836022">
        <w:rPr>
          <w:rFonts w:ascii="Times New Roman" w:hAnsi="Times New Roman"/>
        </w:rPr>
        <w:t xml:space="preserve">determinations based on </w:t>
      </w:r>
      <w:r>
        <w:rPr>
          <w:rFonts w:ascii="Times New Roman" w:hAnsi="Times New Roman"/>
        </w:rPr>
        <w:t xml:space="preserve">significant </w:t>
      </w:r>
      <w:r w:rsidR="00297A38">
        <w:rPr>
          <w:rFonts w:ascii="Times New Roman" w:hAnsi="Times New Roman"/>
        </w:rPr>
        <w:t xml:space="preserve">LCE </w:t>
      </w:r>
      <w:r>
        <w:rPr>
          <w:rFonts w:ascii="Times New Roman" w:hAnsi="Times New Roman"/>
        </w:rPr>
        <w:t>when there is a reduction in income</w:t>
      </w:r>
      <w:r w:rsidR="00836022" w:rsidRPr="00836022">
        <w:rPr>
          <w:rFonts w:ascii="Times New Roman" w:hAnsi="Times New Roman"/>
        </w:rPr>
        <w:t>.</w:t>
      </w:r>
      <w:proofErr w:type="gramEnd"/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F41F9E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SSA </w:t>
      </w:r>
      <w:r w:rsidR="00840461">
        <w:rPr>
          <w:rFonts w:ascii="Times New Roman" w:hAnsi="Times New Roman"/>
        </w:rPr>
        <w:t xml:space="preserve">determines IRMAA </w:t>
      </w:r>
      <w:r>
        <w:rPr>
          <w:rFonts w:ascii="Times New Roman" w:hAnsi="Times New Roman"/>
        </w:rPr>
        <w:t>based on past I</w:t>
      </w:r>
      <w:r w:rsidR="00E02593">
        <w:rPr>
          <w:rFonts w:ascii="Times New Roman" w:hAnsi="Times New Roman"/>
        </w:rPr>
        <w:t>RS tax data, it is possible</w:t>
      </w:r>
      <w:r>
        <w:rPr>
          <w:rFonts w:ascii="Times New Roman" w:hAnsi="Times New Roman"/>
        </w:rPr>
        <w:t xml:space="preserve"> recipients’ financial situations may have changed due to a </w:t>
      </w:r>
      <w:r w:rsidR="00D80886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>LCE</w:t>
      </w:r>
      <w:r w:rsidR="00D80886">
        <w:rPr>
          <w:rFonts w:ascii="Times New Roman" w:hAnsi="Times New Roman"/>
        </w:rPr>
        <w:t xml:space="preserve"> and SSA’s IRMAA determination</w:t>
      </w:r>
      <w:r w:rsidR="004C309A">
        <w:rPr>
          <w:rFonts w:ascii="Times New Roman" w:hAnsi="Times New Roman"/>
        </w:rPr>
        <w:t xml:space="preserve"> would no longer be accurate</w:t>
      </w:r>
      <w:r w:rsidR="00297A38">
        <w:rPr>
          <w:rFonts w:ascii="Times New Roman" w:hAnsi="Times New Roman"/>
        </w:rPr>
        <w:t xml:space="preserve">.  </w:t>
      </w:r>
      <w:r w:rsidR="00F41F9E">
        <w:rPr>
          <w:rFonts w:ascii="Times New Roman" w:hAnsi="Times New Roman"/>
        </w:rPr>
        <w:t xml:space="preserve">SSA uses form SSA-44, the Medicare Income-Related </w:t>
      </w:r>
      <w:r w:rsidR="00DF26EA">
        <w:rPr>
          <w:rFonts w:ascii="Times New Roman" w:hAnsi="Times New Roman"/>
        </w:rPr>
        <w:t>Monthly Adjustment Amount</w:t>
      </w:r>
      <w:r w:rsidR="00F41F9E">
        <w:rPr>
          <w:rFonts w:ascii="Times New Roman" w:hAnsi="Times New Roman"/>
        </w:rPr>
        <w:t xml:space="preserve"> – Life-Changing Event, to collect information from Medicare recipients about a</w:t>
      </w:r>
      <w:r w:rsidR="002D22AC">
        <w:rPr>
          <w:rFonts w:ascii="Times New Roman" w:hAnsi="Times New Roman"/>
        </w:rPr>
        <w:t xml:space="preserve">n LCE </w:t>
      </w:r>
      <w:r w:rsidR="00F41F9E">
        <w:rPr>
          <w:rFonts w:ascii="Times New Roman" w:hAnsi="Times New Roman"/>
        </w:rPr>
        <w:t>that could affect their IRMAA.</w:t>
      </w:r>
    </w:p>
    <w:p w:rsidR="00F41F9E" w:rsidRDefault="00F41F9E" w:rsidP="00836022">
      <w:pPr>
        <w:ind w:left="1080" w:right="-720"/>
        <w:rPr>
          <w:rFonts w:ascii="Times New Roman" w:hAnsi="Times New Roman"/>
        </w:rPr>
      </w:pPr>
    </w:p>
    <w:p w:rsidR="00EC763F" w:rsidRDefault="00720683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SSA define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relevant </w:t>
      </w:r>
      <w:r w:rsidR="00EC763F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 as</w:t>
      </w:r>
      <w:r w:rsidR="00836022">
        <w:rPr>
          <w:rFonts w:ascii="Times New Roman" w:hAnsi="Times New Roman"/>
        </w:rPr>
        <w:t xml:space="preserve">: 1) marriage, 2) divorce/annulment, 3) spousal death, 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gramStart"/>
      <w:r>
        <w:rPr>
          <w:rFonts w:ascii="Times New Roman" w:hAnsi="Times New Roman"/>
        </w:rPr>
        <w:t>work</w:t>
      </w:r>
      <w:proofErr w:type="gramEnd"/>
      <w:r>
        <w:rPr>
          <w:rFonts w:ascii="Times New Roman" w:hAnsi="Times New Roman"/>
        </w:rPr>
        <w:t xml:space="preserve"> stoppage, 5) work reduction, 6) loss of </w:t>
      </w:r>
      <w:r w:rsidR="00720683">
        <w:rPr>
          <w:rFonts w:ascii="Times New Roman" w:hAnsi="Times New Roman"/>
        </w:rPr>
        <w:t>income due to property loss</w:t>
      </w:r>
      <w:r w:rsidR="001768BB">
        <w:rPr>
          <w:rFonts w:ascii="Times New Roman" w:hAnsi="Times New Roman"/>
        </w:rPr>
        <w:t>,</w:t>
      </w:r>
      <w:r w:rsidR="00720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7) loss of pension income</w:t>
      </w:r>
      <w:r w:rsidR="00787C6F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8) receipt of </w:t>
      </w:r>
      <w:r w:rsidR="00720683">
        <w:rPr>
          <w:rFonts w:ascii="Times New Roman" w:hAnsi="Times New Roman"/>
        </w:rPr>
        <w:t>a one-time</w:t>
      </w:r>
      <w:r>
        <w:rPr>
          <w:rFonts w:ascii="Times New Roman" w:hAnsi="Times New Roman"/>
        </w:rPr>
        <w:t xml:space="preserve"> employer’s (or former employer’s) settlement payment.  </w:t>
      </w:r>
    </w:p>
    <w:p w:rsidR="00836022" w:rsidRDefault="00836022" w:rsidP="00836022">
      <w:pPr>
        <w:ind w:left="1440" w:right="-720"/>
        <w:rPr>
          <w:rFonts w:ascii="Times New Roman" w:hAnsi="Times New Roman"/>
        </w:rPr>
      </w:pPr>
    </w:p>
    <w:p w:rsidR="00797D6C" w:rsidRDefault="00787C6F" w:rsidP="00C07E83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Beneficiaries </w:t>
      </w:r>
      <w:r w:rsidR="002D22AC">
        <w:rPr>
          <w:rFonts w:ascii="Times New Roman" w:hAnsi="Times New Roman"/>
        </w:rPr>
        <w:t xml:space="preserve">may choose to </w:t>
      </w:r>
      <w:r>
        <w:rPr>
          <w:rFonts w:ascii="Times New Roman" w:hAnsi="Times New Roman"/>
        </w:rPr>
        <w:t xml:space="preserve">contact an SSA office </w:t>
      </w:r>
      <w:r w:rsidR="002D22AC">
        <w:rPr>
          <w:rFonts w:ascii="Times New Roman" w:hAnsi="Times New Roman"/>
        </w:rPr>
        <w:t xml:space="preserve">directly </w:t>
      </w:r>
      <w:r>
        <w:rPr>
          <w:rFonts w:ascii="Times New Roman" w:hAnsi="Times New Roman"/>
        </w:rPr>
        <w:t xml:space="preserve">or </w:t>
      </w:r>
      <w:r w:rsidR="001768B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access form SSA-44 through the internet to request the use of a more recent taxable year to determine their IRMAA because of a significant </w:t>
      </w:r>
      <w:r w:rsidR="00D80886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.  </w:t>
      </w:r>
      <w:r w:rsidR="0083790D">
        <w:rPr>
          <w:rFonts w:ascii="Times New Roman" w:hAnsi="Times New Roman"/>
        </w:rPr>
        <w:t>SSA</w:t>
      </w:r>
      <w:r w:rsidR="00946EC5">
        <w:rPr>
          <w:rFonts w:ascii="Times New Roman" w:hAnsi="Times New Roman"/>
        </w:rPr>
        <w:t xml:space="preserve"> uses</w:t>
      </w:r>
      <w:r w:rsidR="0083790D">
        <w:rPr>
          <w:rFonts w:ascii="Times New Roman" w:hAnsi="Times New Roman"/>
        </w:rPr>
        <w:t xml:space="preserve"> the information collected </w:t>
      </w:r>
      <w:r w:rsidR="002D22AC">
        <w:rPr>
          <w:rFonts w:ascii="Times New Roman" w:hAnsi="Times New Roman"/>
        </w:rPr>
        <w:t>on</w:t>
      </w:r>
      <w:r w:rsidR="0083790D">
        <w:rPr>
          <w:rFonts w:ascii="Times New Roman" w:hAnsi="Times New Roman"/>
        </w:rPr>
        <w:t xml:space="preserve"> form SSA-44 to determine if the initial IRS tax data</w:t>
      </w:r>
      <w:r w:rsidR="00946EC5">
        <w:rPr>
          <w:rFonts w:ascii="Times New Roman" w:hAnsi="Times New Roman"/>
        </w:rPr>
        <w:t xml:space="preserve"> </w:t>
      </w:r>
      <w:r w:rsidR="0083790D">
        <w:rPr>
          <w:rFonts w:ascii="Times New Roman" w:hAnsi="Times New Roman"/>
        </w:rPr>
        <w:t xml:space="preserve">used for </w:t>
      </w:r>
      <w:r w:rsidR="006E3F07">
        <w:rPr>
          <w:rFonts w:ascii="Times New Roman" w:hAnsi="Times New Roman"/>
        </w:rPr>
        <w:t>th</w:t>
      </w:r>
      <w:r w:rsidR="00946EC5">
        <w:rPr>
          <w:rFonts w:ascii="Times New Roman" w:hAnsi="Times New Roman"/>
        </w:rPr>
        <w:t xml:space="preserve">e beneficiary </w:t>
      </w:r>
      <w:r w:rsidR="005E1FB3">
        <w:rPr>
          <w:rFonts w:ascii="Times New Roman" w:hAnsi="Times New Roman"/>
        </w:rPr>
        <w:t>needs to change</w:t>
      </w:r>
      <w:r w:rsidR="0083790D">
        <w:rPr>
          <w:rFonts w:ascii="Times New Roman" w:hAnsi="Times New Roman"/>
        </w:rPr>
        <w:t xml:space="preserve">.  If the </w:t>
      </w:r>
      <w:r w:rsidR="00F35E93">
        <w:rPr>
          <w:rFonts w:ascii="Times New Roman" w:hAnsi="Times New Roman"/>
        </w:rPr>
        <w:t>a</w:t>
      </w:r>
      <w:r w:rsidR="0083790D">
        <w:rPr>
          <w:rFonts w:ascii="Times New Roman" w:hAnsi="Times New Roman"/>
        </w:rPr>
        <w:t xml:space="preserve">gency determines the LCE </w:t>
      </w:r>
      <w:r w:rsidR="00ED6302">
        <w:rPr>
          <w:rFonts w:ascii="Times New Roman" w:hAnsi="Times New Roman"/>
        </w:rPr>
        <w:t>warrants the use of a more recent taxable year to determine IRMAA</w:t>
      </w:r>
      <w:r w:rsidR="0083790D">
        <w:rPr>
          <w:rFonts w:ascii="Times New Roman" w:hAnsi="Times New Roman"/>
        </w:rPr>
        <w:t xml:space="preserve">, </w:t>
      </w:r>
      <w:r w:rsidR="00D10AE2">
        <w:rPr>
          <w:rFonts w:ascii="Times New Roman" w:hAnsi="Times New Roman"/>
        </w:rPr>
        <w:t>we</w:t>
      </w:r>
      <w:r w:rsidR="0083790D">
        <w:rPr>
          <w:rFonts w:ascii="Times New Roman" w:hAnsi="Times New Roman"/>
        </w:rPr>
        <w:t xml:space="preserve"> will use the information to </w:t>
      </w:r>
      <w:r w:rsidR="005E1FB3">
        <w:rPr>
          <w:rFonts w:ascii="Times New Roman" w:hAnsi="Times New Roman"/>
        </w:rPr>
        <w:t>make a new</w:t>
      </w:r>
      <w:r w:rsidR="0083790D">
        <w:rPr>
          <w:rFonts w:ascii="Times New Roman" w:hAnsi="Times New Roman"/>
        </w:rPr>
        <w:t xml:space="preserve"> initial determination.  </w:t>
      </w:r>
      <w:r w:rsidR="00D10AE2">
        <w:rPr>
          <w:rFonts w:ascii="Times New Roman" w:hAnsi="Times New Roman"/>
        </w:rPr>
        <w:t xml:space="preserve">The respondents are Medicare Part B </w:t>
      </w:r>
      <w:r w:rsidR="00C4403C">
        <w:rPr>
          <w:rFonts w:ascii="Times New Roman" w:hAnsi="Times New Roman"/>
        </w:rPr>
        <w:t xml:space="preserve">and prescription drug coverage </w:t>
      </w:r>
      <w:r w:rsidR="00D10AE2">
        <w:rPr>
          <w:rFonts w:ascii="Times New Roman" w:hAnsi="Times New Roman"/>
        </w:rPr>
        <w:t>enrollee</w:t>
      </w:r>
      <w:r w:rsidR="00195435">
        <w:rPr>
          <w:rFonts w:ascii="Times New Roman" w:hAnsi="Times New Roman"/>
        </w:rPr>
        <w:t>s with modified adjusted gross inco</w:t>
      </w:r>
      <w:r w:rsidR="00720683">
        <w:rPr>
          <w:rFonts w:ascii="Times New Roman" w:hAnsi="Times New Roman"/>
        </w:rPr>
        <w:t xml:space="preserve">me over a high-income threshold </w:t>
      </w:r>
      <w:proofErr w:type="gramStart"/>
      <w:r w:rsidR="00720683">
        <w:rPr>
          <w:rFonts w:ascii="Times New Roman" w:hAnsi="Times New Roman"/>
        </w:rPr>
        <w:t>who</w:t>
      </w:r>
      <w:proofErr w:type="gramEnd"/>
      <w:r w:rsidR="00720683">
        <w:rPr>
          <w:rFonts w:ascii="Times New Roman" w:hAnsi="Times New Roman"/>
        </w:rPr>
        <w:t xml:space="preserve"> experience one of the eight </w:t>
      </w:r>
      <w:r w:rsidR="001F7BAB">
        <w:rPr>
          <w:rFonts w:ascii="Times New Roman" w:hAnsi="Times New Roman"/>
        </w:rPr>
        <w:t xml:space="preserve">significant </w:t>
      </w:r>
      <w:r w:rsidR="00720683">
        <w:rPr>
          <w:rFonts w:ascii="Times New Roman" w:hAnsi="Times New Roman"/>
        </w:rPr>
        <w:t xml:space="preserve">LCEs cited </w:t>
      </w:r>
      <w:r w:rsidR="001B1185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#2 of </w:t>
      </w:r>
      <w:r w:rsidR="001B1185">
        <w:rPr>
          <w:rFonts w:ascii="Times New Roman" w:hAnsi="Times New Roman"/>
        </w:rPr>
        <w:t>this document</w:t>
      </w:r>
      <w:r w:rsidR="00720683">
        <w:rPr>
          <w:rFonts w:ascii="Times New Roman" w:hAnsi="Times New Roman"/>
        </w:rPr>
        <w:t>.</w:t>
      </w:r>
    </w:p>
    <w:p w:rsidR="004177A1" w:rsidRDefault="004177A1" w:rsidP="00F8778A">
      <w:pPr>
        <w:ind w:left="1080" w:right="-720"/>
        <w:rPr>
          <w:rFonts w:ascii="Times New Roman" w:hAnsi="Times New Roman"/>
        </w:rPr>
      </w:pPr>
    </w:p>
    <w:p w:rsidR="00C07E83" w:rsidRPr="0036696D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U</w:t>
      </w:r>
      <w:r w:rsidRPr="00BC7F42">
        <w:rPr>
          <w:rFonts w:ascii="Times New Roman" w:hAnsi="Times New Roman"/>
          <w:b/>
        </w:rPr>
        <w:t>se of Information Technology to Collect the Information</w:t>
      </w:r>
    </w:p>
    <w:p w:rsidR="00946EC5" w:rsidRPr="00946EC5" w:rsidRDefault="005B730F" w:rsidP="00C07E83">
      <w:pPr>
        <w:ind w:left="1080" w:right="-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Form SSA-44 has two modalit</w:t>
      </w:r>
      <w:r w:rsidR="00E02593">
        <w:rPr>
          <w:rFonts w:ascii="Times New Roman" w:hAnsi="Times New Roman"/>
          <w:spacing w:val="-2"/>
        </w:rPr>
        <w:t xml:space="preserve">ies: 1) an online-only PDF </w:t>
      </w:r>
      <w:r>
        <w:rPr>
          <w:rFonts w:ascii="Times New Roman" w:hAnsi="Times New Roman"/>
          <w:spacing w:val="-2"/>
        </w:rPr>
        <w:t xml:space="preserve">respondents can print, complete, and mail to SSA and 2) a field-office interview, during which SSA employees enter the data electronically </w:t>
      </w:r>
      <w:r w:rsidR="001F7BAB">
        <w:rPr>
          <w:rFonts w:ascii="Times New Roman" w:hAnsi="Times New Roman"/>
          <w:spacing w:val="-2"/>
        </w:rPr>
        <w:t>during an interview</w:t>
      </w:r>
      <w:r>
        <w:rPr>
          <w:rFonts w:ascii="Times New Roman" w:hAnsi="Times New Roman"/>
          <w:spacing w:val="-2"/>
        </w:rPr>
        <w:t xml:space="preserve">.  </w:t>
      </w:r>
      <w:r w:rsidR="001F7BAB">
        <w:rPr>
          <w:rFonts w:ascii="Times New Roman" w:hAnsi="Times New Roman"/>
          <w:spacing w:val="-2"/>
        </w:rPr>
        <w:t xml:space="preserve">More than three-quarters </w:t>
      </w:r>
      <w:r>
        <w:rPr>
          <w:rFonts w:ascii="Times New Roman" w:hAnsi="Times New Roman"/>
          <w:spacing w:val="-2"/>
        </w:rPr>
        <w:t xml:space="preserve">of respondents choose the field-office interview option.  </w:t>
      </w:r>
      <w:r w:rsidR="00946EC5" w:rsidRPr="00946EC5">
        <w:rPr>
          <w:rFonts w:ascii="Times New Roman" w:hAnsi="Times New Roman"/>
          <w:spacing w:val="-2"/>
        </w:rPr>
        <w:t xml:space="preserve">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CE1AFB" w:rsidRPr="00FC32DA" w:rsidRDefault="00CE1AFB" w:rsidP="00CE1AFB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nature </w:t>
      </w:r>
      <w:r w:rsidRPr="00FC32DA">
        <w:rPr>
          <w:rFonts w:ascii="Times New Roman" w:hAnsi="Times New Roman"/>
        </w:rPr>
        <w:t xml:space="preserve">of the information we are collecting and the manner in which we are collecting it preclude duplication.  SSA does not use another collection instrument to obtain similar data.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Pr="00077E0E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F00F1" w:rsidRPr="005F1647" w:rsidRDefault="0069791B" w:rsidP="00C07E83">
      <w:pPr>
        <w:ind w:left="720" w:right="-720" w:firstLine="360"/>
      </w:pPr>
      <w:r w:rsidRPr="005F1647">
        <w:rPr>
          <w:rFonts w:ascii="Times New Roman" w:hAnsi="Times New Roman"/>
        </w:rPr>
        <w:t>This</w:t>
      </w:r>
      <w:r w:rsidR="00FC32DA" w:rsidRPr="005F1647">
        <w:rPr>
          <w:rFonts w:ascii="Times New Roman" w:hAnsi="Times New Roman"/>
        </w:rPr>
        <w:t xml:space="preserve"> collection does not affect small businesses or other small entities.</w:t>
      </w:r>
    </w:p>
    <w:p w:rsidR="00EF00F1" w:rsidRDefault="00EF00F1" w:rsidP="00EF00F1">
      <w:pPr>
        <w:ind w:right="-720"/>
      </w:pPr>
    </w:p>
    <w:p w:rsidR="00C07E83" w:rsidRPr="00C07E83" w:rsidRDefault="00C07E83" w:rsidP="005F1647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5F1647" w:rsidRDefault="00ED26AA" w:rsidP="004C309A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D0E11">
        <w:rPr>
          <w:rFonts w:ascii="Times New Roman" w:hAnsi="Times New Roman"/>
        </w:rPr>
        <w:t xml:space="preserve">SSA </w:t>
      </w:r>
      <w:r w:rsidR="00964CFE">
        <w:rPr>
          <w:rFonts w:ascii="Times New Roman" w:hAnsi="Times New Roman"/>
        </w:rPr>
        <w:t>did not</w:t>
      </w:r>
      <w:r w:rsidR="005F1647">
        <w:rPr>
          <w:rFonts w:ascii="Times New Roman" w:hAnsi="Times New Roman"/>
        </w:rPr>
        <w:t xml:space="preserve"> collect </w:t>
      </w:r>
      <w:r w:rsidR="005B730F">
        <w:rPr>
          <w:rFonts w:ascii="Times New Roman" w:hAnsi="Times New Roman"/>
        </w:rPr>
        <w:t>this information</w:t>
      </w:r>
      <w:r w:rsidR="005F1647">
        <w:rPr>
          <w:rFonts w:ascii="Times New Roman" w:hAnsi="Times New Roman"/>
        </w:rPr>
        <w:t xml:space="preserve">, </w:t>
      </w:r>
      <w:r w:rsidR="007C79EA">
        <w:rPr>
          <w:rFonts w:ascii="Times New Roman" w:hAnsi="Times New Roman"/>
        </w:rPr>
        <w:t xml:space="preserve">we would </w:t>
      </w:r>
      <w:r w:rsidR="004C2151">
        <w:rPr>
          <w:rFonts w:ascii="Times New Roman" w:hAnsi="Times New Roman"/>
        </w:rPr>
        <w:t xml:space="preserve">not </w:t>
      </w:r>
      <w:r w:rsidR="007C79EA">
        <w:rPr>
          <w:rFonts w:ascii="Times New Roman" w:hAnsi="Times New Roman"/>
        </w:rPr>
        <w:t xml:space="preserve">be able </w:t>
      </w:r>
      <w:r w:rsidR="00ED6302">
        <w:rPr>
          <w:rFonts w:ascii="Times New Roman" w:hAnsi="Times New Roman"/>
        </w:rPr>
        <w:t xml:space="preserve">to allow </w:t>
      </w:r>
      <w:r w:rsidR="00964CFE">
        <w:rPr>
          <w:rFonts w:ascii="Times New Roman" w:hAnsi="Times New Roman"/>
        </w:rPr>
        <w:t xml:space="preserve">Medicare </w:t>
      </w:r>
      <w:r w:rsidR="00DF5615">
        <w:rPr>
          <w:rFonts w:ascii="Times New Roman" w:hAnsi="Times New Roman"/>
        </w:rPr>
        <w:t>enrollees</w:t>
      </w:r>
      <w:r w:rsidR="00ED6302">
        <w:rPr>
          <w:rFonts w:ascii="Times New Roman" w:hAnsi="Times New Roman"/>
        </w:rPr>
        <w:t xml:space="preserve"> </w:t>
      </w:r>
      <w:r w:rsidR="00787C6F">
        <w:rPr>
          <w:rFonts w:ascii="Times New Roman" w:hAnsi="Times New Roman"/>
        </w:rPr>
        <w:t>with</w:t>
      </w:r>
      <w:r w:rsidR="004C309A">
        <w:rPr>
          <w:rFonts w:ascii="Times New Roman" w:hAnsi="Times New Roman"/>
        </w:rPr>
        <w:t xml:space="preserve"> prescription drug coverage </w:t>
      </w:r>
      <w:r w:rsidR="00787C6F">
        <w:rPr>
          <w:rFonts w:ascii="Times New Roman" w:hAnsi="Times New Roman"/>
        </w:rPr>
        <w:t xml:space="preserve">or Part B </w:t>
      </w:r>
      <w:r w:rsidR="00ED6302">
        <w:rPr>
          <w:rFonts w:ascii="Times New Roman" w:hAnsi="Times New Roman"/>
        </w:rPr>
        <w:t xml:space="preserve">who have </w:t>
      </w:r>
      <w:r w:rsidR="00964CFE">
        <w:rPr>
          <w:rFonts w:ascii="Times New Roman" w:hAnsi="Times New Roman"/>
        </w:rPr>
        <w:t>experienc</w:t>
      </w:r>
      <w:r w:rsidR="00ED6302">
        <w:rPr>
          <w:rFonts w:ascii="Times New Roman" w:hAnsi="Times New Roman"/>
        </w:rPr>
        <w:t>ed</w:t>
      </w:r>
      <w:r w:rsidR="00964CFE">
        <w:rPr>
          <w:rFonts w:ascii="Times New Roman" w:hAnsi="Times New Roman"/>
        </w:rPr>
        <w:t xml:space="preserve"> </w:t>
      </w:r>
      <w:r w:rsidR="001F7BAB">
        <w:rPr>
          <w:rFonts w:ascii="Times New Roman" w:hAnsi="Times New Roman"/>
        </w:rPr>
        <w:t xml:space="preserve">significant </w:t>
      </w:r>
      <w:r w:rsidR="00964CFE">
        <w:rPr>
          <w:rFonts w:ascii="Times New Roman" w:hAnsi="Times New Roman"/>
        </w:rPr>
        <w:t xml:space="preserve">LCEs to report </w:t>
      </w:r>
      <w:r w:rsidR="005B730F">
        <w:rPr>
          <w:rFonts w:ascii="Times New Roman" w:hAnsi="Times New Roman"/>
        </w:rPr>
        <w:t xml:space="preserve">such events.  </w:t>
      </w:r>
      <w:r w:rsidR="00ED6302">
        <w:rPr>
          <w:rFonts w:ascii="Times New Roman" w:hAnsi="Times New Roman"/>
        </w:rPr>
        <w:t xml:space="preserve">This </w:t>
      </w:r>
      <w:r w:rsidR="00964CFE">
        <w:rPr>
          <w:rFonts w:ascii="Times New Roman" w:hAnsi="Times New Roman"/>
        </w:rPr>
        <w:t xml:space="preserve">would put SSA in </w:t>
      </w:r>
      <w:r w:rsidR="0088626A">
        <w:rPr>
          <w:rFonts w:ascii="Times New Roman" w:hAnsi="Times New Roman"/>
        </w:rPr>
        <w:t xml:space="preserve">violation </w:t>
      </w:r>
      <w:r w:rsidR="002D40DD">
        <w:rPr>
          <w:rFonts w:ascii="Times New Roman" w:hAnsi="Times New Roman"/>
        </w:rPr>
        <w:t>o</w:t>
      </w:r>
      <w:r w:rsidR="0088626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</w:t>
      </w:r>
      <w:r w:rsidR="002D40DD">
        <w:rPr>
          <w:rFonts w:ascii="Times New Roman" w:hAnsi="Times New Roman"/>
        </w:rPr>
        <w:t xml:space="preserve">the </w:t>
      </w:r>
      <w:r w:rsidR="005E1FB3">
        <w:rPr>
          <w:rFonts w:ascii="Times New Roman" w:hAnsi="Times New Roman"/>
        </w:rPr>
        <w:t>M</w:t>
      </w:r>
      <w:r w:rsidR="00787C6F">
        <w:rPr>
          <w:rFonts w:ascii="Times New Roman" w:hAnsi="Times New Roman"/>
        </w:rPr>
        <w:t xml:space="preserve">edicare </w:t>
      </w:r>
      <w:r w:rsidR="00D3189A">
        <w:rPr>
          <w:rFonts w:ascii="Times New Roman" w:hAnsi="Times New Roman"/>
        </w:rPr>
        <w:t xml:space="preserve">Prescription Drug, Improvement and </w:t>
      </w:r>
      <w:r w:rsidR="004C309A">
        <w:rPr>
          <w:rFonts w:ascii="Times New Roman" w:hAnsi="Times New Roman"/>
        </w:rPr>
        <w:t>Modernization Act</w:t>
      </w:r>
      <w:r w:rsidR="005E1FB3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>of 2003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108-173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 xml:space="preserve">, </w:t>
      </w:r>
      <w:r w:rsidR="00D3189A">
        <w:rPr>
          <w:rFonts w:ascii="Times New Roman" w:hAnsi="Times New Roman"/>
        </w:rPr>
        <w:t xml:space="preserve">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111-148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>,</w:t>
      </w:r>
      <w:r w:rsidR="00D3189A">
        <w:rPr>
          <w:rFonts w:ascii="Times New Roman" w:hAnsi="Times New Roman"/>
        </w:rPr>
        <w:t xml:space="preserve"> </w:t>
      </w:r>
      <w:r w:rsidR="005E1FB3">
        <w:rPr>
          <w:rFonts w:ascii="Times New Roman" w:hAnsi="Times New Roman"/>
        </w:rPr>
        <w:t xml:space="preserve">and </w:t>
      </w:r>
      <w:r w:rsidR="004C2B8D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>regulations</w:t>
      </w:r>
      <w:r w:rsidR="00EF00F1" w:rsidRPr="00EF00F1">
        <w:rPr>
          <w:rFonts w:ascii="Times New Roman" w:hAnsi="Times New Roman"/>
        </w:rPr>
        <w:t xml:space="preserve">.  </w:t>
      </w:r>
      <w:r w:rsidR="005B730F">
        <w:rPr>
          <w:rFonts w:ascii="Times New Roman" w:hAnsi="Times New Roman"/>
        </w:rPr>
        <w:t>Since</w:t>
      </w:r>
      <w:r w:rsidR="005F1647" w:rsidRPr="005F1647">
        <w:rPr>
          <w:rFonts w:ascii="Times New Roman" w:hAnsi="Times New Roman"/>
        </w:rPr>
        <w:t xml:space="preserve"> SSA collects this information on an as</w:t>
      </w:r>
      <w:r w:rsidR="004C309A">
        <w:rPr>
          <w:rFonts w:ascii="Times New Roman" w:hAnsi="Times New Roman"/>
        </w:rPr>
        <w:t xml:space="preserve"> </w:t>
      </w:r>
      <w:r w:rsidR="005F1647" w:rsidRPr="005F1647">
        <w:rPr>
          <w:rFonts w:ascii="Times New Roman" w:hAnsi="Times New Roman"/>
        </w:rPr>
        <w:t>needed basis, we can</w:t>
      </w:r>
      <w:r w:rsidR="004235B5">
        <w:rPr>
          <w:rFonts w:ascii="Times New Roman" w:hAnsi="Times New Roman"/>
        </w:rPr>
        <w:t xml:space="preserve">not collect it less frequently.  </w:t>
      </w:r>
      <w:r w:rsidR="005F1647" w:rsidRPr="005F1647">
        <w:rPr>
          <w:rFonts w:ascii="Times New Roman" w:hAnsi="Times New Roman"/>
        </w:rPr>
        <w:t>There are no technical or legal obstacles to burden reduction</w:t>
      </w:r>
      <w:r w:rsidR="009F40E4">
        <w:rPr>
          <w:rFonts w:ascii="Times New Roman" w:hAnsi="Times New Roman"/>
        </w:rPr>
        <w:t>.</w:t>
      </w:r>
    </w:p>
    <w:p w:rsidR="009F40E4" w:rsidRDefault="009F40E4" w:rsidP="009F40E4">
      <w:pPr>
        <w:ind w:right="-720"/>
        <w:rPr>
          <w:rFonts w:ascii="Times New Roman" w:hAnsi="Times New Roman"/>
        </w:rPr>
      </w:pPr>
    </w:p>
    <w:p w:rsidR="00C07E83" w:rsidRPr="00C07E83" w:rsidRDefault="00C07E83" w:rsidP="009F40E4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EF00F1" w:rsidRDefault="000942D5" w:rsidP="00C07E83">
      <w:pPr>
        <w:ind w:left="1080" w:right="-720"/>
        <w:rPr>
          <w:rFonts w:ascii="Times New Roman" w:hAnsi="Times New Roman"/>
        </w:rPr>
      </w:pPr>
      <w:r w:rsidRPr="009F1A8B">
        <w:rPr>
          <w:rFonts w:ascii="Times New Roman" w:hAnsi="Times New Roman"/>
        </w:rPr>
        <w:t>There are no special circumstances that would cause</w:t>
      </w:r>
      <w:r>
        <w:rPr>
          <w:rFonts w:ascii="Times New Roman" w:hAnsi="Times New Roman"/>
        </w:rPr>
        <w:t xml:space="preserve"> us to collect this information in a manner inconsistent with </w:t>
      </w:r>
      <w:proofErr w:type="gramStart"/>
      <w:r w:rsidRPr="004235B5">
        <w:rPr>
          <w:rFonts w:ascii="Times New Roman" w:hAnsi="Times New Roman"/>
          <w:i/>
        </w:rPr>
        <w:t>5</w:t>
      </w:r>
      <w:proofErr w:type="gramEnd"/>
      <w:r w:rsidRPr="004235B5">
        <w:rPr>
          <w:rFonts w:ascii="Times New Roman" w:hAnsi="Times New Roman"/>
          <w:i/>
        </w:rPr>
        <w:t xml:space="preserve"> CFR 1320.5</w:t>
      </w:r>
      <w:r w:rsidRPr="009F1A8B">
        <w:rPr>
          <w:rFonts w:ascii="Times New Roman" w:hAnsi="Times New Roman"/>
        </w:rPr>
        <w:t>.</w:t>
      </w:r>
    </w:p>
    <w:p w:rsidR="00EF00F1" w:rsidRDefault="00EF00F1" w:rsidP="00EF00F1">
      <w:pPr>
        <w:ind w:right="-720"/>
        <w:rPr>
          <w:rFonts w:ascii="Times New Roman" w:hAnsi="Times New Roman"/>
          <w:b/>
        </w:rPr>
      </w:pPr>
    </w:p>
    <w:p w:rsidR="00C07E83" w:rsidRPr="00C07E83" w:rsidRDefault="00B67CB9" w:rsidP="00AA1235">
      <w:pPr>
        <w:numPr>
          <w:ilvl w:val="0"/>
          <w:numId w:val="1"/>
        </w:numPr>
        <w:ind w:left="1080" w:right="-72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AA1235" w:rsidRPr="00AA1235" w:rsidRDefault="00545F87" w:rsidP="00C07E83">
      <w:pPr>
        <w:ind w:left="1080" w:right="-720"/>
        <w:rPr>
          <w:rFonts w:ascii="Times New Roman" w:hAnsi="Times New Roman"/>
          <w:b/>
          <w:bCs/>
        </w:rPr>
      </w:pPr>
      <w:r w:rsidRPr="00EA5D0D">
        <w:rPr>
          <w:rFonts w:ascii="Times New Roman" w:hAnsi="Times New Roman"/>
          <w:spacing w:val="-2"/>
        </w:rPr>
        <w:t xml:space="preserve">The 60-day advance Federal Register Notice published on </w:t>
      </w:r>
      <w:r>
        <w:rPr>
          <w:rFonts w:ascii="Times New Roman" w:hAnsi="Times New Roman"/>
          <w:spacing w:val="-2"/>
        </w:rPr>
        <w:t>February 14, 2011 at 76 FR 8394</w:t>
      </w:r>
      <w:r w:rsidRPr="00EA5D0D">
        <w:rPr>
          <w:rFonts w:ascii="Times New Roman" w:hAnsi="Times New Roman"/>
          <w:spacing w:val="-2"/>
        </w:rPr>
        <w:t>, and SSA received no public comments.  The second Notice pu</w:t>
      </w:r>
      <w:r w:rsidR="00B121A8">
        <w:rPr>
          <w:rFonts w:ascii="Times New Roman" w:hAnsi="Times New Roman"/>
          <w:spacing w:val="-2"/>
        </w:rPr>
        <w:t xml:space="preserve">blished on May 16, 2011 </w:t>
      </w:r>
      <w:r>
        <w:rPr>
          <w:rFonts w:ascii="Times New Roman" w:hAnsi="Times New Roman"/>
          <w:spacing w:val="-2"/>
        </w:rPr>
        <w:t>at 76</w:t>
      </w:r>
      <w:r w:rsidR="00B121A8">
        <w:rPr>
          <w:rFonts w:ascii="Times New Roman" w:hAnsi="Times New Roman"/>
          <w:spacing w:val="-2"/>
        </w:rPr>
        <w:t xml:space="preserve"> FR 28297</w:t>
      </w:r>
      <w:r w:rsidRPr="00EA5D0D">
        <w:rPr>
          <w:rFonts w:ascii="Times New Roman" w:hAnsi="Times New Roman"/>
          <w:spacing w:val="-2"/>
        </w:rPr>
        <w:t xml:space="preserve">.  </w:t>
      </w:r>
      <w:r w:rsidRPr="00EA5D0D">
        <w:rPr>
          <w:rFonts w:ascii="Times New Roman" w:hAnsi="Times New Roman"/>
        </w:rPr>
        <w:t xml:space="preserve">If we receive any comments in response to the 30-day Notice, we will forward them to OMB.  </w:t>
      </w:r>
      <w:r w:rsidRPr="00EA5D0D">
        <w:rPr>
          <w:rFonts w:ascii="Times New Roman" w:hAnsi="Times New Roman"/>
          <w:spacing w:val="-2"/>
        </w:rPr>
        <w:t>SSA did not consult members of the public in the development or maintenance of this form</w:t>
      </w:r>
      <w:r w:rsidR="00415BBB">
        <w:rPr>
          <w:rFonts w:ascii="Times New Roman" w:hAnsi="Times New Roman"/>
        </w:rPr>
        <w:t>.</w:t>
      </w:r>
    </w:p>
    <w:p w:rsidR="001F72E4" w:rsidRPr="001F72E4" w:rsidRDefault="001F72E4" w:rsidP="001F72E4">
      <w:pPr>
        <w:ind w:left="1080" w:right="-720"/>
        <w:rPr>
          <w:rFonts w:ascii="Times New Roman" w:hAnsi="Times New Roman"/>
          <w:bCs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720"/>
          <w:tab w:val="left" w:pos="1080"/>
        </w:tabs>
        <w:ind w:left="720" w:firstLine="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076B8" w:rsidRPr="001D2525" w:rsidRDefault="00C07E83" w:rsidP="00C07E83">
      <w:pPr>
        <w:tabs>
          <w:tab w:val="num" w:pos="1080"/>
        </w:tabs>
        <w:ind w:left="720" w:right="-72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="001D2525" w:rsidRPr="001D2525">
        <w:rPr>
          <w:rFonts w:ascii="Times New Roman" w:hAnsi="Times New Roman"/>
        </w:rPr>
        <w:t>SSA</w:t>
      </w:r>
      <w:r w:rsidR="00ED26AA">
        <w:rPr>
          <w:rFonts w:ascii="Times New Roman" w:hAnsi="Times New Roman"/>
        </w:rPr>
        <w:t xml:space="preserve"> does not provide payments or</w:t>
      </w:r>
      <w:r w:rsidR="001D2525" w:rsidRPr="001D2525">
        <w:rPr>
          <w:rFonts w:ascii="Times New Roman" w:hAnsi="Times New Roman"/>
        </w:rPr>
        <w:t xml:space="preserve"> gifts to the respondents</w:t>
      </w:r>
      <w:r w:rsidR="001D2525">
        <w:rPr>
          <w:rFonts w:ascii="Times New Roman" w:hAnsi="Times New Roman"/>
        </w:rPr>
        <w:t>.</w:t>
      </w:r>
    </w:p>
    <w:p w:rsidR="004E18EC" w:rsidRPr="007076B8" w:rsidRDefault="004E18EC" w:rsidP="00B67CB9">
      <w:pPr>
        <w:ind w:right="-720"/>
        <w:rPr>
          <w:rFonts w:ascii="Times New Roman" w:hAnsi="Times New Roman"/>
          <w:color w:val="0000FF"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540"/>
          <w:tab w:val="left" w:pos="1080"/>
        </w:tabs>
        <w:ind w:left="720" w:hanging="18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82277" w:rsidRPr="00F82277" w:rsidRDefault="00B67CB9" w:rsidP="00C07E83">
      <w:pPr>
        <w:tabs>
          <w:tab w:val="left" w:pos="720"/>
          <w:tab w:val="left" w:pos="1080"/>
          <w:tab w:val="left" w:pos="1260"/>
        </w:tabs>
        <w:ind w:left="1080" w:right="-720"/>
        <w:rPr>
          <w:rFonts w:ascii="Times New Roman" w:hAnsi="Times New Roman"/>
        </w:rPr>
      </w:pPr>
      <w:r w:rsidRPr="00B67CB9">
        <w:rPr>
          <w:rFonts w:ascii="Times New Roman" w:hAnsi="Times New Roman"/>
        </w:rPr>
        <w:t xml:space="preserve">SSA </w:t>
      </w:r>
      <w:r w:rsidR="00F82277" w:rsidRPr="00F82277">
        <w:rPr>
          <w:rFonts w:ascii="Times New Roman" w:hAnsi="Times New Roman"/>
        </w:rPr>
        <w:t xml:space="preserve">protects and holds confidential the information it collects in accordance with </w:t>
      </w:r>
      <w:r w:rsidR="00F82277" w:rsidRPr="000C7E76">
        <w:rPr>
          <w:rFonts w:ascii="Times New Roman" w:hAnsi="Times New Roman"/>
          <w:i/>
        </w:rPr>
        <w:t>42 U.S.C. 1306</w:t>
      </w:r>
      <w:r w:rsidR="00F82277" w:rsidRPr="00F82277">
        <w:rPr>
          <w:rFonts w:ascii="Times New Roman" w:hAnsi="Times New Roman"/>
        </w:rPr>
        <w:t xml:space="preserve">, </w:t>
      </w:r>
      <w:r w:rsidR="00F82277" w:rsidRPr="000C7E76">
        <w:rPr>
          <w:rFonts w:ascii="Times New Roman" w:hAnsi="Times New Roman"/>
          <w:i/>
        </w:rPr>
        <w:t xml:space="preserve">20 CFR </w:t>
      </w:r>
      <w:r w:rsidR="001F7BAB">
        <w:rPr>
          <w:rFonts w:ascii="Times New Roman" w:hAnsi="Times New Roman"/>
          <w:i/>
        </w:rPr>
        <w:t xml:space="preserve">Parts </w:t>
      </w:r>
      <w:r w:rsidR="00F82277" w:rsidRPr="000C7E76">
        <w:rPr>
          <w:rFonts w:ascii="Times New Roman" w:hAnsi="Times New Roman"/>
          <w:i/>
        </w:rPr>
        <w:t>401</w:t>
      </w:r>
      <w:r w:rsidR="00F82277" w:rsidRPr="00F82277">
        <w:rPr>
          <w:rFonts w:ascii="Times New Roman" w:hAnsi="Times New Roman"/>
        </w:rPr>
        <w:t xml:space="preserve"> and </w:t>
      </w:r>
      <w:r w:rsidR="00F82277" w:rsidRPr="000C7E76">
        <w:rPr>
          <w:rFonts w:ascii="Times New Roman" w:hAnsi="Times New Roman"/>
          <w:i/>
        </w:rPr>
        <w:t>402, 5 U.S.C. 552</w:t>
      </w:r>
      <w:r w:rsidR="00F82277" w:rsidRPr="00F82277">
        <w:rPr>
          <w:rFonts w:ascii="Times New Roman" w:hAnsi="Times New Roman"/>
        </w:rPr>
        <w:t xml:space="preserve"> (Freedom of Information Act), </w:t>
      </w:r>
      <w:r w:rsidR="00F82277" w:rsidRPr="000C7E76">
        <w:rPr>
          <w:rFonts w:ascii="Times New Roman" w:hAnsi="Times New Roman"/>
          <w:i/>
        </w:rPr>
        <w:t>5 U.S.C. 552a</w:t>
      </w:r>
      <w:r w:rsidR="00F82277" w:rsidRPr="00F82277">
        <w:rPr>
          <w:rFonts w:ascii="Times New Roman" w:hAnsi="Times New Roman"/>
        </w:rPr>
        <w:t xml:space="preserve"> (Privacy Act of 1974), and OMB Circular No</w:t>
      </w:r>
      <w:proofErr w:type="gramStart"/>
      <w:r w:rsidR="00F82277" w:rsidRPr="00F82277">
        <w:rPr>
          <w:rFonts w:ascii="Times New Roman" w:hAnsi="Times New Roman"/>
        </w:rPr>
        <w:t>. A-130</w:t>
      </w:r>
      <w:r w:rsidR="00F82277" w:rsidRPr="00F82277">
        <w:rPr>
          <w:rFonts w:ascii="Times New Roman" w:hAnsi="Times New Roman"/>
          <w:color w:val="0000FF"/>
        </w:rPr>
        <w:t>.</w:t>
      </w:r>
      <w:proofErr w:type="gramEnd"/>
    </w:p>
    <w:p w:rsidR="005F1BF4" w:rsidRPr="00B67CB9" w:rsidRDefault="005F1BF4" w:rsidP="00B67CB9">
      <w:pPr>
        <w:ind w:left="1080" w:right="-720" w:hanging="540"/>
        <w:rPr>
          <w:rFonts w:ascii="Times New Roman" w:hAnsi="Times New Roman"/>
        </w:rPr>
      </w:pPr>
    </w:p>
    <w:p w:rsidR="00C07E83" w:rsidRDefault="00B67CB9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bCs/>
        </w:rPr>
        <w:t xml:space="preserve"> </w:t>
      </w:r>
      <w:r w:rsidR="00C07E83" w:rsidRPr="00BC7F42">
        <w:rPr>
          <w:rFonts w:ascii="Times New Roman" w:hAnsi="Times New Roman"/>
          <w:b/>
        </w:rPr>
        <w:t>Justification for Sensitive Questions</w:t>
      </w:r>
    </w:p>
    <w:p w:rsidR="00B67CB9" w:rsidRPr="00B67CB9" w:rsidRDefault="00C07E83" w:rsidP="00C07E83">
      <w:pPr>
        <w:tabs>
          <w:tab w:val="left" w:pos="1080"/>
        </w:tabs>
        <w:ind w:left="54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B67CB9" w:rsidRPr="00B67CB9">
        <w:rPr>
          <w:rFonts w:ascii="Times New Roman" w:hAnsi="Times New Roman"/>
        </w:rPr>
        <w:t>The information collection does not contain any questions of a sensitive nature.</w:t>
      </w:r>
    </w:p>
    <w:p w:rsidR="00605F9F" w:rsidRPr="00B67CB9" w:rsidRDefault="00605F9F" w:rsidP="00605F9F">
      <w:pPr>
        <w:ind w:left="720" w:right="-720"/>
        <w:rPr>
          <w:rFonts w:ascii="Times New Roman" w:hAnsi="Times New Roman"/>
        </w:rPr>
      </w:pPr>
    </w:p>
    <w:p w:rsidR="00C07E83" w:rsidRDefault="007D1081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>Estimates of Public Reporting Burden</w:t>
      </w:r>
    </w:p>
    <w:p w:rsidR="00B6654B" w:rsidRPr="004F6B9F" w:rsidRDefault="00C07E83" w:rsidP="0087622C">
      <w:pPr>
        <w:widowControl/>
        <w:tabs>
          <w:tab w:val="left" w:pos="108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5"/>
        <w:gridCol w:w="1565"/>
        <w:gridCol w:w="1440"/>
        <w:gridCol w:w="1710"/>
        <w:gridCol w:w="1710"/>
      </w:tblGrid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Method of Information Collection</w:t>
            </w:r>
          </w:p>
        </w:tc>
        <w:tc>
          <w:tcPr>
            <w:tcW w:w="156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Personal Interview</w:t>
            </w:r>
            <w:r w:rsidR="003A6ABA">
              <w:rPr>
                <w:rFonts w:ascii="Times New Roman" w:hAnsi="Times New Roman"/>
                <w:b/>
              </w:rPr>
              <w:t xml:space="preserve"> (</w:t>
            </w:r>
            <w:r w:rsidR="006A4ED7">
              <w:rPr>
                <w:rFonts w:ascii="Times New Roman" w:hAnsi="Times New Roman"/>
                <w:b/>
              </w:rPr>
              <w:t>SSA</w:t>
            </w:r>
            <w:r w:rsidR="003A6ABA">
              <w:rPr>
                <w:rFonts w:ascii="Times New Roman" w:hAnsi="Times New Roman"/>
                <w:b/>
              </w:rPr>
              <w:t xml:space="preserve"> field office)</w:t>
            </w:r>
          </w:p>
        </w:tc>
        <w:tc>
          <w:tcPr>
            <w:tcW w:w="1565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30</w:t>
            </w: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45D55">
              <w:rPr>
                <w:rFonts w:ascii="Times New Roman" w:hAnsi="Times New Roman"/>
              </w:rPr>
              <w:t>,500</w:t>
            </w:r>
          </w:p>
        </w:tc>
      </w:tr>
      <w:tr w:rsidR="007D1081" w:rsidRPr="00520A9E" w:rsidTr="008953F4">
        <w:tc>
          <w:tcPr>
            <w:tcW w:w="1675" w:type="dxa"/>
          </w:tcPr>
          <w:p w:rsidR="0033130F" w:rsidRDefault="0033130F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Paper </w:t>
            </w:r>
            <w:r w:rsidR="007D1081" w:rsidRPr="0024739A">
              <w:rPr>
                <w:rFonts w:ascii="Times New Roman" w:hAnsi="Times New Roman"/>
                <w:b/>
              </w:rPr>
              <w:t>Form</w:t>
            </w:r>
          </w:p>
          <w:p w:rsidR="007D1081" w:rsidRPr="0024739A" w:rsidRDefault="004256A6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(mailed)</w:t>
            </w:r>
          </w:p>
        </w:tc>
        <w:tc>
          <w:tcPr>
            <w:tcW w:w="1565" w:type="dxa"/>
          </w:tcPr>
          <w:p w:rsidR="007D1081" w:rsidRPr="0024739A" w:rsidRDefault="00245D55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B2637">
              <w:rPr>
                <w:rFonts w:ascii="Times New Roman" w:hAnsi="Times New Roman"/>
              </w:rPr>
              <w:t>9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45</w:t>
            </w: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45D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250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65" w:type="dxa"/>
          </w:tcPr>
          <w:p w:rsidR="007D1081" w:rsidRPr="00B121A8" w:rsidRDefault="00245D55" w:rsidP="00DD47A8">
            <w:pPr>
              <w:jc w:val="right"/>
              <w:rPr>
                <w:rFonts w:ascii="Times New Roman" w:hAnsi="Times New Roman"/>
                <w:b/>
              </w:rPr>
            </w:pPr>
            <w:r w:rsidRPr="00B121A8">
              <w:rPr>
                <w:rFonts w:ascii="Times New Roman" w:hAnsi="Times New Roman"/>
                <w:b/>
              </w:rPr>
              <w:t>1</w:t>
            </w:r>
            <w:r w:rsidR="001B2637" w:rsidRPr="00B121A8">
              <w:rPr>
                <w:rFonts w:ascii="Times New Roman" w:hAnsi="Times New Roman"/>
                <w:b/>
              </w:rPr>
              <w:t>8</w:t>
            </w:r>
            <w:r w:rsidRPr="00B121A8">
              <w:rPr>
                <w:rFonts w:ascii="Times New Roman" w:hAnsi="Times New Roman"/>
                <w:b/>
              </w:rPr>
              <w:t>6</w:t>
            </w:r>
            <w:r w:rsidR="007D1081" w:rsidRPr="00B121A8">
              <w:rPr>
                <w:rFonts w:ascii="Times New Roman" w:hAnsi="Times New Roman"/>
                <w:b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7828E5">
              <w:rPr>
                <w:rFonts w:ascii="Times New Roman" w:hAnsi="Times New Roman"/>
                <w:b/>
              </w:rPr>
              <w:t>,7</w:t>
            </w:r>
            <w:r w:rsidR="00245D55">
              <w:rPr>
                <w:rFonts w:ascii="Times New Roman" w:hAnsi="Times New Roman"/>
                <w:b/>
              </w:rPr>
              <w:t>50</w:t>
            </w:r>
          </w:p>
        </w:tc>
      </w:tr>
    </w:tbl>
    <w:p w:rsidR="0087622C" w:rsidRDefault="0087622C" w:rsidP="0087622C">
      <w:pPr>
        <w:pStyle w:val="ListParagraph"/>
        <w:rPr>
          <w:rFonts w:ascii="Times New Roman" w:hAnsi="Times New Roman"/>
        </w:rPr>
      </w:pPr>
    </w:p>
    <w:p w:rsidR="0087622C" w:rsidRPr="0087622C" w:rsidRDefault="0087622C" w:rsidP="0087622C">
      <w:pPr>
        <w:pStyle w:val="ListParagraph"/>
        <w:ind w:left="1080"/>
        <w:rPr>
          <w:rFonts w:ascii="Times New Roman" w:hAnsi="Times New Roman"/>
        </w:rPr>
      </w:pPr>
      <w:r w:rsidRPr="0087622C">
        <w:rPr>
          <w:rFonts w:ascii="Times New Roman" w:hAnsi="Times New Roman"/>
        </w:rPr>
        <w:t xml:space="preserve">The total burden for this ICR is </w:t>
      </w:r>
      <w:r w:rsidR="007828E5" w:rsidRPr="008953F4">
        <w:rPr>
          <w:rFonts w:ascii="Times New Roman" w:hAnsi="Times New Roman"/>
          <w:b/>
        </w:rPr>
        <w:t>102,7</w:t>
      </w:r>
      <w:r w:rsidR="000011E3" w:rsidRPr="008953F4">
        <w:rPr>
          <w:rFonts w:ascii="Times New Roman" w:hAnsi="Times New Roman"/>
          <w:b/>
        </w:rPr>
        <w:t>50</w:t>
      </w:r>
      <w:r w:rsidRPr="0087622C">
        <w:rPr>
          <w:rFonts w:ascii="Times New Roman" w:hAnsi="Times New Roman"/>
        </w:rPr>
        <w:t xml:space="preserve"> hours.  This figure represents burden hours, and </w:t>
      </w:r>
      <w:r w:rsidR="003A6ABA">
        <w:rPr>
          <w:rFonts w:ascii="Times New Roman" w:hAnsi="Times New Roman"/>
        </w:rPr>
        <w:t xml:space="preserve">we </w:t>
      </w:r>
      <w:r w:rsidRPr="0087622C">
        <w:rPr>
          <w:rFonts w:ascii="Times New Roman" w:hAnsi="Times New Roman"/>
        </w:rPr>
        <w:t>did</w:t>
      </w:r>
      <w:r w:rsidR="003A6ABA">
        <w:rPr>
          <w:rFonts w:ascii="Times New Roman" w:hAnsi="Times New Roman"/>
        </w:rPr>
        <w:t xml:space="preserve"> not</w:t>
      </w:r>
      <w:r w:rsidRPr="0087622C">
        <w:rPr>
          <w:rFonts w:ascii="Times New Roman" w:hAnsi="Times New Roman"/>
        </w:rPr>
        <w:t xml:space="preserve"> calculate a separate cost burden.</w:t>
      </w:r>
    </w:p>
    <w:p w:rsidR="007D1081" w:rsidRDefault="007D1081" w:rsidP="00B6654B">
      <w:pPr>
        <w:ind w:right="-720"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"/>
        </w:numPr>
        <w:tabs>
          <w:tab w:val="clear" w:pos="900"/>
          <w:tab w:val="left" w:pos="720"/>
          <w:tab w:val="num" w:pos="1080"/>
        </w:tabs>
        <w:ind w:left="1080" w:right="-720" w:hanging="5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747114" w:rsidRPr="00747114" w:rsidRDefault="008F0E94" w:rsidP="008F0E94">
      <w:pPr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T</w:t>
      </w:r>
      <w:r w:rsidR="00747114" w:rsidRPr="00747114">
        <w:rPr>
          <w:rFonts w:ascii="Times New Roman" w:hAnsi="Times New Roman"/>
        </w:rPr>
        <w:t>his collection does not impose a known cost burden</w:t>
      </w:r>
      <w:r w:rsidR="00FF32EC">
        <w:rPr>
          <w:rFonts w:ascii="Times New Roman" w:hAnsi="Times New Roman"/>
        </w:rPr>
        <w:t xml:space="preserve"> on</w:t>
      </w:r>
      <w:r w:rsidR="00747114" w:rsidRPr="00747114">
        <w:rPr>
          <w:rFonts w:ascii="Times New Roman" w:hAnsi="Times New Roman"/>
        </w:rPr>
        <w:t xml:space="preserve"> the respondents.   </w:t>
      </w:r>
    </w:p>
    <w:p w:rsidR="00407008" w:rsidRDefault="00407008" w:rsidP="00407008">
      <w:pPr>
        <w:ind w:right="-720"/>
        <w:rPr>
          <w:rFonts w:ascii="Times New Roman" w:hAnsi="Times New Roman"/>
        </w:rPr>
      </w:pPr>
    </w:p>
    <w:p w:rsidR="00C07E83" w:rsidRPr="00121032" w:rsidRDefault="00407008" w:rsidP="008F0E94">
      <w:pPr>
        <w:tabs>
          <w:tab w:val="left" w:pos="1080"/>
        </w:tabs>
        <w:ind w:firstLine="540"/>
        <w:rPr>
          <w:rFonts w:ascii="Times New Roman" w:hAnsi="Times New Roman"/>
        </w:rPr>
      </w:pPr>
      <w:r w:rsidRPr="00B15398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ab/>
      </w:r>
      <w:r w:rsidR="00C07E83" w:rsidRPr="00BC7F42">
        <w:rPr>
          <w:rFonts w:ascii="Times New Roman" w:hAnsi="Times New Roman"/>
          <w:b/>
        </w:rPr>
        <w:t xml:space="preserve">Annual Cost </w:t>
      </w:r>
      <w:r w:rsidR="007211F7" w:rsidRPr="00BC7F42">
        <w:rPr>
          <w:rFonts w:ascii="Times New Roman" w:hAnsi="Times New Roman"/>
          <w:b/>
        </w:rPr>
        <w:t>to</w:t>
      </w:r>
      <w:r w:rsidR="00C07E83" w:rsidRPr="00BC7F42">
        <w:rPr>
          <w:rFonts w:ascii="Times New Roman" w:hAnsi="Times New Roman"/>
          <w:b/>
        </w:rPr>
        <w:t xml:space="preserve"> Federal Government</w:t>
      </w:r>
    </w:p>
    <w:p w:rsidR="00F4209D" w:rsidRPr="00F4209D" w:rsidRDefault="00F4209D" w:rsidP="008F0E94">
      <w:pPr>
        <w:tabs>
          <w:tab w:val="left" w:pos="990"/>
          <w:tab w:val="left" w:pos="1170"/>
        </w:tabs>
        <w:ind w:left="1170" w:right="-720"/>
        <w:rPr>
          <w:rFonts w:ascii="Times New Roman" w:hAnsi="Times New Roman"/>
        </w:rPr>
      </w:pPr>
      <w:r w:rsidRPr="00F4209D">
        <w:rPr>
          <w:rFonts w:ascii="Times New Roman" w:hAnsi="Times New Roman"/>
        </w:rPr>
        <w:t>The annual cost to the Federal Government</w:t>
      </w:r>
      <w:r w:rsidR="003A6ABA">
        <w:rPr>
          <w:rFonts w:ascii="Times New Roman" w:hAnsi="Times New Roman"/>
        </w:rPr>
        <w:t xml:space="preserve"> for this collection</w:t>
      </w:r>
      <w:r w:rsidRPr="00F4209D">
        <w:rPr>
          <w:rFonts w:ascii="Times New Roman" w:hAnsi="Times New Roman"/>
        </w:rPr>
        <w:t xml:space="preserve"> is approximately $8,</w:t>
      </w:r>
      <w:r w:rsidR="001F7BAB">
        <w:rPr>
          <w:rFonts w:ascii="Times New Roman" w:hAnsi="Times New Roman"/>
        </w:rPr>
        <w:t>500,000.</w:t>
      </w:r>
      <w:r w:rsidRPr="00F4209D">
        <w:rPr>
          <w:rFonts w:ascii="Times New Roman" w:hAnsi="Times New Roman"/>
        </w:rPr>
        <w:t xml:space="preserve">  This estimate is a projection of the costs for printing the collection instrument and</w:t>
      </w:r>
      <w:r w:rsidR="006A4ED7">
        <w:rPr>
          <w:rFonts w:ascii="Times New Roman" w:hAnsi="Times New Roman"/>
        </w:rPr>
        <w:t xml:space="preserve"> for collecting the information through field-office interviews.</w:t>
      </w:r>
    </w:p>
    <w:p w:rsidR="00F4209D" w:rsidRPr="00304375" w:rsidRDefault="00F4209D" w:rsidP="0035080C">
      <w:pPr>
        <w:widowControl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9"/>
        </w:numPr>
        <w:tabs>
          <w:tab w:val="left" w:pos="900"/>
          <w:tab w:val="left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  <w:r w:rsidRPr="00014FC8">
        <w:rPr>
          <w:rFonts w:ascii="Times New Roman" w:hAnsi="Times New Roman"/>
        </w:rPr>
        <w:t xml:space="preserve"> </w:t>
      </w:r>
    </w:p>
    <w:p w:rsidR="004256A6" w:rsidRPr="00A523F6" w:rsidRDefault="00DD47A8" w:rsidP="00C07E83">
      <w:pPr>
        <w:tabs>
          <w:tab w:val="left" w:pos="1080"/>
        </w:tabs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We made no</w:t>
      </w:r>
      <w:r w:rsidRPr="00DD47A8">
        <w:rPr>
          <w:rFonts w:ascii="Times New Roman" w:hAnsi="Times New Roman"/>
        </w:rPr>
        <w:t xml:space="preserve"> changes to the public reporting burden</w:t>
      </w:r>
      <w:r>
        <w:rPr>
          <w:rFonts w:ascii="Times New Roman" w:hAnsi="Times New Roman"/>
        </w:rPr>
        <w:t xml:space="preserve"> from the time we submitted the Emergency clearance</w:t>
      </w:r>
      <w:r w:rsidR="00835600">
        <w:rPr>
          <w:rFonts w:ascii="Times New Roman" w:hAnsi="Times New Roman"/>
        </w:rPr>
        <w:t>.</w:t>
      </w:r>
      <w:r w:rsidR="000942D5">
        <w:rPr>
          <w:rFonts w:ascii="Times New Roman" w:hAnsi="Times New Roman"/>
        </w:rPr>
        <w:t xml:space="preserve">  </w:t>
      </w:r>
    </w:p>
    <w:p w:rsidR="00AD49B0" w:rsidRPr="00AD49B0" w:rsidRDefault="00AD49B0" w:rsidP="00AD49B0">
      <w:pPr>
        <w:tabs>
          <w:tab w:val="left" w:pos="1080"/>
        </w:tabs>
        <w:ind w:left="720" w:right="-720"/>
        <w:jc w:val="center"/>
        <w:rPr>
          <w:rFonts w:ascii="Times New Roman" w:hAnsi="Times New Roman"/>
          <w:b/>
          <w:bCs/>
        </w:rPr>
      </w:pPr>
    </w:p>
    <w:p w:rsidR="00C07E83" w:rsidRDefault="008F0E94" w:rsidP="007877E8">
      <w:pPr>
        <w:numPr>
          <w:ilvl w:val="0"/>
          <w:numId w:val="19"/>
        </w:numPr>
        <w:tabs>
          <w:tab w:val="clear" w:pos="900"/>
          <w:tab w:val="num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C07E83" w:rsidRPr="00BC7F42">
        <w:rPr>
          <w:rFonts w:ascii="Times New Roman" w:hAnsi="Times New Roman"/>
          <w:b/>
        </w:rPr>
        <w:t>Plans for Publication Information Collection</w:t>
      </w:r>
      <w:r w:rsidR="00C07E83">
        <w:rPr>
          <w:rFonts w:ascii="Times New Roman" w:hAnsi="Times New Roman"/>
          <w:b/>
        </w:rPr>
        <w:t xml:space="preserve"> Results</w:t>
      </w:r>
      <w:r w:rsidR="00C07E83" w:rsidRPr="00AD49B0">
        <w:rPr>
          <w:rFonts w:ascii="Times New Roman" w:hAnsi="Times New Roman"/>
        </w:rPr>
        <w:t xml:space="preserve"> </w:t>
      </w:r>
    </w:p>
    <w:p w:rsidR="00AD49B0" w:rsidRPr="00AD49B0" w:rsidRDefault="00C07E83" w:rsidP="00C07E83">
      <w:pPr>
        <w:tabs>
          <w:tab w:val="left" w:pos="900"/>
          <w:tab w:val="left" w:pos="1080"/>
        </w:tabs>
        <w:ind w:left="180"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49B0" w:rsidRPr="00AD49B0">
        <w:rPr>
          <w:rFonts w:ascii="Times New Roman" w:hAnsi="Times New Roman"/>
        </w:rPr>
        <w:t>SSA will not publish the results of the information collection</w:t>
      </w:r>
      <w:r w:rsidR="00FF32EC">
        <w:rPr>
          <w:rFonts w:ascii="Times New Roman" w:hAnsi="Times New Roman"/>
        </w:rPr>
        <w:t>.</w:t>
      </w:r>
    </w:p>
    <w:p w:rsidR="00AA2CC5" w:rsidRDefault="00AA2CC5" w:rsidP="0035080C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</w:rPr>
      </w:pPr>
    </w:p>
    <w:p w:rsidR="00C07E83" w:rsidRDefault="00C07E83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  <w:r w:rsidRPr="00163545">
        <w:rPr>
          <w:rFonts w:ascii="Times New Roman" w:hAnsi="Times New Roman"/>
        </w:rPr>
        <w:t xml:space="preserve"> </w:t>
      </w:r>
    </w:p>
    <w:p w:rsidR="00B15398" w:rsidRPr="00B15398" w:rsidRDefault="00B15398" w:rsidP="00B15398">
      <w:pPr>
        <w:tabs>
          <w:tab w:val="num" w:pos="1080"/>
        </w:tabs>
        <w:ind w:left="1080" w:right="-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>
        <w:rPr>
          <w:rFonts w:ascii="Times New Roman" w:hAnsi="Times New Roman"/>
          <w:i/>
        </w:rPr>
        <w:t>5 CFR 1320.8(b</w:t>
      </w:r>
      <w:proofErr w:type="gramStart"/>
      <w:r>
        <w:rPr>
          <w:rFonts w:ascii="Times New Roman" w:hAnsi="Times New Roman"/>
          <w:i/>
        </w:rPr>
        <w:t>)(</w:t>
      </w:r>
      <w:proofErr w:type="gramEnd"/>
      <w:r>
        <w:rPr>
          <w:rFonts w:ascii="Times New Roman" w:hAnsi="Times New Roman"/>
          <w:i/>
        </w:rPr>
        <w:t>3).</w:t>
      </w:r>
    </w:p>
    <w:p w:rsidR="004E18EC" w:rsidRPr="00B15398" w:rsidRDefault="004E18EC" w:rsidP="00B15398">
      <w:pPr>
        <w:tabs>
          <w:tab w:val="num" w:pos="1080"/>
        </w:tabs>
        <w:ind w:left="1080" w:right="-720"/>
        <w:rPr>
          <w:rFonts w:ascii="Times New Roman" w:hAnsi="Times New Roman"/>
        </w:rPr>
      </w:pPr>
    </w:p>
    <w:p w:rsidR="00B15398" w:rsidRDefault="00B15398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Exceptions to Certification Statement</w:t>
      </w:r>
    </w:p>
    <w:p w:rsidR="00B15398" w:rsidRDefault="00B15398" w:rsidP="00B15398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</w:t>
      </w:r>
      <w:r w:rsidR="000C1634">
        <w:rPr>
          <w:rFonts w:ascii="Times New Roman" w:hAnsi="Times New Roman"/>
        </w:rPr>
        <w:t>this is a PDF-only form, SSA is</w:t>
      </w:r>
      <w:r>
        <w:rPr>
          <w:rFonts w:ascii="Times New Roman" w:hAnsi="Times New Roman"/>
        </w:rPr>
        <w:t xml:space="preserve"> not request</w:t>
      </w:r>
      <w:r w:rsidR="000C1634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an exemption from the </w:t>
      </w:r>
      <w:r w:rsidR="00163545" w:rsidRPr="00163545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 requirement to print the OMB expiration date on the form.  </w:t>
      </w:r>
      <w:r w:rsidR="00163545" w:rsidRPr="00163545">
        <w:rPr>
          <w:rFonts w:ascii="Times New Roman" w:hAnsi="Times New Roman"/>
        </w:rPr>
        <w:t xml:space="preserve"> </w:t>
      </w:r>
    </w:p>
    <w:p w:rsidR="00B15398" w:rsidRDefault="00B15398" w:rsidP="00B15398">
      <w:pPr>
        <w:ind w:right="-720"/>
        <w:rPr>
          <w:rFonts w:ascii="Times New Roman" w:hAnsi="Times New Roman"/>
        </w:rPr>
      </w:pPr>
    </w:p>
    <w:p w:rsidR="00AA2CC5" w:rsidRDefault="00AA2CC5" w:rsidP="00AA2CC5">
      <w:pPr>
        <w:ind w:right="-720"/>
        <w:rPr>
          <w:rFonts w:ascii="Times New Roman" w:hAnsi="Times New Roman"/>
          <w:b/>
          <w:u w:val="single"/>
        </w:rPr>
      </w:pPr>
      <w:r w:rsidRPr="00407008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  <w:r w:rsidR="00350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AA2CC5" w:rsidRDefault="00AA2CC5" w:rsidP="00AA2CC5">
      <w:pPr>
        <w:ind w:right="-720"/>
        <w:rPr>
          <w:rFonts w:ascii="Times New Roman" w:hAnsi="Times New Roman"/>
          <w:i/>
        </w:rPr>
      </w:pPr>
    </w:p>
    <w:p w:rsidR="00AA2CC5" w:rsidRPr="001A4EF1" w:rsidRDefault="00407008" w:rsidP="0040700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 w:rsidR="00CD1413">
        <w:rPr>
          <w:rFonts w:ascii="Times New Roman" w:hAnsi="Times New Roman"/>
          <w:b w:val="0"/>
          <w:i w:val="0"/>
        </w:rPr>
        <w:t>SSA does not use statistical methods</w:t>
      </w:r>
      <w:r w:rsidR="00AA2CC5" w:rsidRPr="001A4EF1">
        <w:rPr>
          <w:rFonts w:ascii="Times New Roman" w:hAnsi="Times New Roman"/>
          <w:b w:val="0"/>
          <w:i w:val="0"/>
        </w:rPr>
        <w:t xml:space="preserve"> for this information collection. </w:t>
      </w:r>
    </w:p>
    <w:p w:rsidR="00AA2CC5" w:rsidRDefault="00AA2CC5" w:rsidP="00AA2CC5">
      <w:pPr>
        <w:ind w:right="-720"/>
        <w:rPr>
          <w:rFonts w:ascii="Times New Roman" w:hAnsi="Times New Roman"/>
        </w:rPr>
      </w:pPr>
    </w:p>
    <w:sectPr w:rsidR="00AA2CC5" w:rsidSect="005B5DAA">
      <w:footerReference w:type="default" r:id="rId8"/>
      <w:pgSz w:w="12240" w:h="15840" w:code="1"/>
      <w:pgMar w:top="144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56" w:rsidRDefault="00A73756">
      <w:r>
        <w:separator/>
      </w:r>
    </w:p>
  </w:endnote>
  <w:endnote w:type="continuationSeparator" w:id="0">
    <w:p w:rsidR="00A73756" w:rsidRDefault="00A7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</w:p>
  <w:p w:rsidR="00840461" w:rsidRPr="00B15398" w:rsidRDefault="001F6968" w:rsidP="00B15398">
    <w:pPr>
      <w:pStyle w:val="Footer"/>
      <w:jc w:val="right"/>
      <w:rPr>
        <w:rFonts w:ascii="Times New Roman" w:hAnsi="Times New Roman"/>
        <w:sz w:val="20"/>
        <w:szCs w:val="20"/>
      </w:rPr>
    </w:pPr>
    <w:r w:rsidRPr="00B15398">
      <w:rPr>
        <w:rFonts w:ascii="Times New Roman" w:hAnsi="Times New Roman"/>
        <w:sz w:val="20"/>
        <w:szCs w:val="20"/>
      </w:rPr>
      <w:fldChar w:fldCharType="begin"/>
    </w:r>
    <w:r w:rsidR="00840461" w:rsidRPr="00B15398">
      <w:rPr>
        <w:rFonts w:ascii="Times New Roman" w:hAnsi="Times New Roman"/>
        <w:sz w:val="20"/>
        <w:szCs w:val="20"/>
      </w:rPr>
      <w:instrText xml:space="preserve"> PAGE   \* MERGEFORMAT </w:instrText>
    </w:r>
    <w:r w:rsidRPr="00B15398">
      <w:rPr>
        <w:rFonts w:ascii="Times New Roman" w:hAnsi="Times New Roman"/>
        <w:sz w:val="20"/>
        <w:szCs w:val="20"/>
      </w:rPr>
      <w:fldChar w:fldCharType="separate"/>
    </w:r>
    <w:r w:rsidR="00B121A8">
      <w:rPr>
        <w:rFonts w:ascii="Times New Roman" w:hAnsi="Times New Roman"/>
        <w:noProof/>
        <w:sz w:val="20"/>
        <w:szCs w:val="20"/>
      </w:rPr>
      <w:t>4</w:t>
    </w:r>
    <w:r w:rsidRPr="00B15398">
      <w:rPr>
        <w:rFonts w:ascii="Times New Roman" w:hAnsi="Times New Roman"/>
        <w:sz w:val="20"/>
        <w:szCs w:val="20"/>
      </w:rPr>
      <w:fldChar w:fldCharType="end"/>
    </w:r>
  </w:p>
  <w:p w:rsidR="00840461" w:rsidRPr="0030548E" w:rsidRDefault="00840461" w:rsidP="003054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56" w:rsidRDefault="00A73756">
      <w:r>
        <w:separator/>
      </w:r>
    </w:p>
  </w:footnote>
  <w:footnote w:type="continuationSeparator" w:id="0">
    <w:p w:rsidR="00A73756" w:rsidRDefault="00A73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876B41"/>
    <w:multiLevelType w:val="hybridMultilevel"/>
    <w:tmpl w:val="7A72ECA4"/>
    <w:lvl w:ilvl="0" w:tplc="133A14F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3">
    <w:nsid w:val="1EF83BD4"/>
    <w:multiLevelType w:val="multilevel"/>
    <w:tmpl w:val="F2568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5F37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60869"/>
    <w:multiLevelType w:val="multilevel"/>
    <w:tmpl w:val="64268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D666EF"/>
    <w:multiLevelType w:val="hybridMultilevel"/>
    <w:tmpl w:val="78DC1F1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99042D0"/>
    <w:multiLevelType w:val="hybridMultilevel"/>
    <w:tmpl w:val="64268CA0"/>
    <w:lvl w:ilvl="0" w:tplc="6FD490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2939FF"/>
    <w:multiLevelType w:val="hybridMultilevel"/>
    <w:tmpl w:val="2A544F9E"/>
    <w:lvl w:ilvl="0" w:tplc="C0421E8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F244C9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040C6"/>
    <w:multiLevelType w:val="multilevel"/>
    <w:tmpl w:val="A59CC9F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44E05CA"/>
    <w:multiLevelType w:val="hybridMultilevel"/>
    <w:tmpl w:val="04C8C052"/>
    <w:lvl w:ilvl="0" w:tplc="82AA4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5C6174"/>
    <w:multiLevelType w:val="hybridMultilevel"/>
    <w:tmpl w:val="49F82A58"/>
    <w:lvl w:ilvl="0" w:tplc="AFACE8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9F537A"/>
    <w:multiLevelType w:val="multilevel"/>
    <w:tmpl w:val="FAC87CC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7A9B5E7D"/>
    <w:multiLevelType w:val="multilevel"/>
    <w:tmpl w:val="8588149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9"/>
    <w:lvlOverride w:ilvl="0">
      <w:startOverride w:val="15"/>
    </w:lvlOverride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CC5"/>
    <w:rsid w:val="000011E3"/>
    <w:rsid w:val="0001309F"/>
    <w:rsid w:val="00014FC8"/>
    <w:rsid w:val="000441C0"/>
    <w:rsid w:val="00054CCF"/>
    <w:rsid w:val="00055E49"/>
    <w:rsid w:val="00071710"/>
    <w:rsid w:val="000801D5"/>
    <w:rsid w:val="000942D5"/>
    <w:rsid w:val="000A06F5"/>
    <w:rsid w:val="000A2472"/>
    <w:rsid w:val="000B51DD"/>
    <w:rsid w:val="000C1634"/>
    <w:rsid w:val="000C7E76"/>
    <w:rsid w:val="000D705E"/>
    <w:rsid w:val="000E4E31"/>
    <w:rsid w:val="000F2B61"/>
    <w:rsid w:val="000F5EC6"/>
    <w:rsid w:val="001042BB"/>
    <w:rsid w:val="00130666"/>
    <w:rsid w:val="001446BF"/>
    <w:rsid w:val="001468D0"/>
    <w:rsid w:val="00147BD5"/>
    <w:rsid w:val="001522E7"/>
    <w:rsid w:val="00163545"/>
    <w:rsid w:val="00163C39"/>
    <w:rsid w:val="00164EE4"/>
    <w:rsid w:val="0016537A"/>
    <w:rsid w:val="001768BB"/>
    <w:rsid w:val="00191E28"/>
    <w:rsid w:val="0019415B"/>
    <w:rsid w:val="00195435"/>
    <w:rsid w:val="001A06F9"/>
    <w:rsid w:val="001A1EBF"/>
    <w:rsid w:val="001A4EF1"/>
    <w:rsid w:val="001A7589"/>
    <w:rsid w:val="001A7FA0"/>
    <w:rsid w:val="001B1185"/>
    <w:rsid w:val="001B2637"/>
    <w:rsid w:val="001B67EB"/>
    <w:rsid w:val="001D2525"/>
    <w:rsid w:val="001D41D9"/>
    <w:rsid w:val="001E0333"/>
    <w:rsid w:val="001E7DE8"/>
    <w:rsid w:val="001F4583"/>
    <w:rsid w:val="001F4CD9"/>
    <w:rsid w:val="001F6968"/>
    <w:rsid w:val="001F72E4"/>
    <w:rsid w:val="001F7BAB"/>
    <w:rsid w:val="0020010E"/>
    <w:rsid w:val="0020689B"/>
    <w:rsid w:val="0022119C"/>
    <w:rsid w:val="00221A43"/>
    <w:rsid w:val="002223ED"/>
    <w:rsid w:val="002251AE"/>
    <w:rsid w:val="00226C2E"/>
    <w:rsid w:val="002342F4"/>
    <w:rsid w:val="0023690C"/>
    <w:rsid w:val="00245896"/>
    <w:rsid w:val="00245D55"/>
    <w:rsid w:val="0024739A"/>
    <w:rsid w:val="0025433A"/>
    <w:rsid w:val="00254D57"/>
    <w:rsid w:val="002604B6"/>
    <w:rsid w:val="0026119A"/>
    <w:rsid w:val="00276332"/>
    <w:rsid w:val="002811E9"/>
    <w:rsid w:val="00293658"/>
    <w:rsid w:val="00297A38"/>
    <w:rsid w:val="002B2825"/>
    <w:rsid w:val="002B5744"/>
    <w:rsid w:val="002B7F05"/>
    <w:rsid w:val="002C4BD0"/>
    <w:rsid w:val="002C683F"/>
    <w:rsid w:val="002C7DAF"/>
    <w:rsid w:val="002D0E11"/>
    <w:rsid w:val="002D22AC"/>
    <w:rsid w:val="002D40DD"/>
    <w:rsid w:val="002D506F"/>
    <w:rsid w:val="002F4817"/>
    <w:rsid w:val="002F59B9"/>
    <w:rsid w:val="00304375"/>
    <w:rsid w:val="0030548E"/>
    <w:rsid w:val="003070D2"/>
    <w:rsid w:val="00307168"/>
    <w:rsid w:val="0033130F"/>
    <w:rsid w:val="00331C5E"/>
    <w:rsid w:val="00346F11"/>
    <w:rsid w:val="0034759F"/>
    <w:rsid w:val="0035080C"/>
    <w:rsid w:val="00355B36"/>
    <w:rsid w:val="00356059"/>
    <w:rsid w:val="003562B7"/>
    <w:rsid w:val="00363D97"/>
    <w:rsid w:val="00365518"/>
    <w:rsid w:val="0036644E"/>
    <w:rsid w:val="00366FF9"/>
    <w:rsid w:val="00380FD1"/>
    <w:rsid w:val="00386492"/>
    <w:rsid w:val="00391EA4"/>
    <w:rsid w:val="00393ED1"/>
    <w:rsid w:val="00396C7A"/>
    <w:rsid w:val="003A6ABA"/>
    <w:rsid w:val="003B2309"/>
    <w:rsid w:val="003B3525"/>
    <w:rsid w:val="003B4022"/>
    <w:rsid w:val="003D2860"/>
    <w:rsid w:val="003D34F9"/>
    <w:rsid w:val="003E60C2"/>
    <w:rsid w:val="003F57DF"/>
    <w:rsid w:val="003F58F8"/>
    <w:rsid w:val="004067A5"/>
    <w:rsid w:val="00407008"/>
    <w:rsid w:val="00407EEB"/>
    <w:rsid w:val="00410B8B"/>
    <w:rsid w:val="00412B7E"/>
    <w:rsid w:val="00413657"/>
    <w:rsid w:val="00415BBB"/>
    <w:rsid w:val="004163F7"/>
    <w:rsid w:val="004177A1"/>
    <w:rsid w:val="004235B5"/>
    <w:rsid w:val="004244CE"/>
    <w:rsid w:val="004256A6"/>
    <w:rsid w:val="00433CC5"/>
    <w:rsid w:val="00434D9A"/>
    <w:rsid w:val="00441ED6"/>
    <w:rsid w:val="004468F6"/>
    <w:rsid w:val="00446C8E"/>
    <w:rsid w:val="004506D6"/>
    <w:rsid w:val="0046210B"/>
    <w:rsid w:val="004743CB"/>
    <w:rsid w:val="00482615"/>
    <w:rsid w:val="00485416"/>
    <w:rsid w:val="00490007"/>
    <w:rsid w:val="00496E3F"/>
    <w:rsid w:val="004A5197"/>
    <w:rsid w:val="004B1F85"/>
    <w:rsid w:val="004B4507"/>
    <w:rsid w:val="004B75B4"/>
    <w:rsid w:val="004C20E8"/>
    <w:rsid w:val="004C2151"/>
    <w:rsid w:val="004C2B8D"/>
    <w:rsid w:val="004C309A"/>
    <w:rsid w:val="004C47A5"/>
    <w:rsid w:val="004C4B72"/>
    <w:rsid w:val="004C4F20"/>
    <w:rsid w:val="004C6B11"/>
    <w:rsid w:val="004D47FE"/>
    <w:rsid w:val="004E18EC"/>
    <w:rsid w:val="004E6C06"/>
    <w:rsid w:val="004E78B5"/>
    <w:rsid w:val="004F3331"/>
    <w:rsid w:val="004F66D5"/>
    <w:rsid w:val="004F6B9F"/>
    <w:rsid w:val="004F7210"/>
    <w:rsid w:val="005070E2"/>
    <w:rsid w:val="005070F3"/>
    <w:rsid w:val="00507685"/>
    <w:rsid w:val="00510120"/>
    <w:rsid w:val="00523E1B"/>
    <w:rsid w:val="0052787B"/>
    <w:rsid w:val="00533D20"/>
    <w:rsid w:val="005344D4"/>
    <w:rsid w:val="005402A2"/>
    <w:rsid w:val="00543B0B"/>
    <w:rsid w:val="00545E7C"/>
    <w:rsid w:val="00545F87"/>
    <w:rsid w:val="00550601"/>
    <w:rsid w:val="00550AE6"/>
    <w:rsid w:val="005521C2"/>
    <w:rsid w:val="00564B34"/>
    <w:rsid w:val="00572E53"/>
    <w:rsid w:val="005749CF"/>
    <w:rsid w:val="00580D35"/>
    <w:rsid w:val="005A2904"/>
    <w:rsid w:val="005A762A"/>
    <w:rsid w:val="005B1D97"/>
    <w:rsid w:val="005B5DAA"/>
    <w:rsid w:val="005B730F"/>
    <w:rsid w:val="005C636C"/>
    <w:rsid w:val="005D0C0E"/>
    <w:rsid w:val="005D185A"/>
    <w:rsid w:val="005D1EEA"/>
    <w:rsid w:val="005D30A7"/>
    <w:rsid w:val="005E13F7"/>
    <w:rsid w:val="005E1FB3"/>
    <w:rsid w:val="005E39A6"/>
    <w:rsid w:val="005F1647"/>
    <w:rsid w:val="005F1BF4"/>
    <w:rsid w:val="005F4E00"/>
    <w:rsid w:val="00605F9F"/>
    <w:rsid w:val="006137D6"/>
    <w:rsid w:val="00622A7F"/>
    <w:rsid w:val="00623CB0"/>
    <w:rsid w:val="006333BC"/>
    <w:rsid w:val="0063388D"/>
    <w:rsid w:val="00643250"/>
    <w:rsid w:val="00643D18"/>
    <w:rsid w:val="00652DC8"/>
    <w:rsid w:val="006615BF"/>
    <w:rsid w:val="00662DEE"/>
    <w:rsid w:val="006714AE"/>
    <w:rsid w:val="0067313E"/>
    <w:rsid w:val="006746EF"/>
    <w:rsid w:val="00676CA9"/>
    <w:rsid w:val="00677410"/>
    <w:rsid w:val="00686DE6"/>
    <w:rsid w:val="00690697"/>
    <w:rsid w:val="00694B2B"/>
    <w:rsid w:val="00697249"/>
    <w:rsid w:val="0069791B"/>
    <w:rsid w:val="006A2593"/>
    <w:rsid w:val="006A4ED7"/>
    <w:rsid w:val="006A5B2F"/>
    <w:rsid w:val="006D39E4"/>
    <w:rsid w:val="006D5036"/>
    <w:rsid w:val="006D7891"/>
    <w:rsid w:val="006E3F07"/>
    <w:rsid w:val="006F5132"/>
    <w:rsid w:val="007076B8"/>
    <w:rsid w:val="0071606B"/>
    <w:rsid w:val="00720683"/>
    <w:rsid w:val="007211F7"/>
    <w:rsid w:val="007353B3"/>
    <w:rsid w:val="00747114"/>
    <w:rsid w:val="00747E3B"/>
    <w:rsid w:val="00752DC1"/>
    <w:rsid w:val="00756C00"/>
    <w:rsid w:val="00770068"/>
    <w:rsid w:val="007726D2"/>
    <w:rsid w:val="007759C8"/>
    <w:rsid w:val="007828E5"/>
    <w:rsid w:val="007877E8"/>
    <w:rsid w:val="00787C6F"/>
    <w:rsid w:val="00797D6C"/>
    <w:rsid w:val="007A6995"/>
    <w:rsid w:val="007B68B6"/>
    <w:rsid w:val="007C17D7"/>
    <w:rsid w:val="007C6135"/>
    <w:rsid w:val="007C79EA"/>
    <w:rsid w:val="007D1081"/>
    <w:rsid w:val="007D5EAC"/>
    <w:rsid w:val="007E7FFC"/>
    <w:rsid w:val="007F61FF"/>
    <w:rsid w:val="00802353"/>
    <w:rsid w:val="00805E39"/>
    <w:rsid w:val="00816524"/>
    <w:rsid w:val="00827923"/>
    <w:rsid w:val="00830177"/>
    <w:rsid w:val="008328BB"/>
    <w:rsid w:val="00835600"/>
    <w:rsid w:val="00836022"/>
    <w:rsid w:val="0083790D"/>
    <w:rsid w:val="00840461"/>
    <w:rsid w:val="008444E6"/>
    <w:rsid w:val="0084584F"/>
    <w:rsid w:val="008534B7"/>
    <w:rsid w:val="00855DC6"/>
    <w:rsid w:val="0087622C"/>
    <w:rsid w:val="00876C05"/>
    <w:rsid w:val="00877ADC"/>
    <w:rsid w:val="00885022"/>
    <w:rsid w:val="0088626A"/>
    <w:rsid w:val="008917CC"/>
    <w:rsid w:val="008953F4"/>
    <w:rsid w:val="008A5813"/>
    <w:rsid w:val="008B3978"/>
    <w:rsid w:val="008D5505"/>
    <w:rsid w:val="008F0E94"/>
    <w:rsid w:val="008F5C08"/>
    <w:rsid w:val="00922A48"/>
    <w:rsid w:val="00931F40"/>
    <w:rsid w:val="009377A3"/>
    <w:rsid w:val="00946EC5"/>
    <w:rsid w:val="00953456"/>
    <w:rsid w:val="00961B62"/>
    <w:rsid w:val="009623E9"/>
    <w:rsid w:val="00964CFE"/>
    <w:rsid w:val="00966F36"/>
    <w:rsid w:val="00967995"/>
    <w:rsid w:val="0097521D"/>
    <w:rsid w:val="009774C7"/>
    <w:rsid w:val="00984EA6"/>
    <w:rsid w:val="009B65F8"/>
    <w:rsid w:val="009C0F48"/>
    <w:rsid w:val="009D6010"/>
    <w:rsid w:val="009E4DEA"/>
    <w:rsid w:val="009F1A8B"/>
    <w:rsid w:val="009F40E4"/>
    <w:rsid w:val="00A21A8F"/>
    <w:rsid w:val="00A33FB3"/>
    <w:rsid w:val="00A440F1"/>
    <w:rsid w:val="00A50E5D"/>
    <w:rsid w:val="00A523F6"/>
    <w:rsid w:val="00A55C61"/>
    <w:rsid w:val="00A57A6F"/>
    <w:rsid w:val="00A622E2"/>
    <w:rsid w:val="00A73756"/>
    <w:rsid w:val="00A81C93"/>
    <w:rsid w:val="00A85127"/>
    <w:rsid w:val="00A96503"/>
    <w:rsid w:val="00A96F88"/>
    <w:rsid w:val="00AA1235"/>
    <w:rsid w:val="00AA2CC5"/>
    <w:rsid w:val="00AA737A"/>
    <w:rsid w:val="00AD49B0"/>
    <w:rsid w:val="00AE529B"/>
    <w:rsid w:val="00AE5BCD"/>
    <w:rsid w:val="00AE7E73"/>
    <w:rsid w:val="00AF67CB"/>
    <w:rsid w:val="00B11C8E"/>
    <w:rsid w:val="00B121A8"/>
    <w:rsid w:val="00B14ABC"/>
    <w:rsid w:val="00B15398"/>
    <w:rsid w:val="00B15863"/>
    <w:rsid w:val="00B2328E"/>
    <w:rsid w:val="00B34AB3"/>
    <w:rsid w:val="00B44E3C"/>
    <w:rsid w:val="00B467CA"/>
    <w:rsid w:val="00B55E3A"/>
    <w:rsid w:val="00B654AF"/>
    <w:rsid w:val="00B6654B"/>
    <w:rsid w:val="00B67CB9"/>
    <w:rsid w:val="00B800E2"/>
    <w:rsid w:val="00B92CE2"/>
    <w:rsid w:val="00BA40CA"/>
    <w:rsid w:val="00BA62C6"/>
    <w:rsid w:val="00BA686E"/>
    <w:rsid w:val="00BB4299"/>
    <w:rsid w:val="00BB4D9F"/>
    <w:rsid w:val="00BC006A"/>
    <w:rsid w:val="00BC0E2E"/>
    <w:rsid w:val="00BC1998"/>
    <w:rsid w:val="00BC6692"/>
    <w:rsid w:val="00BE1465"/>
    <w:rsid w:val="00BE510A"/>
    <w:rsid w:val="00BE555E"/>
    <w:rsid w:val="00BF2D20"/>
    <w:rsid w:val="00BF7B20"/>
    <w:rsid w:val="00C04DC5"/>
    <w:rsid w:val="00C07E83"/>
    <w:rsid w:val="00C11234"/>
    <w:rsid w:val="00C125F6"/>
    <w:rsid w:val="00C16018"/>
    <w:rsid w:val="00C16031"/>
    <w:rsid w:val="00C17312"/>
    <w:rsid w:val="00C35A79"/>
    <w:rsid w:val="00C37920"/>
    <w:rsid w:val="00C412FE"/>
    <w:rsid w:val="00C4403C"/>
    <w:rsid w:val="00C61532"/>
    <w:rsid w:val="00C65E82"/>
    <w:rsid w:val="00C75BC0"/>
    <w:rsid w:val="00C92F35"/>
    <w:rsid w:val="00C93ADA"/>
    <w:rsid w:val="00C95F64"/>
    <w:rsid w:val="00CA3007"/>
    <w:rsid w:val="00CA337B"/>
    <w:rsid w:val="00CB6928"/>
    <w:rsid w:val="00CC0BAC"/>
    <w:rsid w:val="00CD1413"/>
    <w:rsid w:val="00CD1B39"/>
    <w:rsid w:val="00CE1AFB"/>
    <w:rsid w:val="00D10AE2"/>
    <w:rsid w:val="00D16563"/>
    <w:rsid w:val="00D23864"/>
    <w:rsid w:val="00D24FBC"/>
    <w:rsid w:val="00D3189A"/>
    <w:rsid w:val="00D3799A"/>
    <w:rsid w:val="00D47697"/>
    <w:rsid w:val="00D529F6"/>
    <w:rsid w:val="00D573ED"/>
    <w:rsid w:val="00D66356"/>
    <w:rsid w:val="00D67D67"/>
    <w:rsid w:val="00D74D94"/>
    <w:rsid w:val="00D77C5B"/>
    <w:rsid w:val="00D80886"/>
    <w:rsid w:val="00D82CC2"/>
    <w:rsid w:val="00D90F58"/>
    <w:rsid w:val="00D9682E"/>
    <w:rsid w:val="00DA3B35"/>
    <w:rsid w:val="00DA4AD1"/>
    <w:rsid w:val="00DB7F67"/>
    <w:rsid w:val="00DC6610"/>
    <w:rsid w:val="00DC73A7"/>
    <w:rsid w:val="00DD3C96"/>
    <w:rsid w:val="00DD3CAF"/>
    <w:rsid w:val="00DD47A8"/>
    <w:rsid w:val="00DF1020"/>
    <w:rsid w:val="00DF26EA"/>
    <w:rsid w:val="00DF5615"/>
    <w:rsid w:val="00DF5DD1"/>
    <w:rsid w:val="00DF698C"/>
    <w:rsid w:val="00E02593"/>
    <w:rsid w:val="00E22E0E"/>
    <w:rsid w:val="00E32A6E"/>
    <w:rsid w:val="00E34C16"/>
    <w:rsid w:val="00E40EA8"/>
    <w:rsid w:val="00E4381F"/>
    <w:rsid w:val="00E45DB3"/>
    <w:rsid w:val="00E54D89"/>
    <w:rsid w:val="00E623C9"/>
    <w:rsid w:val="00E62897"/>
    <w:rsid w:val="00E6330B"/>
    <w:rsid w:val="00E6627D"/>
    <w:rsid w:val="00E717DC"/>
    <w:rsid w:val="00E81415"/>
    <w:rsid w:val="00E84168"/>
    <w:rsid w:val="00EA5903"/>
    <w:rsid w:val="00EB17C0"/>
    <w:rsid w:val="00EB5037"/>
    <w:rsid w:val="00EC233B"/>
    <w:rsid w:val="00EC58C1"/>
    <w:rsid w:val="00EC6AF2"/>
    <w:rsid w:val="00EC763F"/>
    <w:rsid w:val="00ED26AA"/>
    <w:rsid w:val="00ED6302"/>
    <w:rsid w:val="00EE1093"/>
    <w:rsid w:val="00EE7DE6"/>
    <w:rsid w:val="00EF00F1"/>
    <w:rsid w:val="00EF12EC"/>
    <w:rsid w:val="00EF4E48"/>
    <w:rsid w:val="00F027E7"/>
    <w:rsid w:val="00F02EA0"/>
    <w:rsid w:val="00F075E9"/>
    <w:rsid w:val="00F1237B"/>
    <w:rsid w:val="00F13B18"/>
    <w:rsid w:val="00F15B1D"/>
    <w:rsid w:val="00F32B73"/>
    <w:rsid w:val="00F35E93"/>
    <w:rsid w:val="00F41F9E"/>
    <w:rsid w:val="00F4209D"/>
    <w:rsid w:val="00F533DD"/>
    <w:rsid w:val="00F64E0E"/>
    <w:rsid w:val="00F738D9"/>
    <w:rsid w:val="00F74A0E"/>
    <w:rsid w:val="00F82277"/>
    <w:rsid w:val="00F83673"/>
    <w:rsid w:val="00F86807"/>
    <w:rsid w:val="00F8778A"/>
    <w:rsid w:val="00F87E5A"/>
    <w:rsid w:val="00F934AB"/>
    <w:rsid w:val="00FA5DDC"/>
    <w:rsid w:val="00FA5EC4"/>
    <w:rsid w:val="00FB5325"/>
    <w:rsid w:val="00FB60D6"/>
    <w:rsid w:val="00FC32DA"/>
    <w:rsid w:val="00FC33FD"/>
    <w:rsid w:val="00FD78E6"/>
    <w:rsid w:val="00FD7BAE"/>
    <w:rsid w:val="00FF2C22"/>
    <w:rsid w:val="00FF32EC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59B3-616B-4C35-91FB-F96DA15F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Social Security Administration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072230</dc:creator>
  <cp:lastModifiedBy>889123</cp:lastModifiedBy>
  <cp:revision>2</cp:revision>
  <cp:lastPrinted>2011-02-03T13:13:00Z</cp:lastPrinted>
  <dcterms:created xsi:type="dcterms:W3CDTF">2011-05-24T17:47:00Z</dcterms:created>
  <dcterms:modified xsi:type="dcterms:W3CDTF">2011-05-24T17:47:00Z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437970956</vt:i4>
  </property>
  <property fmtid="{D5CDD505-2E9C-101B-9397-08002B2CF9AE}" pid="4" name="_EmailSubject">
    <vt:lpwstr>Updated Clearance Package for the SSA-44 (0960-0784)</vt:lpwstr>
  </property>
  <property fmtid="{D5CDD505-2E9C-101B-9397-08002B2CF9AE}" pid="5" name="_AuthorEmail">
    <vt:lpwstr>Carmela.Perez@ssa.gov</vt:lpwstr>
  </property>
  <property fmtid="{D5CDD505-2E9C-101B-9397-08002B2CF9AE}" pid="6" name="_AuthorEmailDisplayName">
    <vt:lpwstr>Perez, Carmela</vt:lpwstr>
  </property>
  <property fmtid="{D5CDD505-2E9C-101B-9397-08002B2CF9AE}" pid="7" name="_ReviewingToolsShownOnce">
    <vt:lpwstr/>
  </property>
</Properties>
</file>