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39" w:rsidRDefault="00917539">
      <w:pPr>
        <w:pStyle w:val="Title"/>
        <w:rPr>
          <w:sz w:val="28"/>
          <w:szCs w:val="28"/>
        </w:rPr>
      </w:pPr>
      <w:r>
        <w:rPr>
          <w:sz w:val="28"/>
          <w:szCs w:val="28"/>
        </w:rPr>
        <w:t>Health Resources and Services Administration</w:t>
      </w:r>
    </w:p>
    <w:p w:rsidR="007719B4" w:rsidRPr="007719B4" w:rsidRDefault="00CA7D21">
      <w:pPr>
        <w:pStyle w:val="Title"/>
        <w:rPr>
          <w:sz w:val="28"/>
          <w:szCs w:val="28"/>
        </w:rPr>
      </w:pPr>
      <w:r>
        <w:rPr>
          <w:sz w:val="28"/>
          <w:szCs w:val="28"/>
        </w:rPr>
        <w:t>Bureau of Primary Health Care</w:t>
      </w:r>
    </w:p>
    <w:p w:rsidR="00C07D15" w:rsidRPr="005D45B5" w:rsidRDefault="007719B4">
      <w:pPr>
        <w:pStyle w:val="Title"/>
        <w:rPr>
          <w:sz w:val="24"/>
        </w:rPr>
      </w:pPr>
      <w:smartTag w:uri="urn:schemas-microsoft-com:office:smarttags" w:element="place">
        <w:smartTag w:uri="urn:schemas-microsoft-com:office:smarttags" w:element="PlaceName">
          <w:r w:rsidRPr="007719B4">
            <w:rPr>
              <w:sz w:val="28"/>
              <w:szCs w:val="28"/>
            </w:rPr>
            <w:t>Health</w:t>
          </w:r>
        </w:smartTag>
        <w:r w:rsidRPr="007719B4">
          <w:rPr>
            <w:sz w:val="28"/>
            <w:szCs w:val="28"/>
          </w:rPr>
          <w:t xml:space="preserve"> </w:t>
        </w:r>
        <w:smartTag w:uri="urn:schemas-microsoft-com:office:smarttags" w:element="PlaceType">
          <w:r w:rsidRPr="007719B4">
            <w:rPr>
              <w:sz w:val="28"/>
              <w:szCs w:val="28"/>
            </w:rPr>
            <w:t>Center</w:t>
          </w:r>
        </w:smartTag>
      </w:smartTag>
      <w:r w:rsidRPr="007719B4">
        <w:rPr>
          <w:sz w:val="28"/>
          <w:szCs w:val="28"/>
        </w:rPr>
        <w:t xml:space="preserve"> Controlled Networks</w:t>
      </w:r>
      <w:r w:rsidR="00096F97">
        <w:rPr>
          <w:sz w:val="28"/>
          <w:szCs w:val="28"/>
        </w:rPr>
        <w:t xml:space="preserve"> </w:t>
      </w:r>
      <w:r w:rsidR="00C07D15" w:rsidRPr="007719B4">
        <w:rPr>
          <w:sz w:val="28"/>
          <w:szCs w:val="28"/>
        </w:rPr>
        <w:t xml:space="preserve">Progress </w:t>
      </w:r>
      <w:r w:rsidR="00810E77" w:rsidRPr="007719B4">
        <w:rPr>
          <w:sz w:val="28"/>
          <w:szCs w:val="28"/>
        </w:rPr>
        <w:t>Reports</w:t>
      </w:r>
      <w:r w:rsidR="00810E77" w:rsidRPr="005D45B5">
        <w:rPr>
          <w:sz w:val="24"/>
        </w:rPr>
        <w:t xml:space="preserve"> </w:t>
      </w:r>
    </w:p>
    <w:p w:rsidR="00810E77" w:rsidRPr="005D45B5" w:rsidRDefault="00810E77">
      <w:pPr>
        <w:pStyle w:val="Title"/>
        <w:rPr>
          <w:sz w:val="24"/>
        </w:rPr>
      </w:pPr>
    </w:p>
    <w:p w:rsidR="00A91443" w:rsidRDefault="00A91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mallCaps/>
          <w:sz w:val="28"/>
          <w:szCs w:val="28"/>
        </w:rPr>
      </w:pPr>
      <w:r w:rsidRPr="007719B4">
        <w:rPr>
          <w:b/>
          <w:smallCaps/>
          <w:sz w:val="28"/>
          <w:szCs w:val="28"/>
        </w:rPr>
        <w:t>Supporting Statement</w:t>
      </w:r>
      <w:r w:rsidR="00473E76">
        <w:rPr>
          <w:b/>
          <w:smallCaps/>
          <w:sz w:val="28"/>
          <w:szCs w:val="28"/>
        </w:rPr>
        <w:t xml:space="preserve">  </w:t>
      </w:r>
    </w:p>
    <w:p w:rsidR="00B61EA5" w:rsidRPr="007719B4" w:rsidRDefault="00B61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mallCaps/>
          <w:sz w:val="28"/>
          <w:szCs w:val="28"/>
        </w:rPr>
      </w:pPr>
    </w:p>
    <w:p w:rsidR="00A91443" w:rsidRPr="005D45B5" w:rsidRDefault="00A91443" w:rsidP="00B61EA5">
      <w:pPr>
        <w:pStyle w:val="Heading1"/>
        <w:rPr>
          <w:szCs w:val="24"/>
        </w:rPr>
      </w:pPr>
      <w:bookmarkStart w:id="0" w:name="_Toc132560359"/>
      <w:r w:rsidRPr="005D45B5">
        <w:rPr>
          <w:szCs w:val="24"/>
        </w:rPr>
        <w:t>Justification</w:t>
      </w:r>
      <w:bookmarkEnd w:id="0"/>
      <w:r w:rsidR="00473E76">
        <w:rPr>
          <w:szCs w:val="24"/>
        </w:rPr>
        <w:t xml:space="preserve"> </w:t>
      </w:r>
    </w:p>
    <w:p w:rsidR="00A91443" w:rsidRPr="005D45B5" w:rsidRDefault="00A91443">
      <w:pPr>
        <w:rPr>
          <w:szCs w:val="24"/>
        </w:rPr>
      </w:pPr>
    </w:p>
    <w:p w:rsidR="00A91443" w:rsidRPr="005D45B5" w:rsidRDefault="00A91443">
      <w:pPr>
        <w:pStyle w:val="Heading2"/>
        <w:rPr>
          <w:szCs w:val="24"/>
        </w:rPr>
      </w:pPr>
      <w:bookmarkStart w:id="1" w:name="_Toc132560360"/>
      <w:r w:rsidRPr="005D45B5">
        <w:rPr>
          <w:szCs w:val="24"/>
        </w:rPr>
        <w:t>Circumstances of Information Collection</w:t>
      </w:r>
      <w:bookmarkEnd w:id="1"/>
      <w:r w:rsidR="00473E76">
        <w:rPr>
          <w:szCs w:val="24"/>
        </w:rPr>
        <w:t xml:space="preserve"> </w:t>
      </w:r>
    </w:p>
    <w:p w:rsidR="007719B4" w:rsidRDefault="00A91443">
      <w:pPr>
        <w:rPr>
          <w:szCs w:val="24"/>
        </w:rPr>
      </w:pPr>
      <w:r w:rsidRPr="005D45B5">
        <w:rPr>
          <w:szCs w:val="24"/>
        </w:rPr>
        <w:t>The Health Resources and Services Administration</w:t>
      </w:r>
      <w:r w:rsidR="00AE6ECE">
        <w:rPr>
          <w:szCs w:val="24"/>
        </w:rPr>
        <w:t>’s</w:t>
      </w:r>
      <w:r w:rsidRPr="005D45B5">
        <w:rPr>
          <w:szCs w:val="24"/>
        </w:rPr>
        <w:t xml:space="preserve"> (HRSA)</w:t>
      </w:r>
      <w:r w:rsidR="00AE6ECE">
        <w:rPr>
          <w:szCs w:val="24"/>
        </w:rPr>
        <w:t xml:space="preserve"> </w:t>
      </w:r>
      <w:r w:rsidR="00CA7D21">
        <w:rPr>
          <w:szCs w:val="24"/>
        </w:rPr>
        <w:t>Bureau of Primary Health Care</w:t>
      </w:r>
      <w:r w:rsidR="00F66FDC">
        <w:rPr>
          <w:szCs w:val="24"/>
        </w:rPr>
        <w:t xml:space="preserve"> (BPHC)</w:t>
      </w:r>
      <w:r w:rsidRPr="005D45B5">
        <w:rPr>
          <w:szCs w:val="24"/>
        </w:rPr>
        <w:t xml:space="preserve"> is requesting Office of Management and Budget (OMB) approval </w:t>
      </w:r>
      <w:r w:rsidR="009B197D" w:rsidRPr="005D45B5">
        <w:rPr>
          <w:szCs w:val="24"/>
        </w:rPr>
        <w:t xml:space="preserve">to </w:t>
      </w:r>
      <w:r w:rsidR="00C0549C">
        <w:rPr>
          <w:szCs w:val="24"/>
        </w:rPr>
        <w:t xml:space="preserve">electronically </w:t>
      </w:r>
      <w:r w:rsidR="009B197D" w:rsidRPr="005D45B5">
        <w:rPr>
          <w:szCs w:val="24"/>
        </w:rPr>
        <w:t>collect</w:t>
      </w:r>
      <w:r w:rsidR="00473E76">
        <w:rPr>
          <w:szCs w:val="24"/>
        </w:rPr>
        <w:t xml:space="preserve"> </w:t>
      </w:r>
      <w:r w:rsidR="00096F97">
        <w:rPr>
          <w:szCs w:val="24"/>
        </w:rPr>
        <w:t>p</w:t>
      </w:r>
      <w:r w:rsidR="009B197D" w:rsidRPr="005D45B5">
        <w:rPr>
          <w:szCs w:val="24"/>
        </w:rPr>
        <w:t>rogress</w:t>
      </w:r>
      <w:r w:rsidR="007719B4">
        <w:rPr>
          <w:szCs w:val="24"/>
        </w:rPr>
        <w:t xml:space="preserve"> </w:t>
      </w:r>
      <w:r w:rsidR="00096F97">
        <w:rPr>
          <w:szCs w:val="24"/>
        </w:rPr>
        <w:t>r</w:t>
      </w:r>
      <w:r w:rsidR="009B197D" w:rsidRPr="005D45B5">
        <w:rPr>
          <w:szCs w:val="24"/>
        </w:rPr>
        <w:t>eports from grantees for the following grants</w:t>
      </w:r>
      <w:r w:rsidR="00C0549C">
        <w:rPr>
          <w:szCs w:val="24"/>
        </w:rPr>
        <w:t>:</w:t>
      </w:r>
      <w:r w:rsidR="009B197D" w:rsidRPr="005D45B5">
        <w:rPr>
          <w:szCs w:val="24"/>
        </w:rPr>
        <w:t xml:space="preserve"> </w:t>
      </w:r>
      <w:r w:rsidR="007719B4">
        <w:rPr>
          <w:szCs w:val="24"/>
        </w:rPr>
        <w:t xml:space="preserve">Health Information Technology Planning Grant, Electronic Health Records Implementation for Health Center Controlled Networks, </w:t>
      </w:r>
      <w:r w:rsidR="009E053B">
        <w:rPr>
          <w:szCs w:val="24"/>
        </w:rPr>
        <w:t xml:space="preserve">and </w:t>
      </w:r>
      <w:r w:rsidR="007719B4">
        <w:rPr>
          <w:szCs w:val="24"/>
        </w:rPr>
        <w:t>Health Information Technology Innovations for</w:t>
      </w:r>
      <w:r w:rsidR="00604E21">
        <w:rPr>
          <w:szCs w:val="24"/>
        </w:rPr>
        <w:t xml:space="preserve"> Health Center Controlled Networks</w:t>
      </w:r>
      <w:r w:rsidR="007719B4">
        <w:rPr>
          <w:szCs w:val="24"/>
        </w:rPr>
        <w:t>.</w:t>
      </w:r>
      <w:r w:rsidR="00473E76">
        <w:rPr>
          <w:szCs w:val="24"/>
        </w:rPr>
        <w:t xml:space="preserve"> </w:t>
      </w:r>
      <w:r w:rsidR="006B28C4">
        <w:rPr>
          <w:szCs w:val="24"/>
        </w:rPr>
        <w:t xml:space="preserve">One form will be used to </w:t>
      </w:r>
      <w:r w:rsidR="00C0549C">
        <w:rPr>
          <w:szCs w:val="24"/>
        </w:rPr>
        <w:t xml:space="preserve">electronically </w:t>
      </w:r>
      <w:r w:rsidR="006B28C4">
        <w:rPr>
          <w:szCs w:val="24"/>
        </w:rPr>
        <w:t>collect progress r</w:t>
      </w:r>
      <w:r w:rsidR="00D42639" w:rsidRPr="005D45B5">
        <w:rPr>
          <w:szCs w:val="24"/>
        </w:rPr>
        <w:t>eport</w:t>
      </w:r>
      <w:r w:rsidR="006B28C4">
        <w:rPr>
          <w:szCs w:val="24"/>
        </w:rPr>
        <w:t>s</w:t>
      </w:r>
      <w:r w:rsidR="00D42639" w:rsidRPr="005D45B5">
        <w:rPr>
          <w:szCs w:val="24"/>
        </w:rPr>
        <w:t xml:space="preserve"> </w:t>
      </w:r>
      <w:r w:rsidR="006B28C4">
        <w:rPr>
          <w:szCs w:val="24"/>
        </w:rPr>
        <w:t xml:space="preserve">from </w:t>
      </w:r>
      <w:r w:rsidR="00851B84">
        <w:rPr>
          <w:szCs w:val="24"/>
        </w:rPr>
        <w:t xml:space="preserve">the grantees </w:t>
      </w:r>
      <w:r w:rsidR="00077AEF">
        <w:rPr>
          <w:szCs w:val="24"/>
        </w:rPr>
        <w:t xml:space="preserve">from </w:t>
      </w:r>
      <w:r w:rsidR="003F4A53">
        <w:rPr>
          <w:szCs w:val="24"/>
        </w:rPr>
        <w:t>each</w:t>
      </w:r>
      <w:r w:rsidR="009E053B">
        <w:rPr>
          <w:szCs w:val="24"/>
        </w:rPr>
        <w:t xml:space="preserve"> </w:t>
      </w:r>
      <w:r w:rsidR="006B28C4">
        <w:rPr>
          <w:szCs w:val="24"/>
        </w:rPr>
        <w:t xml:space="preserve">of the </w:t>
      </w:r>
      <w:r w:rsidR="00096F97">
        <w:rPr>
          <w:szCs w:val="24"/>
        </w:rPr>
        <w:t xml:space="preserve">grant </w:t>
      </w:r>
      <w:r w:rsidR="00D42639" w:rsidRPr="005D45B5">
        <w:rPr>
          <w:szCs w:val="24"/>
        </w:rPr>
        <w:t>funding initiatives</w:t>
      </w:r>
      <w:r w:rsidR="00497DDC">
        <w:rPr>
          <w:szCs w:val="24"/>
        </w:rPr>
        <w:t>.</w:t>
      </w:r>
      <w:r w:rsidR="00473E76">
        <w:rPr>
          <w:szCs w:val="24"/>
        </w:rPr>
        <w:t xml:space="preserve"> </w:t>
      </w:r>
      <w:r w:rsidR="00497DDC">
        <w:rPr>
          <w:szCs w:val="24"/>
        </w:rPr>
        <w:t>Thi</w:t>
      </w:r>
      <w:r w:rsidR="00993CD5">
        <w:rPr>
          <w:szCs w:val="24"/>
        </w:rPr>
        <w:t xml:space="preserve">s information collection is authorized by </w:t>
      </w:r>
      <w:r w:rsidR="00851B84">
        <w:rPr>
          <w:szCs w:val="24"/>
        </w:rPr>
        <w:t>the Public Health Service Act, Title III, Section 330(c)1 C and 330(c)1 B, 42 U.S.C. 254(b) (as amended).</w:t>
      </w:r>
      <w:r w:rsidR="00473E76">
        <w:rPr>
          <w:szCs w:val="24"/>
        </w:rPr>
        <w:t xml:space="preserve"> </w:t>
      </w:r>
    </w:p>
    <w:p w:rsidR="00DC09B5" w:rsidRDefault="00DC09B5">
      <w:pPr>
        <w:rPr>
          <w:szCs w:val="24"/>
        </w:rPr>
      </w:pPr>
    </w:p>
    <w:p w:rsidR="00604E21" w:rsidRPr="005D45B5" w:rsidRDefault="00CA7D21" w:rsidP="00604E21">
      <w:pPr>
        <w:rPr>
          <w:szCs w:val="24"/>
        </w:rPr>
      </w:pPr>
      <w:r>
        <w:rPr>
          <w:szCs w:val="24"/>
        </w:rPr>
        <w:t xml:space="preserve">A key priority for HRSA’s Bureau of Primary Health Care is to </w:t>
      </w:r>
      <w:r w:rsidR="00E32E22" w:rsidRPr="00604E21">
        <w:rPr>
          <w:szCs w:val="24"/>
        </w:rPr>
        <w:t>enhance the quality and efficiency of primary and preventive car</w:t>
      </w:r>
      <w:r w:rsidR="00E5271E">
        <w:rPr>
          <w:szCs w:val="24"/>
        </w:rPr>
        <w:t>e through the effective use of h</w:t>
      </w:r>
      <w:r w:rsidR="00E32E22" w:rsidRPr="00604E21">
        <w:rPr>
          <w:szCs w:val="24"/>
        </w:rPr>
        <w:t xml:space="preserve">ealth </w:t>
      </w:r>
      <w:r w:rsidR="00E5271E">
        <w:rPr>
          <w:szCs w:val="24"/>
        </w:rPr>
        <w:t>i</w:t>
      </w:r>
      <w:r w:rsidR="00E32E22" w:rsidRPr="00604E21">
        <w:rPr>
          <w:szCs w:val="24"/>
        </w:rPr>
        <w:t xml:space="preserve">nformation </w:t>
      </w:r>
      <w:r w:rsidR="00E5271E">
        <w:rPr>
          <w:szCs w:val="24"/>
        </w:rPr>
        <w:t>t</w:t>
      </w:r>
      <w:r w:rsidR="00E32E22" w:rsidRPr="00604E21">
        <w:rPr>
          <w:szCs w:val="24"/>
        </w:rPr>
        <w:t>echnology (HIT</w:t>
      </w:r>
      <w:r w:rsidR="00E17B28">
        <w:rPr>
          <w:szCs w:val="24"/>
        </w:rPr>
        <w:t>)</w:t>
      </w:r>
      <w:r w:rsidR="009E053B">
        <w:rPr>
          <w:szCs w:val="24"/>
        </w:rPr>
        <w:t>, includi</w:t>
      </w:r>
      <w:r w:rsidR="00E5271E">
        <w:rPr>
          <w:szCs w:val="24"/>
        </w:rPr>
        <w:t>ng health center attainment of m</w:t>
      </w:r>
      <w:r w:rsidR="009E053B">
        <w:rPr>
          <w:szCs w:val="24"/>
        </w:rPr>
        <w:t xml:space="preserve">eaningful </w:t>
      </w:r>
      <w:r w:rsidR="00E5271E">
        <w:rPr>
          <w:szCs w:val="24"/>
        </w:rPr>
        <w:t>u</w:t>
      </w:r>
      <w:r w:rsidR="009E053B">
        <w:rPr>
          <w:szCs w:val="24"/>
        </w:rPr>
        <w:t>se of HIT as defined by the Centers for Medicare and Medicaid Services (CMS)</w:t>
      </w:r>
      <w:r w:rsidR="00E17B28">
        <w:rPr>
          <w:szCs w:val="24"/>
        </w:rPr>
        <w:t>.</w:t>
      </w:r>
      <w:r w:rsidR="00473E76">
        <w:rPr>
          <w:szCs w:val="24"/>
        </w:rPr>
        <w:t xml:space="preserve"> </w:t>
      </w:r>
      <w:r w:rsidR="00E17B28">
        <w:rPr>
          <w:szCs w:val="24"/>
        </w:rPr>
        <w:t>For the purpose</w:t>
      </w:r>
      <w:r w:rsidR="00E32E22" w:rsidRPr="00604E21">
        <w:rPr>
          <w:szCs w:val="24"/>
        </w:rPr>
        <w:t xml:space="preserve"> of</w:t>
      </w:r>
      <w:r w:rsidR="00096F97" w:rsidRPr="00604E21">
        <w:rPr>
          <w:szCs w:val="24"/>
        </w:rPr>
        <w:t xml:space="preserve"> the Health Center Controlled Networks </w:t>
      </w:r>
      <w:r w:rsidR="00551A20" w:rsidRPr="00604E21">
        <w:rPr>
          <w:szCs w:val="24"/>
        </w:rPr>
        <w:t>grants,</w:t>
      </w:r>
      <w:r w:rsidR="00096F97" w:rsidRPr="00604E21">
        <w:rPr>
          <w:szCs w:val="24"/>
        </w:rPr>
        <w:t xml:space="preserve"> </w:t>
      </w:r>
      <w:r w:rsidR="00E32E22" w:rsidRPr="00604E21">
        <w:rPr>
          <w:szCs w:val="24"/>
        </w:rPr>
        <w:t>HIT is defined as the application of information processing involving both computer hardware and software that deals with the storage, retrieval, sharing, and use of health care information, data, and knowledge for communication and decision making.</w:t>
      </w:r>
      <w:r w:rsidR="00473E76">
        <w:rPr>
          <w:szCs w:val="24"/>
        </w:rPr>
        <w:t xml:space="preserve"> </w:t>
      </w:r>
      <w:r w:rsidR="00E32E22" w:rsidRPr="00604E21">
        <w:rPr>
          <w:szCs w:val="24"/>
        </w:rPr>
        <w:t xml:space="preserve">Common </w:t>
      </w:r>
      <w:r w:rsidR="001775B6">
        <w:rPr>
          <w:szCs w:val="24"/>
        </w:rPr>
        <w:t>e</w:t>
      </w:r>
      <w:r w:rsidR="00E32E22" w:rsidRPr="00604E21">
        <w:rPr>
          <w:szCs w:val="24"/>
        </w:rPr>
        <w:t>xamples of HIT include practice management systems, disease registries, clinical messaging, personal health records (</w:t>
      </w:r>
      <w:smartTag w:uri="urn:schemas-microsoft-com:office:smarttags" w:element="stockticker">
        <w:r w:rsidR="00E32E22" w:rsidRPr="00604E21">
          <w:rPr>
            <w:szCs w:val="24"/>
          </w:rPr>
          <w:t>PHR</w:t>
        </w:r>
      </w:smartTag>
      <w:r w:rsidR="00E32E22" w:rsidRPr="00604E21">
        <w:rPr>
          <w:szCs w:val="24"/>
        </w:rPr>
        <w:t>), electronic prescribing (</w:t>
      </w:r>
      <w:proofErr w:type="spellStart"/>
      <w:r w:rsidR="00E32E22" w:rsidRPr="00604E21">
        <w:rPr>
          <w:szCs w:val="24"/>
        </w:rPr>
        <w:t>eRx</w:t>
      </w:r>
      <w:proofErr w:type="spellEnd"/>
      <w:r w:rsidR="00E32E22" w:rsidRPr="00604E21">
        <w:rPr>
          <w:szCs w:val="24"/>
        </w:rPr>
        <w:t>), electronic health records (EHR) and health information exchanges (HIE).</w:t>
      </w:r>
      <w:r w:rsidR="00473E76">
        <w:rPr>
          <w:szCs w:val="24"/>
        </w:rPr>
        <w:t xml:space="preserve"> </w:t>
      </w:r>
      <w:r w:rsidR="00604E21">
        <w:rPr>
          <w:szCs w:val="24"/>
        </w:rPr>
        <w:t xml:space="preserve">Health Center Controlled Networks </w:t>
      </w:r>
      <w:r w:rsidR="00604E21" w:rsidRPr="001A6CA3">
        <w:rPr>
          <w:rFonts w:cs="Arial"/>
          <w:color w:val="000000"/>
        </w:rPr>
        <w:t xml:space="preserve">is a HRSA grant program </w:t>
      </w:r>
      <w:r w:rsidR="00E4489C">
        <w:rPr>
          <w:rFonts w:cs="Arial"/>
          <w:color w:val="000000"/>
        </w:rPr>
        <w:t xml:space="preserve">which </w:t>
      </w:r>
      <w:r w:rsidR="00604E21" w:rsidRPr="001A6CA3">
        <w:rPr>
          <w:rFonts w:cs="Arial"/>
          <w:color w:val="000000"/>
        </w:rPr>
        <w:t>supports the creation, development, and operation of networks of safety net providers to ensure access to health care for the medically underserved populations through the enhancement of health center operations, including</w:t>
      </w:r>
      <w:r w:rsidR="00C1083B">
        <w:rPr>
          <w:rFonts w:cs="Arial"/>
          <w:color w:val="000000"/>
        </w:rPr>
        <w:t xml:space="preserve"> HIT</w:t>
      </w:r>
      <w:r w:rsidR="00604E21" w:rsidRPr="001A6CA3">
        <w:rPr>
          <w:rFonts w:cs="Arial"/>
          <w:color w:val="000000"/>
        </w:rPr>
        <w:t>.</w:t>
      </w:r>
      <w:r w:rsidR="00473E76">
        <w:rPr>
          <w:rFonts w:cs="Arial"/>
          <w:color w:val="000000"/>
        </w:rPr>
        <w:t xml:space="preserve"> </w:t>
      </w:r>
      <w:r w:rsidR="00604E21">
        <w:rPr>
          <w:rFonts w:cs="Arial"/>
          <w:color w:val="000000"/>
        </w:rPr>
        <w:t>Health Center Controlled Networks are led by HRSA-funded health centers and may include other public or private non-profit health care providers who come together to form a network that plans, deve</w:t>
      </w:r>
      <w:r w:rsidR="00FE47B8">
        <w:rPr>
          <w:rFonts w:cs="Arial"/>
          <w:color w:val="000000"/>
        </w:rPr>
        <w:t>lops and implements systems that work to achieve the following:</w:t>
      </w:r>
      <w:r w:rsidR="00473E76">
        <w:rPr>
          <w:rFonts w:cs="Arial"/>
          <w:color w:val="000000"/>
        </w:rPr>
        <w:t xml:space="preserve"> </w:t>
      </w:r>
      <w:r w:rsidR="00FE47B8">
        <w:rPr>
          <w:rFonts w:cs="Arial"/>
          <w:color w:val="000000"/>
        </w:rPr>
        <w:t>improve access to care; increase efficiency, revenue and productivity; and improve clinical quality and patient health status.</w:t>
      </w:r>
      <w:r w:rsidR="00473E76">
        <w:rPr>
          <w:rFonts w:cs="Arial"/>
          <w:color w:val="000000"/>
        </w:rPr>
        <w:t xml:space="preserve"> </w:t>
      </w:r>
      <w:r w:rsidR="00604E21">
        <w:rPr>
          <w:szCs w:val="24"/>
        </w:rPr>
        <w:t>See attachment A for a summary description of the grant funding initiatives pertaining to this clearance package.</w:t>
      </w:r>
      <w:r w:rsidR="00473E76">
        <w:rPr>
          <w:szCs w:val="24"/>
        </w:rPr>
        <w:t xml:space="preserve">     </w:t>
      </w:r>
    </w:p>
    <w:p w:rsidR="00604E21" w:rsidRPr="001A6CA3" w:rsidRDefault="00DB0507" w:rsidP="00604E21">
      <w:pPr>
        <w:pStyle w:val="NormalWeb"/>
        <w:rPr>
          <w:rFonts w:ascii="Times New Roman" w:eastAsia="Times New Roman" w:hAnsi="Times New Roman" w:cs="Arial"/>
          <w:color w:val="000000"/>
        </w:rPr>
      </w:pPr>
      <w:r>
        <w:rPr>
          <w:rFonts w:ascii="Times New Roman" w:eastAsia="Times New Roman" w:hAnsi="Times New Roman" w:cs="Arial"/>
          <w:color w:val="000000"/>
        </w:rPr>
        <w:br w:type="page"/>
      </w:r>
    </w:p>
    <w:p w:rsidR="00551A20" w:rsidRDefault="00551A20" w:rsidP="00E32E22">
      <w:pPr>
        <w:rPr>
          <w:szCs w:val="24"/>
        </w:rPr>
      </w:pPr>
    </w:p>
    <w:p w:rsidR="00A91443" w:rsidRDefault="00A91443">
      <w:pPr>
        <w:pStyle w:val="Heading2"/>
        <w:rPr>
          <w:szCs w:val="24"/>
        </w:rPr>
      </w:pPr>
      <w:bookmarkStart w:id="2" w:name="_Toc132560361"/>
      <w:r w:rsidRPr="005D45B5">
        <w:rPr>
          <w:szCs w:val="24"/>
        </w:rPr>
        <w:t>Purpose and Use of Information</w:t>
      </w:r>
      <w:bookmarkEnd w:id="2"/>
    </w:p>
    <w:p w:rsidR="00D35C19" w:rsidRPr="00D35C19" w:rsidRDefault="00D35C19" w:rsidP="00D35C19"/>
    <w:p w:rsidR="00027DF8" w:rsidRPr="005D45B5" w:rsidRDefault="00A91443" w:rsidP="00027DF8">
      <w:pPr>
        <w:tabs>
          <w:tab w:val="left" w:pos="6750"/>
        </w:tabs>
        <w:rPr>
          <w:szCs w:val="24"/>
        </w:rPr>
      </w:pPr>
      <w:r w:rsidRPr="005D45B5">
        <w:rPr>
          <w:szCs w:val="24"/>
        </w:rPr>
        <w:t xml:space="preserve">The </w:t>
      </w:r>
      <w:r w:rsidR="00482DFA" w:rsidRPr="005D45B5">
        <w:rPr>
          <w:szCs w:val="24"/>
        </w:rPr>
        <w:t>Progress Report</w:t>
      </w:r>
      <w:r w:rsidRPr="005D45B5">
        <w:rPr>
          <w:szCs w:val="24"/>
        </w:rPr>
        <w:t xml:space="preserve"> is designed to collect </w:t>
      </w:r>
      <w:r w:rsidR="00B23886" w:rsidRPr="005D45B5">
        <w:rPr>
          <w:szCs w:val="24"/>
        </w:rPr>
        <w:t xml:space="preserve">aggregate </w:t>
      </w:r>
      <w:r w:rsidRPr="005D45B5">
        <w:rPr>
          <w:szCs w:val="24"/>
        </w:rPr>
        <w:t xml:space="preserve">performance data from </w:t>
      </w:r>
      <w:r w:rsidR="00482DFA" w:rsidRPr="005D45B5">
        <w:rPr>
          <w:szCs w:val="24"/>
        </w:rPr>
        <w:t>grantees funded under the different funding initiatives.</w:t>
      </w:r>
      <w:r w:rsidR="00473E76">
        <w:rPr>
          <w:szCs w:val="24"/>
        </w:rPr>
        <w:t xml:space="preserve"> </w:t>
      </w:r>
      <w:r w:rsidR="00482DFA" w:rsidRPr="005D45B5">
        <w:rPr>
          <w:szCs w:val="24"/>
        </w:rPr>
        <w:t xml:space="preserve">The progress report has six </w:t>
      </w:r>
      <w:r w:rsidRPr="005D45B5">
        <w:rPr>
          <w:szCs w:val="24"/>
        </w:rPr>
        <w:t xml:space="preserve">parts: (1) </w:t>
      </w:r>
      <w:r w:rsidR="00941B6C">
        <w:rPr>
          <w:szCs w:val="24"/>
        </w:rPr>
        <w:t xml:space="preserve">Updates: </w:t>
      </w:r>
      <w:r w:rsidR="00941B6C" w:rsidRPr="005D45B5">
        <w:rPr>
          <w:szCs w:val="24"/>
        </w:rPr>
        <w:t>status on progress in the network</w:t>
      </w:r>
      <w:r w:rsidR="00672EC0">
        <w:rPr>
          <w:szCs w:val="24"/>
        </w:rPr>
        <w:t>;</w:t>
      </w:r>
      <w:r w:rsidRPr="005D45B5">
        <w:rPr>
          <w:szCs w:val="24"/>
        </w:rPr>
        <w:t xml:space="preserve"> (2) </w:t>
      </w:r>
      <w:r w:rsidR="00941B6C">
        <w:rPr>
          <w:szCs w:val="24"/>
        </w:rPr>
        <w:t>Accomplishments: report performance outcome measures</w:t>
      </w:r>
      <w:r w:rsidR="00672EC0">
        <w:rPr>
          <w:szCs w:val="24"/>
        </w:rPr>
        <w:t>;</w:t>
      </w:r>
      <w:r w:rsidR="0066740F" w:rsidRPr="005D45B5">
        <w:rPr>
          <w:szCs w:val="24"/>
        </w:rPr>
        <w:t xml:space="preserve"> (3</w:t>
      </w:r>
      <w:r w:rsidR="00FC1047" w:rsidRPr="00FC1047">
        <w:t>)</w:t>
      </w:r>
      <w:r w:rsidR="001775B6">
        <w:rPr>
          <w:i/>
          <w:szCs w:val="24"/>
        </w:rPr>
        <w:t xml:space="preserve"> </w:t>
      </w:r>
      <w:r w:rsidR="00941B6C" w:rsidRPr="00E31462">
        <w:rPr>
          <w:szCs w:val="24"/>
        </w:rPr>
        <w:t>HIPAA</w:t>
      </w:r>
      <w:r w:rsidR="001775B6" w:rsidRPr="00E31462">
        <w:rPr>
          <w:szCs w:val="24"/>
        </w:rPr>
        <w:t xml:space="preserve"> and Software</w:t>
      </w:r>
      <w:r w:rsidR="00941B6C" w:rsidRPr="005D45B5">
        <w:rPr>
          <w:szCs w:val="24"/>
        </w:rPr>
        <w:t xml:space="preserve">: </w:t>
      </w:r>
      <w:r w:rsidR="001775B6">
        <w:rPr>
          <w:szCs w:val="24"/>
        </w:rPr>
        <w:t xml:space="preserve">is it </w:t>
      </w:r>
      <w:r w:rsidR="001775B6" w:rsidRPr="005D45B5">
        <w:rPr>
          <w:szCs w:val="24"/>
        </w:rPr>
        <w:t xml:space="preserve">HIPAA compliant </w:t>
      </w:r>
      <w:r w:rsidR="001775B6">
        <w:rPr>
          <w:szCs w:val="24"/>
        </w:rPr>
        <w:t xml:space="preserve">and </w:t>
      </w:r>
      <w:r w:rsidR="00E31462">
        <w:rPr>
          <w:szCs w:val="24"/>
        </w:rPr>
        <w:t xml:space="preserve">the </w:t>
      </w:r>
      <w:r w:rsidR="00941B6C" w:rsidRPr="005D45B5">
        <w:rPr>
          <w:szCs w:val="24"/>
        </w:rPr>
        <w:t>type of software</w:t>
      </w:r>
      <w:r w:rsidR="001775B6">
        <w:rPr>
          <w:szCs w:val="24"/>
        </w:rPr>
        <w:t xml:space="preserve"> used</w:t>
      </w:r>
      <w:r w:rsidR="00941B6C" w:rsidRPr="00941B6C">
        <w:rPr>
          <w:i/>
          <w:szCs w:val="24"/>
        </w:rPr>
        <w:t>;</w:t>
      </w:r>
      <w:r w:rsidR="0066740F" w:rsidRPr="005D45B5">
        <w:rPr>
          <w:szCs w:val="24"/>
        </w:rPr>
        <w:t xml:space="preserve"> </w:t>
      </w:r>
      <w:r w:rsidR="00071513" w:rsidRPr="005D45B5">
        <w:rPr>
          <w:szCs w:val="24"/>
        </w:rPr>
        <w:t>(</w:t>
      </w:r>
      <w:r w:rsidR="001775B6">
        <w:rPr>
          <w:szCs w:val="24"/>
        </w:rPr>
        <w:t>4</w:t>
      </w:r>
      <w:r w:rsidR="00071513" w:rsidRPr="005D45B5">
        <w:rPr>
          <w:szCs w:val="24"/>
        </w:rPr>
        <w:t xml:space="preserve">) Sustainability Plan: </w:t>
      </w:r>
      <w:r w:rsidR="00071513" w:rsidRPr="005D45B5">
        <w:rPr>
          <w:bCs/>
          <w:szCs w:val="24"/>
        </w:rPr>
        <w:t>plans to sustain the grant activities beyond the project period</w:t>
      </w:r>
      <w:r w:rsidR="00CF07B7">
        <w:rPr>
          <w:bCs/>
          <w:szCs w:val="24"/>
        </w:rPr>
        <w:t>; (</w:t>
      </w:r>
      <w:r w:rsidR="001775B6">
        <w:rPr>
          <w:bCs/>
          <w:szCs w:val="24"/>
        </w:rPr>
        <w:t>5</w:t>
      </w:r>
      <w:r w:rsidR="00CF07B7">
        <w:rPr>
          <w:bCs/>
          <w:szCs w:val="24"/>
        </w:rPr>
        <w:t>) Contingency Planning: business recovery process in the event of a business in</w:t>
      </w:r>
      <w:r w:rsidR="0074107E">
        <w:rPr>
          <w:bCs/>
          <w:szCs w:val="24"/>
        </w:rPr>
        <w:t xml:space="preserve">terruption at the network level; and </w:t>
      </w:r>
      <w:r w:rsidR="00027DF8" w:rsidRPr="005D45B5">
        <w:rPr>
          <w:szCs w:val="24"/>
        </w:rPr>
        <w:t>(</w:t>
      </w:r>
      <w:r w:rsidR="00027DF8">
        <w:rPr>
          <w:szCs w:val="24"/>
        </w:rPr>
        <w:t>6</w:t>
      </w:r>
      <w:r w:rsidR="00027DF8" w:rsidRPr="005D45B5">
        <w:rPr>
          <w:szCs w:val="24"/>
        </w:rPr>
        <w:t xml:space="preserve">) </w:t>
      </w:r>
      <w:r w:rsidR="00027DF8">
        <w:rPr>
          <w:szCs w:val="24"/>
        </w:rPr>
        <w:t xml:space="preserve">Evaluation: </w:t>
      </w:r>
      <w:r w:rsidR="00027DF8" w:rsidRPr="005D45B5">
        <w:rPr>
          <w:szCs w:val="24"/>
        </w:rPr>
        <w:t xml:space="preserve">measure the </w:t>
      </w:r>
      <w:r w:rsidR="00E5271E">
        <w:rPr>
          <w:szCs w:val="24"/>
        </w:rPr>
        <w:t>outcomes</w:t>
      </w:r>
      <w:r w:rsidR="00027DF8" w:rsidRPr="005D45B5">
        <w:rPr>
          <w:szCs w:val="24"/>
        </w:rPr>
        <w:t xml:space="preserve"> of the funding initiatives</w:t>
      </w:r>
      <w:r w:rsidR="00027DF8">
        <w:rPr>
          <w:szCs w:val="24"/>
        </w:rPr>
        <w:t>.</w:t>
      </w:r>
    </w:p>
    <w:p w:rsidR="00027DF8" w:rsidRDefault="00027DF8" w:rsidP="00E952D0">
      <w:pPr>
        <w:tabs>
          <w:tab w:val="left" w:pos="6750"/>
        </w:tabs>
        <w:rPr>
          <w:szCs w:val="24"/>
        </w:rPr>
      </w:pPr>
    </w:p>
    <w:p w:rsidR="006F2621" w:rsidRDefault="00A91443" w:rsidP="006F2621">
      <w:pPr>
        <w:rPr>
          <w:rFonts w:ascii="Cambria" w:hAnsi="Cambria"/>
        </w:rPr>
      </w:pPr>
      <w:r w:rsidRPr="005D45B5">
        <w:t xml:space="preserve">Grantees will submit two </w:t>
      </w:r>
      <w:r w:rsidR="001B4482">
        <w:t xml:space="preserve">reports </w:t>
      </w:r>
      <w:r w:rsidR="00D35C19">
        <w:t>(</w:t>
      </w:r>
      <w:r w:rsidR="00941B6C">
        <w:t>semi</w:t>
      </w:r>
      <w:r w:rsidR="00E5271E">
        <w:t>-annual</w:t>
      </w:r>
      <w:r w:rsidR="00941B6C">
        <w:t xml:space="preserve"> </w:t>
      </w:r>
      <w:r w:rsidR="00D35C19">
        <w:t>and accumulative</w:t>
      </w:r>
      <w:r w:rsidR="00941B6C">
        <w:t xml:space="preserve"> yearly reports</w:t>
      </w:r>
      <w:r w:rsidR="00D35C19">
        <w:t xml:space="preserve">) </w:t>
      </w:r>
      <w:r w:rsidR="001B4482">
        <w:t>each fiscal year of their grant</w:t>
      </w:r>
      <w:r w:rsidR="00D35C19">
        <w:t xml:space="preserve"> award</w:t>
      </w:r>
      <w:r w:rsidR="00D35C19" w:rsidRPr="006F2621">
        <w:t>.</w:t>
      </w:r>
      <w:r w:rsidR="00482DFA" w:rsidRPr="006F2621">
        <w:t xml:space="preserve"> </w:t>
      </w:r>
      <w:r w:rsidR="006F2621" w:rsidRPr="006F2621">
        <w:rPr>
          <w:rFonts w:ascii="Cambria" w:hAnsi="Cambria"/>
        </w:rPr>
        <w:t xml:space="preserve">The HCCN grant program has just transitioned into BPHC, and </w:t>
      </w:r>
      <w:r w:rsidR="006F2621">
        <w:rPr>
          <w:rFonts w:ascii="Cambria" w:hAnsi="Cambria"/>
        </w:rPr>
        <w:t>program has determined</w:t>
      </w:r>
      <w:r w:rsidR="006F2621" w:rsidRPr="006F2621">
        <w:rPr>
          <w:rFonts w:ascii="Cambria" w:hAnsi="Cambria"/>
        </w:rPr>
        <w:t xml:space="preserve"> that semi-annual reporting is desirable moving forward. Due to the HITECH Act and A</w:t>
      </w:r>
      <w:r w:rsidR="006F2621">
        <w:rPr>
          <w:rFonts w:ascii="Cambria" w:hAnsi="Cambria"/>
        </w:rPr>
        <w:t xml:space="preserve">ffordable </w:t>
      </w:r>
      <w:r w:rsidR="006F2621" w:rsidRPr="006F2621">
        <w:rPr>
          <w:rFonts w:ascii="Cambria" w:hAnsi="Cambria"/>
        </w:rPr>
        <w:t>C</w:t>
      </w:r>
      <w:r w:rsidR="006F2621">
        <w:rPr>
          <w:rFonts w:ascii="Cambria" w:hAnsi="Cambria"/>
        </w:rPr>
        <w:t xml:space="preserve">are </w:t>
      </w:r>
      <w:r w:rsidR="006F2621" w:rsidRPr="006F2621">
        <w:rPr>
          <w:rFonts w:ascii="Cambria" w:hAnsi="Cambria"/>
        </w:rPr>
        <w:t>A</w:t>
      </w:r>
      <w:r w:rsidR="006F2621">
        <w:rPr>
          <w:rFonts w:ascii="Cambria" w:hAnsi="Cambria"/>
        </w:rPr>
        <w:t>ct</w:t>
      </w:r>
      <w:r w:rsidR="006F2621" w:rsidRPr="006F2621">
        <w:rPr>
          <w:rFonts w:ascii="Cambria" w:hAnsi="Cambria"/>
        </w:rPr>
        <w:t xml:space="preserve"> provisions, BPHC has made health centers' adoption and Meaningful Use of HIT a key priority, and </w:t>
      </w:r>
      <w:r w:rsidR="006F2621">
        <w:rPr>
          <w:rFonts w:ascii="Cambria" w:hAnsi="Cambria"/>
        </w:rPr>
        <w:t>has identified the HCCN model as</w:t>
      </w:r>
      <w:r w:rsidR="006F2621" w:rsidRPr="006F2621">
        <w:rPr>
          <w:rFonts w:ascii="Cambria" w:hAnsi="Cambria"/>
        </w:rPr>
        <w:t xml:space="preserve"> an ideal way to support that goal. Regular reports from HCCNs on their member health centers' adoption of HIT and their clinical quality data will allow BPHC to more effectively monitor the program, identify best practices, and address delays and challenges as they arise. In addition, as BPHC is frequently asked for updates on the number of health centers using HIT, semi-annual reporting from HCCNs allows </w:t>
      </w:r>
      <w:r w:rsidR="006F2621">
        <w:rPr>
          <w:rFonts w:ascii="Cambria" w:hAnsi="Cambria"/>
        </w:rPr>
        <w:t>for the</w:t>
      </w:r>
      <w:r w:rsidR="006F2621" w:rsidRPr="006F2621">
        <w:rPr>
          <w:rFonts w:ascii="Cambria" w:hAnsi="Cambria"/>
        </w:rPr>
        <w:t xml:space="preserve"> report</w:t>
      </w:r>
      <w:r w:rsidR="006F2621">
        <w:rPr>
          <w:rFonts w:ascii="Cambria" w:hAnsi="Cambria"/>
        </w:rPr>
        <w:t>ing of</w:t>
      </w:r>
      <w:r w:rsidR="006F2621" w:rsidRPr="006F2621">
        <w:rPr>
          <w:rFonts w:ascii="Cambria" w:hAnsi="Cambria"/>
        </w:rPr>
        <w:t xml:space="preserve"> such data in a more up-to-date manner than would annual reporting.</w:t>
      </w:r>
    </w:p>
    <w:p w:rsidR="006F2621" w:rsidRPr="006F2621" w:rsidRDefault="006F2621" w:rsidP="006F2621"/>
    <w:p w:rsidR="00A91443" w:rsidRPr="005D45B5" w:rsidRDefault="00A91443" w:rsidP="00027DF8">
      <w:pPr>
        <w:tabs>
          <w:tab w:val="left" w:pos="6750"/>
        </w:tabs>
        <w:rPr>
          <w:szCs w:val="24"/>
        </w:rPr>
      </w:pPr>
      <w:r w:rsidRPr="005D45B5">
        <w:rPr>
          <w:szCs w:val="24"/>
        </w:rPr>
        <w:t>The information collected f</w:t>
      </w:r>
      <w:r w:rsidR="00F04AFD" w:rsidRPr="005D45B5">
        <w:rPr>
          <w:szCs w:val="24"/>
        </w:rPr>
        <w:t xml:space="preserve">rom the </w:t>
      </w:r>
      <w:r w:rsidR="00E5271E">
        <w:rPr>
          <w:szCs w:val="24"/>
        </w:rPr>
        <w:t>p</w:t>
      </w:r>
      <w:r w:rsidR="00EF0F40" w:rsidRPr="005D45B5">
        <w:rPr>
          <w:szCs w:val="24"/>
        </w:rPr>
        <w:t xml:space="preserve">rogress </w:t>
      </w:r>
      <w:r w:rsidR="00E5271E">
        <w:rPr>
          <w:szCs w:val="24"/>
        </w:rPr>
        <w:t>r</w:t>
      </w:r>
      <w:r w:rsidR="00EF0F40" w:rsidRPr="005D45B5">
        <w:rPr>
          <w:szCs w:val="24"/>
        </w:rPr>
        <w:t xml:space="preserve">eport </w:t>
      </w:r>
      <w:r w:rsidRPr="005D45B5">
        <w:rPr>
          <w:szCs w:val="24"/>
        </w:rPr>
        <w:t xml:space="preserve">will serve multiple purposes. The data </w:t>
      </w:r>
      <w:r w:rsidR="008F335E">
        <w:rPr>
          <w:szCs w:val="24"/>
        </w:rPr>
        <w:t>is</w:t>
      </w:r>
      <w:r w:rsidRPr="005D45B5">
        <w:rPr>
          <w:szCs w:val="24"/>
        </w:rPr>
        <w:t xml:space="preserve"> needed to</w:t>
      </w:r>
      <w:r w:rsidR="00EF0F40" w:rsidRPr="005D45B5">
        <w:rPr>
          <w:szCs w:val="24"/>
        </w:rPr>
        <w:t xml:space="preserve"> enhance the quality and efficiency of primary and preventive care through the effective use of</w:t>
      </w:r>
      <w:r w:rsidR="00D35C19">
        <w:rPr>
          <w:szCs w:val="24"/>
        </w:rPr>
        <w:t xml:space="preserve"> HIT</w:t>
      </w:r>
      <w:r w:rsidR="00EF0F40" w:rsidRPr="005D45B5">
        <w:rPr>
          <w:szCs w:val="24"/>
        </w:rPr>
        <w:t>.</w:t>
      </w:r>
      <w:r w:rsidR="00473E76">
        <w:rPr>
          <w:szCs w:val="24"/>
        </w:rPr>
        <w:t xml:space="preserve"> </w:t>
      </w:r>
      <w:r w:rsidRPr="005D45B5">
        <w:rPr>
          <w:color w:val="000000"/>
          <w:szCs w:val="24"/>
        </w:rPr>
        <w:t>Th</w:t>
      </w:r>
      <w:r w:rsidR="00D35C19">
        <w:rPr>
          <w:color w:val="000000"/>
          <w:szCs w:val="24"/>
        </w:rPr>
        <w:t>e</w:t>
      </w:r>
      <w:r w:rsidRPr="005D45B5">
        <w:rPr>
          <w:b/>
          <w:bCs/>
          <w:color w:val="000000"/>
          <w:szCs w:val="24"/>
        </w:rPr>
        <w:t xml:space="preserve"> </w:t>
      </w:r>
      <w:r w:rsidRPr="005D45B5">
        <w:rPr>
          <w:color w:val="000000"/>
          <w:szCs w:val="24"/>
        </w:rPr>
        <w:t xml:space="preserve">information will be used to </w:t>
      </w:r>
      <w:r w:rsidR="00E5271E">
        <w:rPr>
          <w:color w:val="000000"/>
          <w:szCs w:val="24"/>
        </w:rPr>
        <w:t xml:space="preserve">inform </w:t>
      </w:r>
      <w:r w:rsidRPr="005D45B5">
        <w:rPr>
          <w:color w:val="000000"/>
          <w:szCs w:val="24"/>
        </w:rPr>
        <w:t xml:space="preserve">new technical assistance </w:t>
      </w:r>
      <w:r w:rsidR="00EF0F40" w:rsidRPr="005D45B5">
        <w:rPr>
          <w:color w:val="000000"/>
          <w:szCs w:val="24"/>
        </w:rPr>
        <w:t xml:space="preserve">needs </w:t>
      </w:r>
      <w:r w:rsidRPr="005D45B5">
        <w:rPr>
          <w:color w:val="000000"/>
          <w:szCs w:val="24"/>
        </w:rPr>
        <w:t xml:space="preserve">and </w:t>
      </w:r>
      <w:r w:rsidR="00F04AFD" w:rsidRPr="005D45B5">
        <w:rPr>
          <w:color w:val="000000"/>
          <w:szCs w:val="24"/>
        </w:rPr>
        <w:t xml:space="preserve">evaluate the </w:t>
      </w:r>
      <w:r w:rsidR="008F335E">
        <w:rPr>
          <w:color w:val="000000"/>
          <w:szCs w:val="24"/>
        </w:rPr>
        <w:t xml:space="preserve">performance </w:t>
      </w:r>
      <w:r w:rsidR="00E5271E">
        <w:rPr>
          <w:color w:val="000000"/>
          <w:szCs w:val="24"/>
        </w:rPr>
        <w:t xml:space="preserve">and </w:t>
      </w:r>
      <w:r w:rsidR="008F335E">
        <w:rPr>
          <w:color w:val="000000"/>
          <w:szCs w:val="24"/>
        </w:rPr>
        <w:t xml:space="preserve">outcome </w:t>
      </w:r>
      <w:r w:rsidR="00F04AFD" w:rsidRPr="005D45B5">
        <w:rPr>
          <w:color w:val="000000"/>
          <w:szCs w:val="24"/>
        </w:rPr>
        <w:t>of these funding initiatives</w:t>
      </w:r>
      <w:r w:rsidRPr="005D45B5">
        <w:rPr>
          <w:color w:val="000000"/>
          <w:szCs w:val="24"/>
        </w:rPr>
        <w:t xml:space="preserve">. </w:t>
      </w:r>
      <w:r w:rsidRPr="005D45B5">
        <w:rPr>
          <w:szCs w:val="24"/>
        </w:rPr>
        <w:t xml:space="preserve">The </w:t>
      </w:r>
      <w:r w:rsidR="00E5271E">
        <w:rPr>
          <w:szCs w:val="24"/>
        </w:rPr>
        <w:t>p</w:t>
      </w:r>
      <w:r w:rsidR="00EF0F40" w:rsidRPr="005D45B5">
        <w:rPr>
          <w:szCs w:val="24"/>
        </w:rPr>
        <w:t xml:space="preserve">rogress </w:t>
      </w:r>
      <w:r w:rsidR="00E5271E">
        <w:rPr>
          <w:szCs w:val="24"/>
        </w:rPr>
        <w:t>r</w:t>
      </w:r>
      <w:r w:rsidR="00EF0F40" w:rsidRPr="005D45B5">
        <w:rPr>
          <w:szCs w:val="24"/>
        </w:rPr>
        <w:t xml:space="preserve">eport </w:t>
      </w:r>
      <w:r w:rsidRPr="005D45B5">
        <w:rPr>
          <w:szCs w:val="24"/>
        </w:rPr>
        <w:t xml:space="preserve">will also enhance HRSA’s ability to respond to </w:t>
      </w:r>
      <w:r w:rsidR="00E5271E">
        <w:rPr>
          <w:szCs w:val="24"/>
        </w:rPr>
        <w:t>D</w:t>
      </w:r>
      <w:r w:rsidRPr="005D45B5">
        <w:rPr>
          <w:szCs w:val="24"/>
        </w:rPr>
        <w:t xml:space="preserve">epartmental inquiries regarding the </w:t>
      </w:r>
      <w:r w:rsidR="00E5271E">
        <w:rPr>
          <w:szCs w:val="24"/>
        </w:rPr>
        <w:t>program</w:t>
      </w:r>
      <w:r w:rsidR="00F04AFD" w:rsidRPr="005D45B5">
        <w:rPr>
          <w:szCs w:val="24"/>
        </w:rPr>
        <w:t xml:space="preserve"> in a timely and accurate man</w:t>
      </w:r>
      <w:r w:rsidR="009C6211">
        <w:rPr>
          <w:szCs w:val="24"/>
        </w:rPr>
        <w:t>ne</w:t>
      </w:r>
      <w:r w:rsidR="00F04AFD" w:rsidRPr="005D45B5">
        <w:rPr>
          <w:szCs w:val="24"/>
        </w:rPr>
        <w:t>r.</w:t>
      </w:r>
      <w:r w:rsidR="00473E76">
        <w:rPr>
          <w:szCs w:val="24"/>
        </w:rPr>
        <w:t xml:space="preserve"> </w:t>
      </w:r>
      <w:r w:rsidR="00D35C19">
        <w:rPr>
          <w:szCs w:val="24"/>
        </w:rPr>
        <w:t xml:space="preserve">Information </w:t>
      </w:r>
      <w:r w:rsidRPr="005D45B5">
        <w:rPr>
          <w:szCs w:val="24"/>
        </w:rPr>
        <w:t xml:space="preserve">will </w:t>
      </w:r>
      <w:r w:rsidR="00D35C19">
        <w:rPr>
          <w:szCs w:val="24"/>
        </w:rPr>
        <w:t xml:space="preserve">also </w:t>
      </w:r>
      <w:r w:rsidRPr="005D45B5">
        <w:rPr>
          <w:szCs w:val="24"/>
        </w:rPr>
        <w:t xml:space="preserve">be used in the preparation of reports to Congress and </w:t>
      </w:r>
      <w:r w:rsidR="00F04AFD" w:rsidRPr="005D45B5">
        <w:rPr>
          <w:szCs w:val="24"/>
        </w:rPr>
        <w:t>other external agencies.</w:t>
      </w:r>
    </w:p>
    <w:p w:rsidR="00A91443" w:rsidRPr="005D45B5" w:rsidRDefault="00A91443">
      <w:pPr>
        <w:rPr>
          <w:szCs w:val="24"/>
        </w:rPr>
      </w:pPr>
    </w:p>
    <w:p w:rsidR="00A91443" w:rsidRDefault="00A91443">
      <w:pPr>
        <w:rPr>
          <w:szCs w:val="24"/>
        </w:rPr>
      </w:pPr>
      <w:r w:rsidRPr="005D45B5">
        <w:rPr>
          <w:szCs w:val="24"/>
        </w:rPr>
        <w:t xml:space="preserve">In addition to meeting the goal of accountability to Congress, </w:t>
      </w:r>
      <w:r w:rsidR="00977659">
        <w:rPr>
          <w:szCs w:val="24"/>
        </w:rPr>
        <w:t>patient</w:t>
      </w:r>
      <w:r w:rsidRPr="005D45B5">
        <w:rPr>
          <w:szCs w:val="24"/>
        </w:rPr>
        <w:t>s, and the general public, information collected f</w:t>
      </w:r>
      <w:r w:rsidR="00F04AFD" w:rsidRPr="005D45B5">
        <w:rPr>
          <w:szCs w:val="24"/>
        </w:rPr>
        <w:t>rom the Progress Reports i</w:t>
      </w:r>
      <w:r w:rsidR="009C6211">
        <w:rPr>
          <w:szCs w:val="24"/>
        </w:rPr>
        <w:t>s critical for HRSA grantees</w:t>
      </w:r>
      <w:r w:rsidRPr="005D45B5">
        <w:rPr>
          <w:szCs w:val="24"/>
        </w:rPr>
        <w:t xml:space="preserve"> and individual providers to assess the status of existing </w:t>
      </w:r>
      <w:r w:rsidR="009C6211">
        <w:rPr>
          <w:szCs w:val="24"/>
        </w:rPr>
        <w:t>EHR</w:t>
      </w:r>
      <w:r w:rsidR="00F04AFD" w:rsidRPr="005D45B5">
        <w:rPr>
          <w:szCs w:val="24"/>
        </w:rPr>
        <w:t xml:space="preserve"> </w:t>
      </w:r>
      <w:r w:rsidRPr="005D45B5">
        <w:rPr>
          <w:szCs w:val="24"/>
        </w:rPr>
        <w:t xml:space="preserve">systems. </w:t>
      </w:r>
      <w:r w:rsidR="00DF239F" w:rsidRPr="005D45B5">
        <w:rPr>
          <w:szCs w:val="24"/>
        </w:rPr>
        <w:t xml:space="preserve">The partnership between HRSA, grantees, providers, and </w:t>
      </w:r>
      <w:r w:rsidR="00977659">
        <w:rPr>
          <w:szCs w:val="24"/>
        </w:rPr>
        <w:t>patient</w:t>
      </w:r>
      <w:r w:rsidR="00DF239F" w:rsidRPr="005D45B5">
        <w:rPr>
          <w:szCs w:val="24"/>
        </w:rPr>
        <w:t>s has provided a unique opportunity to ensure that all parties share in the benefits of accurate information, le</w:t>
      </w:r>
      <w:r w:rsidR="009C6211">
        <w:rPr>
          <w:szCs w:val="24"/>
        </w:rPr>
        <w:t>s</w:t>
      </w:r>
      <w:r w:rsidR="00DF239F" w:rsidRPr="005D45B5">
        <w:rPr>
          <w:szCs w:val="24"/>
        </w:rPr>
        <w:t>sons learned, major accomplishments, barriers encountered, and technical assistance needs to promote improved care and effi</w:t>
      </w:r>
      <w:r w:rsidR="00DF239F">
        <w:rPr>
          <w:szCs w:val="24"/>
        </w:rPr>
        <w:t>ciency</w:t>
      </w:r>
      <w:r w:rsidR="00DF239F" w:rsidRPr="005D45B5">
        <w:rPr>
          <w:szCs w:val="24"/>
        </w:rPr>
        <w:t xml:space="preserve">. </w:t>
      </w:r>
    </w:p>
    <w:p w:rsidR="00627BD7" w:rsidRDefault="00627BD7">
      <w:pPr>
        <w:rPr>
          <w:szCs w:val="24"/>
        </w:rPr>
      </w:pPr>
    </w:p>
    <w:p w:rsidR="005D45B5" w:rsidRPr="005D45B5" w:rsidRDefault="005D45B5">
      <w:pPr>
        <w:rPr>
          <w:color w:val="000000"/>
          <w:szCs w:val="24"/>
        </w:rPr>
      </w:pPr>
    </w:p>
    <w:p w:rsidR="00A91443" w:rsidRDefault="00A91443">
      <w:pPr>
        <w:pStyle w:val="Heading2"/>
        <w:rPr>
          <w:szCs w:val="24"/>
        </w:rPr>
      </w:pPr>
      <w:bookmarkStart w:id="3" w:name="_Toc132560362"/>
      <w:r w:rsidRPr="005D45B5">
        <w:rPr>
          <w:szCs w:val="24"/>
        </w:rPr>
        <w:t>Use of Improved Information Technology</w:t>
      </w:r>
      <w:bookmarkEnd w:id="3"/>
    </w:p>
    <w:p w:rsidR="004A7E58" w:rsidRPr="004A7E58" w:rsidRDefault="004A7E58" w:rsidP="004A7E58"/>
    <w:p w:rsidR="00A91443" w:rsidRPr="005D45B5" w:rsidRDefault="00A91443">
      <w:pPr>
        <w:rPr>
          <w:szCs w:val="24"/>
        </w:rPr>
      </w:pPr>
      <w:r w:rsidRPr="005D45B5">
        <w:rPr>
          <w:szCs w:val="24"/>
        </w:rPr>
        <w:t xml:space="preserve">The </w:t>
      </w:r>
      <w:r w:rsidR="00E16BD2">
        <w:rPr>
          <w:szCs w:val="24"/>
        </w:rPr>
        <w:t>progress r</w:t>
      </w:r>
      <w:r w:rsidR="007B4A4C">
        <w:rPr>
          <w:szCs w:val="24"/>
        </w:rPr>
        <w:t>eport</w:t>
      </w:r>
      <w:r w:rsidRPr="005D45B5">
        <w:rPr>
          <w:i/>
          <w:iCs/>
          <w:szCs w:val="24"/>
        </w:rPr>
        <w:t xml:space="preserve"> </w:t>
      </w:r>
      <w:r w:rsidRPr="005D45B5">
        <w:rPr>
          <w:szCs w:val="24"/>
        </w:rPr>
        <w:t>is designed to collect</w:t>
      </w:r>
      <w:r w:rsidRPr="005D45B5">
        <w:rPr>
          <w:i/>
          <w:szCs w:val="24"/>
        </w:rPr>
        <w:t xml:space="preserve"> </w:t>
      </w:r>
      <w:r w:rsidRPr="005D45B5">
        <w:rPr>
          <w:szCs w:val="24"/>
        </w:rPr>
        <w:t xml:space="preserve">unduplicated, aggregate-level data about </w:t>
      </w:r>
      <w:r w:rsidR="007B4A4C">
        <w:rPr>
          <w:szCs w:val="24"/>
        </w:rPr>
        <w:t xml:space="preserve">network services and the patients they serve </w:t>
      </w:r>
      <w:r w:rsidRPr="005D45B5">
        <w:rPr>
          <w:szCs w:val="24"/>
        </w:rPr>
        <w:t xml:space="preserve">for better planning and funding allocation for </w:t>
      </w:r>
      <w:r w:rsidR="007B4A4C">
        <w:rPr>
          <w:szCs w:val="24"/>
        </w:rPr>
        <w:t>HCCN</w:t>
      </w:r>
      <w:r w:rsidRPr="005D45B5">
        <w:rPr>
          <w:szCs w:val="24"/>
        </w:rPr>
        <w:t xml:space="preserve"> programs</w:t>
      </w:r>
      <w:r w:rsidRPr="005D45B5">
        <w:rPr>
          <w:i/>
          <w:szCs w:val="24"/>
        </w:rPr>
        <w:t>.</w:t>
      </w:r>
      <w:r w:rsidRPr="005D45B5">
        <w:rPr>
          <w:szCs w:val="24"/>
        </w:rPr>
        <w:t xml:space="preserve"> </w:t>
      </w:r>
      <w:r w:rsidR="007D5BEF">
        <w:rPr>
          <w:szCs w:val="24"/>
        </w:rPr>
        <w:t xml:space="preserve">By collecting </w:t>
      </w:r>
      <w:r w:rsidR="00DF239F">
        <w:rPr>
          <w:szCs w:val="24"/>
        </w:rPr>
        <w:t xml:space="preserve">the </w:t>
      </w:r>
      <w:r w:rsidR="00E16BD2">
        <w:rPr>
          <w:szCs w:val="24"/>
        </w:rPr>
        <w:t>p</w:t>
      </w:r>
      <w:r w:rsidR="00DF239F" w:rsidRPr="005D45B5">
        <w:rPr>
          <w:szCs w:val="24"/>
        </w:rPr>
        <w:t>rogress</w:t>
      </w:r>
      <w:r w:rsidR="007B4A4C">
        <w:rPr>
          <w:szCs w:val="24"/>
        </w:rPr>
        <w:t xml:space="preserve"> </w:t>
      </w:r>
      <w:r w:rsidR="00E16BD2">
        <w:rPr>
          <w:szCs w:val="24"/>
        </w:rPr>
        <w:t>r</w:t>
      </w:r>
      <w:r w:rsidR="007B4A4C">
        <w:rPr>
          <w:szCs w:val="24"/>
        </w:rPr>
        <w:t xml:space="preserve">eport </w:t>
      </w:r>
      <w:r w:rsidR="007D5BEF">
        <w:rPr>
          <w:szCs w:val="24"/>
        </w:rPr>
        <w:t xml:space="preserve">electronically, it will </w:t>
      </w:r>
      <w:r w:rsidRPr="005D45B5">
        <w:rPr>
          <w:szCs w:val="24"/>
        </w:rPr>
        <w:t xml:space="preserve">significantly enhance HRSA’s ability to monitor and measure grantee performance; analyze and assess outcomes attributable to </w:t>
      </w:r>
      <w:r w:rsidR="007B4A4C">
        <w:rPr>
          <w:szCs w:val="24"/>
        </w:rPr>
        <w:t>HCCN</w:t>
      </w:r>
      <w:r w:rsidRPr="005D45B5">
        <w:rPr>
          <w:szCs w:val="24"/>
        </w:rPr>
        <w:t xml:space="preserve"> funding; review processes and take action to improve program operations; and identify successes and problems for policy and program development. </w:t>
      </w:r>
    </w:p>
    <w:p w:rsidR="00A91443" w:rsidRPr="005D45B5" w:rsidRDefault="00A91443">
      <w:pPr>
        <w:rPr>
          <w:szCs w:val="24"/>
        </w:rPr>
      </w:pPr>
    </w:p>
    <w:p w:rsidR="00A91443" w:rsidRPr="005D45B5" w:rsidRDefault="003F4A53">
      <w:pPr>
        <w:rPr>
          <w:szCs w:val="24"/>
        </w:rPr>
      </w:pPr>
      <w:r>
        <w:rPr>
          <w:szCs w:val="24"/>
        </w:rPr>
        <w:t>G</w:t>
      </w:r>
      <w:r w:rsidR="00A91443" w:rsidRPr="005D45B5">
        <w:rPr>
          <w:szCs w:val="24"/>
        </w:rPr>
        <w:t xml:space="preserve">rantees will </w:t>
      </w:r>
      <w:r w:rsidR="009C6211">
        <w:rPr>
          <w:szCs w:val="24"/>
        </w:rPr>
        <w:t xml:space="preserve">electronically </w:t>
      </w:r>
      <w:r w:rsidR="007B4A4C">
        <w:rPr>
          <w:szCs w:val="24"/>
        </w:rPr>
        <w:t xml:space="preserve">submit their </w:t>
      </w:r>
      <w:r w:rsidR="00C953BA">
        <w:rPr>
          <w:szCs w:val="24"/>
        </w:rPr>
        <w:t xml:space="preserve">six month </w:t>
      </w:r>
      <w:r w:rsidR="007B4A4C">
        <w:rPr>
          <w:szCs w:val="24"/>
        </w:rPr>
        <w:t xml:space="preserve">reports </w:t>
      </w:r>
      <w:r w:rsidR="009E5F7E">
        <w:rPr>
          <w:szCs w:val="24"/>
        </w:rPr>
        <w:t xml:space="preserve">in </w:t>
      </w:r>
      <w:r>
        <w:rPr>
          <w:szCs w:val="24"/>
        </w:rPr>
        <w:t>spring</w:t>
      </w:r>
      <w:r w:rsidR="009E5F7E" w:rsidRPr="008E1E09">
        <w:rPr>
          <w:szCs w:val="24"/>
        </w:rPr>
        <w:t xml:space="preserve"> a</w:t>
      </w:r>
      <w:r w:rsidR="009E5F7E">
        <w:rPr>
          <w:szCs w:val="24"/>
        </w:rPr>
        <w:t xml:space="preserve">nd </w:t>
      </w:r>
      <w:r w:rsidR="00C953BA">
        <w:rPr>
          <w:szCs w:val="24"/>
        </w:rPr>
        <w:t xml:space="preserve">their accumulative report in </w:t>
      </w:r>
      <w:r>
        <w:rPr>
          <w:szCs w:val="24"/>
        </w:rPr>
        <w:t xml:space="preserve">fall </w:t>
      </w:r>
      <w:r w:rsidR="00AE6ECE" w:rsidRPr="008E1E09">
        <w:rPr>
          <w:szCs w:val="24"/>
        </w:rPr>
        <w:t>of</w:t>
      </w:r>
      <w:r w:rsidR="00027DF8">
        <w:rPr>
          <w:szCs w:val="24"/>
        </w:rPr>
        <w:t xml:space="preserve"> </w:t>
      </w:r>
      <w:r w:rsidR="00A91443" w:rsidRPr="005D45B5">
        <w:rPr>
          <w:szCs w:val="24"/>
        </w:rPr>
        <w:t xml:space="preserve">each </w:t>
      </w:r>
      <w:r w:rsidR="009C6211">
        <w:rPr>
          <w:szCs w:val="24"/>
        </w:rPr>
        <w:t>fiscal</w:t>
      </w:r>
      <w:r w:rsidR="00A91443" w:rsidRPr="005D45B5">
        <w:rPr>
          <w:szCs w:val="24"/>
        </w:rPr>
        <w:t xml:space="preserve"> year</w:t>
      </w:r>
      <w:r w:rsidR="00C953BA">
        <w:rPr>
          <w:szCs w:val="24"/>
        </w:rPr>
        <w:t>.</w:t>
      </w:r>
      <w:r w:rsidR="00473E76">
        <w:rPr>
          <w:szCs w:val="24"/>
        </w:rPr>
        <w:t xml:space="preserve"> </w:t>
      </w:r>
      <w:r w:rsidR="00C953BA">
        <w:rPr>
          <w:szCs w:val="24"/>
        </w:rPr>
        <w:t>G</w:t>
      </w:r>
      <w:r w:rsidR="00A91443" w:rsidRPr="005D45B5">
        <w:rPr>
          <w:szCs w:val="24"/>
        </w:rPr>
        <w:t xml:space="preserve">rantees </w:t>
      </w:r>
      <w:r>
        <w:rPr>
          <w:szCs w:val="24"/>
        </w:rPr>
        <w:t>are</w:t>
      </w:r>
      <w:r w:rsidR="00A91443" w:rsidRPr="005D45B5">
        <w:rPr>
          <w:szCs w:val="24"/>
        </w:rPr>
        <w:t xml:space="preserve"> required to submit information pertaining to planned</w:t>
      </w:r>
      <w:r w:rsidR="008636D3">
        <w:rPr>
          <w:szCs w:val="24"/>
        </w:rPr>
        <w:t xml:space="preserve"> and conducted </w:t>
      </w:r>
      <w:r w:rsidR="00A91443" w:rsidRPr="005D45B5">
        <w:rPr>
          <w:szCs w:val="24"/>
        </w:rPr>
        <w:t>activities</w:t>
      </w:r>
      <w:r w:rsidR="008636D3">
        <w:rPr>
          <w:szCs w:val="24"/>
        </w:rPr>
        <w:t>.</w:t>
      </w:r>
      <w:r w:rsidR="00473E76">
        <w:rPr>
          <w:szCs w:val="24"/>
        </w:rPr>
        <w:t xml:space="preserve"> </w:t>
      </w:r>
      <w:r w:rsidR="008636D3">
        <w:rPr>
          <w:szCs w:val="24"/>
        </w:rPr>
        <w:t xml:space="preserve">They </w:t>
      </w:r>
      <w:r>
        <w:rPr>
          <w:szCs w:val="24"/>
        </w:rPr>
        <w:t>r</w:t>
      </w:r>
      <w:r w:rsidR="008636D3">
        <w:rPr>
          <w:szCs w:val="24"/>
        </w:rPr>
        <w:t xml:space="preserve">eport on their </w:t>
      </w:r>
      <w:r w:rsidR="00D33D12">
        <w:rPr>
          <w:szCs w:val="24"/>
        </w:rPr>
        <w:t xml:space="preserve">updates, </w:t>
      </w:r>
      <w:r w:rsidR="00C953BA">
        <w:rPr>
          <w:szCs w:val="24"/>
        </w:rPr>
        <w:t>accomplish</w:t>
      </w:r>
      <w:r w:rsidR="00627BD7">
        <w:rPr>
          <w:szCs w:val="24"/>
        </w:rPr>
        <w:t>ments</w:t>
      </w:r>
      <w:r w:rsidR="008636D3">
        <w:rPr>
          <w:szCs w:val="24"/>
        </w:rPr>
        <w:t xml:space="preserve">, </w:t>
      </w:r>
      <w:r w:rsidR="009C6211">
        <w:rPr>
          <w:szCs w:val="24"/>
        </w:rPr>
        <w:t>software and HI</w:t>
      </w:r>
      <w:r w:rsidR="00D33D12">
        <w:rPr>
          <w:szCs w:val="24"/>
        </w:rPr>
        <w:t>PAA compliance,</w:t>
      </w:r>
      <w:r w:rsidR="00027DF8">
        <w:rPr>
          <w:bCs/>
          <w:szCs w:val="24"/>
        </w:rPr>
        <w:t xml:space="preserve"> </w:t>
      </w:r>
      <w:r w:rsidR="00E3166E">
        <w:rPr>
          <w:szCs w:val="24"/>
        </w:rPr>
        <w:t>and evaluation</w:t>
      </w:r>
      <w:r w:rsidR="00D33D12">
        <w:rPr>
          <w:szCs w:val="24"/>
        </w:rPr>
        <w:t xml:space="preserve"> of performance outcome measures, sustainability plan</w:t>
      </w:r>
      <w:r w:rsidR="00E3166E">
        <w:rPr>
          <w:szCs w:val="24"/>
        </w:rPr>
        <w:t>s</w:t>
      </w:r>
      <w:r w:rsidR="00D33D12">
        <w:rPr>
          <w:szCs w:val="24"/>
        </w:rPr>
        <w:t>, and contingency plans.</w:t>
      </w:r>
      <w:r w:rsidR="00473E76">
        <w:rPr>
          <w:szCs w:val="24"/>
        </w:rPr>
        <w:t xml:space="preserve"> </w:t>
      </w:r>
      <w:r w:rsidR="00627BD7">
        <w:rPr>
          <w:szCs w:val="24"/>
        </w:rPr>
        <w:t>All g</w:t>
      </w:r>
      <w:r w:rsidR="00C953BA">
        <w:rPr>
          <w:szCs w:val="24"/>
        </w:rPr>
        <w:t>rantees</w:t>
      </w:r>
      <w:r w:rsidR="00627BD7">
        <w:rPr>
          <w:szCs w:val="24"/>
        </w:rPr>
        <w:t xml:space="preserve"> </w:t>
      </w:r>
      <w:r w:rsidR="00C953BA">
        <w:rPr>
          <w:szCs w:val="24"/>
        </w:rPr>
        <w:t xml:space="preserve">use </w:t>
      </w:r>
      <w:r w:rsidR="00A91443" w:rsidRPr="005D45B5">
        <w:rPr>
          <w:szCs w:val="24"/>
        </w:rPr>
        <w:t>the same form to</w:t>
      </w:r>
      <w:r w:rsidR="00627BD7">
        <w:rPr>
          <w:szCs w:val="24"/>
        </w:rPr>
        <w:t xml:space="preserve"> complete their </w:t>
      </w:r>
      <w:r w:rsidR="00E16BD2">
        <w:rPr>
          <w:szCs w:val="24"/>
        </w:rPr>
        <w:t>p</w:t>
      </w:r>
      <w:r w:rsidR="00627BD7">
        <w:rPr>
          <w:szCs w:val="24"/>
        </w:rPr>
        <w:t xml:space="preserve">rogress </w:t>
      </w:r>
      <w:r w:rsidR="00E16BD2">
        <w:rPr>
          <w:szCs w:val="24"/>
        </w:rPr>
        <w:t>r</w:t>
      </w:r>
      <w:r w:rsidR="00627BD7">
        <w:rPr>
          <w:szCs w:val="24"/>
        </w:rPr>
        <w:t>eports</w:t>
      </w:r>
      <w:r w:rsidR="00A91443" w:rsidRPr="005D45B5">
        <w:rPr>
          <w:szCs w:val="24"/>
        </w:rPr>
        <w:t xml:space="preserve">. </w:t>
      </w:r>
    </w:p>
    <w:p w:rsidR="00A91443" w:rsidRPr="005D45B5" w:rsidRDefault="00A91443">
      <w:pPr>
        <w:rPr>
          <w:szCs w:val="24"/>
        </w:rPr>
      </w:pPr>
    </w:p>
    <w:p w:rsidR="00627BD7" w:rsidRPr="00E31462" w:rsidRDefault="00A91443" w:rsidP="00627BD7">
      <w:pPr>
        <w:rPr>
          <w:szCs w:val="24"/>
        </w:rPr>
      </w:pPr>
      <w:r w:rsidRPr="00E31462">
        <w:rPr>
          <w:szCs w:val="24"/>
        </w:rPr>
        <w:t xml:space="preserve">The </w:t>
      </w:r>
      <w:r w:rsidR="007858CD">
        <w:rPr>
          <w:szCs w:val="24"/>
        </w:rPr>
        <w:t>p</w:t>
      </w:r>
      <w:r w:rsidR="00FF6E54" w:rsidRPr="00E31462">
        <w:rPr>
          <w:szCs w:val="24"/>
        </w:rPr>
        <w:t xml:space="preserve">rogress </w:t>
      </w:r>
      <w:r w:rsidR="007858CD">
        <w:rPr>
          <w:szCs w:val="24"/>
        </w:rPr>
        <w:t>r</w:t>
      </w:r>
      <w:r w:rsidR="00FF6E54" w:rsidRPr="00E31462">
        <w:rPr>
          <w:szCs w:val="24"/>
        </w:rPr>
        <w:t>eport w</w:t>
      </w:r>
      <w:r w:rsidRPr="00E31462">
        <w:rPr>
          <w:szCs w:val="24"/>
        </w:rPr>
        <w:t xml:space="preserve">ill be </w:t>
      </w:r>
      <w:r w:rsidR="00D33D12" w:rsidRPr="00E31462">
        <w:rPr>
          <w:szCs w:val="24"/>
        </w:rPr>
        <w:t>submitted electronically</w:t>
      </w:r>
      <w:r w:rsidR="0074107E">
        <w:rPr>
          <w:szCs w:val="24"/>
        </w:rPr>
        <w:t xml:space="preserve"> to the appropriate </w:t>
      </w:r>
      <w:r w:rsidR="00D33D12" w:rsidRPr="00E31462">
        <w:rPr>
          <w:szCs w:val="24"/>
        </w:rPr>
        <w:t>Project Officer</w:t>
      </w:r>
      <w:r w:rsidR="003F4A53">
        <w:rPr>
          <w:szCs w:val="24"/>
        </w:rPr>
        <w:t xml:space="preserve">; </w:t>
      </w:r>
      <w:r w:rsidR="00D33D12" w:rsidRPr="00E31462">
        <w:rPr>
          <w:szCs w:val="24"/>
        </w:rPr>
        <w:t>it</w:t>
      </w:r>
      <w:r w:rsidRPr="00E31462">
        <w:rPr>
          <w:szCs w:val="24"/>
        </w:rPr>
        <w:t xml:space="preserve"> contain</w:t>
      </w:r>
      <w:r w:rsidR="003F4A53">
        <w:rPr>
          <w:szCs w:val="24"/>
        </w:rPr>
        <w:t>s</w:t>
      </w:r>
      <w:r w:rsidRPr="00E31462">
        <w:rPr>
          <w:szCs w:val="24"/>
        </w:rPr>
        <w:t xml:space="preserve"> multiple </w:t>
      </w:r>
      <w:r w:rsidR="00FF6E54" w:rsidRPr="00E31462">
        <w:rPr>
          <w:szCs w:val="24"/>
        </w:rPr>
        <w:t xml:space="preserve">questions and </w:t>
      </w:r>
      <w:r w:rsidRPr="00E31462">
        <w:rPr>
          <w:szCs w:val="24"/>
        </w:rPr>
        <w:t xml:space="preserve">worksheets to collect specific information about each </w:t>
      </w:r>
      <w:r w:rsidR="00FF6E54" w:rsidRPr="00E31462">
        <w:rPr>
          <w:szCs w:val="24"/>
        </w:rPr>
        <w:t>funding opportunity.</w:t>
      </w:r>
      <w:r w:rsidR="00473E76">
        <w:rPr>
          <w:szCs w:val="24"/>
        </w:rPr>
        <w:t xml:space="preserve"> </w:t>
      </w:r>
      <w:r w:rsidR="00627BD7" w:rsidRPr="00E31462">
        <w:rPr>
          <w:szCs w:val="24"/>
        </w:rPr>
        <w:t>Grantees will submit their Progress Reports through HRSA’s already established Electronic Hand Book (EHB)</w:t>
      </w:r>
      <w:r w:rsidR="00AE6ECE" w:rsidRPr="00E31462">
        <w:rPr>
          <w:rStyle w:val="FootnoteReference"/>
          <w:szCs w:val="24"/>
        </w:rPr>
        <w:footnoteReference w:id="1"/>
      </w:r>
      <w:r w:rsidR="00CA7D21">
        <w:rPr>
          <w:szCs w:val="24"/>
        </w:rPr>
        <w:t xml:space="preserve">.  </w:t>
      </w:r>
      <w:r w:rsidR="000F2400">
        <w:rPr>
          <w:szCs w:val="24"/>
        </w:rPr>
        <w:t xml:space="preserve">The Web application, </w:t>
      </w:r>
      <w:r w:rsidR="000F2400" w:rsidRPr="00383A8C">
        <w:rPr>
          <w:szCs w:val="24"/>
        </w:rPr>
        <w:t>Performance Improvement and Measurement Syste</w:t>
      </w:r>
      <w:r w:rsidR="000F2400">
        <w:rPr>
          <w:szCs w:val="24"/>
        </w:rPr>
        <w:t>m (PIMS),</w:t>
      </w:r>
      <w:r w:rsidR="00273EE8">
        <w:rPr>
          <w:szCs w:val="24"/>
        </w:rPr>
        <w:t xml:space="preserve"> </w:t>
      </w:r>
      <w:r w:rsidR="000F2400">
        <w:rPr>
          <w:szCs w:val="24"/>
        </w:rPr>
        <w:t>which was developed specifically for HCCN</w:t>
      </w:r>
      <w:r w:rsidR="007858CD">
        <w:rPr>
          <w:szCs w:val="24"/>
        </w:rPr>
        <w:t xml:space="preserve"> grantees to submit their p</w:t>
      </w:r>
      <w:r w:rsidR="00627BD7" w:rsidRPr="00E31462">
        <w:rPr>
          <w:szCs w:val="24"/>
        </w:rPr>
        <w:t xml:space="preserve">rogress </w:t>
      </w:r>
      <w:r w:rsidR="007858CD">
        <w:rPr>
          <w:szCs w:val="24"/>
        </w:rPr>
        <w:t>r</w:t>
      </w:r>
      <w:r w:rsidR="00627BD7" w:rsidRPr="00E31462">
        <w:rPr>
          <w:szCs w:val="24"/>
        </w:rPr>
        <w:t>eports</w:t>
      </w:r>
      <w:r w:rsidR="000F2400">
        <w:rPr>
          <w:szCs w:val="24"/>
        </w:rPr>
        <w:t>, is linked to EHB</w:t>
      </w:r>
      <w:r w:rsidR="00627BD7" w:rsidRPr="00E31462">
        <w:rPr>
          <w:szCs w:val="24"/>
        </w:rPr>
        <w:t>.</w:t>
      </w:r>
      <w:r w:rsidR="00473E76">
        <w:rPr>
          <w:szCs w:val="24"/>
        </w:rPr>
        <w:t xml:space="preserve"> </w:t>
      </w:r>
      <w:r w:rsidR="00CA7D21">
        <w:rPr>
          <w:szCs w:val="24"/>
        </w:rPr>
        <w:t>BPHC</w:t>
      </w:r>
      <w:r w:rsidR="00627BD7" w:rsidRPr="00E31462">
        <w:rPr>
          <w:szCs w:val="24"/>
        </w:rPr>
        <w:t xml:space="preserve"> </w:t>
      </w:r>
      <w:r w:rsidR="003F4A53" w:rsidRPr="00E31462">
        <w:rPr>
          <w:szCs w:val="24"/>
        </w:rPr>
        <w:t xml:space="preserve">staff </w:t>
      </w:r>
      <w:r w:rsidR="003F4A53">
        <w:rPr>
          <w:szCs w:val="24"/>
        </w:rPr>
        <w:t xml:space="preserve">routinely </w:t>
      </w:r>
      <w:r w:rsidR="003F4A53" w:rsidRPr="00E31462">
        <w:rPr>
          <w:szCs w:val="24"/>
        </w:rPr>
        <w:t>conducts</w:t>
      </w:r>
      <w:r w:rsidR="00627BD7" w:rsidRPr="00E31462">
        <w:rPr>
          <w:szCs w:val="24"/>
        </w:rPr>
        <w:t xml:space="preserve"> training </w:t>
      </w:r>
      <w:r w:rsidR="00CA7D21">
        <w:rPr>
          <w:szCs w:val="24"/>
        </w:rPr>
        <w:t>and provide</w:t>
      </w:r>
      <w:r w:rsidR="003F4A53">
        <w:rPr>
          <w:szCs w:val="24"/>
        </w:rPr>
        <w:t>s</w:t>
      </w:r>
      <w:r w:rsidR="00CA7D21">
        <w:rPr>
          <w:szCs w:val="24"/>
        </w:rPr>
        <w:t xml:space="preserve"> technical assistance </w:t>
      </w:r>
      <w:r w:rsidR="00627BD7" w:rsidRPr="00E31462">
        <w:rPr>
          <w:szCs w:val="24"/>
        </w:rPr>
        <w:t xml:space="preserve">for use of the web based system. </w:t>
      </w:r>
    </w:p>
    <w:p w:rsidR="00627BD7" w:rsidRDefault="00627BD7" w:rsidP="00627BD7">
      <w:pPr>
        <w:rPr>
          <w:szCs w:val="24"/>
        </w:rPr>
      </w:pPr>
    </w:p>
    <w:p w:rsidR="00627BD7" w:rsidRDefault="007D5BEF">
      <w:pPr>
        <w:rPr>
          <w:szCs w:val="24"/>
        </w:rPr>
      </w:pPr>
      <w:r>
        <w:rPr>
          <w:szCs w:val="24"/>
        </w:rPr>
        <w:t xml:space="preserve">Training will </w:t>
      </w:r>
      <w:r w:rsidR="003F4A53">
        <w:rPr>
          <w:szCs w:val="24"/>
        </w:rPr>
        <w:t xml:space="preserve">continue to </w:t>
      </w:r>
      <w:r>
        <w:rPr>
          <w:szCs w:val="24"/>
        </w:rPr>
        <w:t xml:space="preserve">be conducted with grantees on the </w:t>
      </w:r>
      <w:r w:rsidR="007858CD">
        <w:rPr>
          <w:szCs w:val="24"/>
        </w:rPr>
        <w:t>p</w:t>
      </w:r>
      <w:r>
        <w:rPr>
          <w:szCs w:val="24"/>
        </w:rPr>
        <w:t xml:space="preserve">rogress </w:t>
      </w:r>
      <w:r w:rsidR="007858CD">
        <w:rPr>
          <w:szCs w:val="24"/>
        </w:rPr>
        <w:t>r</w:t>
      </w:r>
      <w:r>
        <w:rPr>
          <w:szCs w:val="24"/>
        </w:rPr>
        <w:t xml:space="preserve">eport and </w:t>
      </w:r>
      <w:r w:rsidR="00C93541">
        <w:rPr>
          <w:szCs w:val="24"/>
        </w:rPr>
        <w:t>the i</w:t>
      </w:r>
      <w:r>
        <w:rPr>
          <w:szCs w:val="24"/>
        </w:rPr>
        <w:t>nstructional document</w:t>
      </w:r>
      <w:r w:rsidR="00C93541">
        <w:rPr>
          <w:szCs w:val="24"/>
        </w:rPr>
        <w:t>s</w:t>
      </w:r>
      <w:r>
        <w:rPr>
          <w:szCs w:val="24"/>
        </w:rPr>
        <w:t xml:space="preserve"> </w:t>
      </w:r>
      <w:r w:rsidR="00C93541">
        <w:rPr>
          <w:szCs w:val="24"/>
        </w:rPr>
        <w:t>which</w:t>
      </w:r>
      <w:r>
        <w:rPr>
          <w:szCs w:val="24"/>
        </w:rPr>
        <w:t xml:space="preserve"> explain the </w:t>
      </w:r>
      <w:r w:rsidR="007858CD">
        <w:rPr>
          <w:szCs w:val="24"/>
        </w:rPr>
        <w:t>p</w:t>
      </w:r>
      <w:r>
        <w:rPr>
          <w:szCs w:val="24"/>
        </w:rPr>
        <w:t xml:space="preserve">rogress </w:t>
      </w:r>
      <w:r w:rsidR="007858CD">
        <w:rPr>
          <w:szCs w:val="24"/>
        </w:rPr>
        <w:t>r</w:t>
      </w:r>
      <w:r>
        <w:rPr>
          <w:szCs w:val="24"/>
        </w:rPr>
        <w:t>eport.</w:t>
      </w:r>
      <w:r w:rsidR="00473E76">
        <w:rPr>
          <w:szCs w:val="24"/>
        </w:rPr>
        <w:t xml:space="preserve"> </w:t>
      </w:r>
      <w:r>
        <w:rPr>
          <w:szCs w:val="24"/>
        </w:rPr>
        <w:t xml:space="preserve">Project Officers will provide </w:t>
      </w:r>
      <w:r w:rsidR="00A91443" w:rsidRPr="005D45B5">
        <w:rPr>
          <w:szCs w:val="24"/>
        </w:rPr>
        <w:t xml:space="preserve">technical assistance </w:t>
      </w:r>
      <w:r>
        <w:rPr>
          <w:szCs w:val="24"/>
        </w:rPr>
        <w:t>when requested by grantees.</w:t>
      </w:r>
      <w:r w:rsidR="00473E76">
        <w:rPr>
          <w:szCs w:val="24"/>
        </w:rPr>
        <w:t xml:space="preserve"> </w:t>
      </w:r>
      <w:r w:rsidR="00A91443" w:rsidRPr="005D45B5">
        <w:rPr>
          <w:szCs w:val="24"/>
        </w:rPr>
        <w:t xml:space="preserve">This technical assistance will be available from </w:t>
      </w:r>
      <w:r w:rsidR="003467A2">
        <w:rPr>
          <w:szCs w:val="24"/>
        </w:rPr>
        <w:t>8:30</w:t>
      </w:r>
      <w:r w:rsidR="00A91443" w:rsidRPr="005D45B5">
        <w:rPr>
          <w:szCs w:val="24"/>
        </w:rPr>
        <w:t xml:space="preserve"> AM to 5:</w:t>
      </w:r>
      <w:r w:rsidR="003467A2">
        <w:rPr>
          <w:szCs w:val="24"/>
        </w:rPr>
        <w:t>3</w:t>
      </w:r>
      <w:r w:rsidR="00A91443" w:rsidRPr="005D45B5">
        <w:rPr>
          <w:szCs w:val="24"/>
        </w:rPr>
        <w:t xml:space="preserve">0 PM EST during the </w:t>
      </w:r>
      <w:r w:rsidR="00B66F31">
        <w:rPr>
          <w:szCs w:val="24"/>
        </w:rPr>
        <w:t xml:space="preserve">BPHC </w:t>
      </w:r>
      <w:r w:rsidR="003467A2">
        <w:rPr>
          <w:szCs w:val="24"/>
        </w:rPr>
        <w:t>helpline</w:t>
      </w:r>
      <w:r>
        <w:rPr>
          <w:szCs w:val="24"/>
        </w:rPr>
        <w:t xml:space="preserve"> hours.</w:t>
      </w:r>
      <w:r w:rsidR="00473E76">
        <w:rPr>
          <w:szCs w:val="24"/>
        </w:rPr>
        <w:t xml:space="preserve"> </w:t>
      </w:r>
    </w:p>
    <w:p w:rsidR="00A91443" w:rsidRPr="005D45B5" w:rsidRDefault="00A91443">
      <w:pPr>
        <w:rPr>
          <w:szCs w:val="24"/>
        </w:rPr>
      </w:pPr>
    </w:p>
    <w:p w:rsidR="00A91443" w:rsidRPr="005D45B5" w:rsidRDefault="00A91443">
      <w:pPr>
        <w:pStyle w:val="Heading2"/>
        <w:rPr>
          <w:szCs w:val="24"/>
        </w:rPr>
      </w:pPr>
      <w:bookmarkStart w:id="4" w:name="_Toc132560363"/>
      <w:r w:rsidRPr="005D45B5">
        <w:rPr>
          <w:szCs w:val="24"/>
        </w:rPr>
        <w:t>Efforts to Identify Duplication</w:t>
      </w:r>
      <w:bookmarkEnd w:id="4"/>
      <w:r w:rsidRPr="005D45B5">
        <w:rPr>
          <w:szCs w:val="24"/>
        </w:rPr>
        <w:t xml:space="preserve"> </w:t>
      </w:r>
    </w:p>
    <w:p w:rsidR="00A91443" w:rsidRPr="005D45B5" w:rsidRDefault="00A91443">
      <w:pPr>
        <w:rPr>
          <w:szCs w:val="24"/>
        </w:rPr>
      </w:pPr>
      <w:r w:rsidRPr="005D45B5">
        <w:rPr>
          <w:szCs w:val="24"/>
        </w:rPr>
        <w:t xml:space="preserve">Data of the type required to evaluate or monitor the </w:t>
      </w:r>
      <w:r w:rsidR="000B62BB">
        <w:rPr>
          <w:szCs w:val="24"/>
        </w:rPr>
        <w:t>HCCN program</w:t>
      </w:r>
      <w:r w:rsidRPr="005D45B5">
        <w:rPr>
          <w:szCs w:val="24"/>
        </w:rPr>
        <w:t xml:space="preserve"> are not available elsewhere.</w:t>
      </w:r>
      <w:r w:rsidR="00473E76">
        <w:rPr>
          <w:szCs w:val="24"/>
        </w:rPr>
        <w:t xml:space="preserve"> </w:t>
      </w:r>
      <w:r w:rsidRPr="005D45B5">
        <w:rPr>
          <w:szCs w:val="24"/>
        </w:rPr>
        <w:t>The</w:t>
      </w:r>
      <w:r w:rsidR="000B62BB">
        <w:rPr>
          <w:szCs w:val="24"/>
        </w:rPr>
        <w:t xml:space="preserve"> Progress Report</w:t>
      </w:r>
      <w:r w:rsidRPr="005D45B5">
        <w:rPr>
          <w:szCs w:val="24"/>
        </w:rPr>
        <w:t xml:space="preserve"> is necessary </w:t>
      </w:r>
      <w:r w:rsidR="000B62BB">
        <w:rPr>
          <w:szCs w:val="24"/>
        </w:rPr>
        <w:t xml:space="preserve">to </w:t>
      </w:r>
      <w:r w:rsidRPr="005D45B5">
        <w:rPr>
          <w:szCs w:val="24"/>
        </w:rPr>
        <w:t>monitor the</w:t>
      </w:r>
      <w:r w:rsidR="000B62BB">
        <w:rPr>
          <w:szCs w:val="24"/>
        </w:rPr>
        <w:t xml:space="preserve"> pr</w:t>
      </w:r>
      <w:r w:rsidR="00F05DBA">
        <w:rPr>
          <w:szCs w:val="24"/>
        </w:rPr>
        <w:t>o</w:t>
      </w:r>
      <w:r w:rsidR="000B62BB">
        <w:rPr>
          <w:szCs w:val="24"/>
        </w:rPr>
        <w:t>gram</w:t>
      </w:r>
      <w:r w:rsidR="00F05DBA">
        <w:rPr>
          <w:szCs w:val="24"/>
        </w:rPr>
        <w:t>’s</w:t>
      </w:r>
      <w:r w:rsidRPr="005D45B5">
        <w:rPr>
          <w:szCs w:val="24"/>
        </w:rPr>
        <w:t xml:space="preserve"> </w:t>
      </w:r>
      <w:r w:rsidR="006C7301">
        <w:rPr>
          <w:szCs w:val="24"/>
        </w:rPr>
        <w:t xml:space="preserve">progress towards the </w:t>
      </w:r>
      <w:r w:rsidRPr="005D45B5">
        <w:rPr>
          <w:szCs w:val="24"/>
        </w:rPr>
        <w:t xml:space="preserve">objectives </w:t>
      </w:r>
      <w:r w:rsidR="006C7301">
        <w:rPr>
          <w:szCs w:val="24"/>
        </w:rPr>
        <w:t>which</w:t>
      </w:r>
      <w:r w:rsidRPr="005D45B5">
        <w:rPr>
          <w:szCs w:val="24"/>
        </w:rPr>
        <w:t xml:space="preserve"> the funding initiative</w:t>
      </w:r>
      <w:r w:rsidR="00832233">
        <w:rPr>
          <w:szCs w:val="24"/>
        </w:rPr>
        <w:t>s</w:t>
      </w:r>
      <w:r w:rsidRPr="005D45B5">
        <w:rPr>
          <w:szCs w:val="24"/>
        </w:rPr>
        <w:t xml:space="preserve"> </w:t>
      </w:r>
      <w:r w:rsidR="00832233">
        <w:rPr>
          <w:szCs w:val="24"/>
        </w:rPr>
        <w:t>are</w:t>
      </w:r>
      <w:r w:rsidRPr="005D45B5">
        <w:rPr>
          <w:szCs w:val="24"/>
        </w:rPr>
        <w:t xml:space="preserve"> designed to </w:t>
      </w:r>
      <w:r w:rsidR="00F7518B">
        <w:rPr>
          <w:szCs w:val="24"/>
        </w:rPr>
        <w:t>achieve</w:t>
      </w:r>
      <w:r w:rsidRPr="005D45B5">
        <w:rPr>
          <w:szCs w:val="24"/>
        </w:rPr>
        <w:t>.</w:t>
      </w:r>
    </w:p>
    <w:p w:rsidR="00A91443" w:rsidRPr="005D45B5" w:rsidRDefault="00A91443">
      <w:pPr>
        <w:rPr>
          <w:szCs w:val="24"/>
        </w:rPr>
      </w:pPr>
    </w:p>
    <w:p w:rsidR="00A91443" w:rsidRPr="005D45B5" w:rsidRDefault="00A91443">
      <w:pPr>
        <w:pStyle w:val="Heading2"/>
        <w:rPr>
          <w:szCs w:val="24"/>
        </w:rPr>
      </w:pPr>
      <w:bookmarkStart w:id="5" w:name="_Toc132560364"/>
      <w:r w:rsidRPr="005D45B5">
        <w:rPr>
          <w:szCs w:val="24"/>
        </w:rPr>
        <w:t>Involvement of Small Entities</w:t>
      </w:r>
      <w:bookmarkEnd w:id="5"/>
      <w:r w:rsidRPr="005D45B5">
        <w:rPr>
          <w:szCs w:val="24"/>
        </w:rPr>
        <w:t xml:space="preserve"> </w:t>
      </w:r>
    </w:p>
    <w:p w:rsidR="00A91443" w:rsidRPr="005D45B5" w:rsidRDefault="00A91443">
      <w:pPr>
        <w:rPr>
          <w:szCs w:val="24"/>
        </w:rPr>
      </w:pPr>
      <w:r w:rsidRPr="005D45B5">
        <w:rPr>
          <w:szCs w:val="24"/>
        </w:rPr>
        <w:t>This information collection does not include small businesses or other small entities.</w:t>
      </w:r>
    </w:p>
    <w:p w:rsidR="00A91443" w:rsidRPr="005D45B5" w:rsidRDefault="00A91443">
      <w:pPr>
        <w:rPr>
          <w:szCs w:val="24"/>
        </w:rPr>
      </w:pPr>
    </w:p>
    <w:p w:rsidR="00A91443" w:rsidRPr="005D45B5" w:rsidRDefault="00A91443">
      <w:pPr>
        <w:pStyle w:val="Heading2"/>
        <w:rPr>
          <w:szCs w:val="24"/>
        </w:rPr>
      </w:pPr>
      <w:bookmarkStart w:id="6" w:name="_Toc132560365"/>
      <w:r w:rsidRPr="005D45B5">
        <w:rPr>
          <w:szCs w:val="24"/>
        </w:rPr>
        <w:t xml:space="preserve">Consequences </w:t>
      </w:r>
      <w:r w:rsidR="009C6211">
        <w:rPr>
          <w:szCs w:val="24"/>
        </w:rPr>
        <w:t>i</w:t>
      </w:r>
      <w:r w:rsidRPr="005D45B5">
        <w:rPr>
          <w:szCs w:val="24"/>
        </w:rPr>
        <w:t>f Information Collected Less Frequently</w:t>
      </w:r>
      <w:bookmarkEnd w:id="6"/>
      <w:r w:rsidRPr="005D45B5">
        <w:rPr>
          <w:szCs w:val="24"/>
        </w:rPr>
        <w:t xml:space="preserve"> </w:t>
      </w:r>
    </w:p>
    <w:p w:rsidR="00A91443" w:rsidRPr="005D45B5" w:rsidRDefault="00A91443">
      <w:pPr>
        <w:rPr>
          <w:szCs w:val="24"/>
        </w:rPr>
      </w:pPr>
      <w:r w:rsidRPr="005D45B5">
        <w:rPr>
          <w:szCs w:val="24"/>
        </w:rPr>
        <w:t>Grants are awarded to grantees</w:t>
      </w:r>
      <w:r w:rsidR="00F05DBA">
        <w:rPr>
          <w:szCs w:val="24"/>
        </w:rPr>
        <w:t>,</w:t>
      </w:r>
      <w:r w:rsidRPr="005D45B5">
        <w:rPr>
          <w:szCs w:val="24"/>
        </w:rPr>
        <w:t xml:space="preserve"> and through th</w:t>
      </w:r>
      <w:r w:rsidR="00F05DBA">
        <w:rPr>
          <w:szCs w:val="24"/>
        </w:rPr>
        <w:t>ose</w:t>
      </w:r>
      <w:r w:rsidRPr="005D45B5">
        <w:rPr>
          <w:szCs w:val="24"/>
        </w:rPr>
        <w:t xml:space="preserve"> grantees, contracts are given to service providers on an annual basis. Without annual reporting on the use of grant funds, HRSA would not be able to carry out its responsibility to oversee compliance with the intent of congressional appropriations in a timely manner. Because </w:t>
      </w:r>
      <w:r w:rsidR="000C612F">
        <w:rPr>
          <w:szCs w:val="24"/>
        </w:rPr>
        <w:t>EHR</w:t>
      </w:r>
      <w:r w:rsidR="003F4A53">
        <w:rPr>
          <w:szCs w:val="24"/>
        </w:rPr>
        <w:t>s</w:t>
      </w:r>
      <w:r w:rsidR="00F05DBA">
        <w:rPr>
          <w:szCs w:val="24"/>
        </w:rPr>
        <w:t xml:space="preserve"> </w:t>
      </w:r>
      <w:r w:rsidR="003F4A53">
        <w:rPr>
          <w:szCs w:val="24"/>
        </w:rPr>
        <w:t>are</w:t>
      </w:r>
      <w:r w:rsidR="00F05DBA">
        <w:rPr>
          <w:szCs w:val="24"/>
        </w:rPr>
        <w:t xml:space="preserve"> new and expan</w:t>
      </w:r>
      <w:r w:rsidR="000C612F">
        <w:rPr>
          <w:szCs w:val="24"/>
        </w:rPr>
        <w:t>d</w:t>
      </w:r>
      <w:r w:rsidR="00F05DBA">
        <w:rPr>
          <w:szCs w:val="24"/>
        </w:rPr>
        <w:t>ing</w:t>
      </w:r>
      <w:r w:rsidRPr="005D45B5">
        <w:rPr>
          <w:szCs w:val="24"/>
        </w:rPr>
        <w:t xml:space="preserve">, annual reporting </w:t>
      </w:r>
      <w:r w:rsidR="000C612F">
        <w:rPr>
          <w:szCs w:val="24"/>
        </w:rPr>
        <w:t xml:space="preserve">with Progress Reports </w:t>
      </w:r>
      <w:r w:rsidRPr="005D45B5">
        <w:rPr>
          <w:szCs w:val="24"/>
        </w:rPr>
        <w:t xml:space="preserve">is necessary to determine whether the administration of the funds </w:t>
      </w:r>
      <w:r w:rsidR="00531ED6">
        <w:rPr>
          <w:szCs w:val="24"/>
        </w:rPr>
        <w:t xml:space="preserve">are having the desired positive </w:t>
      </w:r>
      <w:r w:rsidR="00DC09B5">
        <w:rPr>
          <w:szCs w:val="24"/>
        </w:rPr>
        <w:t>perform</w:t>
      </w:r>
      <w:r w:rsidR="00531ED6">
        <w:rPr>
          <w:szCs w:val="24"/>
        </w:rPr>
        <w:t>ance outcome o</w:t>
      </w:r>
      <w:r w:rsidR="000C612F">
        <w:rPr>
          <w:szCs w:val="24"/>
        </w:rPr>
        <w:t>n HCCNs market places</w:t>
      </w:r>
      <w:r w:rsidRPr="005D45B5">
        <w:rPr>
          <w:szCs w:val="24"/>
        </w:rPr>
        <w:t>.</w:t>
      </w:r>
    </w:p>
    <w:p w:rsidR="00A91443" w:rsidRPr="005D45B5" w:rsidRDefault="00A91443">
      <w:pPr>
        <w:rPr>
          <w:szCs w:val="24"/>
        </w:rPr>
      </w:pPr>
    </w:p>
    <w:p w:rsidR="00A91443" w:rsidRPr="005D45B5" w:rsidRDefault="00A91443">
      <w:pPr>
        <w:rPr>
          <w:szCs w:val="24"/>
        </w:rPr>
      </w:pPr>
      <w:r w:rsidRPr="005D45B5">
        <w:rPr>
          <w:szCs w:val="24"/>
        </w:rPr>
        <w:t>If the information is not collected at all, HRSA will not know</w:t>
      </w:r>
      <w:r w:rsidR="0059631A" w:rsidRPr="005D45B5">
        <w:rPr>
          <w:szCs w:val="24"/>
        </w:rPr>
        <w:t xml:space="preserve"> or </w:t>
      </w:r>
      <w:r w:rsidRPr="005D45B5">
        <w:rPr>
          <w:szCs w:val="24"/>
        </w:rPr>
        <w:t>be able to report the following:</w:t>
      </w:r>
    </w:p>
    <w:p w:rsidR="00A91443" w:rsidRPr="005D45B5" w:rsidRDefault="00B9275F" w:rsidP="000E312C">
      <w:pPr>
        <w:numPr>
          <w:ilvl w:val="0"/>
          <w:numId w:val="6"/>
        </w:numPr>
        <w:rPr>
          <w:szCs w:val="24"/>
        </w:rPr>
      </w:pPr>
      <w:r>
        <w:rPr>
          <w:szCs w:val="24"/>
        </w:rPr>
        <w:t>w</w:t>
      </w:r>
      <w:r w:rsidR="00A91443" w:rsidRPr="005D45B5">
        <w:rPr>
          <w:szCs w:val="24"/>
        </w:rPr>
        <w:t>hether program funds are being spent for their intended purposes</w:t>
      </w:r>
    </w:p>
    <w:p w:rsidR="00A91443" w:rsidRPr="005D45B5" w:rsidRDefault="00B9275F" w:rsidP="00B613B3">
      <w:pPr>
        <w:numPr>
          <w:ilvl w:val="0"/>
          <w:numId w:val="2"/>
        </w:numPr>
        <w:tabs>
          <w:tab w:val="clear" w:pos="720"/>
        </w:tabs>
        <w:rPr>
          <w:szCs w:val="24"/>
        </w:rPr>
      </w:pPr>
      <w:r>
        <w:rPr>
          <w:szCs w:val="24"/>
        </w:rPr>
        <w:t>w</w:t>
      </w:r>
      <w:r w:rsidR="00A91443" w:rsidRPr="005D45B5">
        <w:rPr>
          <w:szCs w:val="24"/>
        </w:rPr>
        <w:t>hat types of and how many individuals are receiving services</w:t>
      </w:r>
      <w:r w:rsidR="000C612F">
        <w:rPr>
          <w:szCs w:val="24"/>
        </w:rPr>
        <w:t xml:space="preserve"> with EHRs</w:t>
      </w:r>
    </w:p>
    <w:p w:rsidR="00A91443" w:rsidRPr="005D45B5" w:rsidRDefault="00B9275F" w:rsidP="00B613B3">
      <w:pPr>
        <w:numPr>
          <w:ilvl w:val="0"/>
          <w:numId w:val="2"/>
        </w:numPr>
        <w:tabs>
          <w:tab w:val="clear" w:pos="720"/>
        </w:tabs>
        <w:rPr>
          <w:szCs w:val="24"/>
        </w:rPr>
      </w:pPr>
      <w:proofErr w:type="gramStart"/>
      <w:r>
        <w:rPr>
          <w:szCs w:val="24"/>
        </w:rPr>
        <w:t>w</w:t>
      </w:r>
      <w:r w:rsidR="00A91443" w:rsidRPr="005D45B5">
        <w:rPr>
          <w:szCs w:val="24"/>
        </w:rPr>
        <w:t>hether</w:t>
      </w:r>
      <w:proofErr w:type="gramEnd"/>
      <w:r w:rsidR="00A91443" w:rsidRPr="005D45B5">
        <w:rPr>
          <w:szCs w:val="24"/>
        </w:rPr>
        <w:t xml:space="preserve"> </w:t>
      </w:r>
      <w:r w:rsidR="0059631A" w:rsidRPr="005D45B5">
        <w:rPr>
          <w:szCs w:val="24"/>
        </w:rPr>
        <w:t xml:space="preserve">funded </w:t>
      </w:r>
      <w:r w:rsidR="00A91443" w:rsidRPr="005D45B5">
        <w:rPr>
          <w:szCs w:val="24"/>
        </w:rPr>
        <w:t xml:space="preserve">services are achieving planned </w:t>
      </w:r>
      <w:r w:rsidR="007858CD">
        <w:rPr>
          <w:szCs w:val="24"/>
        </w:rPr>
        <w:t>patient</w:t>
      </w:r>
      <w:r w:rsidR="001C581F" w:rsidRPr="005D45B5">
        <w:rPr>
          <w:szCs w:val="24"/>
        </w:rPr>
        <w:t xml:space="preserve">- and service-level outcomes. </w:t>
      </w:r>
    </w:p>
    <w:p w:rsidR="001C581F" w:rsidRPr="005D45B5" w:rsidRDefault="001C581F" w:rsidP="001C581F">
      <w:pPr>
        <w:ind w:left="360"/>
        <w:rPr>
          <w:szCs w:val="24"/>
        </w:rPr>
      </w:pPr>
    </w:p>
    <w:p w:rsidR="00A91443" w:rsidRPr="005D45B5" w:rsidRDefault="00A91443">
      <w:pPr>
        <w:pStyle w:val="Heading2"/>
        <w:rPr>
          <w:szCs w:val="24"/>
        </w:rPr>
      </w:pPr>
      <w:bookmarkStart w:id="7" w:name="_Toc132560366"/>
      <w:r w:rsidRPr="005D45B5">
        <w:rPr>
          <w:szCs w:val="24"/>
        </w:rPr>
        <w:lastRenderedPageBreak/>
        <w:t>Consistency with the Guidelines in 5 CFR 1320.5(d) (2)</w:t>
      </w:r>
      <w:bookmarkEnd w:id="7"/>
    </w:p>
    <w:p w:rsidR="00A91443" w:rsidRPr="005D45B5" w:rsidRDefault="00A91443">
      <w:pPr>
        <w:rPr>
          <w:szCs w:val="24"/>
        </w:rPr>
      </w:pPr>
      <w:r w:rsidRPr="005D45B5">
        <w:rPr>
          <w:szCs w:val="24"/>
        </w:rPr>
        <w:t>The data will be collected in a manner fully consistent with the guidelines in 5 CFR 1320.6</w:t>
      </w:r>
    </w:p>
    <w:p w:rsidR="00A91443" w:rsidRPr="005D45B5" w:rsidRDefault="00A91443">
      <w:pPr>
        <w:rPr>
          <w:szCs w:val="24"/>
        </w:rPr>
      </w:pPr>
    </w:p>
    <w:p w:rsidR="00A91443" w:rsidRPr="005D45B5" w:rsidRDefault="00A91443">
      <w:pPr>
        <w:pStyle w:val="Heading2"/>
        <w:rPr>
          <w:szCs w:val="24"/>
        </w:rPr>
      </w:pPr>
      <w:bookmarkStart w:id="8" w:name="_Toc132560367"/>
      <w:r w:rsidRPr="005D45B5">
        <w:rPr>
          <w:szCs w:val="24"/>
        </w:rPr>
        <w:t xml:space="preserve">Consultation </w:t>
      </w:r>
      <w:proofErr w:type="gramStart"/>
      <w:r w:rsidRPr="005D45B5">
        <w:rPr>
          <w:szCs w:val="24"/>
        </w:rPr>
        <w:t>Outside</w:t>
      </w:r>
      <w:proofErr w:type="gramEnd"/>
      <w:r w:rsidRPr="005D45B5">
        <w:rPr>
          <w:szCs w:val="24"/>
        </w:rPr>
        <w:t xml:space="preserve"> the Agency</w:t>
      </w:r>
      <w:bookmarkEnd w:id="8"/>
      <w:r w:rsidR="00473E76">
        <w:rPr>
          <w:szCs w:val="24"/>
        </w:rPr>
        <w:t xml:space="preserve">  </w:t>
      </w:r>
    </w:p>
    <w:p w:rsidR="00CA37BA" w:rsidRDefault="002128FF" w:rsidP="002128FF">
      <w:pPr>
        <w:rPr>
          <w:color w:val="000000"/>
          <w:szCs w:val="24"/>
        </w:rPr>
      </w:pPr>
      <w:r w:rsidRPr="001C22E3">
        <w:rPr>
          <w:color w:val="000000"/>
          <w:szCs w:val="24"/>
        </w:rPr>
        <w:t xml:space="preserve">The notice required in 5 CFR 1320.8(d) was published in the </w:t>
      </w:r>
      <w:r w:rsidRPr="0074107E">
        <w:rPr>
          <w:i/>
          <w:color w:val="000000"/>
          <w:szCs w:val="24"/>
        </w:rPr>
        <w:t>Federal Register</w:t>
      </w:r>
      <w:r w:rsidRPr="001C22E3">
        <w:rPr>
          <w:color w:val="000000"/>
          <w:szCs w:val="24"/>
        </w:rPr>
        <w:t xml:space="preserve"> on </w:t>
      </w:r>
      <w:r w:rsidR="00581394">
        <w:rPr>
          <w:color w:val="000000"/>
          <w:szCs w:val="24"/>
        </w:rPr>
        <w:t>September 24</w:t>
      </w:r>
      <w:r w:rsidR="00CA37BA">
        <w:rPr>
          <w:color w:val="000000"/>
          <w:szCs w:val="24"/>
        </w:rPr>
        <w:t>, 20</w:t>
      </w:r>
      <w:r w:rsidR="00581394">
        <w:rPr>
          <w:color w:val="000000"/>
          <w:szCs w:val="24"/>
        </w:rPr>
        <w:t>10</w:t>
      </w:r>
    </w:p>
    <w:p w:rsidR="002128FF" w:rsidRPr="001C22E3" w:rsidRDefault="002128FF" w:rsidP="002128FF">
      <w:pPr>
        <w:rPr>
          <w:color w:val="000000"/>
          <w:szCs w:val="24"/>
        </w:rPr>
      </w:pPr>
      <w:r w:rsidRPr="001C22E3">
        <w:rPr>
          <w:color w:val="000000"/>
          <w:szCs w:val="24"/>
        </w:rPr>
        <w:t xml:space="preserve"> (Volume 7</w:t>
      </w:r>
      <w:r w:rsidR="00581394">
        <w:rPr>
          <w:color w:val="000000"/>
          <w:szCs w:val="24"/>
        </w:rPr>
        <w:t>5</w:t>
      </w:r>
      <w:r w:rsidRPr="001C22E3">
        <w:rPr>
          <w:color w:val="000000"/>
          <w:szCs w:val="24"/>
        </w:rPr>
        <w:t xml:space="preserve">, Number </w:t>
      </w:r>
      <w:r w:rsidR="00CA37BA">
        <w:rPr>
          <w:color w:val="000000"/>
          <w:szCs w:val="24"/>
        </w:rPr>
        <w:t>1</w:t>
      </w:r>
      <w:r w:rsidR="00581394">
        <w:rPr>
          <w:color w:val="000000"/>
          <w:szCs w:val="24"/>
        </w:rPr>
        <w:t>85</w:t>
      </w:r>
      <w:r w:rsidRPr="001C22E3">
        <w:rPr>
          <w:color w:val="000000"/>
          <w:szCs w:val="24"/>
        </w:rPr>
        <w:t xml:space="preserve">, Page </w:t>
      </w:r>
      <w:r w:rsidR="00581394">
        <w:rPr>
          <w:color w:val="000000"/>
          <w:szCs w:val="24"/>
        </w:rPr>
        <w:t>58395</w:t>
      </w:r>
      <w:r w:rsidRPr="001C22E3">
        <w:rPr>
          <w:color w:val="000000"/>
          <w:szCs w:val="24"/>
        </w:rPr>
        <w:t>)</w:t>
      </w:r>
      <w:r w:rsidRPr="001C22E3">
        <w:rPr>
          <w:b/>
          <w:color w:val="000000"/>
          <w:szCs w:val="24"/>
        </w:rPr>
        <w:t>.</w:t>
      </w:r>
      <w:r w:rsidR="00473E76">
        <w:rPr>
          <w:color w:val="000000"/>
          <w:szCs w:val="24"/>
        </w:rPr>
        <w:t xml:space="preserve"> </w:t>
      </w:r>
      <w:r w:rsidRPr="001C22E3">
        <w:rPr>
          <w:color w:val="000000"/>
          <w:szCs w:val="24"/>
        </w:rPr>
        <w:t>No comments were received.</w:t>
      </w:r>
      <w:r w:rsidR="00473E76">
        <w:rPr>
          <w:color w:val="000000"/>
          <w:szCs w:val="24"/>
        </w:rPr>
        <w:t xml:space="preserve"> </w:t>
      </w:r>
      <w:r w:rsidR="003F4A53">
        <w:rPr>
          <w:color w:val="000000"/>
          <w:szCs w:val="24"/>
        </w:rPr>
        <w:t xml:space="preserve">The 30 day notice was published in the </w:t>
      </w:r>
      <w:r w:rsidR="003F4A53" w:rsidRPr="003F4A53">
        <w:rPr>
          <w:i/>
          <w:color w:val="000000"/>
          <w:szCs w:val="24"/>
        </w:rPr>
        <w:t>Federal Register</w:t>
      </w:r>
      <w:r w:rsidR="003F4A53">
        <w:rPr>
          <w:color w:val="000000"/>
          <w:szCs w:val="24"/>
        </w:rPr>
        <w:t xml:space="preserve"> on January 10, 2011</w:t>
      </w:r>
      <w:r w:rsidR="003F4A53" w:rsidRPr="001C22E3">
        <w:rPr>
          <w:color w:val="000000"/>
          <w:szCs w:val="24"/>
        </w:rPr>
        <w:t xml:space="preserve"> (Volume 7</w:t>
      </w:r>
      <w:r w:rsidR="003F4A53">
        <w:rPr>
          <w:color w:val="000000"/>
          <w:szCs w:val="24"/>
        </w:rPr>
        <w:t>6</w:t>
      </w:r>
      <w:r w:rsidR="003F4A53" w:rsidRPr="001C22E3">
        <w:rPr>
          <w:color w:val="000000"/>
          <w:szCs w:val="24"/>
        </w:rPr>
        <w:t xml:space="preserve">, Number </w:t>
      </w:r>
      <w:r w:rsidR="003F4A53">
        <w:rPr>
          <w:color w:val="000000"/>
          <w:szCs w:val="24"/>
        </w:rPr>
        <w:t>6</w:t>
      </w:r>
      <w:r w:rsidR="003F4A53" w:rsidRPr="001C22E3">
        <w:rPr>
          <w:color w:val="000000"/>
          <w:szCs w:val="24"/>
        </w:rPr>
        <w:t xml:space="preserve">, </w:t>
      </w:r>
      <w:proofErr w:type="gramStart"/>
      <w:r w:rsidR="003F4A53" w:rsidRPr="001C22E3">
        <w:rPr>
          <w:color w:val="000000"/>
          <w:szCs w:val="24"/>
        </w:rPr>
        <w:t>Page</w:t>
      </w:r>
      <w:proofErr w:type="gramEnd"/>
      <w:r w:rsidR="003F4A53" w:rsidRPr="001C22E3">
        <w:rPr>
          <w:color w:val="000000"/>
          <w:szCs w:val="24"/>
        </w:rPr>
        <w:t xml:space="preserve"> </w:t>
      </w:r>
      <w:r w:rsidR="003F4A53">
        <w:rPr>
          <w:color w:val="000000"/>
          <w:szCs w:val="24"/>
        </w:rPr>
        <w:t>1440</w:t>
      </w:r>
      <w:r w:rsidR="003F4A53" w:rsidRPr="001C22E3">
        <w:rPr>
          <w:color w:val="000000"/>
          <w:szCs w:val="24"/>
        </w:rPr>
        <w:t>)</w:t>
      </w:r>
      <w:r w:rsidR="003F4A53">
        <w:rPr>
          <w:color w:val="000000"/>
          <w:szCs w:val="24"/>
        </w:rPr>
        <w:t>. No comments were received.</w:t>
      </w:r>
    </w:p>
    <w:p w:rsidR="00234581" w:rsidRPr="005D45B5" w:rsidRDefault="00234581" w:rsidP="0023458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Cs w:val="24"/>
        </w:rPr>
      </w:pPr>
    </w:p>
    <w:p w:rsidR="00B77782" w:rsidRPr="00E26948" w:rsidRDefault="00B77782" w:rsidP="0023458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rPr>
      </w:pPr>
      <w:r w:rsidRPr="00E26948">
        <w:rPr>
          <w:rStyle w:val="BodyTextFi"/>
          <w:szCs w:val="24"/>
        </w:rPr>
        <w:t xml:space="preserve">Previously, HRSA </w:t>
      </w:r>
      <w:r w:rsidR="00FC1047" w:rsidRPr="00FC1047">
        <w:rPr>
          <w:rStyle w:val="BodyTextFi"/>
        </w:rPr>
        <w:t>conducted an inquiry with six Integrated Communication Technology (ICT) grantees. These grantees were funded to implement EHR and were successful. In early 2007, all six grantees were</w:t>
      </w:r>
      <w:r w:rsidR="007C2D03">
        <w:rPr>
          <w:rStyle w:val="BodyTextFi"/>
        </w:rPr>
        <w:t xml:space="preserve"> asked to provide input on the p</w:t>
      </w:r>
      <w:r w:rsidR="00FC1047" w:rsidRPr="00FC1047">
        <w:rPr>
          <w:rStyle w:val="BodyTextFi"/>
        </w:rPr>
        <w:t xml:space="preserve">rogress </w:t>
      </w:r>
      <w:r w:rsidR="007C2D03">
        <w:rPr>
          <w:rStyle w:val="BodyTextFi"/>
        </w:rPr>
        <w:t>report and i</w:t>
      </w:r>
      <w:r w:rsidR="00FC1047" w:rsidRPr="00FC1047">
        <w:rPr>
          <w:rStyle w:val="BodyTextFi"/>
        </w:rPr>
        <w:t xml:space="preserve">nstructional document for completing the </w:t>
      </w:r>
      <w:r w:rsidR="007C2D03">
        <w:rPr>
          <w:rStyle w:val="BodyTextFi"/>
        </w:rPr>
        <w:t>p</w:t>
      </w:r>
      <w:r w:rsidR="00FC1047" w:rsidRPr="00FC1047">
        <w:rPr>
          <w:rStyle w:val="BodyTextFi"/>
        </w:rPr>
        <w:t xml:space="preserve">rogress </w:t>
      </w:r>
      <w:r w:rsidR="007C2D03">
        <w:rPr>
          <w:rStyle w:val="BodyTextFi"/>
        </w:rPr>
        <w:t>r</w:t>
      </w:r>
      <w:r w:rsidR="00FC1047" w:rsidRPr="00FC1047">
        <w:rPr>
          <w:rStyle w:val="BodyTextFi"/>
        </w:rPr>
        <w:t>eport.</w:t>
      </w:r>
      <w:bookmarkStart w:id="9" w:name="OLE_LINK3"/>
      <w:r w:rsidR="00FC1047" w:rsidRPr="00FC1047">
        <w:rPr>
          <w:rStyle w:val="BodyTextFi"/>
        </w:rPr>
        <w:t xml:space="preserve"> The ICT grantees were asked to evaluate and provide feedback on the proposed data/information fields and performance outcome measures. The comments that the grantees provided were used to enhance the development of the submitted </w:t>
      </w:r>
      <w:r w:rsidR="007C2D03">
        <w:rPr>
          <w:rStyle w:val="BodyTextFi"/>
        </w:rPr>
        <w:t>p</w:t>
      </w:r>
      <w:r w:rsidR="00FC1047" w:rsidRPr="00FC1047">
        <w:rPr>
          <w:rStyle w:val="BodyTextFi"/>
        </w:rPr>
        <w:t xml:space="preserve">rogress </w:t>
      </w:r>
      <w:r w:rsidR="007C2D03">
        <w:rPr>
          <w:rStyle w:val="BodyTextFi"/>
        </w:rPr>
        <w:t>r</w:t>
      </w:r>
      <w:r w:rsidR="00FC1047" w:rsidRPr="00FC1047">
        <w:rPr>
          <w:rStyle w:val="BodyTextFi"/>
        </w:rPr>
        <w:t xml:space="preserve">eport. </w:t>
      </w:r>
      <w:bookmarkEnd w:id="9"/>
      <w:r w:rsidRPr="00E26948">
        <w:rPr>
          <w:rStyle w:val="BodyTextFi"/>
          <w:szCs w:val="24"/>
        </w:rPr>
        <w:t>This activity was reported in previous reports to OMB.</w:t>
      </w:r>
    </w:p>
    <w:p w:rsidR="00B77782" w:rsidRPr="00E26948" w:rsidRDefault="00B77782" w:rsidP="0023458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Cs w:val="24"/>
        </w:rPr>
      </w:pPr>
    </w:p>
    <w:p w:rsidR="00A91443" w:rsidRPr="00E26948" w:rsidRDefault="009E378F" w:rsidP="0023458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Cs w:val="24"/>
        </w:rPr>
      </w:pPr>
      <w:r w:rsidRPr="00E26948">
        <w:rPr>
          <w:rStyle w:val="BodyTextFi"/>
          <w:szCs w:val="24"/>
        </w:rPr>
        <w:t xml:space="preserve">In the fall of 2010, </w:t>
      </w:r>
      <w:r w:rsidR="007C2D03">
        <w:rPr>
          <w:rStyle w:val="BodyTextFi"/>
          <w:szCs w:val="24"/>
        </w:rPr>
        <w:t>HRSA</w:t>
      </w:r>
      <w:r w:rsidRPr="00E26948">
        <w:rPr>
          <w:rStyle w:val="BodyTextFi"/>
          <w:szCs w:val="24"/>
        </w:rPr>
        <w:t xml:space="preserve"> conducted an inquiry with three HCCN grantees, one from each grant type, in order to confirm that the burden of reporting has not changed. Two of the three responded with burden estimations</w:t>
      </w:r>
      <w:r w:rsidR="006D0094" w:rsidRPr="00E26948">
        <w:rPr>
          <w:rStyle w:val="BodyTextFi"/>
          <w:szCs w:val="24"/>
        </w:rPr>
        <w:t xml:space="preserve"> </w:t>
      </w:r>
      <w:r w:rsidR="00E26948" w:rsidRPr="00E26948">
        <w:rPr>
          <w:rStyle w:val="BodyTextFi"/>
          <w:szCs w:val="24"/>
        </w:rPr>
        <w:t>slightly higher than</w:t>
      </w:r>
      <w:r w:rsidR="006D0094" w:rsidRPr="00E26948">
        <w:rPr>
          <w:rStyle w:val="BodyTextFi"/>
          <w:szCs w:val="24"/>
        </w:rPr>
        <w:t xml:space="preserve"> those previously reported</w:t>
      </w:r>
      <w:r w:rsidR="00EF36B0" w:rsidRPr="00E26948">
        <w:rPr>
          <w:rStyle w:val="BodyTextFi"/>
          <w:szCs w:val="24"/>
        </w:rPr>
        <w:t>.</w:t>
      </w:r>
      <w:r w:rsidRPr="00E26948">
        <w:rPr>
          <w:rStyle w:val="BodyTextFi"/>
          <w:szCs w:val="24"/>
        </w:rPr>
        <w:t xml:space="preserve"> </w:t>
      </w:r>
      <w:r w:rsidR="00EF36B0" w:rsidRPr="00E26948">
        <w:rPr>
          <w:rStyle w:val="BodyTextFi"/>
          <w:szCs w:val="24"/>
        </w:rPr>
        <w:t>T</w:t>
      </w:r>
      <w:r w:rsidRPr="00E26948">
        <w:rPr>
          <w:rStyle w:val="BodyTextFi"/>
          <w:szCs w:val="24"/>
        </w:rPr>
        <w:t>he third (</w:t>
      </w:r>
      <w:r w:rsidR="0011224D" w:rsidRPr="00E26948">
        <w:rPr>
          <w:rStyle w:val="BodyTextFi"/>
          <w:szCs w:val="24"/>
        </w:rPr>
        <w:t>representing</w:t>
      </w:r>
      <w:r w:rsidRPr="00E26948">
        <w:rPr>
          <w:rStyle w:val="BodyTextFi"/>
          <w:szCs w:val="24"/>
        </w:rPr>
        <w:t xml:space="preserve"> the</w:t>
      </w:r>
      <w:r w:rsidR="000879AC" w:rsidRPr="00E26948">
        <w:rPr>
          <w:rStyle w:val="BodyTextFi"/>
          <w:szCs w:val="24"/>
        </w:rPr>
        <w:t xml:space="preserve"> sole</w:t>
      </w:r>
      <w:r w:rsidRPr="00E26948">
        <w:rPr>
          <w:rStyle w:val="BodyTextFi"/>
          <w:szCs w:val="24"/>
        </w:rPr>
        <w:t xml:space="preserve"> Planning Grant, whose performance period </w:t>
      </w:r>
      <w:r w:rsidR="0011224D" w:rsidRPr="00E26948">
        <w:rPr>
          <w:rStyle w:val="BodyTextFi"/>
          <w:szCs w:val="24"/>
        </w:rPr>
        <w:t xml:space="preserve">ended </w:t>
      </w:r>
      <w:r w:rsidR="00D22890" w:rsidRPr="00E26948">
        <w:rPr>
          <w:rStyle w:val="BodyTextFi"/>
          <w:szCs w:val="24"/>
        </w:rPr>
        <w:t>on</w:t>
      </w:r>
      <w:r w:rsidR="0011224D" w:rsidRPr="00E26948">
        <w:rPr>
          <w:rStyle w:val="BodyTextFi"/>
          <w:szCs w:val="24"/>
        </w:rPr>
        <w:t xml:space="preserve"> 8/31/2010 but is currently on a No Cost Extension until 2011</w:t>
      </w:r>
      <w:r w:rsidRPr="00E26948">
        <w:rPr>
          <w:rStyle w:val="BodyTextFi"/>
          <w:szCs w:val="24"/>
        </w:rPr>
        <w:t xml:space="preserve">) </w:t>
      </w:r>
      <w:r w:rsidR="006D0094" w:rsidRPr="00E26948">
        <w:rPr>
          <w:rStyle w:val="BodyTextFi"/>
          <w:szCs w:val="24"/>
        </w:rPr>
        <w:t>responded with an estimate below the previous one</w:t>
      </w:r>
      <w:r w:rsidR="00EF36B0" w:rsidRPr="00E26948">
        <w:rPr>
          <w:rStyle w:val="BodyTextFi"/>
          <w:szCs w:val="24"/>
        </w:rPr>
        <w:t>.</w:t>
      </w:r>
      <w:r w:rsidR="007B256B" w:rsidRPr="00E26948">
        <w:rPr>
          <w:rStyle w:val="BodyTextFi"/>
          <w:szCs w:val="24"/>
        </w:rPr>
        <w:t xml:space="preserve"> </w:t>
      </w:r>
      <w:r w:rsidR="00B77782" w:rsidRPr="00E26948">
        <w:t xml:space="preserve">The contacted grantees are listed in the table below. </w:t>
      </w:r>
    </w:p>
    <w:p w:rsidR="00FC1047" w:rsidRDefault="00FC1047" w:rsidP="00FC104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Cs w:val="24"/>
        </w:rPr>
      </w:pPr>
    </w:p>
    <w:p w:rsidR="00A91443" w:rsidRPr="005D45B5" w:rsidRDefault="00A91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4788"/>
      </w:tblGrid>
      <w:tr w:rsidR="00A91443" w:rsidRPr="005D45B5">
        <w:tc>
          <w:tcPr>
            <w:tcW w:w="4788" w:type="dxa"/>
          </w:tcPr>
          <w:p w:rsidR="004A72E8" w:rsidRPr="002B2A89" w:rsidRDefault="004A72E8" w:rsidP="004A72E8">
            <w:pPr>
              <w:rPr>
                <w:rStyle w:val="BodyTextFi"/>
                <w:szCs w:val="24"/>
              </w:rPr>
            </w:pPr>
            <w:r w:rsidRPr="002B2A89">
              <w:rPr>
                <w:rStyle w:val="BodyTextFi"/>
                <w:szCs w:val="24"/>
              </w:rPr>
              <w:t>Health Choice Network, Inc.</w:t>
            </w:r>
          </w:p>
          <w:p w:rsidR="004A72E8" w:rsidRDefault="004A72E8" w:rsidP="004A72E8">
            <w:pPr>
              <w:rPr>
                <w:rStyle w:val="BodyTextFi"/>
                <w:szCs w:val="24"/>
              </w:rPr>
            </w:pPr>
            <w:r>
              <w:rPr>
                <w:rStyle w:val="BodyTextFi"/>
                <w:szCs w:val="24"/>
              </w:rPr>
              <w:t>Patrice Tulloch</w:t>
            </w:r>
          </w:p>
          <w:p w:rsidR="004A72E8" w:rsidRDefault="009479BD" w:rsidP="004A72E8">
            <w:pPr>
              <w:rPr>
                <w:rStyle w:val="BodyTextFi"/>
              </w:rPr>
            </w:pPr>
            <w:hyperlink r:id="rId7" w:history="1">
              <w:r w:rsidR="004A72E8" w:rsidRPr="001A7DFA">
                <w:rPr>
                  <w:rStyle w:val="Hyperlink"/>
                </w:rPr>
                <w:t>ptulloch</w:t>
              </w:r>
              <w:r w:rsidR="004A72E8" w:rsidRPr="001A7DFA">
                <w:rPr>
                  <w:rStyle w:val="Hyperlink"/>
                  <w:szCs w:val="24"/>
                </w:rPr>
                <w:t>@hcnetwork</w:t>
              </w:r>
              <w:r w:rsidR="00FC1047" w:rsidRPr="00FC1047">
                <w:rPr>
                  <w:rStyle w:val="Hyperlink"/>
                </w:rPr>
                <w:t>.org</w:t>
              </w:r>
            </w:hyperlink>
          </w:p>
          <w:p w:rsidR="004A72E8" w:rsidRDefault="00FC1047">
            <w:pPr>
              <w:rPr>
                <w:rStyle w:val="BodyTextFi"/>
                <w:szCs w:val="24"/>
                <w:lang w:val="fr-FR"/>
              </w:rPr>
            </w:pPr>
            <w:r w:rsidRPr="00FC1047">
              <w:rPr>
                <w:rStyle w:val="BodyTextFi"/>
              </w:rPr>
              <w:t>(</w:t>
            </w:r>
            <w:r w:rsidR="004A72E8" w:rsidRPr="009E378F">
              <w:rPr>
                <w:rStyle w:val="BodyTextFi"/>
                <w:szCs w:val="24"/>
              </w:rPr>
              <w:t>305) 392-8807</w:t>
            </w:r>
          </w:p>
          <w:p w:rsidR="00B721AF" w:rsidRDefault="00B721AF">
            <w:pPr>
              <w:rPr>
                <w:rStyle w:val="BodyTextFi"/>
                <w:szCs w:val="24"/>
                <w:lang w:val="fr-FR"/>
              </w:rPr>
            </w:pPr>
          </w:p>
          <w:p w:rsidR="00B721AF" w:rsidRPr="00B721AF" w:rsidRDefault="00B721AF">
            <w:pPr>
              <w:rPr>
                <w:rStyle w:val="BodyTextFi"/>
                <w:szCs w:val="24"/>
                <w:lang w:val="fr-FR"/>
              </w:rPr>
            </w:pPr>
          </w:p>
        </w:tc>
        <w:tc>
          <w:tcPr>
            <w:tcW w:w="4788" w:type="dxa"/>
          </w:tcPr>
          <w:p w:rsidR="00A91443" w:rsidRDefault="00B721AF">
            <w:pPr>
              <w:rPr>
                <w:rStyle w:val="BodyTextFi"/>
                <w:szCs w:val="24"/>
                <w:lang w:val="fr-FR"/>
              </w:rPr>
            </w:pPr>
            <w:r w:rsidRPr="00B721AF">
              <w:rPr>
                <w:rStyle w:val="BodyTextFi"/>
                <w:szCs w:val="24"/>
                <w:lang w:val="fr-FR"/>
              </w:rPr>
              <w:t xml:space="preserve">Oregon </w:t>
            </w:r>
            <w:proofErr w:type="spellStart"/>
            <w:r w:rsidRPr="00B721AF">
              <w:rPr>
                <w:rStyle w:val="BodyTextFi"/>
                <w:szCs w:val="24"/>
                <w:lang w:val="fr-FR"/>
              </w:rPr>
              <w:t>Primary</w:t>
            </w:r>
            <w:proofErr w:type="spellEnd"/>
            <w:r w:rsidRPr="00B721AF">
              <w:rPr>
                <w:rStyle w:val="BodyTextFi"/>
                <w:szCs w:val="24"/>
                <w:lang w:val="fr-FR"/>
              </w:rPr>
              <w:t xml:space="preserve"> Care Association (Oregon </w:t>
            </w:r>
            <w:proofErr w:type="spellStart"/>
            <w:r w:rsidRPr="00B721AF">
              <w:rPr>
                <w:rStyle w:val="BodyTextFi"/>
                <w:szCs w:val="24"/>
                <w:lang w:val="fr-FR"/>
              </w:rPr>
              <w:t>Community</w:t>
            </w:r>
            <w:proofErr w:type="spellEnd"/>
            <w:r w:rsidRPr="00B721AF">
              <w:rPr>
                <w:rStyle w:val="BodyTextFi"/>
                <w:szCs w:val="24"/>
                <w:lang w:val="fr-FR"/>
              </w:rPr>
              <w:t xml:space="preserve"> </w:t>
            </w:r>
            <w:proofErr w:type="spellStart"/>
            <w:r w:rsidRPr="00B721AF">
              <w:rPr>
                <w:rStyle w:val="BodyTextFi"/>
                <w:szCs w:val="24"/>
                <w:lang w:val="fr-FR"/>
              </w:rPr>
              <w:t>Health</w:t>
            </w:r>
            <w:proofErr w:type="spellEnd"/>
            <w:r w:rsidRPr="00B721AF">
              <w:rPr>
                <w:rStyle w:val="BodyTextFi"/>
                <w:szCs w:val="24"/>
                <w:lang w:val="fr-FR"/>
              </w:rPr>
              <w:t xml:space="preserve"> Information Network)</w:t>
            </w:r>
          </w:p>
          <w:p w:rsidR="00B721AF" w:rsidRDefault="00B721AF">
            <w:pPr>
              <w:rPr>
                <w:rStyle w:val="BodyTextFi"/>
                <w:szCs w:val="24"/>
                <w:lang w:val="fr-FR"/>
              </w:rPr>
            </w:pPr>
            <w:r w:rsidRPr="00B721AF">
              <w:rPr>
                <w:rStyle w:val="BodyTextFi"/>
                <w:szCs w:val="24"/>
                <w:lang w:val="fr-FR"/>
              </w:rPr>
              <w:t>Abby Sears</w:t>
            </w:r>
            <w:r>
              <w:rPr>
                <w:rStyle w:val="BodyTextFi"/>
                <w:szCs w:val="24"/>
                <w:lang w:val="fr-FR"/>
              </w:rPr>
              <w:t xml:space="preserve"> </w:t>
            </w:r>
          </w:p>
          <w:p w:rsidR="00B721AF" w:rsidRDefault="009479BD">
            <w:pPr>
              <w:rPr>
                <w:rStyle w:val="BodyTextFi"/>
                <w:szCs w:val="24"/>
                <w:lang w:val="fr-FR"/>
              </w:rPr>
            </w:pPr>
            <w:hyperlink r:id="rId8" w:history="1">
              <w:r w:rsidR="00B721AF" w:rsidRPr="005F112B">
                <w:rPr>
                  <w:rStyle w:val="Hyperlink"/>
                  <w:szCs w:val="24"/>
                  <w:lang w:val="fr-FR"/>
                </w:rPr>
                <w:t>searsa@ochin.org</w:t>
              </w:r>
            </w:hyperlink>
          </w:p>
          <w:p w:rsidR="00B721AF" w:rsidRPr="00B721AF" w:rsidRDefault="0074107E">
            <w:pPr>
              <w:rPr>
                <w:rStyle w:val="BodyTextFi"/>
                <w:szCs w:val="24"/>
                <w:lang w:val="fr-FR"/>
              </w:rPr>
            </w:pPr>
            <w:r>
              <w:rPr>
                <w:rStyle w:val="BodyTextFi"/>
                <w:szCs w:val="24"/>
                <w:lang w:val="fr-FR"/>
              </w:rPr>
              <w:t xml:space="preserve">(503) </w:t>
            </w:r>
            <w:r w:rsidR="00B721AF" w:rsidRPr="00B721AF">
              <w:rPr>
                <w:rStyle w:val="BodyTextFi"/>
                <w:szCs w:val="24"/>
                <w:lang w:val="fr-FR"/>
              </w:rPr>
              <w:t>943-2500</w:t>
            </w:r>
          </w:p>
          <w:p w:rsidR="00B721AF" w:rsidRPr="00B721AF" w:rsidRDefault="00B721AF">
            <w:pPr>
              <w:rPr>
                <w:rStyle w:val="BodyTextFi"/>
                <w:szCs w:val="24"/>
                <w:lang w:val="fr-FR"/>
              </w:rPr>
            </w:pPr>
          </w:p>
        </w:tc>
      </w:tr>
      <w:tr w:rsidR="00575884" w:rsidRPr="005D45B5">
        <w:tc>
          <w:tcPr>
            <w:tcW w:w="4788" w:type="dxa"/>
          </w:tcPr>
          <w:p w:rsidR="007B256B" w:rsidRDefault="007B256B">
            <w:r w:rsidRPr="007B256B">
              <w:t>Community Health Net</w:t>
            </w:r>
          </w:p>
          <w:p w:rsidR="007B256B" w:rsidRDefault="007B256B">
            <w:r w:rsidRPr="007B256B">
              <w:t>Stuart Neal Pullen</w:t>
            </w:r>
          </w:p>
          <w:p w:rsidR="007B256B" w:rsidRDefault="009479BD">
            <w:hyperlink r:id="rId9" w:history="1">
              <w:r w:rsidR="007B256B" w:rsidRPr="001A7DFA">
                <w:rPr>
                  <w:rStyle w:val="Hyperlink"/>
                </w:rPr>
                <w:t>stuart@pachc.com</w:t>
              </w:r>
            </w:hyperlink>
          </w:p>
          <w:p w:rsidR="00C761A8" w:rsidRPr="00C761A8" w:rsidRDefault="007B256B">
            <w:pPr>
              <w:rPr>
                <w:rStyle w:val="BodyTextFi"/>
                <w:szCs w:val="24"/>
                <w:lang w:val="fr-FR"/>
              </w:rPr>
            </w:pPr>
            <w:r w:rsidRPr="007B256B">
              <w:t>(814) 454-4530</w:t>
            </w:r>
          </w:p>
          <w:p w:rsidR="00120BCF" w:rsidRPr="00C761A8" w:rsidRDefault="00120BCF">
            <w:pPr>
              <w:rPr>
                <w:rStyle w:val="BodyTextFi"/>
                <w:szCs w:val="24"/>
                <w:lang w:val="fr-FR"/>
              </w:rPr>
            </w:pPr>
          </w:p>
          <w:p w:rsidR="00120BCF" w:rsidRPr="00C761A8" w:rsidRDefault="00120BCF">
            <w:pPr>
              <w:rPr>
                <w:rStyle w:val="BodyTextFi"/>
                <w:szCs w:val="24"/>
                <w:lang w:val="fr-FR"/>
              </w:rPr>
            </w:pPr>
          </w:p>
        </w:tc>
        <w:tc>
          <w:tcPr>
            <w:tcW w:w="4788" w:type="dxa"/>
          </w:tcPr>
          <w:p w:rsidR="00C761A8" w:rsidRPr="00B721AF" w:rsidRDefault="00C761A8">
            <w:pPr>
              <w:rPr>
                <w:rStyle w:val="BodyTextFi"/>
                <w:szCs w:val="24"/>
                <w:lang w:val="fr-FR"/>
              </w:rPr>
            </w:pPr>
          </w:p>
        </w:tc>
      </w:tr>
    </w:tbl>
    <w:p w:rsidR="00A91443" w:rsidRPr="005D45B5" w:rsidRDefault="00A91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Cs w:val="24"/>
        </w:rPr>
      </w:pPr>
    </w:p>
    <w:p w:rsidR="00A91443" w:rsidRPr="005D45B5" w:rsidRDefault="00A91443">
      <w:pPr>
        <w:rPr>
          <w:szCs w:val="24"/>
        </w:rPr>
      </w:pPr>
    </w:p>
    <w:p w:rsidR="00A91443" w:rsidRPr="005D45B5" w:rsidRDefault="00A91443">
      <w:pPr>
        <w:pStyle w:val="Heading2"/>
        <w:rPr>
          <w:szCs w:val="24"/>
        </w:rPr>
      </w:pPr>
      <w:bookmarkStart w:id="10" w:name="_Toc132560368"/>
      <w:r w:rsidRPr="005D45B5">
        <w:rPr>
          <w:szCs w:val="24"/>
        </w:rPr>
        <w:t>Remuneration of Respondents</w:t>
      </w:r>
      <w:bookmarkEnd w:id="10"/>
      <w:r w:rsidRPr="005D45B5">
        <w:rPr>
          <w:szCs w:val="24"/>
        </w:rPr>
        <w:t xml:space="preserve"> </w:t>
      </w:r>
    </w:p>
    <w:p w:rsidR="00A91443" w:rsidRPr="005D45B5" w:rsidRDefault="00A91443">
      <w:pPr>
        <w:rPr>
          <w:szCs w:val="24"/>
        </w:rPr>
      </w:pPr>
      <w:r w:rsidRPr="005D45B5">
        <w:rPr>
          <w:szCs w:val="24"/>
        </w:rPr>
        <w:t xml:space="preserve">Respondents will not be remunerated. </w:t>
      </w:r>
    </w:p>
    <w:p w:rsidR="00A91443" w:rsidRPr="005D45B5" w:rsidRDefault="00A91443">
      <w:pPr>
        <w:rPr>
          <w:szCs w:val="24"/>
        </w:rPr>
      </w:pPr>
    </w:p>
    <w:p w:rsidR="00A91443" w:rsidRPr="005D45B5" w:rsidRDefault="00A91443">
      <w:pPr>
        <w:pStyle w:val="Heading2"/>
        <w:rPr>
          <w:szCs w:val="24"/>
        </w:rPr>
      </w:pPr>
      <w:bookmarkStart w:id="11" w:name="_Toc132560369"/>
      <w:r w:rsidRPr="005D45B5">
        <w:rPr>
          <w:szCs w:val="24"/>
        </w:rPr>
        <w:t>Assurance of Confidentiality</w:t>
      </w:r>
      <w:bookmarkEnd w:id="11"/>
    </w:p>
    <w:p w:rsidR="00A91443" w:rsidRDefault="00A91443">
      <w:pPr>
        <w:rPr>
          <w:szCs w:val="24"/>
        </w:rPr>
      </w:pPr>
      <w:r w:rsidRPr="005D45B5">
        <w:rPr>
          <w:szCs w:val="24"/>
        </w:rPr>
        <w:t xml:space="preserve">The </w:t>
      </w:r>
      <w:r w:rsidR="007C2D03">
        <w:rPr>
          <w:szCs w:val="24"/>
        </w:rPr>
        <w:t>p</w:t>
      </w:r>
      <w:r w:rsidR="001B4136">
        <w:rPr>
          <w:szCs w:val="24"/>
        </w:rPr>
        <w:t xml:space="preserve">rogress </w:t>
      </w:r>
      <w:r w:rsidR="007C2D03">
        <w:rPr>
          <w:szCs w:val="24"/>
        </w:rPr>
        <w:t>r</w:t>
      </w:r>
      <w:r w:rsidR="001B4136">
        <w:rPr>
          <w:szCs w:val="24"/>
        </w:rPr>
        <w:t xml:space="preserve">eport </w:t>
      </w:r>
      <w:r w:rsidRPr="005D45B5">
        <w:rPr>
          <w:szCs w:val="24"/>
        </w:rPr>
        <w:t>does not require any information that could identify individual clients. Names and personal iden</w:t>
      </w:r>
      <w:r w:rsidR="00A14F7B">
        <w:rPr>
          <w:szCs w:val="24"/>
        </w:rPr>
        <w:t>tifiers are not included in the</w:t>
      </w:r>
      <w:r w:rsidRPr="005D45B5">
        <w:rPr>
          <w:szCs w:val="24"/>
        </w:rPr>
        <w:t xml:space="preserve"> aggregate data report. All reports and tabulated data that are released to the general public are summaries of information across providers, which protect individual </w:t>
      </w:r>
      <w:r w:rsidRPr="005D45B5">
        <w:rPr>
          <w:szCs w:val="24"/>
        </w:rPr>
        <w:lastRenderedPageBreak/>
        <w:t>providers from being identified</w:t>
      </w:r>
      <w:r w:rsidR="0026772F">
        <w:rPr>
          <w:szCs w:val="24"/>
        </w:rPr>
        <w:t>.</w:t>
      </w:r>
    </w:p>
    <w:p w:rsidR="0026772F" w:rsidRPr="005D45B5" w:rsidRDefault="0026772F">
      <w:pPr>
        <w:rPr>
          <w:b/>
          <w:szCs w:val="24"/>
        </w:rPr>
      </w:pPr>
    </w:p>
    <w:p w:rsidR="00A91443" w:rsidRPr="005D45B5" w:rsidRDefault="00A91443">
      <w:pPr>
        <w:pStyle w:val="Heading2"/>
        <w:rPr>
          <w:szCs w:val="24"/>
        </w:rPr>
      </w:pPr>
      <w:bookmarkStart w:id="12" w:name="_Toc132560370"/>
      <w:r w:rsidRPr="005D45B5">
        <w:rPr>
          <w:szCs w:val="24"/>
        </w:rPr>
        <w:t>Questions of a Sensitive Nature</w:t>
      </w:r>
      <w:bookmarkEnd w:id="12"/>
      <w:r w:rsidRPr="005D45B5">
        <w:rPr>
          <w:szCs w:val="24"/>
        </w:rPr>
        <w:t xml:space="preserve"> </w:t>
      </w:r>
    </w:p>
    <w:p w:rsidR="00A91443" w:rsidRDefault="00A91443">
      <w:pPr>
        <w:rPr>
          <w:szCs w:val="24"/>
        </w:rPr>
      </w:pPr>
      <w:r w:rsidRPr="005D45B5">
        <w:rPr>
          <w:szCs w:val="24"/>
        </w:rPr>
        <w:t xml:space="preserve">There are no questions of a sensitive nature collected in the </w:t>
      </w:r>
      <w:r w:rsidR="001B4136">
        <w:rPr>
          <w:szCs w:val="24"/>
        </w:rPr>
        <w:t>Progress Report</w:t>
      </w:r>
      <w:r w:rsidRPr="005D45B5">
        <w:rPr>
          <w:szCs w:val="24"/>
        </w:rPr>
        <w:t xml:space="preserve">. No patient or client-level identifying data are reported. Identification of the grantees as recipients of </w:t>
      </w:r>
      <w:r w:rsidR="001B4136">
        <w:rPr>
          <w:szCs w:val="24"/>
        </w:rPr>
        <w:t>HCCN funding</w:t>
      </w:r>
      <w:r w:rsidRPr="005D45B5">
        <w:rPr>
          <w:szCs w:val="24"/>
        </w:rPr>
        <w:t xml:space="preserve"> is a matter of public record, as these agencies receive funds directly from HRSA. Only aggregate data summarizing </w:t>
      </w:r>
      <w:r w:rsidR="001B4136">
        <w:rPr>
          <w:szCs w:val="24"/>
        </w:rPr>
        <w:t>HCCN</w:t>
      </w:r>
      <w:r w:rsidR="004A4DB1">
        <w:rPr>
          <w:szCs w:val="24"/>
        </w:rPr>
        <w:t>’S</w:t>
      </w:r>
      <w:r w:rsidR="001B4136">
        <w:rPr>
          <w:szCs w:val="24"/>
        </w:rPr>
        <w:t xml:space="preserve"> Progress Reports</w:t>
      </w:r>
      <w:r w:rsidRPr="005D45B5">
        <w:rPr>
          <w:szCs w:val="24"/>
        </w:rPr>
        <w:t xml:space="preserve"> will be included in reports published by HRSA.</w:t>
      </w:r>
      <w:r w:rsidR="00473E76">
        <w:rPr>
          <w:szCs w:val="24"/>
        </w:rPr>
        <w:t xml:space="preserve"> </w:t>
      </w:r>
    </w:p>
    <w:p w:rsidR="0026772F" w:rsidRPr="005D45B5" w:rsidRDefault="0026772F">
      <w:pPr>
        <w:rPr>
          <w:szCs w:val="24"/>
        </w:rPr>
      </w:pPr>
    </w:p>
    <w:p w:rsidR="00A91443" w:rsidRPr="005D45B5" w:rsidRDefault="00A91443">
      <w:pPr>
        <w:pStyle w:val="Heading2"/>
        <w:rPr>
          <w:szCs w:val="24"/>
        </w:rPr>
      </w:pPr>
      <w:bookmarkStart w:id="13" w:name="_Toc132560371"/>
      <w:r w:rsidRPr="005D45B5">
        <w:rPr>
          <w:szCs w:val="24"/>
        </w:rPr>
        <w:t>Estimates of Annualized Hour Burden</w:t>
      </w:r>
      <w:bookmarkEnd w:id="13"/>
      <w:r w:rsidRPr="005D45B5">
        <w:rPr>
          <w:szCs w:val="24"/>
        </w:rPr>
        <w:t xml:space="preserve"> </w:t>
      </w:r>
    </w:p>
    <w:p w:rsidR="00A91443" w:rsidRPr="005D45B5" w:rsidRDefault="00A91443">
      <w:pPr>
        <w:rPr>
          <w:szCs w:val="24"/>
        </w:rPr>
      </w:pPr>
      <w:r w:rsidRPr="005D45B5">
        <w:rPr>
          <w:szCs w:val="24"/>
        </w:rPr>
        <w:t xml:space="preserve">The estimate of average annualized hour burden for respondents is shown in Table 1. As Table 1 shows, an estimated total of </w:t>
      </w:r>
      <w:r w:rsidR="00BD4B0E">
        <w:rPr>
          <w:szCs w:val="24"/>
        </w:rPr>
        <w:t>89</w:t>
      </w:r>
      <w:r w:rsidR="00BD4B0E" w:rsidRPr="005D45B5">
        <w:rPr>
          <w:szCs w:val="24"/>
        </w:rPr>
        <w:t xml:space="preserve"> </w:t>
      </w:r>
      <w:r w:rsidRPr="005D45B5">
        <w:rPr>
          <w:szCs w:val="24"/>
        </w:rPr>
        <w:t xml:space="preserve">respondents </w:t>
      </w:r>
      <w:r w:rsidR="00BD4B0E">
        <w:rPr>
          <w:szCs w:val="24"/>
        </w:rPr>
        <w:t xml:space="preserve">(1 Planning, 56 EHR Implementation, and 32 Innovations) </w:t>
      </w:r>
      <w:r w:rsidRPr="005D45B5">
        <w:rPr>
          <w:szCs w:val="24"/>
        </w:rPr>
        <w:t xml:space="preserve">will submit the </w:t>
      </w:r>
      <w:r w:rsidR="004A4DB1">
        <w:rPr>
          <w:szCs w:val="24"/>
        </w:rPr>
        <w:t>Progress Reports</w:t>
      </w:r>
      <w:r w:rsidRPr="005D45B5">
        <w:rPr>
          <w:szCs w:val="24"/>
        </w:rPr>
        <w:t>. Each respon</w:t>
      </w:r>
      <w:r w:rsidR="00A14F7B">
        <w:rPr>
          <w:szCs w:val="24"/>
        </w:rPr>
        <w:t>dent will submit two responses</w:t>
      </w:r>
      <w:r w:rsidR="005D55B9">
        <w:rPr>
          <w:szCs w:val="24"/>
        </w:rPr>
        <w:t xml:space="preserve"> </w:t>
      </w:r>
      <w:r w:rsidR="00A14F7B">
        <w:rPr>
          <w:szCs w:val="24"/>
        </w:rPr>
        <w:t xml:space="preserve">- </w:t>
      </w:r>
      <w:r w:rsidRPr="005D45B5">
        <w:rPr>
          <w:szCs w:val="24"/>
        </w:rPr>
        <w:t xml:space="preserve">(1) </w:t>
      </w:r>
      <w:r w:rsidR="005C08F5">
        <w:rPr>
          <w:szCs w:val="24"/>
        </w:rPr>
        <w:t>semiannual</w:t>
      </w:r>
      <w:r w:rsidR="004A4DB1">
        <w:rPr>
          <w:szCs w:val="24"/>
        </w:rPr>
        <w:t xml:space="preserve"> Progress Report</w:t>
      </w:r>
      <w:r w:rsidRPr="005D45B5">
        <w:rPr>
          <w:i/>
          <w:szCs w:val="24"/>
        </w:rPr>
        <w:t xml:space="preserve"> </w:t>
      </w:r>
      <w:r w:rsidR="005D55B9">
        <w:rPr>
          <w:szCs w:val="24"/>
        </w:rPr>
        <w:t>and (2) the</w:t>
      </w:r>
      <w:r w:rsidR="004A4DB1">
        <w:rPr>
          <w:szCs w:val="24"/>
        </w:rPr>
        <w:t xml:space="preserve"> accumulative annual yearly Progress Report</w:t>
      </w:r>
      <w:r w:rsidR="006C7220">
        <w:rPr>
          <w:szCs w:val="24"/>
        </w:rPr>
        <w:t>.</w:t>
      </w:r>
      <w:r w:rsidRPr="005D45B5">
        <w:rPr>
          <w:szCs w:val="24"/>
        </w:rPr>
        <w:t xml:space="preserve"> Each grantee’s re</w:t>
      </w:r>
      <w:r w:rsidR="006C7220">
        <w:rPr>
          <w:szCs w:val="24"/>
        </w:rPr>
        <w:t>port</w:t>
      </w:r>
      <w:r w:rsidRPr="005D45B5">
        <w:rPr>
          <w:szCs w:val="24"/>
        </w:rPr>
        <w:t xml:space="preserve"> will take approximately </w:t>
      </w:r>
      <w:r w:rsidR="00BD4B0E">
        <w:rPr>
          <w:szCs w:val="24"/>
        </w:rPr>
        <w:t>10</w:t>
      </w:r>
      <w:r w:rsidR="00BD4B0E" w:rsidRPr="005D45B5">
        <w:rPr>
          <w:szCs w:val="24"/>
        </w:rPr>
        <w:t xml:space="preserve"> </w:t>
      </w:r>
      <w:r w:rsidRPr="005D45B5">
        <w:rPr>
          <w:szCs w:val="24"/>
        </w:rPr>
        <w:t>hours on</w:t>
      </w:r>
      <w:r w:rsidR="005D55B9">
        <w:rPr>
          <w:szCs w:val="24"/>
        </w:rPr>
        <w:t xml:space="preserve"> </w:t>
      </w:r>
      <w:r w:rsidRPr="005D45B5">
        <w:rPr>
          <w:szCs w:val="24"/>
        </w:rPr>
        <w:t>average to complete</w:t>
      </w:r>
      <w:r w:rsidR="00BD4B0E">
        <w:rPr>
          <w:szCs w:val="24"/>
        </w:rPr>
        <w:t xml:space="preserve"> for the Planning grant and 18 </w:t>
      </w:r>
      <w:r w:rsidR="00B0041E">
        <w:rPr>
          <w:szCs w:val="24"/>
        </w:rPr>
        <w:t xml:space="preserve">hours </w:t>
      </w:r>
      <w:r w:rsidR="00BD4B0E">
        <w:rPr>
          <w:szCs w:val="24"/>
        </w:rPr>
        <w:t>for the other types</w:t>
      </w:r>
      <w:r w:rsidRPr="005D45B5">
        <w:rPr>
          <w:szCs w:val="24"/>
        </w:rPr>
        <w:t>. The total number of respondents (</w:t>
      </w:r>
      <w:r w:rsidR="00BD4B0E">
        <w:rPr>
          <w:szCs w:val="24"/>
        </w:rPr>
        <w:t>89</w:t>
      </w:r>
      <w:r w:rsidR="00A14F7B">
        <w:rPr>
          <w:szCs w:val="24"/>
        </w:rPr>
        <w:t>) times</w:t>
      </w:r>
      <w:r w:rsidRPr="005D45B5">
        <w:rPr>
          <w:szCs w:val="24"/>
        </w:rPr>
        <w:t xml:space="preserve"> two responses per grantee times the estimated hours per response results in a total burden estimate of </w:t>
      </w:r>
      <w:r w:rsidR="00BD4B0E">
        <w:rPr>
          <w:szCs w:val="24"/>
        </w:rPr>
        <w:t>3,188</w:t>
      </w:r>
      <w:r w:rsidR="00BD4B0E" w:rsidRPr="005D45B5">
        <w:rPr>
          <w:szCs w:val="24"/>
        </w:rPr>
        <w:t xml:space="preserve"> </w:t>
      </w:r>
      <w:r w:rsidRPr="005D45B5">
        <w:rPr>
          <w:szCs w:val="24"/>
        </w:rPr>
        <w:t>hours for this activity.</w:t>
      </w:r>
    </w:p>
    <w:p w:rsidR="00A91443" w:rsidRPr="005D45B5" w:rsidRDefault="00A91443">
      <w:pPr>
        <w:rPr>
          <w:szCs w:val="24"/>
        </w:rPr>
      </w:pPr>
    </w:p>
    <w:p w:rsidR="00A91443" w:rsidRDefault="00A91443">
      <w:pPr>
        <w:pStyle w:val="Caption"/>
        <w:rPr>
          <w:szCs w:val="24"/>
        </w:rPr>
      </w:pPr>
      <w:bookmarkStart w:id="14" w:name="_Toc132621277"/>
      <w:proofErr w:type="gramStart"/>
      <w:r w:rsidRPr="005D45B5">
        <w:rPr>
          <w:szCs w:val="24"/>
        </w:rPr>
        <w:t xml:space="preserve">Table </w:t>
      </w:r>
      <w:r w:rsidR="009479BD" w:rsidRPr="005D45B5">
        <w:rPr>
          <w:szCs w:val="24"/>
        </w:rPr>
        <w:fldChar w:fldCharType="begin"/>
      </w:r>
      <w:r w:rsidRPr="005D45B5">
        <w:rPr>
          <w:szCs w:val="24"/>
        </w:rPr>
        <w:instrText xml:space="preserve"> SEQ Table \* ARABIC </w:instrText>
      </w:r>
      <w:r w:rsidR="009479BD" w:rsidRPr="005D45B5">
        <w:rPr>
          <w:szCs w:val="24"/>
        </w:rPr>
        <w:fldChar w:fldCharType="separate"/>
      </w:r>
      <w:r w:rsidR="00293484">
        <w:rPr>
          <w:noProof/>
          <w:szCs w:val="24"/>
        </w:rPr>
        <w:t>1</w:t>
      </w:r>
      <w:r w:rsidR="009479BD" w:rsidRPr="005D45B5">
        <w:rPr>
          <w:szCs w:val="24"/>
        </w:rPr>
        <w:fldChar w:fldCharType="end"/>
      </w:r>
      <w:r w:rsidRPr="005D45B5">
        <w:rPr>
          <w:szCs w:val="24"/>
        </w:rPr>
        <w:t>.</w:t>
      </w:r>
      <w:proofErr w:type="gramEnd"/>
      <w:r w:rsidRPr="005D45B5">
        <w:rPr>
          <w:szCs w:val="24"/>
        </w:rPr>
        <w:t xml:space="preserve"> Estimates of Average Annualized Hour Burden</w:t>
      </w:r>
      <w:bookmarkEnd w:id="14"/>
      <w:r w:rsidR="00473E76">
        <w:rPr>
          <w:szCs w:val="24"/>
        </w:rPr>
        <w:t xml:space="preserve"> </w:t>
      </w:r>
    </w:p>
    <w:tbl>
      <w:tblPr>
        <w:tblW w:w="9270" w:type="dxa"/>
        <w:tblInd w:w="97" w:type="dxa"/>
        <w:tblLayout w:type="fixed"/>
        <w:tblCellMar>
          <w:left w:w="97" w:type="dxa"/>
          <w:right w:w="97" w:type="dxa"/>
        </w:tblCellMar>
        <w:tblLook w:val="0000"/>
      </w:tblPr>
      <w:tblGrid>
        <w:gridCol w:w="1800"/>
        <w:gridCol w:w="1440"/>
        <w:gridCol w:w="1800"/>
        <w:gridCol w:w="1440"/>
        <w:gridCol w:w="1350"/>
        <w:gridCol w:w="1440"/>
      </w:tblGrid>
      <w:tr w:rsidR="00EE46D5" w:rsidRPr="001A0A0D" w:rsidTr="0034721E">
        <w:tc>
          <w:tcPr>
            <w:tcW w:w="180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pStyle w:val="BodyText"/>
              <w:tabs>
                <w:tab w:val="left" w:pos="10080"/>
              </w:tabs>
              <w:jc w:val="center"/>
            </w:pPr>
          </w:p>
          <w:p w:rsidR="00FC1047" w:rsidRDefault="00EE46D5" w:rsidP="00FC1047">
            <w:pPr>
              <w:pStyle w:val="BodyText"/>
              <w:tabs>
                <w:tab w:val="left" w:pos="10080"/>
              </w:tabs>
              <w:jc w:val="center"/>
            </w:pPr>
            <w:r>
              <w:t>Application</w:t>
            </w:r>
          </w:p>
        </w:tc>
        <w:tc>
          <w:tcPr>
            <w:tcW w:w="1440" w:type="dxa"/>
            <w:tcBorders>
              <w:top w:val="single" w:sz="2" w:space="0" w:color="auto"/>
              <w:left w:val="single" w:sz="2" w:space="0" w:color="auto"/>
              <w:bottom w:val="single" w:sz="2" w:space="0" w:color="auto"/>
              <w:right w:val="single" w:sz="2" w:space="0" w:color="auto"/>
            </w:tcBorders>
            <w:vAlign w:val="bottom"/>
          </w:tcPr>
          <w:p w:rsidR="00FC1047" w:rsidRDefault="00EE46D5" w:rsidP="00FC1047">
            <w:pPr>
              <w:pStyle w:val="BodyText"/>
              <w:jc w:val="center"/>
            </w:pPr>
            <w:r w:rsidRPr="001A0A0D">
              <w:t>Number of Respondents</w:t>
            </w:r>
          </w:p>
        </w:tc>
        <w:tc>
          <w:tcPr>
            <w:tcW w:w="180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pStyle w:val="BodyText"/>
              <w:jc w:val="center"/>
            </w:pPr>
          </w:p>
          <w:p w:rsidR="00FC1047" w:rsidRDefault="00EE46D5" w:rsidP="00FC1047">
            <w:pPr>
              <w:pStyle w:val="BodyText"/>
              <w:jc w:val="center"/>
            </w:pPr>
            <w:r w:rsidRPr="001A0A0D">
              <w:t>Responses per Respondent</w:t>
            </w:r>
          </w:p>
        </w:tc>
        <w:tc>
          <w:tcPr>
            <w:tcW w:w="144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pStyle w:val="BodyText"/>
              <w:jc w:val="center"/>
            </w:pPr>
          </w:p>
          <w:p w:rsidR="00FC1047" w:rsidRDefault="00EE46D5" w:rsidP="00FC1047">
            <w:pPr>
              <w:pStyle w:val="BodyText"/>
              <w:jc w:val="center"/>
            </w:pPr>
            <w:r w:rsidRPr="001A0A0D">
              <w:t>Total Responses</w:t>
            </w:r>
          </w:p>
        </w:tc>
        <w:tc>
          <w:tcPr>
            <w:tcW w:w="135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pStyle w:val="BodyText"/>
              <w:jc w:val="center"/>
            </w:pPr>
          </w:p>
          <w:p w:rsidR="00FC1047" w:rsidRDefault="00EE46D5" w:rsidP="00FC1047">
            <w:pPr>
              <w:pStyle w:val="BodyText"/>
              <w:jc w:val="center"/>
            </w:pPr>
            <w:r w:rsidRPr="001A0A0D">
              <w:t>Hours per Response</w:t>
            </w:r>
          </w:p>
        </w:tc>
        <w:tc>
          <w:tcPr>
            <w:tcW w:w="1440" w:type="dxa"/>
            <w:tcBorders>
              <w:top w:val="single" w:sz="2" w:space="0" w:color="auto"/>
              <w:left w:val="single" w:sz="2" w:space="0" w:color="auto"/>
              <w:bottom w:val="single" w:sz="2" w:space="0" w:color="auto"/>
              <w:right w:val="single" w:sz="2" w:space="0" w:color="auto"/>
            </w:tcBorders>
            <w:vAlign w:val="bottom"/>
          </w:tcPr>
          <w:p w:rsidR="00FC1047" w:rsidRDefault="00EE46D5" w:rsidP="00FC1047">
            <w:pPr>
              <w:pStyle w:val="BodyText"/>
              <w:jc w:val="center"/>
            </w:pPr>
            <w:r w:rsidRPr="001A0A0D">
              <w:t>Total Burden Hours</w:t>
            </w:r>
          </w:p>
        </w:tc>
      </w:tr>
      <w:tr w:rsidR="00EE46D5" w:rsidRPr="001A0A0D" w:rsidTr="0034721E">
        <w:tc>
          <w:tcPr>
            <w:tcW w:w="1800" w:type="dxa"/>
            <w:tcBorders>
              <w:top w:val="single" w:sz="2" w:space="0" w:color="auto"/>
              <w:left w:val="single" w:sz="2" w:space="0" w:color="auto"/>
              <w:bottom w:val="single" w:sz="2" w:space="0" w:color="auto"/>
              <w:right w:val="single" w:sz="2" w:space="0" w:color="auto"/>
            </w:tcBorders>
          </w:tcPr>
          <w:p w:rsidR="00FC1047" w:rsidRDefault="00EE46D5" w:rsidP="00FC1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Planning</w:t>
            </w:r>
          </w:p>
        </w:tc>
        <w:tc>
          <w:tcPr>
            <w:tcW w:w="1440" w:type="dxa"/>
            <w:tcBorders>
              <w:top w:val="single" w:sz="2" w:space="0" w:color="auto"/>
              <w:left w:val="single" w:sz="2" w:space="0" w:color="auto"/>
              <w:bottom w:val="single" w:sz="2" w:space="0" w:color="auto"/>
              <w:right w:val="single" w:sz="2" w:space="0" w:color="auto"/>
            </w:tcBorders>
          </w:tcPr>
          <w:p w:rsidR="00FC1047" w:rsidRPr="00FC1047" w:rsidRDefault="00EE46D5" w:rsidP="00FC1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1</w:t>
            </w:r>
          </w:p>
        </w:tc>
        <w:tc>
          <w:tcPr>
            <w:tcW w:w="1800" w:type="dxa"/>
            <w:tcBorders>
              <w:top w:val="single" w:sz="2" w:space="0" w:color="auto"/>
              <w:left w:val="single" w:sz="2" w:space="0" w:color="auto"/>
              <w:bottom w:val="single" w:sz="2" w:space="0" w:color="auto"/>
              <w:right w:val="single" w:sz="2" w:space="0" w:color="auto"/>
            </w:tcBorders>
          </w:tcPr>
          <w:p w:rsidR="00FC1047" w:rsidRPr="00FC1047" w:rsidRDefault="00FC1047" w:rsidP="00FC1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FC1047">
              <w:rPr>
                <w:lang w:val="fr-FR"/>
              </w:rPr>
              <w:t>2</w:t>
            </w:r>
          </w:p>
        </w:tc>
        <w:tc>
          <w:tcPr>
            <w:tcW w:w="1440" w:type="dxa"/>
            <w:tcBorders>
              <w:top w:val="single" w:sz="2" w:space="0" w:color="auto"/>
              <w:left w:val="single" w:sz="2" w:space="0" w:color="auto"/>
              <w:bottom w:val="single" w:sz="2" w:space="0" w:color="auto"/>
              <w:right w:val="single" w:sz="2" w:space="0" w:color="auto"/>
            </w:tcBorders>
          </w:tcPr>
          <w:p w:rsidR="00FC1047" w:rsidRPr="00FC1047" w:rsidRDefault="00EE46D5" w:rsidP="00FC1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2</w:t>
            </w:r>
          </w:p>
        </w:tc>
        <w:tc>
          <w:tcPr>
            <w:tcW w:w="1350" w:type="dxa"/>
            <w:tcBorders>
              <w:top w:val="single" w:sz="2" w:space="0" w:color="auto"/>
              <w:left w:val="single" w:sz="2" w:space="0" w:color="auto"/>
              <w:bottom w:val="single" w:sz="2" w:space="0" w:color="auto"/>
              <w:right w:val="single" w:sz="2" w:space="0" w:color="auto"/>
            </w:tcBorders>
          </w:tcPr>
          <w:p w:rsidR="00FC1047" w:rsidRPr="00FC1047" w:rsidRDefault="00EE46D5" w:rsidP="00FC1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10</w:t>
            </w:r>
          </w:p>
        </w:tc>
        <w:tc>
          <w:tcPr>
            <w:tcW w:w="1440" w:type="dxa"/>
            <w:tcBorders>
              <w:top w:val="single" w:sz="2" w:space="0" w:color="auto"/>
              <w:left w:val="single" w:sz="2" w:space="0" w:color="auto"/>
              <w:bottom w:val="single" w:sz="2" w:space="0" w:color="auto"/>
              <w:right w:val="single" w:sz="2" w:space="0" w:color="auto"/>
            </w:tcBorders>
          </w:tcPr>
          <w:p w:rsidR="00FC1047" w:rsidRPr="00FC1047" w:rsidRDefault="00EE46D5" w:rsidP="00FC1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20</w:t>
            </w:r>
          </w:p>
        </w:tc>
      </w:tr>
      <w:tr w:rsidR="00EE46D5" w:rsidRPr="001A0A0D" w:rsidTr="0034721E">
        <w:tc>
          <w:tcPr>
            <w:tcW w:w="180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Electronic Health Records Implementation</w:t>
            </w:r>
          </w:p>
        </w:tc>
        <w:tc>
          <w:tcPr>
            <w:tcW w:w="144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56</w:t>
            </w:r>
          </w:p>
        </w:tc>
        <w:tc>
          <w:tcPr>
            <w:tcW w:w="180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2</w:t>
            </w:r>
          </w:p>
        </w:tc>
        <w:tc>
          <w:tcPr>
            <w:tcW w:w="144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112</w:t>
            </w:r>
          </w:p>
        </w:tc>
        <w:tc>
          <w:tcPr>
            <w:tcW w:w="135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18</w:t>
            </w:r>
          </w:p>
        </w:tc>
        <w:tc>
          <w:tcPr>
            <w:tcW w:w="144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2016</w:t>
            </w:r>
          </w:p>
        </w:tc>
      </w:tr>
      <w:tr w:rsidR="00EE46D5" w:rsidRPr="001A0A0D" w:rsidTr="0034721E">
        <w:tc>
          <w:tcPr>
            <w:tcW w:w="1800" w:type="dxa"/>
            <w:tcBorders>
              <w:top w:val="single" w:sz="2" w:space="0" w:color="auto"/>
              <w:left w:val="single" w:sz="2" w:space="0" w:color="auto"/>
              <w:bottom w:val="single" w:sz="2" w:space="0" w:color="auto"/>
              <w:right w:val="single" w:sz="2" w:space="0" w:color="auto"/>
            </w:tcBorders>
          </w:tcPr>
          <w:p w:rsidR="00EE46D5"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Innovations</w:t>
            </w:r>
          </w:p>
        </w:tc>
        <w:tc>
          <w:tcPr>
            <w:tcW w:w="144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32</w:t>
            </w:r>
          </w:p>
        </w:tc>
        <w:tc>
          <w:tcPr>
            <w:tcW w:w="180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2</w:t>
            </w:r>
          </w:p>
        </w:tc>
        <w:tc>
          <w:tcPr>
            <w:tcW w:w="144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64</w:t>
            </w:r>
          </w:p>
        </w:tc>
        <w:tc>
          <w:tcPr>
            <w:tcW w:w="135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18</w:t>
            </w:r>
          </w:p>
        </w:tc>
        <w:tc>
          <w:tcPr>
            <w:tcW w:w="144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1152</w:t>
            </w:r>
          </w:p>
        </w:tc>
      </w:tr>
      <w:tr w:rsidR="00EE46D5" w:rsidRPr="001A0A0D" w:rsidTr="0034721E">
        <w:tc>
          <w:tcPr>
            <w:tcW w:w="1800" w:type="dxa"/>
            <w:tcBorders>
              <w:top w:val="single" w:sz="2" w:space="0" w:color="auto"/>
              <w:left w:val="single" w:sz="2" w:space="0" w:color="auto"/>
              <w:bottom w:val="single" w:sz="2" w:space="0" w:color="auto"/>
              <w:right w:val="single" w:sz="2" w:space="0" w:color="auto"/>
            </w:tcBorders>
          </w:tcPr>
          <w:p w:rsidR="00EE46D5"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Total</w:t>
            </w:r>
          </w:p>
        </w:tc>
        <w:tc>
          <w:tcPr>
            <w:tcW w:w="144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89</w:t>
            </w:r>
          </w:p>
        </w:tc>
        <w:tc>
          <w:tcPr>
            <w:tcW w:w="180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w:t>
            </w:r>
          </w:p>
        </w:tc>
        <w:tc>
          <w:tcPr>
            <w:tcW w:w="144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178</w:t>
            </w:r>
          </w:p>
        </w:tc>
        <w:tc>
          <w:tcPr>
            <w:tcW w:w="135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w:t>
            </w:r>
          </w:p>
        </w:tc>
        <w:tc>
          <w:tcPr>
            <w:tcW w:w="1440" w:type="dxa"/>
            <w:tcBorders>
              <w:top w:val="single" w:sz="2" w:space="0" w:color="auto"/>
              <w:left w:val="single" w:sz="2" w:space="0" w:color="auto"/>
              <w:bottom w:val="single" w:sz="2" w:space="0" w:color="auto"/>
              <w:right w:val="single" w:sz="2" w:space="0" w:color="auto"/>
            </w:tcBorders>
          </w:tcPr>
          <w:p w:rsidR="00EE46D5" w:rsidRPr="001A0A0D" w:rsidRDefault="00EE46D5"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3,188</w:t>
            </w:r>
          </w:p>
        </w:tc>
      </w:tr>
    </w:tbl>
    <w:p w:rsidR="00A91443" w:rsidRPr="005D45B5" w:rsidRDefault="00A91443">
      <w:pPr>
        <w:rPr>
          <w:szCs w:val="24"/>
        </w:rPr>
      </w:pPr>
    </w:p>
    <w:p w:rsidR="00A91443" w:rsidRPr="005D45B5" w:rsidRDefault="00A91443">
      <w:pPr>
        <w:pStyle w:val="Heading2"/>
        <w:rPr>
          <w:szCs w:val="24"/>
        </w:rPr>
      </w:pPr>
      <w:bookmarkStart w:id="15" w:name="_Toc132560372"/>
      <w:r w:rsidRPr="005D45B5">
        <w:rPr>
          <w:szCs w:val="24"/>
        </w:rPr>
        <w:t>Estimates of Annualized Cost Burden to Respondents</w:t>
      </w:r>
      <w:bookmarkEnd w:id="15"/>
      <w:r w:rsidRPr="005D45B5">
        <w:rPr>
          <w:szCs w:val="24"/>
        </w:rPr>
        <w:t xml:space="preserve"> </w:t>
      </w:r>
    </w:p>
    <w:p w:rsidR="00A91443" w:rsidRPr="005D45B5" w:rsidRDefault="00A91443">
      <w:pPr>
        <w:rPr>
          <w:szCs w:val="24"/>
        </w:rPr>
      </w:pPr>
      <w:r w:rsidRPr="005D45B5">
        <w:rPr>
          <w:szCs w:val="24"/>
        </w:rPr>
        <w:t xml:space="preserve">There </w:t>
      </w:r>
      <w:r w:rsidR="00EF4CD0">
        <w:rPr>
          <w:szCs w:val="24"/>
        </w:rPr>
        <w:t>is no capital</w:t>
      </w:r>
      <w:r w:rsidRPr="005D45B5">
        <w:rPr>
          <w:szCs w:val="24"/>
        </w:rPr>
        <w:t xml:space="preserve"> or start up costs for respondents related to this effort.</w:t>
      </w:r>
    </w:p>
    <w:p w:rsidR="00A91443" w:rsidRPr="005D45B5" w:rsidRDefault="00A91443">
      <w:pPr>
        <w:rPr>
          <w:szCs w:val="24"/>
          <w:highlight w:val="cyan"/>
        </w:rPr>
      </w:pPr>
    </w:p>
    <w:p w:rsidR="00A91443" w:rsidRPr="005D45B5" w:rsidRDefault="00A91443">
      <w:pPr>
        <w:pStyle w:val="Heading2"/>
        <w:rPr>
          <w:szCs w:val="24"/>
        </w:rPr>
      </w:pPr>
      <w:bookmarkStart w:id="16" w:name="_Toc132560373"/>
      <w:r w:rsidRPr="005D45B5">
        <w:rPr>
          <w:szCs w:val="24"/>
        </w:rPr>
        <w:t>Estimate of Annualized Cost to the Federal Government</w:t>
      </w:r>
      <w:bookmarkEnd w:id="16"/>
      <w:r w:rsidR="00473E76">
        <w:rPr>
          <w:szCs w:val="24"/>
        </w:rPr>
        <w:t xml:space="preserve"> </w:t>
      </w:r>
    </w:p>
    <w:p w:rsidR="005B3222" w:rsidRDefault="005B3222">
      <w:pPr>
        <w:rPr>
          <w:szCs w:val="24"/>
        </w:rPr>
      </w:pPr>
    </w:p>
    <w:p w:rsidR="00A91443" w:rsidRPr="005D45B5" w:rsidRDefault="00A91443">
      <w:pPr>
        <w:rPr>
          <w:szCs w:val="24"/>
        </w:rPr>
      </w:pPr>
      <w:r w:rsidRPr="005D45B5">
        <w:rPr>
          <w:szCs w:val="24"/>
        </w:rPr>
        <w:t>HRSA estimates an annual investment of approximately $</w:t>
      </w:r>
      <w:r w:rsidR="00484F85">
        <w:rPr>
          <w:szCs w:val="24"/>
        </w:rPr>
        <w:t>350</w:t>
      </w:r>
      <w:r w:rsidR="00FF03AA">
        <w:rPr>
          <w:szCs w:val="24"/>
        </w:rPr>
        <w:t>,</w:t>
      </w:r>
      <w:r w:rsidR="005B3222">
        <w:rPr>
          <w:szCs w:val="24"/>
        </w:rPr>
        <w:t>000</w:t>
      </w:r>
      <w:r w:rsidRPr="005D45B5">
        <w:rPr>
          <w:szCs w:val="24"/>
        </w:rPr>
        <w:t xml:space="preserve"> for </w:t>
      </w:r>
      <w:r w:rsidR="005B3222">
        <w:rPr>
          <w:szCs w:val="24"/>
        </w:rPr>
        <w:t>the following:</w:t>
      </w:r>
      <w:r w:rsidR="00473E76">
        <w:rPr>
          <w:szCs w:val="24"/>
        </w:rPr>
        <w:t xml:space="preserve"> </w:t>
      </w:r>
      <w:r w:rsidRPr="005D45B5">
        <w:rPr>
          <w:szCs w:val="24"/>
        </w:rPr>
        <w:t xml:space="preserve">data system operation and maintenance; ongoing support for grantee questions about the content and format of the report and the Web application system; data analysis; and report preparation. </w:t>
      </w:r>
    </w:p>
    <w:p w:rsidR="00A91443" w:rsidRPr="005D45B5" w:rsidRDefault="00A91443">
      <w:pPr>
        <w:rPr>
          <w:szCs w:val="24"/>
        </w:rPr>
      </w:pPr>
    </w:p>
    <w:p w:rsidR="00A91443" w:rsidRPr="005D45B5" w:rsidRDefault="00A91443">
      <w:pPr>
        <w:pStyle w:val="Heading2"/>
        <w:rPr>
          <w:szCs w:val="24"/>
        </w:rPr>
      </w:pPr>
      <w:bookmarkStart w:id="17" w:name="_Toc132560374"/>
      <w:r w:rsidRPr="005D45B5">
        <w:rPr>
          <w:szCs w:val="24"/>
        </w:rPr>
        <w:lastRenderedPageBreak/>
        <w:t>Changes in Burden</w:t>
      </w:r>
      <w:bookmarkEnd w:id="17"/>
    </w:p>
    <w:p w:rsidR="00937C31" w:rsidRPr="00484F85" w:rsidRDefault="00937C31" w:rsidP="00937C31">
      <w:pPr>
        <w:pStyle w:val="Heading2"/>
        <w:numPr>
          <w:ilvl w:val="0"/>
          <w:numId w:val="0"/>
        </w:numPr>
        <w:rPr>
          <w:b w:val="0"/>
        </w:rPr>
      </w:pPr>
      <w:r w:rsidRPr="00484F85">
        <w:rPr>
          <w:b w:val="0"/>
        </w:rPr>
        <w:t>The increase in burden since 2007 is due to an increase in the number of grantees (46 to 89), and an increase in the hours per response. The increase in the hours per response is due to a re-estimation of burden for grantees.</w:t>
      </w:r>
    </w:p>
    <w:p w:rsidR="00A91443" w:rsidRPr="005D45B5" w:rsidRDefault="00A91443">
      <w:pPr>
        <w:rPr>
          <w:szCs w:val="24"/>
        </w:rPr>
      </w:pPr>
    </w:p>
    <w:p w:rsidR="00A91443" w:rsidRPr="005D45B5" w:rsidRDefault="00A91443">
      <w:pPr>
        <w:pStyle w:val="Heading2"/>
        <w:rPr>
          <w:szCs w:val="24"/>
        </w:rPr>
      </w:pPr>
      <w:bookmarkStart w:id="18" w:name="_Toc132560375"/>
      <w:r w:rsidRPr="005D45B5">
        <w:rPr>
          <w:szCs w:val="24"/>
        </w:rPr>
        <w:t>Time Schedule, Publication, and Analysis Plans</w:t>
      </w:r>
      <w:bookmarkEnd w:id="18"/>
    </w:p>
    <w:p w:rsidR="00A91443" w:rsidRPr="005D45B5" w:rsidRDefault="00383A8C">
      <w:pPr>
        <w:rPr>
          <w:szCs w:val="24"/>
        </w:rPr>
      </w:pPr>
      <w:r>
        <w:rPr>
          <w:szCs w:val="24"/>
        </w:rPr>
        <w:t>In 2008, a W</w:t>
      </w:r>
      <w:r w:rsidR="000F2400">
        <w:rPr>
          <w:szCs w:val="24"/>
        </w:rPr>
        <w:t>eb application, PIMS</w:t>
      </w:r>
      <w:r>
        <w:rPr>
          <w:szCs w:val="24"/>
        </w:rPr>
        <w:t xml:space="preserve">, has been used by grantees to submit their reports </w:t>
      </w:r>
      <w:r w:rsidR="00A91443" w:rsidRPr="005D45B5">
        <w:rPr>
          <w:szCs w:val="24"/>
        </w:rPr>
        <w:t xml:space="preserve">to upload the </w:t>
      </w:r>
      <w:r w:rsidR="00EF4CD0">
        <w:rPr>
          <w:szCs w:val="24"/>
        </w:rPr>
        <w:t xml:space="preserve">twice yearly </w:t>
      </w:r>
      <w:r w:rsidR="00132DF0">
        <w:rPr>
          <w:szCs w:val="24"/>
        </w:rPr>
        <w:t>Progress Reports</w:t>
      </w:r>
      <w:r w:rsidR="00A91443" w:rsidRPr="005D45B5">
        <w:rPr>
          <w:szCs w:val="24"/>
        </w:rPr>
        <w:t xml:space="preserve"> to HRSA’s EHBs</w:t>
      </w:r>
      <w:r w:rsidR="00EF4CD0">
        <w:rPr>
          <w:szCs w:val="24"/>
        </w:rPr>
        <w:t>.</w:t>
      </w:r>
      <w:r w:rsidR="00473E76">
        <w:rPr>
          <w:szCs w:val="24"/>
        </w:rPr>
        <w:t xml:space="preserve"> </w:t>
      </w:r>
      <w:r w:rsidR="00A91443" w:rsidRPr="005D45B5">
        <w:rPr>
          <w:szCs w:val="24"/>
        </w:rPr>
        <w:t xml:space="preserve">HRSA </w:t>
      </w:r>
      <w:r w:rsidR="005B3222">
        <w:rPr>
          <w:szCs w:val="24"/>
        </w:rPr>
        <w:t xml:space="preserve">staff </w:t>
      </w:r>
      <w:r w:rsidR="00A91443" w:rsidRPr="005D45B5">
        <w:rPr>
          <w:szCs w:val="24"/>
        </w:rPr>
        <w:t xml:space="preserve">or a contractor will provide support for the Web application system in the form of </w:t>
      </w:r>
      <w:r w:rsidR="00721685">
        <w:rPr>
          <w:szCs w:val="24"/>
        </w:rPr>
        <w:t xml:space="preserve">maintenance, updates, and </w:t>
      </w:r>
      <w:r w:rsidR="00A91443" w:rsidRPr="005D45B5">
        <w:rPr>
          <w:szCs w:val="24"/>
        </w:rPr>
        <w:t xml:space="preserve">technical assistance to grantees as they complete and submit their </w:t>
      </w:r>
      <w:r w:rsidR="000246F0">
        <w:rPr>
          <w:szCs w:val="24"/>
        </w:rPr>
        <w:t>Progress Reports</w:t>
      </w:r>
      <w:r w:rsidR="00A91443" w:rsidRPr="005D45B5">
        <w:rPr>
          <w:szCs w:val="24"/>
        </w:rPr>
        <w:t>.</w:t>
      </w:r>
      <w:r w:rsidR="00473E76">
        <w:rPr>
          <w:szCs w:val="24"/>
        </w:rPr>
        <w:t xml:space="preserve"> </w:t>
      </w:r>
    </w:p>
    <w:p w:rsidR="00A91443" w:rsidRPr="005D45B5" w:rsidRDefault="00A91443">
      <w:pPr>
        <w:rPr>
          <w:szCs w:val="24"/>
        </w:rPr>
      </w:pPr>
    </w:p>
    <w:p w:rsidR="00A91443" w:rsidRPr="005D45B5" w:rsidRDefault="00A91443">
      <w:pPr>
        <w:rPr>
          <w:szCs w:val="24"/>
        </w:rPr>
      </w:pPr>
      <w:r w:rsidRPr="005D45B5">
        <w:rPr>
          <w:szCs w:val="24"/>
        </w:rPr>
        <w:t xml:space="preserve">After each data submission, the Web application manager </w:t>
      </w:r>
      <w:r w:rsidR="002765C0">
        <w:rPr>
          <w:szCs w:val="24"/>
        </w:rPr>
        <w:t>is</w:t>
      </w:r>
      <w:r w:rsidR="00BB7FBE">
        <w:rPr>
          <w:szCs w:val="24"/>
        </w:rPr>
        <w:t xml:space="preserve"> able to </w:t>
      </w:r>
      <w:r w:rsidRPr="005D45B5">
        <w:rPr>
          <w:szCs w:val="24"/>
        </w:rPr>
        <w:t xml:space="preserve">supply a complete dataset in SQL, SPSS, SAS, or spreadsheet format for analysis. </w:t>
      </w:r>
      <w:r w:rsidR="00BB7FBE">
        <w:rPr>
          <w:szCs w:val="24"/>
        </w:rPr>
        <w:t>HR</w:t>
      </w:r>
      <w:r w:rsidRPr="005D45B5">
        <w:rPr>
          <w:szCs w:val="24"/>
        </w:rPr>
        <w:t>SA analyze</w:t>
      </w:r>
      <w:r w:rsidR="002765C0">
        <w:rPr>
          <w:szCs w:val="24"/>
        </w:rPr>
        <w:t>s</w:t>
      </w:r>
      <w:r w:rsidRPr="005D45B5">
        <w:rPr>
          <w:szCs w:val="24"/>
        </w:rPr>
        <w:t xml:space="preserve"> these data for inclusion in annual </w:t>
      </w:r>
      <w:r w:rsidR="00397C72" w:rsidRPr="005D45B5">
        <w:rPr>
          <w:szCs w:val="24"/>
        </w:rPr>
        <w:t>M</w:t>
      </w:r>
      <w:r w:rsidR="00397C72">
        <w:rPr>
          <w:szCs w:val="24"/>
        </w:rPr>
        <w:t>anagement</w:t>
      </w:r>
      <w:r w:rsidR="00FB5D77">
        <w:rPr>
          <w:szCs w:val="24"/>
        </w:rPr>
        <w:t xml:space="preserve"> Assessment Items (M</w:t>
      </w:r>
      <w:r w:rsidRPr="005D45B5">
        <w:rPr>
          <w:szCs w:val="24"/>
        </w:rPr>
        <w:t>AI</w:t>
      </w:r>
      <w:r w:rsidR="001F2DE3">
        <w:rPr>
          <w:szCs w:val="24"/>
        </w:rPr>
        <w:t>s</w:t>
      </w:r>
      <w:r w:rsidR="00FB5D77">
        <w:rPr>
          <w:szCs w:val="24"/>
        </w:rPr>
        <w:t>)</w:t>
      </w:r>
      <w:r w:rsidR="00943E6C">
        <w:rPr>
          <w:szCs w:val="24"/>
        </w:rPr>
        <w:t xml:space="preserve"> </w:t>
      </w:r>
      <w:r w:rsidRPr="005D45B5">
        <w:rPr>
          <w:szCs w:val="24"/>
        </w:rPr>
        <w:t>reports</w:t>
      </w:r>
      <w:r w:rsidR="00781652">
        <w:rPr>
          <w:szCs w:val="24"/>
        </w:rPr>
        <w:t xml:space="preserve">, </w:t>
      </w:r>
      <w:r w:rsidR="00781652" w:rsidRPr="0044653A">
        <w:rPr>
          <w:color w:val="000000"/>
        </w:rPr>
        <w:t>PART annual report</w:t>
      </w:r>
      <w:r w:rsidR="00240B14">
        <w:rPr>
          <w:color w:val="000000"/>
        </w:rPr>
        <w:t>s</w:t>
      </w:r>
      <w:r w:rsidR="00781652" w:rsidRPr="0044653A">
        <w:rPr>
          <w:color w:val="000000"/>
        </w:rPr>
        <w:t xml:space="preserve"> and Congressional data calls</w:t>
      </w:r>
      <w:r w:rsidR="001F2DE3">
        <w:rPr>
          <w:color w:val="000000"/>
        </w:rPr>
        <w:t>.</w:t>
      </w:r>
      <w:r w:rsidR="00473E76">
        <w:rPr>
          <w:color w:val="000000"/>
        </w:rPr>
        <w:t xml:space="preserve"> </w:t>
      </w:r>
      <w:r w:rsidR="00383A8C">
        <w:rPr>
          <w:szCs w:val="24"/>
        </w:rPr>
        <w:t>F</w:t>
      </w:r>
      <w:r w:rsidRPr="005D45B5">
        <w:rPr>
          <w:szCs w:val="24"/>
        </w:rPr>
        <w:t>ull</w:t>
      </w:r>
      <w:r w:rsidR="00383A8C">
        <w:rPr>
          <w:szCs w:val="24"/>
        </w:rPr>
        <w:t>-</w:t>
      </w:r>
      <w:r w:rsidRPr="005D45B5">
        <w:rPr>
          <w:szCs w:val="24"/>
        </w:rPr>
        <w:t xml:space="preserve">year data, which includes data from both the </w:t>
      </w:r>
      <w:r w:rsidR="00331E5B">
        <w:rPr>
          <w:szCs w:val="24"/>
        </w:rPr>
        <w:t xml:space="preserve">semi </w:t>
      </w:r>
      <w:r w:rsidRPr="005D45B5">
        <w:rPr>
          <w:szCs w:val="24"/>
        </w:rPr>
        <w:t xml:space="preserve">and </w:t>
      </w:r>
      <w:r w:rsidR="00331E5B">
        <w:rPr>
          <w:szCs w:val="24"/>
        </w:rPr>
        <w:t>annual</w:t>
      </w:r>
      <w:r w:rsidRPr="005D45B5">
        <w:rPr>
          <w:szCs w:val="24"/>
        </w:rPr>
        <w:t xml:space="preserve"> components, is expected to be ready for analysis in </w:t>
      </w:r>
      <w:r w:rsidR="00B2449A">
        <w:rPr>
          <w:szCs w:val="24"/>
        </w:rPr>
        <w:t>October</w:t>
      </w:r>
      <w:r w:rsidRPr="005D45B5">
        <w:rPr>
          <w:szCs w:val="24"/>
        </w:rPr>
        <w:t xml:space="preserve"> of </w:t>
      </w:r>
      <w:r w:rsidR="00383A8C" w:rsidRPr="003467A2">
        <w:rPr>
          <w:szCs w:val="24"/>
        </w:rPr>
        <w:t>each reporting year</w:t>
      </w:r>
      <w:r w:rsidR="00383A8C" w:rsidRPr="005D45B5">
        <w:rPr>
          <w:szCs w:val="24"/>
        </w:rPr>
        <w:t xml:space="preserve"> </w:t>
      </w:r>
      <w:r w:rsidRPr="005D45B5">
        <w:rPr>
          <w:szCs w:val="24"/>
        </w:rPr>
        <w:t>(</w:t>
      </w:r>
      <w:r w:rsidR="00B2449A">
        <w:rPr>
          <w:szCs w:val="24"/>
        </w:rPr>
        <w:t>4</w:t>
      </w:r>
      <w:r w:rsidRPr="005D45B5">
        <w:rPr>
          <w:szCs w:val="24"/>
        </w:rPr>
        <w:t xml:space="preserve"> weeks after </w:t>
      </w:r>
      <w:r w:rsidR="00B2449A">
        <w:rPr>
          <w:szCs w:val="24"/>
        </w:rPr>
        <w:t>Report</w:t>
      </w:r>
      <w:r w:rsidRPr="005D45B5">
        <w:rPr>
          <w:szCs w:val="24"/>
        </w:rPr>
        <w:t xml:space="preserve"> submission).</w:t>
      </w:r>
    </w:p>
    <w:p w:rsidR="00A91443" w:rsidRPr="005D45B5" w:rsidRDefault="00473E76">
      <w:pPr>
        <w:rPr>
          <w:szCs w:val="24"/>
        </w:rPr>
      </w:pPr>
      <w:r>
        <w:rPr>
          <w:szCs w:val="24"/>
        </w:rPr>
        <w:t xml:space="preserve"> </w:t>
      </w:r>
    </w:p>
    <w:p w:rsidR="00A91443" w:rsidRPr="005D45B5" w:rsidRDefault="00A91443">
      <w:pPr>
        <w:pStyle w:val="Heading2"/>
        <w:rPr>
          <w:szCs w:val="24"/>
        </w:rPr>
      </w:pPr>
      <w:bookmarkStart w:id="19" w:name="_Toc132560376"/>
      <w:r w:rsidRPr="005D45B5">
        <w:rPr>
          <w:szCs w:val="24"/>
        </w:rPr>
        <w:t>Exemption for Display of Expiration Date</w:t>
      </w:r>
      <w:bookmarkEnd w:id="19"/>
    </w:p>
    <w:p w:rsidR="00A91443" w:rsidRPr="005D45B5" w:rsidRDefault="00A91443">
      <w:pPr>
        <w:rPr>
          <w:szCs w:val="24"/>
        </w:rPr>
      </w:pPr>
      <w:r w:rsidRPr="005D45B5">
        <w:rPr>
          <w:szCs w:val="24"/>
        </w:rPr>
        <w:t>The expiration date will be displayed.</w:t>
      </w:r>
    </w:p>
    <w:p w:rsidR="00A91443" w:rsidRPr="005D45B5" w:rsidRDefault="00A91443">
      <w:pPr>
        <w:rPr>
          <w:b/>
          <w:szCs w:val="24"/>
        </w:rPr>
      </w:pPr>
    </w:p>
    <w:p w:rsidR="00A91443" w:rsidRPr="005D45B5" w:rsidRDefault="00A91443">
      <w:pPr>
        <w:pStyle w:val="Heading2"/>
        <w:rPr>
          <w:szCs w:val="24"/>
        </w:rPr>
      </w:pPr>
      <w:bookmarkStart w:id="20" w:name="_Toc132560377"/>
      <w:r w:rsidRPr="005D45B5">
        <w:rPr>
          <w:szCs w:val="24"/>
        </w:rPr>
        <w:t>Certifications</w:t>
      </w:r>
      <w:bookmarkEnd w:id="20"/>
    </w:p>
    <w:p w:rsidR="00A91443" w:rsidRDefault="00A91443">
      <w:pPr>
        <w:rPr>
          <w:szCs w:val="24"/>
        </w:rPr>
      </w:pPr>
      <w:r w:rsidRPr="005D45B5">
        <w:rPr>
          <w:szCs w:val="24"/>
        </w:rPr>
        <w:t>This information collection fully complies with 5 CFR 1329.9.</w:t>
      </w:r>
      <w:r w:rsidR="00473E76">
        <w:rPr>
          <w:szCs w:val="24"/>
        </w:rPr>
        <w:t xml:space="preserve"> </w:t>
      </w:r>
    </w:p>
    <w:p w:rsidR="00DF239F" w:rsidRDefault="00DF239F">
      <w:pPr>
        <w:rPr>
          <w:szCs w:val="24"/>
        </w:rPr>
      </w:pPr>
    </w:p>
    <w:p w:rsidR="00DF239F" w:rsidRDefault="00DF239F">
      <w:pPr>
        <w:rPr>
          <w:szCs w:val="24"/>
        </w:rPr>
      </w:pPr>
    </w:p>
    <w:p w:rsidR="00DF239F" w:rsidRDefault="00DF239F" w:rsidP="00DF239F">
      <w:pPr>
        <w:jc w:val="center"/>
        <w:rPr>
          <w:b/>
          <w:szCs w:val="24"/>
        </w:rPr>
      </w:pPr>
      <w:r w:rsidRPr="00DF239F">
        <w:rPr>
          <w:b/>
          <w:szCs w:val="24"/>
        </w:rPr>
        <w:t>List of Attachments</w:t>
      </w:r>
    </w:p>
    <w:p w:rsidR="00DF239F" w:rsidRDefault="00DF239F" w:rsidP="00DF239F">
      <w:pPr>
        <w:jc w:val="center"/>
        <w:rPr>
          <w:b/>
          <w:szCs w:val="24"/>
        </w:rPr>
      </w:pPr>
    </w:p>
    <w:p w:rsidR="005B3222" w:rsidRDefault="0026772F" w:rsidP="00DF239F">
      <w:pPr>
        <w:rPr>
          <w:szCs w:val="24"/>
        </w:rPr>
      </w:pPr>
      <w:r>
        <w:rPr>
          <w:szCs w:val="24"/>
        </w:rPr>
        <w:t>Attachment</w:t>
      </w:r>
      <w:r w:rsidR="00DF239F" w:rsidRPr="004C1256">
        <w:rPr>
          <w:szCs w:val="24"/>
        </w:rPr>
        <w:t xml:space="preserve"> </w:t>
      </w:r>
      <w:proofErr w:type="gramStart"/>
      <w:r w:rsidR="00DF239F" w:rsidRPr="004C1256">
        <w:rPr>
          <w:szCs w:val="24"/>
        </w:rPr>
        <w:t>A</w:t>
      </w:r>
      <w:proofErr w:type="gramEnd"/>
      <w:r w:rsidR="00DF239F" w:rsidRPr="004C1256">
        <w:rPr>
          <w:szCs w:val="24"/>
        </w:rPr>
        <w:tab/>
      </w:r>
      <w:r w:rsidR="00DF239F" w:rsidRPr="004C1256">
        <w:rPr>
          <w:szCs w:val="24"/>
        </w:rPr>
        <w:tab/>
      </w:r>
      <w:r w:rsidR="00627BD7">
        <w:rPr>
          <w:szCs w:val="24"/>
        </w:rPr>
        <w:t xml:space="preserve">Summary of </w:t>
      </w:r>
      <w:smartTag w:uri="urn:schemas-microsoft-com:office:smarttags" w:element="place">
        <w:smartTag w:uri="urn:schemas-microsoft-com:office:smarttags" w:element="PlaceName">
          <w:r w:rsidR="000F4CD7">
            <w:rPr>
              <w:szCs w:val="24"/>
            </w:rPr>
            <w:t>Health</w:t>
          </w:r>
        </w:smartTag>
        <w:r w:rsidR="000F4CD7">
          <w:rPr>
            <w:szCs w:val="24"/>
          </w:rPr>
          <w:t xml:space="preserve"> </w:t>
        </w:r>
        <w:smartTag w:uri="urn:schemas-microsoft-com:office:smarttags" w:element="PlaceType">
          <w:r w:rsidR="000F4CD7">
            <w:rPr>
              <w:szCs w:val="24"/>
            </w:rPr>
            <w:t>Center</w:t>
          </w:r>
        </w:smartTag>
      </w:smartTag>
      <w:r w:rsidR="000F4CD7">
        <w:rPr>
          <w:szCs w:val="24"/>
        </w:rPr>
        <w:t xml:space="preserve"> Controlled Network</w:t>
      </w:r>
      <w:r w:rsidR="00943E6C">
        <w:rPr>
          <w:szCs w:val="24"/>
        </w:rPr>
        <w:t>s</w:t>
      </w:r>
      <w:r w:rsidR="000F4CD7">
        <w:rPr>
          <w:szCs w:val="24"/>
        </w:rPr>
        <w:t xml:space="preserve"> Grant </w:t>
      </w:r>
      <w:r w:rsidR="00943E6C">
        <w:rPr>
          <w:szCs w:val="24"/>
        </w:rPr>
        <w:t>Funding Initiatives</w:t>
      </w:r>
    </w:p>
    <w:p w:rsidR="00581394" w:rsidRDefault="00581394" w:rsidP="00DF239F">
      <w:pPr>
        <w:rPr>
          <w:szCs w:val="24"/>
        </w:rPr>
      </w:pPr>
      <w:r>
        <w:rPr>
          <w:szCs w:val="24"/>
        </w:rPr>
        <w:t xml:space="preserve">Attachment </w:t>
      </w:r>
      <w:r w:rsidR="002765C0">
        <w:rPr>
          <w:szCs w:val="24"/>
        </w:rPr>
        <w:t>B</w:t>
      </w:r>
      <w:r>
        <w:rPr>
          <w:szCs w:val="24"/>
        </w:rPr>
        <w:t xml:space="preserve"> </w:t>
      </w:r>
      <w:r>
        <w:rPr>
          <w:szCs w:val="24"/>
        </w:rPr>
        <w:tab/>
      </w:r>
      <w:r>
        <w:rPr>
          <w:szCs w:val="24"/>
        </w:rPr>
        <w:tab/>
      </w:r>
      <w:r w:rsidR="00991B20">
        <w:rPr>
          <w:szCs w:val="24"/>
        </w:rPr>
        <w:t xml:space="preserve">EHR Implementation </w:t>
      </w:r>
      <w:r>
        <w:rPr>
          <w:szCs w:val="24"/>
        </w:rPr>
        <w:t>Guidance</w:t>
      </w:r>
      <w:r w:rsidR="00112506">
        <w:rPr>
          <w:szCs w:val="24"/>
        </w:rPr>
        <w:t xml:space="preserve"> </w:t>
      </w:r>
    </w:p>
    <w:p w:rsidR="00581394" w:rsidRDefault="00581394" w:rsidP="00DF239F">
      <w:pPr>
        <w:rPr>
          <w:szCs w:val="24"/>
        </w:rPr>
      </w:pPr>
      <w:r>
        <w:rPr>
          <w:szCs w:val="24"/>
        </w:rPr>
        <w:t xml:space="preserve">Attachment </w:t>
      </w:r>
      <w:r w:rsidR="002765C0">
        <w:rPr>
          <w:szCs w:val="24"/>
        </w:rPr>
        <w:t>C</w:t>
      </w:r>
      <w:r>
        <w:rPr>
          <w:szCs w:val="24"/>
        </w:rPr>
        <w:tab/>
      </w:r>
      <w:r>
        <w:rPr>
          <w:szCs w:val="24"/>
        </w:rPr>
        <w:tab/>
      </w:r>
      <w:r w:rsidR="00991B20">
        <w:rPr>
          <w:szCs w:val="24"/>
        </w:rPr>
        <w:t xml:space="preserve">HIT </w:t>
      </w:r>
      <w:r>
        <w:rPr>
          <w:szCs w:val="24"/>
        </w:rPr>
        <w:t>Innovation Guidance</w:t>
      </w:r>
    </w:p>
    <w:p w:rsidR="00581394" w:rsidRDefault="00581394" w:rsidP="00DF239F">
      <w:pPr>
        <w:rPr>
          <w:b/>
        </w:rPr>
      </w:pPr>
      <w:r>
        <w:rPr>
          <w:szCs w:val="24"/>
        </w:rPr>
        <w:t>Attachment</w:t>
      </w:r>
      <w:r w:rsidR="002765C0">
        <w:rPr>
          <w:szCs w:val="24"/>
        </w:rPr>
        <w:t xml:space="preserve"> D</w:t>
      </w:r>
      <w:r>
        <w:rPr>
          <w:szCs w:val="24"/>
        </w:rPr>
        <w:tab/>
      </w:r>
      <w:r>
        <w:rPr>
          <w:szCs w:val="24"/>
        </w:rPr>
        <w:tab/>
      </w:r>
      <w:r w:rsidR="00991B20">
        <w:rPr>
          <w:szCs w:val="24"/>
        </w:rPr>
        <w:t>HIT Planning</w:t>
      </w:r>
      <w:r w:rsidR="00FD16C2">
        <w:rPr>
          <w:szCs w:val="24"/>
        </w:rPr>
        <w:t xml:space="preserve"> </w:t>
      </w:r>
      <w:r>
        <w:rPr>
          <w:szCs w:val="24"/>
        </w:rPr>
        <w:t>Guidance</w:t>
      </w:r>
      <w:r w:rsidR="00112506">
        <w:rPr>
          <w:szCs w:val="24"/>
        </w:rPr>
        <w:t xml:space="preserve"> </w:t>
      </w:r>
    </w:p>
    <w:p w:rsidR="00DF239F" w:rsidRPr="004C1256" w:rsidRDefault="009354FD" w:rsidP="00DF239F">
      <w:pPr>
        <w:rPr>
          <w:szCs w:val="24"/>
        </w:rPr>
      </w:pPr>
      <w:r>
        <w:rPr>
          <w:szCs w:val="24"/>
        </w:rPr>
        <w:t xml:space="preserve"> </w:t>
      </w:r>
    </w:p>
    <w:sectPr w:rsidR="00DF239F" w:rsidRPr="004C1256" w:rsidSect="00AF6688">
      <w:footerReference w:type="even" r:id="rId10"/>
      <w:footerReference w:type="default" r:id="rId11"/>
      <w:footerReference w:type="first" r:id="rId12"/>
      <w:footnotePr>
        <w:numRestart w:val="eachSect"/>
      </w:footnotePr>
      <w:endnotePr>
        <w:numFmt w:val="decimal"/>
      </w:endnotePr>
      <w:pgSz w:w="12240" w:h="15840"/>
      <w:pgMar w:top="1008" w:right="1008" w:bottom="1008" w:left="1008" w:header="108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B03" w:rsidRDefault="001F5B03">
      <w:r>
        <w:separator/>
      </w:r>
    </w:p>
  </w:endnote>
  <w:endnote w:type="continuationSeparator" w:id="0">
    <w:p w:rsidR="001F5B03" w:rsidRDefault="001F5B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C7" w:rsidRDefault="009479BD" w:rsidP="00AF6688">
    <w:pPr>
      <w:pStyle w:val="Footer"/>
      <w:framePr w:wrap="around" w:vAnchor="text" w:hAnchor="margin" w:xAlign="center" w:y="1"/>
      <w:rPr>
        <w:rStyle w:val="PageNumber"/>
      </w:rPr>
    </w:pPr>
    <w:r>
      <w:rPr>
        <w:rStyle w:val="PageNumber"/>
      </w:rPr>
      <w:fldChar w:fldCharType="begin"/>
    </w:r>
    <w:r w:rsidR="000E10C7">
      <w:rPr>
        <w:rStyle w:val="PageNumber"/>
      </w:rPr>
      <w:instrText xml:space="preserve">PAGE  </w:instrText>
    </w:r>
    <w:r>
      <w:rPr>
        <w:rStyle w:val="PageNumber"/>
      </w:rPr>
      <w:fldChar w:fldCharType="end"/>
    </w:r>
  </w:p>
  <w:p w:rsidR="000E10C7" w:rsidRDefault="000E10C7" w:rsidP="00AF66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C7" w:rsidRDefault="009479BD" w:rsidP="00AF6688">
    <w:pPr>
      <w:pStyle w:val="Footer"/>
      <w:framePr w:wrap="around" w:vAnchor="text" w:hAnchor="margin" w:xAlign="center" w:y="1"/>
      <w:rPr>
        <w:rStyle w:val="PageNumber"/>
      </w:rPr>
    </w:pPr>
    <w:r>
      <w:rPr>
        <w:rStyle w:val="PageNumber"/>
      </w:rPr>
      <w:fldChar w:fldCharType="begin"/>
    </w:r>
    <w:r w:rsidR="000E10C7">
      <w:rPr>
        <w:rStyle w:val="PageNumber"/>
      </w:rPr>
      <w:instrText xml:space="preserve">PAGE  </w:instrText>
    </w:r>
    <w:r>
      <w:rPr>
        <w:rStyle w:val="PageNumber"/>
      </w:rPr>
      <w:fldChar w:fldCharType="separate"/>
    </w:r>
    <w:r w:rsidR="006F2621">
      <w:rPr>
        <w:rStyle w:val="PageNumber"/>
        <w:noProof/>
      </w:rPr>
      <w:t>5</w:t>
    </w:r>
    <w:r>
      <w:rPr>
        <w:rStyle w:val="PageNumber"/>
      </w:rPr>
      <w:fldChar w:fldCharType="end"/>
    </w:r>
  </w:p>
  <w:p w:rsidR="000E10C7" w:rsidRDefault="000E10C7" w:rsidP="00AF668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C7" w:rsidRDefault="009479BD">
    <w:pPr>
      <w:pStyle w:val="Footer"/>
      <w:framePr w:wrap="around" w:vAnchor="text" w:hAnchor="margin" w:xAlign="center" w:y="1"/>
      <w:rPr>
        <w:rStyle w:val="PageNumber"/>
      </w:rPr>
    </w:pPr>
    <w:r>
      <w:rPr>
        <w:rStyle w:val="PageNumber"/>
      </w:rPr>
      <w:fldChar w:fldCharType="begin"/>
    </w:r>
    <w:r w:rsidR="000E10C7">
      <w:rPr>
        <w:rStyle w:val="PageNumber"/>
      </w:rPr>
      <w:instrText xml:space="preserve">PAGE  </w:instrText>
    </w:r>
    <w:r>
      <w:rPr>
        <w:rStyle w:val="PageNumber"/>
      </w:rPr>
      <w:fldChar w:fldCharType="separate"/>
    </w:r>
    <w:r w:rsidR="000E10C7">
      <w:rPr>
        <w:rStyle w:val="PageNumber"/>
        <w:noProof/>
      </w:rPr>
      <w:t>1</w:t>
    </w:r>
    <w:r>
      <w:rPr>
        <w:rStyle w:val="PageNumber"/>
      </w:rPr>
      <w:fldChar w:fldCharType="end"/>
    </w:r>
  </w:p>
  <w:p w:rsidR="000E10C7" w:rsidRDefault="000E10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B03" w:rsidRDefault="001F5B03">
      <w:r>
        <w:separator/>
      </w:r>
    </w:p>
  </w:footnote>
  <w:footnote w:type="continuationSeparator" w:id="0">
    <w:p w:rsidR="001F5B03" w:rsidRDefault="001F5B03">
      <w:r>
        <w:continuationSeparator/>
      </w:r>
    </w:p>
  </w:footnote>
  <w:footnote w:id="1">
    <w:p w:rsidR="000E10C7" w:rsidRDefault="000E10C7" w:rsidP="00AE6ECE">
      <w:pPr>
        <w:pStyle w:val="FootnoteText"/>
      </w:pPr>
      <w:r>
        <w:rPr>
          <w:rStyle w:val="FootnoteReference"/>
        </w:rPr>
        <w:footnoteRef/>
      </w:r>
      <w:r w:rsidR="00473E76">
        <w:t xml:space="preserve">  </w:t>
      </w:r>
      <w:r>
        <w:t>The EHB allows business processes such as grants management to be broken down into discrete role-based handbooks.</w:t>
      </w:r>
      <w:r w:rsidR="00473E76">
        <w:t xml:space="preserve">  </w:t>
      </w:r>
      <w:r>
        <w:t>The EHB contains electronic forms which can be used in real-time.</w:t>
      </w:r>
      <w:r w:rsidR="00473E76">
        <w:t xml:space="preserve">  </w:t>
      </w:r>
    </w:p>
    <w:p w:rsidR="000E10C7" w:rsidRDefault="000E10C7">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598"/>
    <w:multiLevelType w:val="hybridMultilevel"/>
    <w:tmpl w:val="6EB22254"/>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5F1921"/>
    <w:multiLevelType w:val="hybridMultilevel"/>
    <w:tmpl w:val="9742362C"/>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784C66"/>
    <w:multiLevelType w:val="hybridMultilevel"/>
    <w:tmpl w:val="67882EA8"/>
    <w:lvl w:ilvl="0" w:tplc="E392F9F2">
      <w:start w:val="1"/>
      <w:numFmt w:val="bullet"/>
      <w:pStyle w:val="Quick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8D28B0"/>
    <w:multiLevelType w:val="hybridMultilevel"/>
    <w:tmpl w:val="40A2D3DA"/>
    <w:lvl w:ilvl="0" w:tplc="373450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D72DC8"/>
    <w:multiLevelType w:val="hybridMultilevel"/>
    <w:tmpl w:val="FD0651F8"/>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0407DA"/>
    <w:multiLevelType w:val="hybridMultilevel"/>
    <w:tmpl w:val="D8C80DD4"/>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B00CBB"/>
    <w:multiLevelType w:val="hybridMultilevel"/>
    <w:tmpl w:val="0660DD4C"/>
    <w:lvl w:ilvl="0" w:tplc="0C0457DC">
      <w:start w:val="1"/>
      <w:numFmt w:val="bullet"/>
      <w:lvlText w:val=""/>
      <w:lvlJc w:val="left"/>
      <w:pPr>
        <w:tabs>
          <w:tab w:val="num" w:pos="0"/>
        </w:tabs>
        <w:ind w:left="720" w:hanging="360"/>
      </w:pPr>
      <w:rPr>
        <w:rFonts w:ascii="Wingdings" w:hAnsi="Wingdings" w:hint="default"/>
        <w:sz w:val="20"/>
        <w:szCs w:val="20"/>
      </w:rPr>
    </w:lvl>
    <w:lvl w:ilvl="1" w:tplc="5290D27C">
      <w:start w:val="1"/>
      <w:numFmt w:val="bullet"/>
      <w:lvlText w:val="o"/>
      <w:lvlJc w:val="left"/>
      <w:pPr>
        <w:tabs>
          <w:tab w:val="num" w:pos="1080"/>
        </w:tabs>
        <w:ind w:left="1080" w:hanging="360"/>
      </w:pPr>
      <w:rPr>
        <w:rFonts w:ascii="Courier New" w:hAnsi="Courier New" w:hint="default"/>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4B25E5"/>
    <w:multiLevelType w:val="hybridMultilevel"/>
    <w:tmpl w:val="A552BBEC"/>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9497ED5"/>
    <w:multiLevelType w:val="hybridMultilevel"/>
    <w:tmpl w:val="E94830DC"/>
    <w:lvl w:ilvl="0" w:tplc="0C0457DC">
      <w:start w:val="1"/>
      <w:numFmt w:val="bullet"/>
      <w:lvlText w:val=""/>
      <w:lvlJc w:val="left"/>
      <w:pPr>
        <w:tabs>
          <w:tab w:val="num" w:pos="0"/>
        </w:tabs>
        <w:ind w:left="720" w:hanging="360"/>
      </w:pPr>
      <w:rPr>
        <w:rFonts w:ascii="Wingdings" w:hAnsi="Wingdings" w:hint="default"/>
        <w:sz w:val="20"/>
        <w:szCs w:val="20"/>
      </w:rPr>
    </w:lvl>
    <w:lvl w:ilvl="1" w:tplc="5290D27C">
      <w:start w:val="1"/>
      <w:numFmt w:val="bullet"/>
      <w:lvlText w:val="o"/>
      <w:lvlJc w:val="left"/>
      <w:pPr>
        <w:tabs>
          <w:tab w:val="num" w:pos="1080"/>
        </w:tabs>
        <w:ind w:left="1080" w:hanging="36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CC2F35"/>
    <w:multiLevelType w:val="hybridMultilevel"/>
    <w:tmpl w:val="94261096"/>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C22345"/>
    <w:multiLevelType w:val="multilevel"/>
    <w:tmpl w:val="F58226A2"/>
    <w:lvl w:ilvl="0">
      <w:start w:val="1"/>
      <w:numFmt w:val="bullet"/>
      <w:pStyle w:val="ListBullet"/>
      <w:lvlText w:val=""/>
      <w:lvlJc w:val="left"/>
      <w:pPr>
        <w:tabs>
          <w:tab w:val="num" w:pos="792"/>
        </w:tabs>
        <w:ind w:left="792"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09462FB"/>
    <w:multiLevelType w:val="hybridMultilevel"/>
    <w:tmpl w:val="FEEC6E3E"/>
    <w:lvl w:ilvl="0" w:tplc="0C0457DC">
      <w:start w:val="1"/>
      <w:numFmt w:val="bullet"/>
      <w:lvlText w:val=""/>
      <w:lvlJc w:val="left"/>
      <w:pPr>
        <w:tabs>
          <w:tab w:val="num" w:pos="0"/>
        </w:tabs>
        <w:ind w:left="720" w:hanging="360"/>
      </w:pPr>
      <w:rPr>
        <w:rFonts w:ascii="Wingdings" w:hAnsi="Wingdings" w:hint="default"/>
        <w:sz w:val="20"/>
        <w:szCs w:val="20"/>
      </w:rPr>
    </w:lvl>
    <w:lvl w:ilvl="1" w:tplc="5290D27C">
      <w:start w:val="1"/>
      <w:numFmt w:val="bullet"/>
      <w:lvlText w:val="o"/>
      <w:lvlJc w:val="left"/>
      <w:pPr>
        <w:tabs>
          <w:tab w:val="num" w:pos="1080"/>
        </w:tabs>
        <w:ind w:left="1080" w:hanging="36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34570F"/>
    <w:multiLevelType w:val="hybridMultilevel"/>
    <w:tmpl w:val="3F28712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7F5080"/>
    <w:multiLevelType w:val="hybridMultilevel"/>
    <w:tmpl w:val="7AF6A47A"/>
    <w:lvl w:ilvl="0" w:tplc="BE58E6D0">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6A886E2A">
      <w:start w:val="7"/>
      <w:numFmt w:val="upperLetter"/>
      <w:lvlText w:val="%3."/>
      <w:lvlJc w:val="left"/>
      <w:pPr>
        <w:tabs>
          <w:tab w:val="num" w:pos="2400"/>
        </w:tabs>
        <w:ind w:left="2400" w:hanging="360"/>
      </w:pPr>
      <w:rPr>
        <w:rFonts w:hint="default"/>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nsid w:val="3FDB68CB"/>
    <w:multiLevelType w:val="hybridMultilevel"/>
    <w:tmpl w:val="DCA0821C"/>
    <w:lvl w:ilvl="0" w:tplc="B2C26C4E">
      <w:start w:val="1"/>
      <w:numFmt w:val="decimal"/>
      <w:pStyle w:val="Heading2"/>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D21B22"/>
    <w:multiLevelType w:val="hybridMultilevel"/>
    <w:tmpl w:val="2E5CFA3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895328"/>
    <w:multiLevelType w:val="hybridMultilevel"/>
    <w:tmpl w:val="D2A0F632"/>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100C2A"/>
    <w:multiLevelType w:val="hybridMultilevel"/>
    <w:tmpl w:val="76F64620"/>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1060AC"/>
    <w:multiLevelType w:val="hybridMultilevel"/>
    <w:tmpl w:val="F70062A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71D2AB0"/>
    <w:multiLevelType w:val="hybridMultilevel"/>
    <w:tmpl w:val="BFB0747E"/>
    <w:lvl w:ilvl="0" w:tplc="80269D6C">
      <w:start w:val="1"/>
      <w:numFmt w:val="upperLetter"/>
      <w:pStyle w:val="Heading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FA6278"/>
    <w:multiLevelType w:val="hybridMultilevel"/>
    <w:tmpl w:val="B34CDA86"/>
    <w:lvl w:ilvl="0" w:tplc="06D6A0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C00804"/>
    <w:multiLevelType w:val="hybridMultilevel"/>
    <w:tmpl w:val="6868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D7F0A06"/>
    <w:multiLevelType w:val="hybridMultilevel"/>
    <w:tmpl w:val="75C6BAF6"/>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5359A6"/>
    <w:multiLevelType w:val="hybridMultilevel"/>
    <w:tmpl w:val="D6F2C30A"/>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4576B2"/>
    <w:multiLevelType w:val="hybridMultilevel"/>
    <w:tmpl w:val="E5B85A58"/>
    <w:lvl w:ilvl="0" w:tplc="747E773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D9287B"/>
    <w:multiLevelType w:val="hybridMultilevel"/>
    <w:tmpl w:val="669842A8"/>
    <w:lvl w:ilvl="0" w:tplc="06D6A0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F06049"/>
    <w:multiLevelType w:val="hybridMultilevel"/>
    <w:tmpl w:val="1CA2DADA"/>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911333"/>
    <w:multiLevelType w:val="hybridMultilevel"/>
    <w:tmpl w:val="8F344938"/>
    <w:lvl w:ilvl="0" w:tplc="E392F9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C531C5"/>
    <w:multiLevelType w:val="hybridMultilevel"/>
    <w:tmpl w:val="F24AB9DA"/>
    <w:lvl w:ilvl="0" w:tplc="E392F9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E319DE"/>
    <w:multiLevelType w:val="hybridMultilevel"/>
    <w:tmpl w:val="058E775A"/>
    <w:lvl w:ilvl="0" w:tplc="3E5A7C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25"/>
  </w:num>
  <w:num w:numId="4">
    <w:abstractNumId w:val="14"/>
  </w:num>
  <w:num w:numId="5">
    <w:abstractNumId w:val="19"/>
  </w:num>
  <w:num w:numId="6">
    <w:abstractNumId w:val="3"/>
  </w:num>
  <w:num w:numId="7">
    <w:abstractNumId w:val="4"/>
  </w:num>
  <w:num w:numId="8">
    <w:abstractNumId w:val="8"/>
  </w:num>
  <w:num w:numId="9">
    <w:abstractNumId w:val="26"/>
  </w:num>
  <w:num w:numId="10">
    <w:abstractNumId w:val="11"/>
  </w:num>
  <w:num w:numId="11">
    <w:abstractNumId w:val="9"/>
  </w:num>
  <w:num w:numId="12">
    <w:abstractNumId w:val="6"/>
  </w:num>
  <w:num w:numId="13">
    <w:abstractNumId w:val="28"/>
  </w:num>
  <w:num w:numId="14">
    <w:abstractNumId w:val="23"/>
  </w:num>
  <w:num w:numId="15">
    <w:abstractNumId w:val="22"/>
  </w:num>
  <w:num w:numId="16">
    <w:abstractNumId w:val="16"/>
  </w:num>
  <w:num w:numId="17">
    <w:abstractNumId w:val="12"/>
  </w:num>
  <w:num w:numId="18">
    <w:abstractNumId w:val="15"/>
  </w:num>
  <w:num w:numId="19">
    <w:abstractNumId w:val="2"/>
  </w:num>
  <w:num w:numId="20">
    <w:abstractNumId w:val="5"/>
  </w:num>
  <w:num w:numId="21">
    <w:abstractNumId w:val="1"/>
  </w:num>
  <w:num w:numId="22">
    <w:abstractNumId w:val="0"/>
  </w:num>
  <w:num w:numId="23">
    <w:abstractNumId w:val="27"/>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4"/>
  </w:num>
  <w:num w:numId="27">
    <w:abstractNumId w:val="17"/>
  </w:num>
  <w:num w:numId="28">
    <w:abstractNumId w:val="18"/>
  </w:num>
  <w:num w:numId="29">
    <w:abstractNumId w:val="29"/>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48CE"/>
    <w:rsid w:val="00006C3F"/>
    <w:rsid w:val="000103D9"/>
    <w:rsid w:val="00010973"/>
    <w:rsid w:val="000246F0"/>
    <w:rsid w:val="00027DF8"/>
    <w:rsid w:val="00034858"/>
    <w:rsid w:val="00044997"/>
    <w:rsid w:val="00053536"/>
    <w:rsid w:val="000566FD"/>
    <w:rsid w:val="000656BE"/>
    <w:rsid w:val="00071368"/>
    <w:rsid w:val="00071513"/>
    <w:rsid w:val="0007513E"/>
    <w:rsid w:val="00076662"/>
    <w:rsid w:val="00077AEF"/>
    <w:rsid w:val="0008324B"/>
    <w:rsid w:val="00085738"/>
    <w:rsid w:val="000879AC"/>
    <w:rsid w:val="00091B97"/>
    <w:rsid w:val="00096F97"/>
    <w:rsid w:val="000A59A5"/>
    <w:rsid w:val="000B3ED4"/>
    <w:rsid w:val="000B62BB"/>
    <w:rsid w:val="000C4B51"/>
    <w:rsid w:val="000C612F"/>
    <w:rsid w:val="000D0AFB"/>
    <w:rsid w:val="000D68D9"/>
    <w:rsid w:val="000E10C7"/>
    <w:rsid w:val="000E312C"/>
    <w:rsid w:val="000E38CE"/>
    <w:rsid w:val="000E7970"/>
    <w:rsid w:val="000F2400"/>
    <w:rsid w:val="000F4CD7"/>
    <w:rsid w:val="001053F4"/>
    <w:rsid w:val="0011224D"/>
    <w:rsid w:val="00112506"/>
    <w:rsid w:val="00120BCF"/>
    <w:rsid w:val="00132DF0"/>
    <w:rsid w:val="0013566F"/>
    <w:rsid w:val="001626A1"/>
    <w:rsid w:val="00162E3A"/>
    <w:rsid w:val="001659FE"/>
    <w:rsid w:val="001774C6"/>
    <w:rsid w:val="001775B6"/>
    <w:rsid w:val="001A3FF7"/>
    <w:rsid w:val="001A6CA3"/>
    <w:rsid w:val="001B0365"/>
    <w:rsid w:val="001B4136"/>
    <w:rsid w:val="001B4482"/>
    <w:rsid w:val="001B4C90"/>
    <w:rsid w:val="001C22E3"/>
    <w:rsid w:val="001C581F"/>
    <w:rsid w:val="001D3BB9"/>
    <w:rsid w:val="001E0CFC"/>
    <w:rsid w:val="001F2DE3"/>
    <w:rsid w:val="001F5B03"/>
    <w:rsid w:val="001F656A"/>
    <w:rsid w:val="00203901"/>
    <w:rsid w:val="002128FF"/>
    <w:rsid w:val="00234581"/>
    <w:rsid w:val="00235072"/>
    <w:rsid w:val="00237411"/>
    <w:rsid w:val="00240B14"/>
    <w:rsid w:val="002448E5"/>
    <w:rsid w:val="0026772F"/>
    <w:rsid w:val="00272579"/>
    <w:rsid w:val="00273EE8"/>
    <w:rsid w:val="002765C0"/>
    <w:rsid w:val="00293484"/>
    <w:rsid w:val="002A54D3"/>
    <w:rsid w:val="002A5A20"/>
    <w:rsid w:val="002B26FB"/>
    <w:rsid w:val="002B2A89"/>
    <w:rsid w:val="002B5E51"/>
    <w:rsid w:val="002B6B5D"/>
    <w:rsid w:val="002C05A6"/>
    <w:rsid w:val="002C18BA"/>
    <w:rsid w:val="002C3FC8"/>
    <w:rsid w:val="002C677D"/>
    <w:rsid w:val="002E0043"/>
    <w:rsid w:val="003024DA"/>
    <w:rsid w:val="00311979"/>
    <w:rsid w:val="003218D3"/>
    <w:rsid w:val="003226AC"/>
    <w:rsid w:val="00326B00"/>
    <w:rsid w:val="003305F6"/>
    <w:rsid w:val="00331E5B"/>
    <w:rsid w:val="00343D01"/>
    <w:rsid w:val="003467A2"/>
    <w:rsid w:val="0034721E"/>
    <w:rsid w:val="00360D96"/>
    <w:rsid w:val="00377CF1"/>
    <w:rsid w:val="00382A75"/>
    <w:rsid w:val="00383A8C"/>
    <w:rsid w:val="00392ED1"/>
    <w:rsid w:val="00393720"/>
    <w:rsid w:val="00395545"/>
    <w:rsid w:val="00397C72"/>
    <w:rsid w:val="003D2658"/>
    <w:rsid w:val="003D5F28"/>
    <w:rsid w:val="003D6551"/>
    <w:rsid w:val="003F1517"/>
    <w:rsid w:val="003F4A53"/>
    <w:rsid w:val="00413359"/>
    <w:rsid w:val="004232DF"/>
    <w:rsid w:val="00427E9D"/>
    <w:rsid w:val="00431A17"/>
    <w:rsid w:val="00432470"/>
    <w:rsid w:val="00434081"/>
    <w:rsid w:val="004409C0"/>
    <w:rsid w:val="00450285"/>
    <w:rsid w:val="00451E0B"/>
    <w:rsid w:val="00465682"/>
    <w:rsid w:val="004715EA"/>
    <w:rsid w:val="00473E76"/>
    <w:rsid w:val="00482DFA"/>
    <w:rsid w:val="00484F85"/>
    <w:rsid w:val="00493A1B"/>
    <w:rsid w:val="00497DDC"/>
    <w:rsid w:val="004A4DB1"/>
    <w:rsid w:val="004A72E8"/>
    <w:rsid w:val="004A7E58"/>
    <w:rsid w:val="004B6C0C"/>
    <w:rsid w:val="004C1256"/>
    <w:rsid w:val="004E2B4C"/>
    <w:rsid w:val="004E336C"/>
    <w:rsid w:val="004E4721"/>
    <w:rsid w:val="00503EA6"/>
    <w:rsid w:val="00531ED6"/>
    <w:rsid w:val="00533391"/>
    <w:rsid w:val="0053680A"/>
    <w:rsid w:val="005368D1"/>
    <w:rsid w:val="00542A80"/>
    <w:rsid w:val="00551A20"/>
    <w:rsid w:val="0055776E"/>
    <w:rsid w:val="00561E74"/>
    <w:rsid w:val="0057294B"/>
    <w:rsid w:val="00575884"/>
    <w:rsid w:val="005778F6"/>
    <w:rsid w:val="00581394"/>
    <w:rsid w:val="00592186"/>
    <w:rsid w:val="00596010"/>
    <w:rsid w:val="0059631A"/>
    <w:rsid w:val="005A12DC"/>
    <w:rsid w:val="005B2BB5"/>
    <w:rsid w:val="005B3222"/>
    <w:rsid w:val="005C08F5"/>
    <w:rsid w:val="005C7E9D"/>
    <w:rsid w:val="005D1A51"/>
    <w:rsid w:val="005D45B5"/>
    <w:rsid w:val="005D55B9"/>
    <w:rsid w:val="005D7E2E"/>
    <w:rsid w:val="00604E21"/>
    <w:rsid w:val="006075E9"/>
    <w:rsid w:val="006207BA"/>
    <w:rsid w:val="00623A52"/>
    <w:rsid w:val="006250BA"/>
    <w:rsid w:val="00627BD7"/>
    <w:rsid w:val="006308A9"/>
    <w:rsid w:val="00632148"/>
    <w:rsid w:val="00641F3D"/>
    <w:rsid w:val="006546DB"/>
    <w:rsid w:val="006625E3"/>
    <w:rsid w:val="0066740F"/>
    <w:rsid w:val="0067037E"/>
    <w:rsid w:val="00672EC0"/>
    <w:rsid w:val="006733BC"/>
    <w:rsid w:val="0069011D"/>
    <w:rsid w:val="006B28C4"/>
    <w:rsid w:val="006C7220"/>
    <w:rsid w:val="006C7301"/>
    <w:rsid w:val="006D0094"/>
    <w:rsid w:val="006E079B"/>
    <w:rsid w:val="006E6A1B"/>
    <w:rsid w:val="006F2586"/>
    <w:rsid w:val="006F2621"/>
    <w:rsid w:val="00701FF5"/>
    <w:rsid w:val="00702180"/>
    <w:rsid w:val="007037F6"/>
    <w:rsid w:val="007051F8"/>
    <w:rsid w:val="00721685"/>
    <w:rsid w:val="00723EA3"/>
    <w:rsid w:val="00730869"/>
    <w:rsid w:val="0074107E"/>
    <w:rsid w:val="00742518"/>
    <w:rsid w:val="00753FB4"/>
    <w:rsid w:val="00764C08"/>
    <w:rsid w:val="007719B4"/>
    <w:rsid w:val="0077473F"/>
    <w:rsid w:val="00781367"/>
    <w:rsid w:val="00781652"/>
    <w:rsid w:val="00784FDA"/>
    <w:rsid w:val="007858CD"/>
    <w:rsid w:val="007A2328"/>
    <w:rsid w:val="007A4761"/>
    <w:rsid w:val="007B256B"/>
    <w:rsid w:val="007B4A4C"/>
    <w:rsid w:val="007B5F47"/>
    <w:rsid w:val="007C178C"/>
    <w:rsid w:val="007C2D03"/>
    <w:rsid w:val="007D5BEF"/>
    <w:rsid w:val="007F4289"/>
    <w:rsid w:val="008048CE"/>
    <w:rsid w:val="00810E77"/>
    <w:rsid w:val="008162A1"/>
    <w:rsid w:val="0082175A"/>
    <w:rsid w:val="00824FFE"/>
    <w:rsid w:val="00832233"/>
    <w:rsid w:val="00835C7B"/>
    <w:rsid w:val="00845BF2"/>
    <w:rsid w:val="00851B84"/>
    <w:rsid w:val="00856F32"/>
    <w:rsid w:val="008636D3"/>
    <w:rsid w:val="00882EBD"/>
    <w:rsid w:val="008A3311"/>
    <w:rsid w:val="008A4627"/>
    <w:rsid w:val="008B3E8D"/>
    <w:rsid w:val="008E1E09"/>
    <w:rsid w:val="008F335E"/>
    <w:rsid w:val="008F6E58"/>
    <w:rsid w:val="008F714B"/>
    <w:rsid w:val="008F7E37"/>
    <w:rsid w:val="009002BC"/>
    <w:rsid w:val="00917539"/>
    <w:rsid w:val="009270DB"/>
    <w:rsid w:val="009354FD"/>
    <w:rsid w:val="00937C31"/>
    <w:rsid w:val="00941AEF"/>
    <w:rsid w:val="00941B6C"/>
    <w:rsid w:val="00943E6C"/>
    <w:rsid w:val="009479BD"/>
    <w:rsid w:val="00970A67"/>
    <w:rsid w:val="00977486"/>
    <w:rsid w:val="00977659"/>
    <w:rsid w:val="00991B20"/>
    <w:rsid w:val="00993CD5"/>
    <w:rsid w:val="009A0C63"/>
    <w:rsid w:val="009A20BC"/>
    <w:rsid w:val="009B197D"/>
    <w:rsid w:val="009C0165"/>
    <w:rsid w:val="009C6211"/>
    <w:rsid w:val="009C7356"/>
    <w:rsid w:val="009D1896"/>
    <w:rsid w:val="009E053B"/>
    <w:rsid w:val="009E378F"/>
    <w:rsid w:val="009E5F7E"/>
    <w:rsid w:val="009F59FA"/>
    <w:rsid w:val="00A06F73"/>
    <w:rsid w:val="00A1001C"/>
    <w:rsid w:val="00A10976"/>
    <w:rsid w:val="00A11FF5"/>
    <w:rsid w:val="00A14F7B"/>
    <w:rsid w:val="00A22A32"/>
    <w:rsid w:val="00A379EC"/>
    <w:rsid w:val="00A430BB"/>
    <w:rsid w:val="00A6495F"/>
    <w:rsid w:val="00A67E93"/>
    <w:rsid w:val="00A7338A"/>
    <w:rsid w:val="00A91443"/>
    <w:rsid w:val="00A926AE"/>
    <w:rsid w:val="00AA73CC"/>
    <w:rsid w:val="00AC6B10"/>
    <w:rsid w:val="00AD3774"/>
    <w:rsid w:val="00AD41C2"/>
    <w:rsid w:val="00AD5251"/>
    <w:rsid w:val="00AE2AC9"/>
    <w:rsid w:val="00AE6ECE"/>
    <w:rsid w:val="00AF6688"/>
    <w:rsid w:val="00B0041E"/>
    <w:rsid w:val="00B0411B"/>
    <w:rsid w:val="00B050EB"/>
    <w:rsid w:val="00B23886"/>
    <w:rsid w:val="00B2449A"/>
    <w:rsid w:val="00B46714"/>
    <w:rsid w:val="00B613B3"/>
    <w:rsid w:val="00B61EA5"/>
    <w:rsid w:val="00B66F31"/>
    <w:rsid w:val="00B721AF"/>
    <w:rsid w:val="00B726DE"/>
    <w:rsid w:val="00B72720"/>
    <w:rsid w:val="00B72BE1"/>
    <w:rsid w:val="00B77782"/>
    <w:rsid w:val="00B830CE"/>
    <w:rsid w:val="00B85DCF"/>
    <w:rsid w:val="00B90591"/>
    <w:rsid w:val="00B9275F"/>
    <w:rsid w:val="00BB7FBE"/>
    <w:rsid w:val="00BC0AB5"/>
    <w:rsid w:val="00BC6A01"/>
    <w:rsid w:val="00BD4B0E"/>
    <w:rsid w:val="00C015FF"/>
    <w:rsid w:val="00C01D34"/>
    <w:rsid w:val="00C0549C"/>
    <w:rsid w:val="00C07D15"/>
    <w:rsid w:val="00C07FE5"/>
    <w:rsid w:val="00C1083B"/>
    <w:rsid w:val="00C11BD5"/>
    <w:rsid w:val="00C37442"/>
    <w:rsid w:val="00C40FDD"/>
    <w:rsid w:val="00C44E52"/>
    <w:rsid w:val="00C47D0D"/>
    <w:rsid w:val="00C50EC0"/>
    <w:rsid w:val="00C61B09"/>
    <w:rsid w:val="00C761A8"/>
    <w:rsid w:val="00C914E1"/>
    <w:rsid w:val="00C93541"/>
    <w:rsid w:val="00C953BA"/>
    <w:rsid w:val="00CA37BA"/>
    <w:rsid w:val="00CA7D21"/>
    <w:rsid w:val="00CB0BDA"/>
    <w:rsid w:val="00CB1360"/>
    <w:rsid w:val="00CB30DB"/>
    <w:rsid w:val="00CC2EC0"/>
    <w:rsid w:val="00CD427A"/>
    <w:rsid w:val="00CE0D7B"/>
    <w:rsid w:val="00CE114A"/>
    <w:rsid w:val="00CF07B7"/>
    <w:rsid w:val="00D13FF8"/>
    <w:rsid w:val="00D22890"/>
    <w:rsid w:val="00D22CBE"/>
    <w:rsid w:val="00D27E5B"/>
    <w:rsid w:val="00D33D12"/>
    <w:rsid w:val="00D35C19"/>
    <w:rsid w:val="00D42639"/>
    <w:rsid w:val="00D42686"/>
    <w:rsid w:val="00D73F66"/>
    <w:rsid w:val="00D84F05"/>
    <w:rsid w:val="00DA50FD"/>
    <w:rsid w:val="00DA58F6"/>
    <w:rsid w:val="00DB0507"/>
    <w:rsid w:val="00DC09B5"/>
    <w:rsid w:val="00DE0169"/>
    <w:rsid w:val="00DE3DFE"/>
    <w:rsid w:val="00DE4C80"/>
    <w:rsid w:val="00DF239F"/>
    <w:rsid w:val="00DF3FAD"/>
    <w:rsid w:val="00E05104"/>
    <w:rsid w:val="00E05FCF"/>
    <w:rsid w:val="00E16BD2"/>
    <w:rsid w:val="00E17B28"/>
    <w:rsid w:val="00E2274E"/>
    <w:rsid w:val="00E26948"/>
    <w:rsid w:val="00E31462"/>
    <w:rsid w:val="00E3166E"/>
    <w:rsid w:val="00E32E22"/>
    <w:rsid w:val="00E42D86"/>
    <w:rsid w:val="00E4489C"/>
    <w:rsid w:val="00E5149C"/>
    <w:rsid w:val="00E51846"/>
    <w:rsid w:val="00E5271E"/>
    <w:rsid w:val="00E65198"/>
    <w:rsid w:val="00E67ADE"/>
    <w:rsid w:val="00E92D8A"/>
    <w:rsid w:val="00E952D0"/>
    <w:rsid w:val="00E96911"/>
    <w:rsid w:val="00EA2C60"/>
    <w:rsid w:val="00EC5E5F"/>
    <w:rsid w:val="00EC7EAD"/>
    <w:rsid w:val="00EE009A"/>
    <w:rsid w:val="00EE2322"/>
    <w:rsid w:val="00EE46D5"/>
    <w:rsid w:val="00EF0F40"/>
    <w:rsid w:val="00EF36B0"/>
    <w:rsid w:val="00EF4CD0"/>
    <w:rsid w:val="00F0375D"/>
    <w:rsid w:val="00F04AFD"/>
    <w:rsid w:val="00F05DBA"/>
    <w:rsid w:val="00F107DE"/>
    <w:rsid w:val="00F31D46"/>
    <w:rsid w:val="00F66FDC"/>
    <w:rsid w:val="00F7518B"/>
    <w:rsid w:val="00F80022"/>
    <w:rsid w:val="00F82B0C"/>
    <w:rsid w:val="00FA26FA"/>
    <w:rsid w:val="00FB3C4B"/>
    <w:rsid w:val="00FB5D77"/>
    <w:rsid w:val="00FC00DC"/>
    <w:rsid w:val="00FC1047"/>
    <w:rsid w:val="00FC62C6"/>
    <w:rsid w:val="00FD16C2"/>
    <w:rsid w:val="00FE47B8"/>
    <w:rsid w:val="00FF03AA"/>
    <w:rsid w:val="00FF4B40"/>
    <w:rsid w:val="00FF6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37E"/>
    <w:pPr>
      <w:widowControl w:val="0"/>
    </w:pPr>
    <w:rPr>
      <w:sz w:val="24"/>
    </w:rPr>
  </w:style>
  <w:style w:type="paragraph" w:styleId="Heading1">
    <w:name w:val="heading 1"/>
    <w:basedOn w:val="Normal"/>
    <w:next w:val="Normal"/>
    <w:qFormat/>
    <w:rsid w:val="0067037E"/>
    <w:pPr>
      <w:keepNext/>
      <w:numPr>
        <w:numId w:val="5"/>
      </w:numPr>
      <w:spacing w:before="240" w:after="60"/>
      <w:outlineLvl w:val="0"/>
    </w:pPr>
    <w:rPr>
      <w:b/>
      <w:smallCaps/>
      <w:kern w:val="28"/>
    </w:rPr>
  </w:style>
  <w:style w:type="paragraph" w:styleId="Heading2">
    <w:name w:val="heading 2"/>
    <w:basedOn w:val="Normal"/>
    <w:next w:val="Normal"/>
    <w:qFormat/>
    <w:rsid w:val="0067037E"/>
    <w:pPr>
      <w:keepNext/>
      <w:numPr>
        <w:numId w:val="4"/>
      </w:numPr>
      <w:tabs>
        <w:tab w:val="clear" w:pos="1080"/>
      </w:tabs>
      <w:spacing w:before="120" w:after="120"/>
      <w:ind w:left="0" w:firstLine="0"/>
      <w:outlineLvl w:val="1"/>
    </w:pPr>
    <w:rPr>
      <w:b/>
    </w:rPr>
  </w:style>
  <w:style w:type="paragraph" w:styleId="Heading3">
    <w:name w:val="heading 3"/>
    <w:basedOn w:val="Normal"/>
    <w:next w:val="Normal"/>
    <w:qFormat/>
    <w:rsid w:val="0067037E"/>
    <w:pPr>
      <w:keepNext/>
      <w:spacing w:before="240" w:after="60"/>
      <w:outlineLvl w:val="2"/>
    </w:pPr>
    <w:rPr>
      <w:rFonts w:ascii="Arial" w:hAnsi="Arial"/>
    </w:rPr>
  </w:style>
  <w:style w:type="paragraph" w:styleId="Heading4">
    <w:name w:val="heading 4"/>
    <w:basedOn w:val="Normal"/>
    <w:next w:val="Normal"/>
    <w:qFormat/>
    <w:rsid w:val="0067037E"/>
    <w:pPr>
      <w:keepNext/>
      <w:spacing w:before="240" w:after="60"/>
      <w:outlineLvl w:val="3"/>
    </w:pPr>
    <w:rPr>
      <w:rFonts w:ascii="Arial" w:hAnsi="Arial"/>
      <w:b/>
    </w:rPr>
  </w:style>
  <w:style w:type="paragraph" w:styleId="Heading5">
    <w:name w:val="heading 5"/>
    <w:basedOn w:val="Normal"/>
    <w:next w:val="Normal"/>
    <w:qFormat/>
    <w:rsid w:val="0067037E"/>
    <w:pPr>
      <w:spacing w:before="240" w:after="60"/>
      <w:outlineLvl w:val="4"/>
    </w:pPr>
    <w:rPr>
      <w:sz w:val="22"/>
    </w:rPr>
  </w:style>
  <w:style w:type="paragraph" w:styleId="Heading6">
    <w:name w:val="heading 6"/>
    <w:basedOn w:val="Normal"/>
    <w:next w:val="Normal"/>
    <w:qFormat/>
    <w:rsid w:val="0067037E"/>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80" w:lineRule="atLeast"/>
      <w:ind w:left="360" w:hanging="360"/>
      <w:outlineLvl w:val="5"/>
    </w:pPr>
    <w:rPr>
      <w:color w:val="FF0000"/>
    </w:rPr>
  </w:style>
  <w:style w:type="paragraph" w:styleId="Heading7">
    <w:name w:val="heading 7"/>
    <w:basedOn w:val="Normal"/>
    <w:next w:val="Normal"/>
    <w:qFormat/>
    <w:rsid w:val="0067037E"/>
    <w:pPr>
      <w:keepNext/>
      <w:ind w:left="-90" w:firstLine="450"/>
      <w:outlineLvl w:val="6"/>
    </w:pPr>
  </w:style>
  <w:style w:type="paragraph" w:styleId="Heading8">
    <w:name w:val="heading 8"/>
    <w:basedOn w:val="Normal"/>
    <w:next w:val="Normal"/>
    <w:qFormat/>
    <w:rsid w:val="0067037E"/>
    <w:pPr>
      <w:keepNext/>
      <w:ind w:firstLine="360"/>
      <w:outlineLvl w:val="7"/>
    </w:pPr>
  </w:style>
  <w:style w:type="paragraph" w:styleId="Heading9">
    <w:name w:val="heading 9"/>
    <w:basedOn w:val="Normal"/>
    <w:next w:val="Normal"/>
    <w:qFormat/>
    <w:rsid w:val="0067037E"/>
    <w:pPr>
      <w:keepNext/>
      <w:autoSpaceDE w:val="0"/>
      <w:autoSpaceDN w:val="0"/>
      <w:adjustRightInd w:val="0"/>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037E"/>
    <w:pPr>
      <w:tabs>
        <w:tab w:val="center" w:pos="4320"/>
        <w:tab w:val="right" w:pos="8640"/>
      </w:tabs>
    </w:pPr>
  </w:style>
  <w:style w:type="paragraph" w:styleId="Footer">
    <w:name w:val="footer"/>
    <w:basedOn w:val="Normal"/>
    <w:rsid w:val="0067037E"/>
    <w:pPr>
      <w:tabs>
        <w:tab w:val="center" w:pos="4320"/>
        <w:tab w:val="right" w:pos="8640"/>
      </w:tabs>
    </w:pPr>
  </w:style>
  <w:style w:type="paragraph" w:styleId="BodyText">
    <w:name w:val="Body Text"/>
    <w:basedOn w:val="Normal"/>
    <w:rsid w:val="0067037E"/>
    <w:pPr>
      <w:spacing w:after="120"/>
    </w:pPr>
  </w:style>
  <w:style w:type="character" w:styleId="PageNumber">
    <w:name w:val="page number"/>
    <w:basedOn w:val="DefaultParagraphFont"/>
    <w:rsid w:val="0067037E"/>
  </w:style>
  <w:style w:type="paragraph" w:styleId="TOC1">
    <w:name w:val="toc 1"/>
    <w:basedOn w:val="Normal"/>
    <w:next w:val="Normal"/>
    <w:semiHidden/>
    <w:rsid w:val="0067037E"/>
  </w:style>
  <w:style w:type="paragraph" w:styleId="TOC2">
    <w:name w:val="toc 2"/>
    <w:basedOn w:val="Normal"/>
    <w:next w:val="Normal"/>
    <w:semiHidden/>
    <w:rsid w:val="0067037E"/>
    <w:pPr>
      <w:ind w:left="200"/>
    </w:pPr>
  </w:style>
  <w:style w:type="paragraph" w:styleId="Caption">
    <w:name w:val="caption"/>
    <w:basedOn w:val="Normal"/>
    <w:next w:val="Normal"/>
    <w:qFormat/>
    <w:rsid w:val="0067037E"/>
    <w:pPr>
      <w:spacing w:before="120" w:after="120"/>
    </w:pPr>
    <w:rPr>
      <w:b/>
    </w:rPr>
  </w:style>
  <w:style w:type="character" w:customStyle="1" w:styleId="TableText">
    <w:name w:val="Table Text"/>
    <w:rsid w:val="0067037E"/>
    <w:rPr>
      <w:rFonts w:ascii="Arial" w:hAnsi="Arial"/>
      <w:sz w:val="20"/>
    </w:rPr>
  </w:style>
  <w:style w:type="paragraph" w:styleId="TOC9">
    <w:name w:val="toc 9"/>
    <w:basedOn w:val="Normal"/>
    <w:next w:val="Normal"/>
    <w:semiHidden/>
    <w:rsid w:val="0067037E"/>
    <w:pPr>
      <w:ind w:left="1600"/>
    </w:pPr>
  </w:style>
  <w:style w:type="paragraph" w:styleId="TOC8">
    <w:name w:val="toc 8"/>
    <w:basedOn w:val="Normal"/>
    <w:next w:val="Normal"/>
    <w:semiHidden/>
    <w:rsid w:val="0067037E"/>
    <w:pPr>
      <w:ind w:left="1400"/>
    </w:pPr>
  </w:style>
  <w:style w:type="paragraph" w:styleId="TOC7">
    <w:name w:val="toc 7"/>
    <w:basedOn w:val="Normal"/>
    <w:next w:val="Normal"/>
    <w:semiHidden/>
    <w:rsid w:val="0067037E"/>
    <w:pPr>
      <w:ind w:left="1200"/>
    </w:pPr>
  </w:style>
  <w:style w:type="paragraph" w:styleId="TOC6">
    <w:name w:val="toc 6"/>
    <w:basedOn w:val="Normal"/>
    <w:next w:val="Normal"/>
    <w:semiHidden/>
    <w:rsid w:val="0067037E"/>
    <w:pPr>
      <w:ind w:left="1000"/>
    </w:pPr>
  </w:style>
  <w:style w:type="paragraph" w:styleId="TOC5">
    <w:name w:val="toc 5"/>
    <w:basedOn w:val="Normal"/>
    <w:next w:val="Normal"/>
    <w:semiHidden/>
    <w:rsid w:val="0067037E"/>
    <w:pPr>
      <w:ind w:left="800"/>
    </w:pPr>
  </w:style>
  <w:style w:type="paragraph" w:styleId="TOC4">
    <w:name w:val="toc 4"/>
    <w:basedOn w:val="Normal"/>
    <w:next w:val="Normal"/>
    <w:semiHidden/>
    <w:rsid w:val="0067037E"/>
    <w:pPr>
      <w:ind w:left="600"/>
    </w:pPr>
  </w:style>
  <w:style w:type="paragraph" w:styleId="TOC3">
    <w:name w:val="toc 3"/>
    <w:basedOn w:val="Normal"/>
    <w:next w:val="Normal"/>
    <w:semiHidden/>
    <w:rsid w:val="0067037E"/>
    <w:pPr>
      <w:ind w:left="400"/>
    </w:pPr>
  </w:style>
  <w:style w:type="paragraph" w:styleId="DocumentMap">
    <w:name w:val="Document Map"/>
    <w:basedOn w:val="Normal"/>
    <w:semiHidden/>
    <w:rsid w:val="0067037E"/>
    <w:pPr>
      <w:shd w:val="clear" w:color="auto" w:fill="000080"/>
    </w:pPr>
    <w:rPr>
      <w:rFonts w:ascii="Tahoma" w:hAnsi="Tahoma"/>
    </w:rPr>
  </w:style>
  <w:style w:type="paragraph" w:styleId="FootnoteText">
    <w:name w:val="footnote text"/>
    <w:basedOn w:val="Normal"/>
    <w:semiHidden/>
    <w:rsid w:val="0067037E"/>
    <w:pPr>
      <w:widowControl/>
    </w:pPr>
  </w:style>
  <w:style w:type="character" w:styleId="FootnoteReference">
    <w:name w:val="footnote reference"/>
    <w:basedOn w:val="DefaultParagraphFont"/>
    <w:semiHidden/>
    <w:rsid w:val="0067037E"/>
    <w:rPr>
      <w:vertAlign w:val="superscript"/>
    </w:rPr>
  </w:style>
  <w:style w:type="paragraph" w:styleId="CommentText">
    <w:name w:val="annotation text"/>
    <w:basedOn w:val="Normal"/>
    <w:semiHidden/>
    <w:rsid w:val="0067037E"/>
    <w:pPr>
      <w:widowControl/>
    </w:pPr>
  </w:style>
  <w:style w:type="character" w:styleId="Hyperlink">
    <w:name w:val="Hyperlink"/>
    <w:basedOn w:val="DefaultParagraphFont"/>
    <w:rsid w:val="0067037E"/>
    <w:rPr>
      <w:color w:val="0000FF"/>
      <w:u w:val="single"/>
    </w:rPr>
  </w:style>
  <w:style w:type="character" w:styleId="FollowedHyperlink">
    <w:name w:val="FollowedHyperlink"/>
    <w:basedOn w:val="DefaultParagraphFont"/>
    <w:rsid w:val="0067037E"/>
    <w:rPr>
      <w:color w:val="800080"/>
      <w:u w:val="single"/>
    </w:rPr>
  </w:style>
  <w:style w:type="paragraph" w:styleId="ListBullet">
    <w:name w:val="List Bullet"/>
    <w:basedOn w:val="Normal"/>
    <w:autoRedefine/>
    <w:rsid w:val="0067037E"/>
    <w:pPr>
      <w:widowControl/>
      <w:numPr>
        <w:numId w:val="1"/>
      </w:numPr>
      <w:spacing w:after="240" w:line="360" w:lineRule="auto"/>
    </w:pPr>
  </w:style>
  <w:style w:type="character" w:styleId="CommentReference">
    <w:name w:val="annotation reference"/>
    <w:basedOn w:val="DefaultParagraphFont"/>
    <w:semiHidden/>
    <w:rsid w:val="0067037E"/>
    <w:rPr>
      <w:sz w:val="16"/>
      <w:szCs w:val="16"/>
    </w:rPr>
  </w:style>
  <w:style w:type="paragraph" w:styleId="TableofFigures">
    <w:name w:val="table of figures"/>
    <w:basedOn w:val="Normal"/>
    <w:next w:val="Normal"/>
    <w:semiHidden/>
    <w:rsid w:val="0067037E"/>
    <w:pPr>
      <w:ind w:left="480" w:hanging="480"/>
    </w:pPr>
  </w:style>
  <w:style w:type="paragraph" w:styleId="BalloonText">
    <w:name w:val="Balloon Text"/>
    <w:basedOn w:val="Normal"/>
    <w:semiHidden/>
    <w:rsid w:val="0067037E"/>
    <w:rPr>
      <w:rFonts w:ascii="Tahoma" w:hAnsi="Tahoma" w:cs="Tahoma"/>
      <w:sz w:val="16"/>
      <w:szCs w:val="16"/>
    </w:rPr>
  </w:style>
  <w:style w:type="character" w:customStyle="1" w:styleId="BodyTextFi">
    <w:name w:val="Body Text Fi"/>
    <w:rsid w:val="0067037E"/>
  </w:style>
  <w:style w:type="paragraph" w:styleId="CommentSubject">
    <w:name w:val="annotation subject"/>
    <w:basedOn w:val="CommentText"/>
    <w:next w:val="CommentText"/>
    <w:semiHidden/>
    <w:rsid w:val="0067037E"/>
    <w:pPr>
      <w:widowControl w:val="0"/>
    </w:pPr>
    <w:rPr>
      <w:b/>
      <w:bCs/>
      <w:sz w:val="20"/>
    </w:rPr>
  </w:style>
  <w:style w:type="character" w:customStyle="1" w:styleId="BulletInden">
    <w:name w:val="Bullet Inden"/>
    <w:rsid w:val="0067037E"/>
  </w:style>
  <w:style w:type="paragraph" w:styleId="PlainText">
    <w:name w:val="Plain Text"/>
    <w:basedOn w:val="Normal"/>
    <w:rsid w:val="0067037E"/>
    <w:pPr>
      <w:widowControl/>
    </w:pPr>
    <w:rPr>
      <w:rFonts w:ascii="Comic Sans MS" w:eastAsia="Arial Unicode MS" w:hAnsi="Comic Sans MS"/>
      <w:color w:val="000080"/>
      <w:sz w:val="22"/>
      <w:szCs w:val="22"/>
    </w:rPr>
  </w:style>
  <w:style w:type="paragraph" w:styleId="NormalWeb">
    <w:name w:val="Normal (Web)"/>
    <w:basedOn w:val="Normal"/>
    <w:rsid w:val="0067037E"/>
    <w:pPr>
      <w:widowControl/>
      <w:spacing w:before="100" w:beforeAutospacing="1" w:after="100" w:afterAutospacing="1"/>
    </w:pPr>
    <w:rPr>
      <w:rFonts w:ascii="Arial Unicode MS" w:eastAsia="Arial Unicode MS" w:hAnsi="Arial Unicode MS" w:cs="Arial Unicode MS"/>
      <w:szCs w:val="24"/>
    </w:rPr>
  </w:style>
  <w:style w:type="paragraph" w:styleId="Title">
    <w:name w:val="Title"/>
    <w:basedOn w:val="Normal"/>
    <w:qFormat/>
    <w:rsid w:val="0067037E"/>
    <w:pPr>
      <w:jc w:val="center"/>
    </w:pPr>
    <w:rPr>
      <w:b/>
      <w:smallCaps/>
      <w:sz w:val="36"/>
      <w:szCs w:val="24"/>
    </w:rPr>
  </w:style>
  <w:style w:type="paragraph" w:customStyle="1" w:styleId="Quick1">
    <w:name w:val="Quick 1)"/>
    <w:basedOn w:val="Normal"/>
    <w:rsid w:val="00E32E22"/>
    <w:pPr>
      <w:numPr>
        <w:numId w:val="19"/>
      </w:numPr>
      <w:ind w:left="1440" w:hanging="720"/>
    </w:pPr>
    <w:rPr>
      <w:snapToGrid w:val="0"/>
    </w:rPr>
  </w:style>
  <w:style w:type="character" w:customStyle="1" w:styleId="extractreview101">
    <w:name w:val="extractreview101"/>
    <w:basedOn w:val="DefaultParagraphFont"/>
    <w:rsid w:val="00E32E22"/>
    <w:rPr>
      <w:rFonts w:ascii="Times New Roman" w:hAnsi="Times New Roman" w:cs="Times New Roman" w:hint="default"/>
      <w:strike w:val="0"/>
      <w:dstrike w:val="0"/>
      <w:color w:val="000000"/>
      <w:sz w:val="20"/>
      <w:szCs w:val="20"/>
      <w:u w:val="none"/>
      <w:effect w:val="none"/>
    </w:rPr>
  </w:style>
  <w:style w:type="paragraph" w:styleId="Revision">
    <w:name w:val="Revision"/>
    <w:hidden/>
    <w:uiPriority w:val="99"/>
    <w:semiHidden/>
    <w:rsid w:val="004A72E8"/>
    <w:rPr>
      <w:sz w:val="24"/>
    </w:rPr>
  </w:style>
</w:styles>
</file>

<file path=word/webSettings.xml><?xml version="1.0" encoding="utf-8"?>
<w:webSettings xmlns:r="http://schemas.openxmlformats.org/officeDocument/2006/relationships" xmlns:w="http://schemas.openxmlformats.org/wordprocessingml/2006/main">
  <w:divs>
    <w:div w:id="127019316">
      <w:bodyDiv w:val="1"/>
      <w:marLeft w:val="0"/>
      <w:marRight w:val="0"/>
      <w:marTop w:val="0"/>
      <w:marBottom w:val="0"/>
      <w:divBdr>
        <w:top w:val="none" w:sz="0" w:space="0" w:color="auto"/>
        <w:left w:val="none" w:sz="0" w:space="0" w:color="auto"/>
        <w:bottom w:val="none" w:sz="0" w:space="0" w:color="auto"/>
        <w:right w:val="none" w:sz="0" w:space="0" w:color="auto"/>
      </w:divBdr>
    </w:div>
    <w:div w:id="662470132">
      <w:bodyDiv w:val="1"/>
      <w:marLeft w:val="0"/>
      <w:marRight w:val="0"/>
      <w:marTop w:val="0"/>
      <w:marBottom w:val="0"/>
      <w:divBdr>
        <w:top w:val="none" w:sz="0" w:space="0" w:color="auto"/>
        <w:left w:val="none" w:sz="0" w:space="0" w:color="auto"/>
        <w:bottom w:val="none" w:sz="0" w:space="0" w:color="auto"/>
        <w:right w:val="none" w:sz="0" w:space="0" w:color="auto"/>
      </w:divBdr>
    </w:div>
    <w:div w:id="1155342362">
      <w:bodyDiv w:val="1"/>
      <w:marLeft w:val="0"/>
      <w:marRight w:val="0"/>
      <w:marTop w:val="0"/>
      <w:marBottom w:val="0"/>
      <w:divBdr>
        <w:top w:val="none" w:sz="0" w:space="0" w:color="auto"/>
        <w:left w:val="none" w:sz="0" w:space="0" w:color="auto"/>
        <w:bottom w:val="none" w:sz="0" w:space="0" w:color="auto"/>
        <w:right w:val="none" w:sz="0" w:space="0" w:color="auto"/>
      </w:divBdr>
    </w:div>
    <w:div w:id="1215463086">
      <w:bodyDiv w:val="1"/>
      <w:marLeft w:val="0"/>
      <w:marRight w:val="0"/>
      <w:marTop w:val="0"/>
      <w:marBottom w:val="0"/>
      <w:divBdr>
        <w:top w:val="none" w:sz="0" w:space="0" w:color="auto"/>
        <w:left w:val="none" w:sz="0" w:space="0" w:color="auto"/>
        <w:bottom w:val="none" w:sz="0" w:space="0" w:color="auto"/>
        <w:right w:val="none" w:sz="0" w:space="0" w:color="auto"/>
      </w:divBdr>
    </w:div>
    <w:div w:id="1242330036">
      <w:bodyDiv w:val="1"/>
      <w:marLeft w:val="0"/>
      <w:marRight w:val="0"/>
      <w:marTop w:val="0"/>
      <w:marBottom w:val="0"/>
      <w:divBdr>
        <w:top w:val="none" w:sz="0" w:space="0" w:color="auto"/>
        <w:left w:val="none" w:sz="0" w:space="0" w:color="auto"/>
        <w:bottom w:val="none" w:sz="0" w:space="0" w:color="auto"/>
        <w:right w:val="none" w:sz="0" w:space="0" w:color="auto"/>
      </w:divBdr>
    </w:div>
    <w:div w:id="1392194599">
      <w:bodyDiv w:val="1"/>
      <w:marLeft w:val="0"/>
      <w:marRight w:val="0"/>
      <w:marTop w:val="0"/>
      <w:marBottom w:val="0"/>
      <w:divBdr>
        <w:top w:val="none" w:sz="0" w:space="0" w:color="auto"/>
        <w:left w:val="none" w:sz="0" w:space="0" w:color="auto"/>
        <w:bottom w:val="none" w:sz="0" w:space="0" w:color="auto"/>
        <w:right w:val="none" w:sz="0" w:space="0" w:color="auto"/>
      </w:divBdr>
    </w:div>
    <w:div w:id="1500274290">
      <w:bodyDiv w:val="1"/>
      <w:marLeft w:val="0"/>
      <w:marRight w:val="0"/>
      <w:marTop w:val="0"/>
      <w:marBottom w:val="0"/>
      <w:divBdr>
        <w:top w:val="none" w:sz="0" w:space="0" w:color="auto"/>
        <w:left w:val="none" w:sz="0" w:space="0" w:color="auto"/>
        <w:bottom w:val="none" w:sz="0" w:space="0" w:color="auto"/>
        <w:right w:val="none" w:sz="0" w:space="0" w:color="auto"/>
      </w:divBdr>
    </w:div>
    <w:div w:id="1564371283">
      <w:bodyDiv w:val="1"/>
      <w:marLeft w:val="0"/>
      <w:marRight w:val="0"/>
      <w:marTop w:val="0"/>
      <w:marBottom w:val="0"/>
      <w:divBdr>
        <w:top w:val="none" w:sz="0" w:space="0" w:color="auto"/>
        <w:left w:val="none" w:sz="0" w:space="0" w:color="auto"/>
        <w:bottom w:val="none" w:sz="0" w:space="0" w:color="auto"/>
        <w:right w:val="none" w:sz="0" w:space="0" w:color="auto"/>
      </w:divBdr>
    </w:div>
    <w:div w:id="1634095647">
      <w:bodyDiv w:val="1"/>
      <w:marLeft w:val="0"/>
      <w:marRight w:val="0"/>
      <w:marTop w:val="0"/>
      <w:marBottom w:val="0"/>
      <w:divBdr>
        <w:top w:val="none" w:sz="0" w:space="0" w:color="auto"/>
        <w:left w:val="none" w:sz="0" w:space="0" w:color="auto"/>
        <w:bottom w:val="none" w:sz="0" w:space="0" w:color="auto"/>
        <w:right w:val="none" w:sz="0" w:space="0" w:color="auto"/>
      </w:divBdr>
    </w:div>
    <w:div w:id="1692758349">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92610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rsa@ochi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tulloch@hcnetwork.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uart@pach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2148</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TITLE (ALT T)                                                       </vt:lpstr>
    </vt:vector>
  </TitlesOfParts>
  <Company>Hrsa</Company>
  <LinksUpToDate>false</LinksUpToDate>
  <CharactersWithSpaces>14464</CharactersWithSpaces>
  <SharedDoc>false</SharedDoc>
  <HLinks>
    <vt:vector size="18" baseType="variant">
      <vt:variant>
        <vt:i4>1966136</vt:i4>
      </vt:variant>
      <vt:variant>
        <vt:i4>6</vt:i4>
      </vt:variant>
      <vt:variant>
        <vt:i4>0</vt:i4>
      </vt:variant>
      <vt:variant>
        <vt:i4>5</vt:i4>
      </vt:variant>
      <vt:variant>
        <vt:lpwstr>mailto:stuart@pachc.com</vt:lpwstr>
      </vt:variant>
      <vt:variant>
        <vt:lpwstr/>
      </vt:variant>
      <vt:variant>
        <vt:i4>1376314</vt:i4>
      </vt:variant>
      <vt:variant>
        <vt:i4>3</vt:i4>
      </vt:variant>
      <vt:variant>
        <vt:i4>0</vt:i4>
      </vt:variant>
      <vt:variant>
        <vt:i4>5</vt:i4>
      </vt:variant>
      <vt:variant>
        <vt:lpwstr>mailto:searsa@ochin.org</vt:lpwstr>
      </vt:variant>
      <vt:variant>
        <vt:lpwstr/>
      </vt:variant>
      <vt:variant>
        <vt:i4>7798860</vt:i4>
      </vt:variant>
      <vt:variant>
        <vt:i4>0</vt:i4>
      </vt:variant>
      <vt:variant>
        <vt:i4>0</vt:i4>
      </vt:variant>
      <vt:variant>
        <vt:i4>5</vt:i4>
      </vt:variant>
      <vt:variant>
        <vt:lpwstr>mailto:ptulloch@hcnetwork.org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(ALT T)                                                       </dc:title>
  <dc:subject/>
  <dc:creator>Ruth Steenburg</dc:creator>
  <cp:keywords/>
  <dc:description/>
  <cp:lastModifiedBy>HRSA</cp:lastModifiedBy>
  <cp:revision>2</cp:revision>
  <cp:lastPrinted>2011-01-20T22:40:00Z</cp:lastPrinted>
  <dcterms:created xsi:type="dcterms:W3CDTF">2011-05-10T15:45:00Z</dcterms:created>
  <dcterms:modified xsi:type="dcterms:W3CDTF">2011-05-10T15:45:00Z</dcterms:modified>
</cp:coreProperties>
</file>