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BE6" w:rsidRDefault="00A67BE6">
      <w:pPr>
        <w:widowControl/>
        <w:spacing w:line="19" w:lineRule="exact"/>
        <w:rPr>
          <w:rFonts w:ascii="Times New Roman" w:hAnsi="Times New Roman"/>
        </w:rPr>
      </w:pPr>
    </w:p>
    <w:p w:rsidR="00A67BE6" w:rsidRPr="006772AC" w:rsidRDefault="00A67BE6">
      <w:pPr>
        <w:pStyle w:val="BodyText2"/>
        <w:rPr>
          <w:b/>
        </w:rPr>
      </w:pPr>
      <w:r w:rsidRPr="006772AC">
        <w:rPr>
          <w:b/>
        </w:rPr>
        <w:t xml:space="preserve">Supporting Statement for the International Applications and </w:t>
      </w:r>
    </w:p>
    <w:p w:rsidR="00A67BE6" w:rsidRPr="006772AC" w:rsidRDefault="00A67BE6">
      <w:pPr>
        <w:pStyle w:val="BodyText2"/>
        <w:rPr>
          <w:b/>
        </w:rPr>
      </w:pPr>
      <w:r w:rsidRPr="006772AC">
        <w:rPr>
          <w:b/>
        </w:rPr>
        <w:t xml:space="preserve">Prior Notifications under Subparts A and C of Regulation K </w:t>
      </w:r>
    </w:p>
    <w:p w:rsidR="00A67BE6" w:rsidRPr="006772AC" w:rsidRDefault="00A67BE6">
      <w:pPr>
        <w:pStyle w:val="BodyText2"/>
        <w:rPr>
          <w:b/>
        </w:rPr>
      </w:pPr>
      <w:r w:rsidRPr="006772AC">
        <w:rPr>
          <w:b/>
        </w:rPr>
        <w:t>(FR K-1; OMB No. 7100-0107)</w:t>
      </w:r>
    </w:p>
    <w:p w:rsidR="00A67BE6" w:rsidRDefault="00A67BE6">
      <w:pPr>
        <w:widowControl/>
        <w:rPr>
          <w:rFonts w:ascii="Times New Roman" w:hAnsi="Times New Roman"/>
          <w:b/>
        </w:rPr>
      </w:pPr>
    </w:p>
    <w:p w:rsidR="00A67BE6" w:rsidRDefault="00A67BE6">
      <w:pPr>
        <w:widowControl/>
        <w:rPr>
          <w:rFonts w:ascii="Times New Roman" w:hAnsi="Times New Roman"/>
        </w:rPr>
      </w:pPr>
      <w:r>
        <w:rPr>
          <w:rFonts w:ascii="Times New Roman" w:hAnsi="Times New Roman"/>
          <w:b/>
        </w:rPr>
        <w:t>Summary</w:t>
      </w:r>
    </w:p>
    <w:p w:rsidR="00A67BE6" w:rsidRDefault="00A67BE6">
      <w:pPr>
        <w:widowControl/>
        <w:tabs>
          <w:tab w:val="left" w:pos="190"/>
          <w:tab w:val="left" w:pos="4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55BB5" w:rsidRPr="00363142" w:rsidRDefault="00A67BE6" w:rsidP="00655BB5">
      <w:pPr>
        <w:pStyle w:val="BodyTextIndent2"/>
        <w:ind w:firstLine="0"/>
        <w:rPr>
          <w:szCs w:val="24"/>
        </w:rPr>
      </w:pPr>
      <w:r>
        <w:tab/>
      </w:r>
      <w:r>
        <w:tab/>
        <w:t xml:space="preserve">The </w:t>
      </w:r>
      <w:r w:rsidR="00E95FD7">
        <w:t xml:space="preserve">Board of Governors of the </w:t>
      </w:r>
      <w:r>
        <w:t>Federal Reserve</w:t>
      </w:r>
      <w:r w:rsidR="00E95FD7">
        <w:t xml:space="preserve"> System</w:t>
      </w:r>
      <w:r w:rsidR="006772AC">
        <w:t>,</w:t>
      </w:r>
      <w:r>
        <w:t xml:space="preserve"> </w:t>
      </w:r>
      <w:r w:rsidR="006772AC">
        <w:t xml:space="preserve">under delegated authority </w:t>
      </w:r>
      <w:r w:rsidR="00E95FD7">
        <w:t>from</w:t>
      </w:r>
      <w:r w:rsidR="006772AC">
        <w:t xml:space="preserve"> the Office of Management and Budget, </w:t>
      </w:r>
      <w:r w:rsidR="00655BB5" w:rsidRPr="00363142">
        <w:rPr>
          <w:szCs w:val="24"/>
        </w:rPr>
        <w:t xml:space="preserve">proposes to extend for three years, without revision, the International Applications and Prior Notifications under Subparts A and C of Regulation K (FR K-1; OMB No. 7100-0107).  Subpart </w:t>
      </w:r>
      <w:proofErr w:type="gramStart"/>
      <w:r w:rsidR="00655BB5" w:rsidRPr="00363142">
        <w:rPr>
          <w:szCs w:val="24"/>
        </w:rPr>
        <w:t>A</w:t>
      </w:r>
      <w:proofErr w:type="gramEnd"/>
      <w:r w:rsidR="00655BB5" w:rsidRPr="00363142">
        <w:rPr>
          <w:szCs w:val="24"/>
        </w:rPr>
        <w:t xml:space="preserve"> of Regulation K governs the foreign investments and activities of member banks, Edge and agreement corporations</w:t>
      </w:r>
      <w:r w:rsidR="00655BB5" w:rsidRPr="00363142">
        <w:rPr>
          <w:rStyle w:val="FootnoteReference"/>
          <w:szCs w:val="24"/>
          <w:vertAlign w:val="superscript"/>
        </w:rPr>
        <w:footnoteReference w:id="1"/>
      </w:r>
      <w:r w:rsidR="00655BB5" w:rsidRPr="00363142">
        <w:rPr>
          <w:szCs w:val="24"/>
        </w:rPr>
        <w:t xml:space="preserve">, bank holding companies (BHCs), and certain investments by foreign organizations.  Subpart C of Regulation K governs investments in export trading companies. The FR K-1 information collection contains the following eleven attachments for the application and notification requirements embodied in Subparts A and C of Regulation K: </w:t>
      </w:r>
    </w:p>
    <w:p w:rsidR="00655BB5" w:rsidRPr="00363142" w:rsidRDefault="00655BB5" w:rsidP="00655BB5">
      <w:pPr>
        <w:widowControl/>
        <w:tabs>
          <w:tab w:val="left" w:pos="190"/>
          <w:tab w:val="left" w:pos="4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923"/>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A:</w:t>
      </w:r>
      <w:r w:rsidRPr="00363142">
        <w:rPr>
          <w:rFonts w:ascii="Times New Roman" w:hAnsi="Times New Roman"/>
          <w:szCs w:val="24"/>
        </w:rPr>
        <w:tab/>
        <w:t>Notification to Establish Initial Foreign Branches of Member Banks, Edge Corporations, or Foreign Subsidiaries or Application for Branches to Engage in New Activities</w:t>
      </w:r>
    </w:p>
    <w:p w:rsidR="00655BB5" w:rsidRPr="00363142" w:rsidRDefault="00655BB5" w:rsidP="00655BB5">
      <w:pPr>
        <w:widowControl/>
        <w:tabs>
          <w:tab w:val="left" w:pos="412"/>
          <w:tab w:val="left" w:pos="5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923"/>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B:</w:t>
      </w:r>
      <w:r w:rsidRPr="00363142">
        <w:rPr>
          <w:rFonts w:ascii="Times New Roman" w:hAnsi="Times New Roman"/>
          <w:szCs w:val="24"/>
        </w:rPr>
        <w:tab/>
        <w:t>Notification to Establish Additional Foreign Branches of Member Banks, Edge Corporations, or Foreign Subsidiaries</w:t>
      </w:r>
    </w:p>
    <w:p w:rsidR="00655BB5" w:rsidRPr="00363142" w:rsidRDefault="00655BB5" w:rsidP="00655BB5">
      <w:pPr>
        <w:widowControl/>
        <w:tabs>
          <w:tab w:val="left" w:pos="412"/>
          <w:tab w:val="left" w:pos="5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923"/>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C:</w:t>
      </w:r>
      <w:r w:rsidRPr="00363142">
        <w:rPr>
          <w:rFonts w:ascii="Times New Roman" w:hAnsi="Times New Roman"/>
          <w:szCs w:val="24"/>
        </w:rPr>
        <w:tab/>
        <w:t>Application to Establish, Acquire, or Change Control of an Edge Corporation, or for an Edge Corporation to Engage in Certain Domestic Activities</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2335" w:hanging="2065"/>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D:</w:t>
      </w:r>
      <w:r w:rsidRPr="00363142">
        <w:rPr>
          <w:rFonts w:ascii="Times New Roman" w:hAnsi="Times New Roman"/>
          <w:szCs w:val="24"/>
        </w:rPr>
        <w:tab/>
        <w:t>Model Articles of Association for an Edge Corporation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2335" w:hanging="2065"/>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E:</w:t>
      </w:r>
      <w:r w:rsidRPr="00363142">
        <w:rPr>
          <w:rFonts w:ascii="Times New Roman" w:hAnsi="Times New Roman"/>
          <w:szCs w:val="24"/>
        </w:rPr>
        <w:tab/>
        <w:t>Model Organization Certificate for an Edge Corporation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2335" w:hanging="2065"/>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F:</w:t>
      </w:r>
      <w:r w:rsidRPr="00363142">
        <w:rPr>
          <w:rFonts w:ascii="Times New Roman" w:hAnsi="Times New Roman"/>
          <w:szCs w:val="24"/>
        </w:rPr>
        <w:tab/>
        <w:t>Notification to Establish a Domestic Branch of an Edge Corporation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2335" w:hanging="2065"/>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G:</w:t>
      </w:r>
      <w:r w:rsidRPr="00363142">
        <w:rPr>
          <w:rFonts w:ascii="Times New Roman" w:hAnsi="Times New Roman"/>
          <w:szCs w:val="24"/>
        </w:rPr>
        <w:tab/>
        <w:t>Application to Amend Articles of Association of an Edge Corporation</w:t>
      </w:r>
    </w:p>
    <w:p w:rsidR="00655BB5" w:rsidRPr="00363142" w:rsidRDefault="00655BB5" w:rsidP="00655BB5">
      <w:pPr>
        <w:widowControl/>
        <w:tabs>
          <w:tab w:val="left" w:pos="412"/>
          <w:tab w:val="left" w:pos="5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923"/>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H:</w:t>
      </w:r>
      <w:r w:rsidRPr="00363142">
        <w:rPr>
          <w:rFonts w:ascii="Times New Roman" w:hAnsi="Times New Roman"/>
          <w:szCs w:val="24"/>
        </w:rPr>
        <w:tab/>
        <w:t>Application to Invest in Other Foreign Organizations or to Engage in New Foreign Activities for Member Banks, Edge or Agreement Corporations, and BHCs</w:t>
      </w:r>
    </w:p>
    <w:p w:rsidR="00655BB5" w:rsidRPr="00363142" w:rsidRDefault="00655BB5" w:rsidP="00655BB5">
      <w:pPr>
        <w:widowControl/>
        <w:tabs>
          <w:tab w:val="left" w:pos="412"/>
          <w:tab w:val="left" w:pos="5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890"/>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I:</w:t>
      </w:r>
      <w:r w:rsidRPr="00363142">
        <w:rPr>
          <w:rFonts w:ascii="Times New Roman" w:hAnsi="Times New Roman"/>
          <w:szCs w:val="24"/>
        </w:rPr>
        <w:tab/>
        <w:t>Notification to Invest in Other Foreign Organizations for Member Banks, Edge or Agreement Corporations, and BHCs</w:t>
      </w:r>
    </w:p>
    <w:p w:rsidR="00655BB5" w:rsidRPr="00363142" w:rsidRDefault="00655BB5" w:rsidP="00655BB5">
      <w:pPr>
        <w:widowControl/>
        <w:tabs>
          <w:tab w:val="left" w:pos="412"/>
          <w:tab w:val="left" w:pos="5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890"/>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J:</w:t>
      </w:r>
      <w:r w:rsidRPr="00363142">
        <w:rPr>
          <w:rFonts w:ascii="Times New Roman" w:hAnsi="Times New Roman"/>
          <w:szCs w:val="24"/>
        </w:rPr>
        <w:tab/>
        <w:t>Application to Invest in Excess of Ten Percent of Capital and Surplus in Edge Corporations</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2335" w:hanging="2065"/>
        <w:rPr>
          <w:rFonts w:ascii="Times New Roman" w:hAnsi="Times New Roman"/>
          <w:szCs w:val="24"/>
        </w:rPr>
      </w:pPr>
      <w:r w:rsidRPr="00363142">
        <w:rPr>
          <w:rFonts w:ascii="Times New Roman" w:hAnsi="Times New Roman"/>
          <w:szCs w:val="24"/>
        </w:rPr>
        <w:t>•</w:t>
      </w:r>
      <w:r w:rsidRPr="00363142">
        <w:rPr>
          <w:rFonts w:ascii="Times New Roman" w:hAnsi="Times New Roman"/>
          <w:szCs w:val="24"/>
        </w:rPr>
        <w:tab/>
        <w:t>Attachment K:</w:t>
      </w:r>
      <w:r w:rsidRPr="00363142">
        <w:rPr>
          <w:rFonts w:ascii="Times New Roman" w:hAnsi="Times New Roman"/>
          <w:szCs w:val="24"/>
        </w:rPr>
        <w:tab/>
        <w:t>Notification to Establish an Export Trading Company</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2335" w:hanging="1923"/>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Federal Reserve requires these applications for regulatory and supervisory purposes and to allow the Federal Reserve to fulfill its statutory obligations under the Federal Reserve Act </w:t>
      </w:r>
      <w:r w:rsidR="00E96145">
        <w:rPr>
          <w:rFonts w:ascii="Times New Roman" w:hAnsi="Times New Roman"/>
          <w:szCs w:val="24"/>
        </w:rPr>
        <w:t xml:space="preserve">(FRA) </w:t>
      </w:r>
      <w:r w:rsidRPr="00363142">
        <w:rPr>
          <w:rFonts w:ascii="Times New Roman" w:hAnsi="Times New Roman"/>
          <w:szCs w:val="24"/>
        </w:rPr>
        <w:t xml:space="preserve">and the Bank Holding Company Act </w:t>
      </w:r>
      <w:r w:rsidR="00E96145">
        <w:rPr>
          <w:rFonts w:ascii="Times New Roman" w:hAnsi="Times New Roman"/>
          <w:szCs w:val="24"/>
        </w:rPr>
        <w:t xml:space="preserve">(BHCA) </w:t>
      </w:r>
      <w:r w:rsidRPr="00363142">
        <w:rPr>
          <w:rFonts w:ascii="Times New Roman" w:hAnsi="Times New Roman"/>
          <w:szCs w:val="24"/>
        </w:rPr>
        <w:t xml:space="preserve">of 1956.  The applications are event-generated and provide the Federal Reserve with information necessary to evaluate each of the proposed transactions.  The total annual reporting burden is estimated to be 889 hours.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Background and Justification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8"/>
        <w:rPr>
          <w:rFonts w:ascii="Times New Roman" w:hAnsi="Times New Roman"/>
          <w:szCs w:val="24"/>
        </w:rPr>
      </w:pPr>
      <w:r w:rsidRPr="00363142">
        <w:rPr>
          <w:rFonts w:ascii="Times New Roman" w:hAnsi="Times New Roman"/>
          <w:szCs w:val="24"/>
        </w:rPr>
        <w:t>Sections 25 and 25A of the FRA and sections 4(c</w:t>
      </w:r>
      <w:proofErr w:type="gramStart"/>
      <w:r w:rsidRPr="00363142">
        <w:rPr>
          <w:rFonts w:ascii="Times New Roman" w:hAnsi="Times New Roman"/>
          <w:szCs w:val="24"/>
        </w:rPr>
        <w:t>)(</w:t>
      </w:r>
      <w:proofErr w:type="gramEnd"/>
      <w:r w:rsidRPr="00363142">
        <w:rPr>
          <w:rFonts w:ascii="Times New Roman" w:hAnsi="Times New Roman"/>
          <w:szCs w:val="24"/>
        </w:rPr>
        <w:t xml:space="preserve">13) and 4(c)(14) of the </w:t>
      </w:r>
      <w:r w:rsidR="00E96145">
        <w:rPr>
          <w:rFonts w:ascii="Times New Roman" w:hAnsi="Times New Roman"/>
          <w:szCs w:val="24"/>
        </w:rPr>
        <w:t>BHCA</w:t>
      </w:r>
      <w:r w:rsidRPr="00363142">
        <w:rPr>
          <w:rFonts w:ascii="Times New Roman" w:hAnsi="Times New Roman"/>
          <w:szCs w:val="24"/>
        </w:rPr>
        <w:t xml:space="preserve"> govern the formation of Edge corporations and the international and foreign activities of U.S. banking organizations, including those of national banks, state member banks, Edge corporations, and BHCs.  Section 25 of the FRA authorizes the establishment of foreign branches and investments in foreign banks in accordance with regulations prescribed by the Board.  Section 25A of the FRA authorizes the establishment of Edge corporations and empowers these corporations to engage in activities both in the United States and abroad.  Section 4(c</w:t>
      </w:r>
      <w:proofErr w:type="gramStart"/>
      <w:r w:rsidRPr="00363142">
        <w:rPr>
          <w:rFonts w:ascii="Times New Roman" w:hAnsi="Times New Roman"/>
          <w:szCs w:val="24"/>
        </w:rPr>
        <w:t>)(</w:t>
      </w:r>
      <w:proofErr w:type="gramEnd"/>
      <w:r w:rsidRPr="00363142">
        <w:rPr>
          <w:rFonts w:ascii="Times New Roman" w:hAnsi="Times New Roman"/>
          <w:szCs w:val="24"/>
        </w:rPr>
        <w:t>13) of the BHCA authorizes BHCs to invest in companies that do business abroad.  Section 4(c</w:t>
      </w:r>
      <w:proofErr w:type="gramStart"/>
      <w:r w:rsidRPr="00363142">
        <w:rPr>
          <w:rFonts w:ascii="Times New Roman" w:hAnsi="Times New Roman"/>
          <w:szCs w:val="24"/>
        </w:rPr>
        <w:t>)(</w:t>
      </w:r>
      <w:proofErr w:type="gramEnd"/>
      <w:r w:rsidRPr="00363142">
        <w:rPr>
          <w:rFonts w:ascii="Times New Roman" w:hAnsi="Times New Roman"/>
          <w:szCs w:val="24"/>
        </w:rPr>
        <w:t xml:space="preserve">14) of the BHCA authorizes BHCs to invest in export trading companies.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Pursuant to these statutory provisions, the Federal Reserve adopted various regulatory provisions, all of which were consolidated in the Federal Reserve's Regulation K, setting forth the procedures for making investments and engaging in activities under these statutes.  These procedures include (1) a specific consent procedure, under which the banking organization may make the proposed investment or engage in the proposed activity only after receiving the Federal Reserve Board's prior approval, (2) a notification procedure, under which the banking organiza</w:t>
      </w:r>
      <w:r w:rsidRPr="00363142">
        <w:rPr>
          <w:rFonts w:ascii="Times New Roman" w:hAnsi="Times New Roman"/>
          <w:szCs w:val="24"/>
        </w:rPr>
        <w:softHyphen/>
        <w:t xml:space="preserve">tion may make an investment after having given appropriate notice to the Federal Reserve Board, and (3) a general consent procedure, under which the banking organization may make certain investments that may be subsequently reviewed during the examination process.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szCs w:val="24"/>
        </w:rPr>
        <w:tab/>
        <w:t>The various attachments to the FR K-1 instructions specify the information that must be submitted to the Federal Reserve to enable it to act on the Regulation K applications and prior notifications.  The information required in the instructions pertains only to the specific invest</w:t>
      </w:r>
      <w:r w:rsidRPr="00363142">
        <w:rPr>
          <w:rFonts w:ascii="Times New Roman" w:hAnsi="Times New Roman"/>
          <w:szCs w:val="24"/>
        </w:rPr>
        <w:softHyphen/>
        <w:t xml:space="preserve">ment or activity proposed.  The Federal Reserve supplements the information required in the FR K-1 with information on the banking organization obtained through examinations and other reporting requirements.  The information reported on the FR K-1 is not available from any other source.  </w:t>
      </w:r>
    </w:p>
    <w:p w:rsidR="00655BB5" w:rsidRPr="00363142" w:rsidRDefault="00655BB5" w:rsidP="00655BB5">
      <w:pPr>
        <w:widowControl/>
        <w:rPr>
          <w:rFonts w:ascii="Times New Roman" w:hAnsi="Times New Roman"/>
          <w:b/>
          <w:szCs w:val="24"/>
        </w:rPr>
      </w:pPr>
    </w:p>
    <w:p w:rsidR="00655BB5" w:rsidRPr="00363142" w:rsidRDefault="00655BB5" w:rsidP="00655BB5">
      <w:pPr>
        <w:widowControl/>
        <w:rPr>
          <w:rFonts w:ascii="Times New Roman" w:hAnsi="Times New Roman"/>
          <w:szCs w:val="24"/>
        </w:rPr>
      </w:pPr>
      <w:r w:rsidRPr="00363142">
        <w:rPr>
          <w:rFonts w:ascii="Times New Roman" w:hAnsi="Times New Roman"/>
          <w:b/>
          <w:szCs w:val="24"/>
        </w:rPr>
        <w:t>Description of Information Collection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szCs w:val="24"/>
        </w:rPr>
        <w:tab/>
        <w:t xml:space="preserve">A general description of each attachment is provided below.  No changes to the </w:t>
      </w:r>
      <w:r w:rsidR="00986C23">
        <w:rPr>
          <w:rFonts w:ascii="Times New Roman" w:hAnsi="Times New Roman"/>
          <w:szCs w:val="24"/>
        </w:rPr>
        <w:t>applications or notifications</w:t>
      </w:r>
      <w:r w:rsidR="00986C23" w:rsidRPr="00363142">
        <w:rPr>
          <w:rFonts w:ascii="Times New Roman" w:hAnsi="Times New Roman"/>
          <w:szCs w:val="24"/>
        </w:rPr>
        <w:t xml:space="preserve"> </w:t>
      </w:r>
      <w:r w:rsidRPr="00363142">
        <w:rPr>
          <w:rFonts w:ascii="Times New Roman" w:hAnsi="Times New Roman"/>
          <w:szCs w:val="24"/>
        </w:rPr>
        <w:t>are proposed.</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ab/>
      </w:r>
    </w:p>
    <w:p w:rsidR="00655BB5" w:rsidRPr="00363142" w:rsidRDefault="007528B8" w:rsidP="007528B8">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b/>
          <w:szCs w:val="24"/>
        </w:rPr>
        <w:tab/>
      </w:r>
      <w:r w:rsidR="00655BB5" w:rsidRPr="00363142">
        <w:rPr>
          <w:rFonts w:ascii="Times New Roman" w:hAnsi="Times New Roman"/>
          <w:b/>
          <w:szCs w:val="24"/>
        </w:rPr>
        <w:t>Foreign Branches (Attachments A and B)</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Notification to Establish Initial Foreign Branches of Member Banks, Edge Corporations, or Foreign Subsidiaries or Application for Branches to Engage in New Activities (Attachment A) requires information needed to assess the purpose of the branch, its location, its proposed activities, projected growth, management, country exposure and capitalization.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Notification to Establish Additional Foreign Branches of Member Banks, Edge Corporations, or Foreign Subsidiaries (Attachment B) is used if the applicant has branches in two </w:t>
      </w:r>
      <w:r w:rsidRPr="00363142">
        <w:rPr>
          <w:rFonts w:ascii="Times New Roman" w:hAnsi="Times New Roman"/>
          <w:szCs w:val="24"/>
        </w:rPr>
        <w:lastRenderedPageBreak/>
        <w:t xml:space="preserve">or more countries and wishes to establish a branch in an additional country.  The notification only calls for a description of the activities of the proposed branch and the branch's projected asset size at the end of the third year of operation.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szCs w:val="24"/>
        </w:rPr>
        <w:tab/>
      </w:r>
      <w:r w:rsidRPr="00363142">
        <w:rPr>
          <w:rFonts w:ascii="Times New Roman" w:hAnsi="Times New Roman"/>
          <w:b/>
          <w:szCs w:val="24"/>
        </w:rPr>
        <w:t>Edge Corporations (Attachments C, D, E, F, and G)</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Application to Establish, Acquire, or Change Control of an Edge Corporation or for an Edge Corporation to Engage in Certain Domestic Activities (Attachment C) requires slightly different information for each type of transaction.  The application requires information on the proposed activities, proposed management, ability to serve the convenience and needs of the community, any related requests for investment authority, and projected balance sheets and income statements.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The application for Edge Corporations to Engage in Domestic Activities not Listed in Regula</w:t>
      </w:r>
      <w:r w:rsidRPr="00363142">
        <w:rPr>
          <w:rFonts w:ascii="Times New Roman" w:hAnsi="Times New Roman"/>
          <w:szCs w:val="24"/>
        </w:rPr>
        <w:softHyphen/>
        <w:t xml:space="preserve">tion K requires information on the proposed </w:t>
      </w:r>
      <w:proofErr w:type="gramStart"/>
      <w:r w:rsidRPr="00363142">
        <w:rPr>
          <w:rFonts w:ascii="Times New Roman" w:hAnsi="Times New Roman"/>
          <w:szCs w:val="24"/>
        </w:rPr>
        <w:t>activities,</w:t>
      </w:r>
      <w:proofErr w:type="gramEnd"/>
      <w:r w:rsidRPr="00363142">
        <w:rPr>
          <w:rFonts w:ascii="Times New Roman" w:hAnsi="Times New Roman"/>
          <w:szCs w:val="24"/>
        </w:rPr>
        <w:t xml:space="preserve"> any related requests for investment authority, the ability to serve the convenience and needs of the community, and projected balance sheets and income statements.  Foreign organizations that are seeking to either establish or acquire control of an existing Edge corporation also must furnish information relating to the home country supervision and regulation of the foreign organization, as well as information to determine whether the Federal Reserve will have adequate access to information.  The notification for change in control of an Edge corporation requires much of the same information that is needed in an application to establish an Edge corporation.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application to establish an Edge corporation requires submission of the Model Articles of Association for an Edge Corporation (Attachment D) and the executed Model Organization Certificate for an Edge Corporation (Attachment E), as prescribed by section 25A of the FRA.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Notification to Establish a Domestic Branch of an Edge Corporation (Attachment F) requires minimal data to assess the purpose of the branch, its location and ability to serve the convenience and needs of the community, any amended articles of association, and the projected asset size of the branch at the end of the third year of operations.  </w:t>
      </w:r>
    </w:p>
    <w:p w:rsidR="00655BB5" w:rsidRPr="00363142" w:rsidRDefault="00655BB5" w:rsidP="00655BB5">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Application to Amend Articles of Association of an Edge Corporation (Attachment G) requires the Edge </w:t>
      </w:r>
      <w:proofErr w:type="gramStart"/>
      <w:r w:rsidRPr="00363142">
        <w:rPr>
          <w:rFonts w:ascii="Times New Roman" w:hAnsi="Times New Roman"/>
          <w:szCs w:val="24"/>
        </w:rPr>
        <w:t>corporation</w:t>
      </w:r>
      <w:proofErr w:type="gramEnd"/>
      <w:r w:rsidRPr="00363142">
        <w:rPr>
          <w:rFonts w:ascii="Times New Roman" w:hAnsi="Times New Roman"/>
          <w:szCs w:val="24"/>
        </w:rPr>
        <w:t xml:space="preserve"> to submit an executed and dated certificate of amendment to the existing articles of association and a statement describing the reasons for the requested changes.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b/>
          <w:szCs w:val="24"/>
        </w:rPr>
        <w:t>Investments in Other Foreign Organizations (Attachments H and I)</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Application to Invest in Other Foreign Organizations or to </w:t>
      </w:r>
      <w:proofErr w:type="gramStart"/>
      <w:r w:rsidRPr="00363142">
        <w:rPr>
          <w:rFonts w:ascii="Times New Roman" w:hAnsi="Times New Roman"/>
          <w:szCs w:val="24"/>
        </w:rPr>
        <w:t>Engage</w:t>
      </w:r>
      <w:proofErr w:type="gramEnd"/>
      <w:r w:rsidRPr="00363142">
        <w:rPr>
          <w:rFonts w:ascii="Times New Roman" w:hAnsi="Times New Roman"/>
          <w:szCs w:val="24"/>
        </w:rPr>
        <w:t xml:space="preserve"> in New Foreign Activities for Member Banks, Edge or Agreement Corporations, and BHCs (Attachment H) requires slightly different information for each type of transaction.  For applications to invest in other foreign organizations, a description of the proposed investment, financial information, country exposure information, and information on compliance with foreign requirements must be included.  Additional information is required for investments in joint ventures.</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lastRenderedPageBreak/>
        <w:t xml:space="preserve">For applications to engage in foreign activities not previously determined to be permissible, required information includes a full description of the proposed activities, financial information, and information on compliance with foreign requirements.  Additional information is required for investments in joint ventures.  Applicants seeking to engage in any activity that the </w:t>
      </w:r>
      <w:r w:rsidR="007528B8">
        <w:rPr>
          <w:rFonts w:ascii="Times New Roman" w:hAnsi="Times New Roman"/>
          <w:szCs w:val="24"/>
        </w:rPr>
        <w:t xml:space="preserve">Federal Reserve </w:t>
      </w:r>
      <w:r w:rsidRPr="00363142">
        <w:rPr>
          <w:rFonts w:ascii="Times New Roman" w:hAnsi="Times New Roman"/>
          <w:szCs w:val="24"/>
        </w:rPr>
        <w:t xml:space="preserve">has not previously determined to be of a banking or financial nature must discuss the extent to which such activity is usual in connection with the transaction of banking or other financial operations in the country in which the activity is to be conducted, supported by examples.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Investments that do not meet the criteria either for specific consent or for general consent, as detailed in section 211.9 of Regulation K (12 CFR 211.9), require prior notification.  The Notification to Invest in Other Foreign Organizations for Member Banks, Edge or Agreement Corporations, and BHCs (Attachment I) requires information on the name and location of the investment, the amount of investment and percentage of ownership as a result of the investment, a description of proposed activities, abbreviated financial statements and, for joint ventures, the ownership structure and managerial support provided by the investor.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szCs w:val="24"/>
        </w:rPr>
        <w:tab/>
      </w:r>
    </w:p>
    <w:p w:rsidR="00655BB5" w:rsidRPr="00363142" w:rsidRDefault="00655BB5" w:rsidP="00655BB5">
      <w:pPr>
        <w:pStyle w:val="BodyTextIndent"/>
        <w:rPr>
          <w:b/>
          <w:szCs w:val="24"/>
        </w:rPr>
      </w:pPr>
      <w:r w:rsidRPr="00363142">
        <w:rPr>
          <w:b/>
          <w:szCs w:val="24"/>
        </w:rPr>
        <w:t>Invest in Excess of Ten Percent of Capital and Surplus in Edge Corporations (Attachment J)</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szCs w:val="24"/>
        </w:rPr>
        <w:tab/>
        <w:t xml:space="preserve">The Application to Invest in Excess of Ten Percent of Capital and Surplus in Edge Corporations (Attachment J) requires the information set forth in section 211.5 of Regulation K.  As a result of the enactment of The Economic Growth and Regulatory Paperwork Reduction Act of 1996, which amended the FRA, member banks may invest over 10 percent and up to 20 percent of their capital and surplus in Edge corporation subsidiaries, provided the </w:t>
      </w:r>
      <w:r w:rsidR="007528B8">
        <w:rPr>
          <w:rFonts w:ascii="Times New Roman" w:hAnsi="Times New Roman"/>
          <w:szCs w:val="24"/>
        </w:rPr>
        <w:t>Federal Reserve</w:t>
      </w:r>
      <w:r w:rsidRPr="00363142">
        <w:rPr>
          <w:rFonts w:ascii="Times New Roman" w:hAnsi="Times New Roman"/>
          <w:szCs w:val="24"/>
        </w:rPr>
        <w:t xml:space="preserve"> determines that such investments are not unsafe and unsound.  </w:t>
      </w:r>
    </w:p>
    <w:p w:rsidR="00E96145" w:rsidRPr="00363142" w:rsidRDefault="00E9614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ind w:firstLine="412"/>
        <w:rPr>
          <w:rFonts w:ascii="Times New Roman" w:hAnsi="Times New Roman"/>
          <w:szCs w:val="24"/>
        </w:rPr>
      </w:pPr>
      <w:r w:rsidRPr="00363142">
        <w:rPr>
          <w:rFonts w:ascii="Times New Roman" w:hAnsi="Times New Roman"/>
          <w:b/>
          <w:szCs w:val="24"/>
        </w:rPr>
        <w:t>Investment in Export Trading Companies (Attachment K)</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The Notification to Establish an Export Trading Company (Attachment K) is essentially a modified version of Attachment H.  It requires a more brief description of the proposed invest</w:t>
      </w:r>
      <w:r w:rsidRPr="00363142">
        <w:rPr>
          <w:rFonts w:ascii="Times New Roman" w:hAnsi="Times New Roman"/>
          <w:szCs w:val="24"/>
        </w:rPr>
        <w:softHyphen/>
        <w:t xml:space="preserve">ment, financial information, and additional information for investments in joint ventures.    </w:t>
      </w:r>
    </w:p>
    <w:p w:rsidR="00D7016B" w:rsidRDefault="00D7016B"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Time Schedule for Information Collection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FR K-1 information collections are submitted by the applying or notifying organization, in accordance with the requirements embodied in Regulation K, to the Federal Reserve Bank designated as responsible for that banking organization.  </w:t>
      </w:r>
      <w:r w:rsidR="00D7016B">
        <w:rPr>
          <w:rFonts w:ascii="Times New Roman" w:hAnsi="Times New Roman"/>
          <w:szCs w:val="24"/>
        </w:rPr>
        <w:t xml:space="preserve">The </w:t>
      </w:r>
      <w:r w:rsidRPr="00363142">
        <w:rPr>
          <w:rFonts w:ascii="Times New Roman" w:hAnsi="Times New Roman"/>
          <w:szCs w:val="24"/>
        </w:rPr>
        <w:t>Reserve Bank notifies the organization of receipt of an application or notification and the official processing period (</w:t>
      </w:r>
      <w:r w:rsidR="00E96145">
        <w:rPr>
          <w:rFonts w:ascii="Times New Roman" w:hAnsi="Times New Roman"/>
          <w:szCs w:val="24"/>
        </w:rPr>
        <w:t>60</w:t>
      </w:r>
      <w:r w:rsidR="00E96145" w:rsidRPr="00363142">
        <w:rPr>
          <w:rFonts w:ascii="Times New Roman" w:hAnsi="Times New Roman"/>
          <w:szCs w:val="24"/>
        </w:rPr>
        <w:t> </w:t>
      </w:r>
      <w:r w:rsidRPr="00363142">
        <w:rPr>
          <w:rFonts w:ascii="Times New Roman" w:hAnsi="Times New Roman"/>
          <w:szCs w:val="24"/>
        </w:rPr>
        <w:t xml:space="preserve">days for applications and </w:t>
      </w:r>
      <w:r w:rsidR="00E96145">
        <w:rPr>
          <w:rFonts w:ascii="Times New Roman" w:hAnsi="Times New Roman"/>
          <w:szCs w:val="24"/>
        </w:rPr>
        <w:t>30</w:t>
      </w:r>
      <w:r w:rsidR="00E96145" w:rsidRPr="00363142">
        <w:rPr>
          <w:rFonts w:ascii="Times New Roman" w:hAnsi="Times New Roman"/>
          <w:szCs w:val="24"/>
        </w:rPr>
        <w:t xml:space="preserve"> </w:t>
      </w:r>
      <w:r w:rsidRPr="00363142">
        <w:rPr>
          <w:rFonts w:ascii="Times New Roman" w:hAnsi="Times New Roman"/>
          <w:szCs w:val="24"/>
        </w:rPr>
        <w:t xml:space="preserve">or </w:t>
      </w:r>
      <w:r w:rsidR="00E96145">
        <w:rPr>
          <w:rFonts w:ascii="Times New Roman" w:hAnsi="Times New Roman"/>
          <w:szCs w:val="24"/>
        </w:rPr>
        <w:t>12</w:t>
      </w:r>
      <w:r w:rsidR="00E96145" w:rsidRPr="00363142">
        <w:rPr>
          <w:rFonts w:ascii="Times New Roman" w:hAnsi="Times New Roman"/>
          <w:szCs w:val="24"/>
        </w:rPr>
        <w:t xml:space="preserve"> </w:t>
      </w:r>
      <w:r w:rsidRPr="00363142">
        <w:rPr>
          <w:rFonts w:ascii="Times New Roman" w:hAnsi="Times New Roman"/>
          <w:szCs w:val="24"/>
        </w:rPr>
        <w:t xml:space="preserve">days for notifications) begins.  The </w:t>
      </w:r>
      <w:r w:rsidR="00D7016B">
        <w:rPr>
          <w:rFonts w:ascii="Times New Roman" w:hAnsi="Times New Roman"/>
          <w:szCs w:val="24"/>
        </w:rPr>
        <w:t xml:space="preserve">Reserve </w:t>
      </w:r>
      <w:r w:rsidRPr="00363142">
        <w:rPr>
          <w:rFonts w:ascii="Times New Roman" w:hAnsi="Times New Roman"/>
          <w:szCs w:val="24"/>
        </w:rPr>
        <w:t>Bank also sends the application or notification to the Board for review.  An applying organization is notified by letter of the Board's decision regarding its application.  In the case of a notification, the regulation indicates that the organization may make its investment at the end of the notification period unless the Federal Reserve notifies it otherwise.  Information from the FR K-1 is not published.</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Legal Status</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 xml:space="preserve">The Board's Legal Division has determined that this collection of information is mandatory </w:t>
      </w:r>
      <w:r>
        <w:rPr>
          <w:rFonts w:ascii="Times New Roman" w:hAnsi="Times New Roman"/>
          <w:szCs w:val="24"/>
        </w:rPr>
        <w:t>pursuant</w:t>
      </w:r>
      <w:r w:rsidRPr="00363142">
        <w:rPr>
          <w:rFonts w:ascii="Times New Roman" w:hAnsi="Times New Roman"/>
          <w:szCs w:val="24"/>
        </w:rPr>
        <w:t xml:space="preserve"> </w:t>
      </w:r>
      <w:r>
        <w:rPr>
          <w:rFonts w:ascii="Times New Roman" w:hAnsi="Times New Roman"/>
          <w:szCs w:val="24"/>
        </w:rPr>
        <w:t xml:space="preserve">to </w:t>
      </w:r>
      <w:r w:rsidRPr="00363142">
        <w:rPr>
          <w:rFonts w:ascii="Times New Roman" w:hAnsi="Times New Roman"/>
          <w:szCs w:val="24"/>
        </w:rPr>
        <w:t xml:space="preserve">sections 25 and 25A of the </w:t>
      </w:r>
      <w:r w:rsidR="00E96145">
        <w:rPr>
          <w:rFonts w:ascii="Times New Roman" w:hAnsi="Times New Roman"/>
          <w:szCs w:val="24"/>
        </w:rPr>
        <w:t>FRA</w:t>
      </w:r>
      <w:r w:rsidRPr="00363142">
        <w:rPr>
          <w:rFonts w:ascii="Times New Roman" w:hAnsi="Times New Roman"/>
          <w:szCs w:val="24"/>
        </w:rPr>
        <w:t xml:space="preserve"> (12 U.S.C. §§ 601-604(a), 611-631), and sections 4(c)(13), 4(c)(14), and 5(c) of the </w:t>
      </w:r>
      <w:r w:rsidR="00E96145">
        <w:rPr>
          <w:rFonts w:ascii="Times New Roman" w:hAnsi="Times New Roman"/>
          <w:szCs w:val="24"/>
        </w:rPr>
        <w:t>BHCA</w:t>
      </w:r>
      <w:r w:rsidRPr="00363142">
        <w:rPr>
          <w:rFonts w:ascii="Times New Roman" w:hAnsi="Times New Roman"/>
          <w:szCs w:val="24"/>
        </w:rPr>
        <w:t xml:space="preserve"> (12 U.S.C. §§ 1843(c)(13), 1843(c)(14), 1844(c)).  The information submitted in the FR K-1 is considered to be public unless an institution requests confidential treatment for portions of the particular application or notification.  Applicants may rely on any Freedom of Information Act (FOIA) exemption, but such requests for confidentiality must contain detailed justifications corresponding to the claimed FOIA exemption.  Requests for confidentiality must be evaluated on a case-by-case basis. </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 xml:space="preserve">Consultation </w:t>
      </w:r>
      <w:proofErr w:type="gramStart"/>
      <w:r w:rsidRPr="00363142">
        <w:rPr>
          <w:rFonts w:ascii="Times New Roman" w:hAnsi="Times New Roman"/>
          <w:b/>
          <w:szCs w:val="24"/>
        </w:rPr>
        <w:t>Outside</w:t>
      </w:r>
      <w:proofErr w:type="gramEnd"/>
      <w:r w:rsidRPr="00363142">
        <w:rPr>
          <w:rFonts w:ascii="Times New Roman" w:hAnsi="Times New Roman"/>
          <w:b/>
          <w:szCs w:val="24"/>
        </w:rPr>
        <w:t xml:space="preserve"> the Agency</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555DE7" w:rsidRPr="00555DE7" w:rsidRDefault="00AE436F" w:rsidP="00555DE7">
      <w:pPr>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8"/>
        <w:rPr>
          <w:rFonts w:ascii="Times New Roman" w:hAnsi="Times New Roman"/>
        </w:rPr>
      </w:pPr>
      <w:r w:rsidRPr="00555DE7">
        <w:rPr>
          <w:rFonts w:ascii="Times New Roman" w:hAnsi="Times New Roman"/>
        </w:rPr>
        <w:t xml:space="preserve">On December 28, 2010, the Federal Reserve published a notice in the </w:t>
      </w:r>
      <w:r w:rsidRPr="00555DE7">
        <w:rPr>
          <w:rFonts w:ascii="Times New Roman" w:hAnsi="Times New Roman"/>
          <w:i/>
        </w:rPr>
        <w:t>Federal Register</w:t>
      </w:r>
      <w:r w:rsidRPr="00555DE7">
        <w:rPr>
          <w:rFonts w:ascii="Times New Roman" w:hAnsi="Times New Roman"/>
        </w:rPr>
        <w:t xml:space="preserve"> (75 FR 81607) requesting public comment for 60 days on the extension, </w:t>
      </w:r>
      <w:r w:rsidRPr="00555DE7">
        <w:rPr>
          <w:rFonts w:ascii="Times New Roman" w:hAnsi="Times New Roman"/>
          <w:szCs w:val="24"/>
        </w:rPr>
        <w:t xml:space="preserve">without revision, </w:t>
      </w:r>
      <w:r w:rsidR="00E96145" w:rsidRPr="00555DE7">
        <w:rPr>
          <w:rFonts w:ascii="Times New Roman" w:hAnsi="Times New Roman"/>
          <w:szCs w:val="24"/>
        </w:rPr>
        <w:t xml:space="preserve">of </w:t>
      </w:r>
      <w:r w:rsidRPr="00555DE7">
        <w:rPr>
          <w:rFonts w:ascii="Times New Roman" w:hAnsi="Times New Roman"/>
          <w:szCs w:val="24"/>
        </w:rPr>
        <w:t xml:space="preserve">the International Applications and Prior Notifications under Subparts A and C of Regulation K.  </w:t>
      </w:r>
      <w:r w:rsidRPr="00555DE7">
        <w:rPr>
          <w:rFonts w:ascii="Times New Roman" w:hAnsi="Times New Roman"/>
        </w:rPr>
        <w:t>The comment period for this notice expire</w:t>
      </w:r>
      <w:r w:rsidR="007861FF" w:rsidRPr="00555DE7">
        <w:rPr>
          <w:rFonts w:ascii="Times New Roman" w:hAnsi="Times New Roman"/>
        </w:rPr>
        <w:t>d</w:t>
      </w:r>
      <w:r w:rsidRPr="00555DE7">
        <w:rPr>
          <w:rFonts w:ascii="Times New Roman" w:hAnsi="Times New Roman"/>
        </w:rPr>
        <w:t xml:space="preserve"> on February 28, 2011.</w:t>
      </w:r>
      <w:r w:rsidR="007861FF" w:rsidRPr="00555DE7">
        <w:rPr>
          <w:rFonts w:ascii="Times New Roman" w:hAnsi="Times New Roman"/>
        </w:rPr>
        <w:t xml:space="preserve">  The Federal Reserve did not receive any comments.</w:t>
      </w:r>
      <w:r w:rsidR="00555DE7" w:rsidRPr="00555DE7">
        <w:rPr>
          <w:rFonts w:ascii="Times New Roman" w:hAnsi="Times New Roman"/>
        </w:rPr>
        <w:t xml:space="preserve">  On March </w:t>
      </w:r>
      <w:r w:rsidR="00D41EC1">
        <w:rPr>
          <w:rFonts w:ascii="Times New Roman" w:hAnsi="Times New Roman"/>
        </w:rPr>
        <w:t>10</w:t>
      </w:r>
      <w:r w:rsidR="00555DE7" w:rsidRPr="00555DE7">
        <w:rPr>
          <w:rFonts w:ascii="Times New Roman" w:hAnsi="Times New Roman"/>
        </w:rPr>
        <w:t xml:space="preserve">, 2011, the Federal Reserve published a final notice in the </w:t>
      </w:r>
      <w:r w:rsidR="00555DE7" w:rsidRPr="00555DE7">
        <w:rPr>
          <w:rFonts w:ascii="Times New Roman" w:hAnsi="Times New Roman"/>
          <w:i/>
        </w:rPr>
        <w:t>Federal Register</w:t>
      </w:r>
      <w:r w:rsidR="00555DE7" w:rsidRPr="00555DE7">
        <w:rPr>
          <w:rFonts w:ascii="Times New Roman" w:hAnsi="Times New Roman"/>
        </w:rPr>
        <w:t xml:space="preserve"> (76 FR </w:t>
      </w:r>
      <w:r w:rsidR="00D41EC1">
        <w:rPr>
          <w:rFonts w:ascii="Times New Roman" w:hAnsi="Times New Roman"/>
        </w:rPr>
        <w:t>13188</w:t>
      </w:r>
      <w:r w:rsidR="00555DE7" w:rsidRPr="00555DE7">
        <w:rPr>
          <w:rFonts w:ascii="Times New Roman" w:hAnsi="Times New Roman"/>
        </w:rPr>
        <w:t>).</w:t>
      </w:r>
    </w:p>
    <w:p w:rsidR="00AE436F" w:rsidRPr="00363142" w:rsidRDefault="00AE436F"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Estimate of Respondent Burden</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bCs/>
          <w:szCs w:val="24"/>
        </w:rPr>
      </w:pPr>
      <w:r w:rsidRPr="00363142">
        <w:rPr>
          <w:rFonts w:ascii="Times New Roman" w:hAnsi="Times New Roman"/>
          <w:szCs w:val="24"/>
        </w:rPr>
        <w:t xml:space="preserve">The annual reporting burden for the Regulation K requirements is estimated to be 889 hours. The burden estimate, shown in the following table, is based on the average number of applications and notifications filed during a typical year.  </w:t>
      </w:r>
      <w:r w:rsidRPr="00363142">
        <w:rPr>
          <w:rFonts w:ascii="Times New Roman" w:hAnsi="Times New Roman"/>
          <w:bCs/>
          <w:szCs w:val="24"/>
        </w:rPr>
        <w:t>The reporting</w:t>
      </w:r>
      <w:r w:rsidRPr="00363142">
        <w:rPr>
          <w:rFonts w:ascii="Times New Roman" w:hAnsi="Times New Roman"/>
          <w:bCs/>
          <w:color w:val="000000"/>
          <w:szCs w:val="24"/>
        </w:rPr>
        <w:t xml:space="preserve"> requirement of these applications and notifications represents less than 1 percent of total Federal Reserve System paperwork burden</w:t>
      </w:r>
      <w:r w:rsidRPr="00363142">
        <w:rPr>
          <w:rFonts w:ascii="Times New Roman" w:hAnsi="Times New Roman"/>
          <w:szCs w:val="24"/>
        </w:rPr>
        <w:t>.</w:t>
      </w:r>
    </w:p>
    <w:p w:rsidR="00655BB5" w:rsidRDefault="00655BB5" w:rsidP="00655BB5">
      <w:pPr>
        <w:widowControl/>
        <w:rPr>
          <w:rFonts w:ascii="Times New Roman" w:hAnsi="Times New Roman"/>
          <w:bCs/>
          <w:szCs w:val="24"/>
        </w:rPr>
      </w:pPr>
    </w:p>
    <w:tbl>
      <w:tblPr>
        <w:tblW w:w="9468" w:type="dxa"/>
        <w:jc w:val="center"/>
        <w:tblBorders>
          <w:top w:val="single" w:sz="4" w:space="0" w:color="auto"/>
          <w:bottom w:val="single" w:sz="4" w:space="0" w:color="auto"/>
        </w:tblBorders>
        <w:tblLook w:val="01E0"/>
      </w:tblPr>
      <w:tblGrid>
        <w:gridCol w:w="1771"/>
        <w:gridCol w:w="1577"/>
        <w:gridCol w:w="1980"/>
        <w:gridCol w:w="1980"/>
        <w:gridCol w:w="2160"/>
      </w:tblGrid>
      <w:tr w:rsidR="00655BB5" w:rsidRPr="00363142" w:rsidTr="00655BB5">
        <w:trPr>
          <w:jc w:val="center"/>
        </w:trPr>
        <w:tc>
          <w:tcPr>
            <w:tcW w:w="1771" w:type="dxa"/>
            <w:vAlign w:val="center"/>
          </w:tcPr>
          <w:p w:rsidR="00655BB5" w:rsidRPr="00655BB5" w:rsidRDefault="00655BB5" w:rsidP="00655BB5">
            <w:pPr>
              <w:jc w:val="center"/>
              <w:rPr>
                <w:rFonts w:ascii="Times New Roman" w:hAnsi="Times New Roman"/>
                <w:szCs w:val="24"/>
              </w:rPr>
            </w:pPr>
          </w:p>
          <w:p w:rsidR="00655BB5" w:rsidRPr="00655BB5" w:rsidRDefault="00655BB5" w:rsidP="00655BB5">
            <w:pPr>
              <w:jc w:val="center"/>
              <w:rPr>
                <w:rFonts w:ascii="Times New Roman" w:hAnsi="Times New Roman"/>
                <w:szCs w:val="24"/>
              </w:rPr>
            </w:pPr>
          </w:p>
          <w:p w:rsidR="00655BB5" w:rsidRPr="00655BB5" w:rsidRDefault="00655BB5" w:rsidP="00655BB5">
            <w:pPr>
              <w:jc w:val="center"/>
              <w:rPr>
                <w:rFonts w:ascii="Times New Roman" w:hAnsi="Times New Roman"/>
                <w:szCs w:val="24"/>
              </w:rPr>
            </w:pPr>
            <w:r w:rsidRPr="00655BB5">
              <w:rPr>
                <w:rFonts w:ascii="Times New Roman" w:hAnsi="Times New Roman"/>
                <w:szCs w:val="24"/>
              </w:rPr>
              <w:t>Attachments</w:t>
            </w:r>
          </w:p>
          <w:p w:rsidR="00655BB5" w:rsidRPr="00655BB5" w:rsidRDefault="00655BB5" w:rsidP="00655BB5">
            <w:pPr>
              <w:jc w:val="center"/>
              <w:rPr>
                <w:rFonts w:ascii="Times New Roman" w:hAnsi="Times New Roman"/>
                <w:szCs w:val="24"/>
              </w:rPr>
            </w:pPr>
          </w:p>
        </w:tc>
        <w:tc>
          <w:tcPr>
            <w:tcW w:w="1577" w:type="dxa"/>
            <w:vAlign w:val="center"/>
          </w:tcPr>
          <w:p w:rsidR="00655BB5" w:rsidRPr="00655BB5" w:rsidRDefault="00655BB5" w:rsidP="00655BB5">
            <w:pPr>
              <w:jc w:val="center"/>
              <w:rPr>
                <w:rFonts w:ascii="Times New Roman" w:hAnsi="Times New Roman"/>
                <w:szCs w:val="24"/>
              </w:rPr>
            </w:pPr>
            <w:r w:rsidRPr="00655BB5">
              <w:rPr>
                <w:rFonts w:ascii="Times New Roman" w:hAnsi="Times New Roman"/>
                <w:i/>
                <w:iCs/>
                <w:szCs w:val="24"/>
              </w:rPr>
              <w:t>Number of respondents</w:t>
            </w:r>
          </w:p>
        </w:tc>
        <w:tc>
          <w:tcPr>
            <w:tcW w:w="1980" w:type="dxa"/>
            <w:vAlign w:val="center"/>
          </w:tcPr>
          <w:p w:rsidR="00655BB5" w:rsidRPr="00655BB5"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szCs w:val="24"/>
              </w:rPr>
            </w:pPr>
            <w:r w:rsidRPr="00655BB5">
              <w:rPr>
                <w:rFonts w:ascii="Times New Roman" w:hAnsi="Times New Roman"/>
                <w:i/>
                <w:iCs/>
                <w:szCs w:val="24"/>
              </w:rPr>
              <w:t>Estimated</w:t>
            </w:r>
          </w:p>
          <w:p w:rsidR="00655BB5" w:rsidRPr="00655BB5" w:rsidRDefault="00655BB5" w:rsidP="00655BB5">
            <w:pPr>
              <w:jc w:val="center"/>
              <w:rPr>
                <w:rFonts w:ascii="Times New Roman" w:hAnsi="Times New Roman"/>
                <w:szCs w:val="24"/>
              </w:rPr>
            </w:pPr>
            <w:r w:rsidRPr="00655BB5">
              <w:rPr>
                <w:rFonts w:ascii="Times New Roman" w:hAnsi="Times New Roman"/>
                <w:i/>
                <w:iCs/>
                <w:szCs w:val="24"/>
              </w:rPr>
              <w:t>annual frequency</w:t>
            </w:r>
          </w:p>
        </w:tc>
        <w:tc>
          <w:tcPr>
            <w:tcW w:w="1980" w:type="dxa"/>
            <w:vAlign w:val="center"/>
          </w:tcPr>
          <w:p w:rsidR="00655BB5" w:rsidRPr="00655BB5" w:rsidRDefault="00655BB5" w:rsidP="00655BB5">
            <w:pPr>
              <w:jc w:val="center"/>
              <w:rPr>
                <w:rFonts w:ascii="Times New Roman" w:hAnsi="Times New Roman"/>
                <w:szCs w:val="24"/>
              </w:rPr>
            </w:pPr>
            <w:r w:rsidRPr="00655BB5">
              <w:rPr>
                <w:rFonts w:ascii="Times New Roman" w:hAnsi="Times New Roman"/>
                <w:i/>
                <w:iCs/>
                <w:szCs w:val="24"/>
              </w:rPr>
              <w:t>Estimated average hours per response</w:t>
            </w:r>
          </w:p>
        </w:tc>
        <w:tc>
          <w:tcPr>
            <w:tcW w:w="2160" w:type="dxa"/>
            <w:vAlign w:val="center"/>
          </w:tcPr>
          <w:p w:rsidR="00655BB5" w:rsidRPr="00655BB5" w:rsidRDefault="00655BB5" w:rsidP="00655BB5">
            <w:pPr>
              <w:jc w:val="center"/>
              <w:rPr>
                <w:rFonts w:ascii="Times New Roman" w:hAnsi="Times New Roman"/>
                <w:i/>
                <w:iCs/>
                <w:szCs w:val="24"/>
              </w:rPr>
            </w:pPr>
            <w:r w:rsidRPr="00655BB5">
              <w:rPr>
                <w:rFonts w:ascii="Times New Roman" w:hAnsi="Times New Roman"/>
                <w:i/>
                <w:iCs/>
                <w:szCs w:val="24"/>
              </w:rPr>
              <w:t>Estimated annual burden hours</w:t>
            </w:r>
          </w:p>
          <w:p w:rsidR="00655BB5" w:rsidRPr="00655BB5" w:rsidRDefault="00655BB5" w:rsidP="00655BB5">
            <w:pPr>
              <w:jc w:val="center"/>
              <w:rPr>
                <w:rFonts w:ascii="Times New Roman" w:hAnsi="Times New Roman"/>
                <w:szCs w:val="24"/>
              </w:rPr>
            </w:pPr>
          </w:p>
        </w:tc>
      </w:tr>
      <w:tr w:rsidR="00655BB5" w:rsidRPr="00363142" w:rsidTr="00655BB5">
        <w:trPr>
          <w:jc w:val="center"/>
        </w:trPr>
        <w:tc>
          <w:tcPr>
            <w:tcW w:w="1771" w:type="dxa"/>
          </w:tcPr>
          <w:p w:rsidR="00655BB5" w:rsidRPr="00655BB5" w:rsidRDefault="00655BB5" w:rsidP="00CE6ADE">
            <w:pPr>
              <w:rPr>
                <w:rFonts w:ascii="Times New Roman" w:hAnsi="Times New Roman"/>
                <w:szCs w:val="24"/>
              </w:rPr>
            </w:pPr>
            <w:r w:rsidRPr="00655BB5">
              <w:rPr>
                <w:rFonts w:ascii="Times New Roman" w:hAnsi="Times New Roman"/>
                <w:szCs w:val="24"/>
              </w:rPr>
              <w:t xml:space="preserve">   A,B</w:t>
            </w:r>
          </w:p>
        </w:tc>
        <w:tc>
          <w:tcPr>
            <w:tcW w:w="1577"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7</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2</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11.5</w:t>
            </w:r>
          </w:p>
        </w:tc>
        <w:tc>
          <w:tcPr>
            <w:tcW w:w="216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161</w:t>
            </w:r>
          </w:p>
        </w:tc>
      </w:tr>
      <w:tr w:rsidR="00655BB5" w:rsidRPr="00363142" w:rsidTr="00655BB5">
        <w:trPr>
          <w:jc w:val="center"/>
        </w:trPr>
        <w:tc>
          <w:tcPr>
            <w:tcW w:w="1771" w:type="dxa"/>
          </w:tcPr>
          <w:p w:rsidR="00655BB5" w:rsidRPr="00655BB5" w:rsidRDefault="00655BB5" w:rsidP="00CE6ADE">
            <w:pPr>
              <w:rPr>
                <w:rFonts w:ascii="Times New Roman" w:hAnsi="Times New Roman"/>
                <w:szCs w:val="24"/>
              </w:rPr>
            </w:pPr>
            <w:r w:rsidRPr="00655BB5">
              <w:rPr>
                <w:rFonts w:ascii="Times New Roman" w:hAnsi="Times New Roman"/>
                <w:szCs w:val="24"/>
              </w:rPr>
              <w:t xml:space="preserve">   C,D,E,F,G</w:t>
            </w:r>
          </w:p>
        </w:tc>
        <w:tc>
          <w:tcPr>
            <w:tcW w:w="1577"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6</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2</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10</w:t>
            </w:r>
          </w:p>
        </w:tc>
        <w:tc>
          <w:tcPr>
            <w:tcW w:w="216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120</w:t>
            </w:r>
          </w:p>
        </w:tc>
      </w:tr>
      <w:tr w:rsidR="00655BB5" w:rsidRPr="00363142" w:rsidTr="00655BB5">
        <w:trPr>
          <w:jc w:val="center"/>
        </w:trPr>
        <w:tc>
          <w:tcPr>
            <w:tcW w:w="1771" w:type="dxa"/>
          </w:tcPr>
          <w:p w:rsidR="00655BB5" w:rsidRPr="00655BB5" w:rsidRDefault="00655BB5" w:rsidP="00CE6ADE">
            <w:pPr>
              <w:rPr>
                <w:rFonts w:ascii="Times New Roman" w:hAnsi="Times New Roman"/>
                <w:szCs w:val="24"/>
              </w:rPr>
            </w:pPr>
            <w:r w:rsidRPr="00655BB5">
              <w:rPr>
                <w:rFonts w:ascii="Times New Roman" w:hAnsi="Times New Roman"/>
                <w:szCs w:val="24"/>
              </w:rPr>
              <w:t xml:space="preserve">   H,I</w:t>
            </w:r>
          </w:p>
        </w:tc>
        <w:tc>
          <w:tcPr>
            <w:tcW w:w="1577"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12</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3</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15.5</w:t>
            </w:r>
          </w:p>
        </w:tc>
        <w:tc>
          <w:tcPr>
            <w:tcW w:w="216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558</w:t>
            </w:r>
          </w:p>
        </w:tc>
      </w:tr>
      <w:tr w:rsidR="00655BB5" w:rsidRPr="00363142" w:rsidTr="00655BB5">
        <w:trPr>
          <w:jc w:val="center"/>
        </w:trPr>
        <w:tc>
          <w:tcPr>
            <w:tcW w:w="1771" w:type="dxa"/>
          </w:tcPr>
          <w:p w:rsidR="00655BB5" w:rsidRPr="00655BB5" w:rsidRDefault="00655BB5" w:rsidP="00CE6ADE">
            <w:pPr>
              <w:rPr>
                <w:rFonts w:ascii="Times New Roman" w:hAnsi="Times New Roman"/>
                <w:szCs w:val="24"/>
              </w:rPr>
            </w:pPr>
            <w:r w:rsidRPr="00655BB5">
              <w:rPr>
                <w:rFonts w:ascii="Times New Roman" w:hAnsi="Times New Roman"/>
                <w:szCs w:val="24"/>
              </w:rPr>
              <w:t xml:space="preserve">   J</w:t>
            </w:r>
          </w:p>
        </w:tc>
        <w:tc>
          <w:tcPr>
            <w:tcW w:w="1577"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3</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1</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10</w:t>
            </w:r>
          </w:p>
        </w:tc>
        <w:tc>
          <w:tcPr>
            <w:tcW w:w="216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 xml:space="preserve">  30</w:t>
            </w:r>
          </w:p>
        </w:tc>
      </w:tr>
      <w:tr w:rsidR="00655BB5" w:rsidRPr="00363142" w:rsidTr="00655BB5">
        <w:trPr>
          <w:jc w:val="center"/>
        </w:trPr>
        <w:tc>
          <w:tcPr>
            <w:tcW w:w="1771" w:type="dxa"/>
          </w:tcPr>
          <w:p w:rsidR="00655BB5" w:rsidRPr="00655BB5" w:rsidRDefault="00655BB5" w:rsidP="00CE6ADE">
            <w:pPr>
              <w:rPr>
                <w:rFonts w:ascii="Times New Roman" w:hAnsi="Times New Roman"/>
                <w:szCs w:val="24"/>
              </w:rPr>
            </w:pPr>
            <w:r w:rsidRPr="00655BB5">
              <w:rPr>
                <w:rFonts w:ascii="Times New Roman" w:hAnsi="Times New Roman"/>
                <w:szCs w:val="24"/>
              </w:rPr>
              <w:t xml:space="preserve">   K</w:t>
            </w:r>
          </w:p>
        </w:tc>
        <w:tc>
          <w:tcPr>
            <w:tcW w:w="1577" w:type="dxa"/>
          </w:tcPr>
          <w:p w:rsidR="00655BB5" w:rsidRPr="00655BB5" w:rsidRDefault="00655BB5" w:rsidP="00655BB5">
            <w:pPr>
              <w:jc w:val="center"/>
              <w:rPr>
                <w:rFonts w:ascii="Times New Roman" w:hAnsi="Times New Roman"/>
                <w:szCs w:val="24"/>
                <w:u w:val="single"/>
              </w:rPr>
            </w:pPr>
            <w:r w:rsidRPr="00655BB5">
              <w:rPr>
                <w:rFonts w:ascii="Times New Roman" w:hAnsi="Times New Roman"/>
                <w:szCs w:val="24"/>
              </w:rPr>
              <w:t xml:space="preserve">  </w:t>
            </w:r>
            <w:r w:rsidRPr="00655BB5">
              <w:rPr>
                <w:rFonts w:ascii="Times New Roman" w:hAnsi="Times New Roman"/>
                <w:szCs w:val="24"/>
                <w:u w:val="single"/>
              </w:rPr>
              <w:t>1</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1</w:t>
            </w:r>
          </w:p>
        </w:tc>
        <w:tc>
          <w:tcPr>
            <w:tcW w:w="198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20</w:t>
            </w:r>
          </w:p>
        </w:tc>
        <w:tc>
          <w:tcPr>
            <w:tcW w:w="2160" w:type="dxa"/>
          </w:tcPr>
          <w:p w:rsidR="00655BB5" w:rsidRPr="00655BB5" w:rsidRDefault="00655BB5" w:rsidP="00655BB5">
            <w:pPr>
              <w:jc w:val="center"/>
              <w:rPr>
                <w:rFonts w:ascii="Times New Roman" w:hAnsi="Times New Roman"/>
                <w:szCs w:val="24"/>
                <w:u w:val="single"/>
              </w:rPr>
            </w:pPr>
            <w:r w:rsidRPr="00655BB5">
              <w:rPr>
                <w:rFonts w:ascii="Times New Roman" w:hAnsi="Times New Roman"/>
                <w:szCs w:val="24"/>
                <w:u w:val="single"/>
              </w:rPr>
              <w:t xml:space="preserve">  20</w:t>
            </w:r>
          </w:p>
        </w:tc>
      </w:tr>
      <w:tr w:rsidR="00655BB5" w:rsidRPr="00363142" w:rsidTr="00655BB5">
        <w:trPr>
          <w:jc w:val="center"/>
        </w:trPr>
        <w:tc>
          <w:tcPr>
            <w:tcW w:w="1771" w:type="dxa"/>
          </w:tcPr>
          <w:p w:rsidR="00655BB5" w:rsidRPr="00655BB5" w:rsidRDefault="00655BB5" w:rsidP="00655BB5">
            <w:pPr>
              <w:jc w:val="right"/>
              <w:rPr>
                <w:rFonts w:ascii="Times New Roman" w:hAnsi="Times New Roman"/>
                <w:i/>
                <w:szCs w:val="24"/>
              </w:rPr>
            </w:pPr>
            <w:r w:rsidRPr="00655BB5">
              <w:rPr>
                <w:rFonts w:ascii="Times New Roman" w:hAnsi="Times New Roman"/>
                <w:i/>
                <w:szCs w:val="24"/>
              </w:rPr>
              <w:t>Total</w:t>
            </w:r>
          </w:p>
        </w:tc>
        <w:tc>
          <w:tcPr>
            <w:tcW w:w="1577"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29</w:t>
            </w:r>
          </w:p>
        </w:tc>
        <w:tc>
          <w:tcPr>
            <w:tcW w:w="1980" w:type="dxa"/>
          </w:tcPr>
          <w:p w:rsidR="00655BB5" w:rsidRPr="00655BB5" w:rsidRDefault="00655BB5" w:rsidP="00655BB5">
            <w:pPr>
              <w:jc w:val="center"/>
              <w:rPr>
                <w:rFonts w:ascii="Times New Roman" w:hAnsi="Times New Roman"/>
                <w:szCs w:val="24"/>
              </w:rPr>
            </w:pPr>
          </w:p>
        </w:tc>
        <w:tc>
          <w:tcPr>
            <w:tcW w:w="1980" w:type="dxa"/>
          </w:tcPr>
          <w:p w:rsidR="00655BB5" w:rsidRPr="00655BB5" w:rsidRDefault="00655BB5" w:rsidP="00655BB5">
            <w:pPr>
              <w:jc w:val="center"/>
              <w:rPr>
                <w:rFonts w:ascii="Times New Roman" w:hAnsi="Times New Roman"/>
                <w:szCs w:val="24"/>
              </w:rPr>
            </w:pPr>
          </w:p>
        </w:tc>
        <w:tc>
          <w:tcPr>
            <w:tcW w:w="2160" w:type="dxa"/>
          </w:tcPr>
          <w:p w:rsidR="00655BB5" w:rsidRPr="00655BB5" w:rsidRDefault="00655BB5" w:rsidP="00655BB5">
            <w:pPr>
              <w:jc w:val="center"/>
              <w:rPr>
                <w:rFonts w:ascii="Times New Roman" w:hAnsi="Times New Roman"/>
                <w:szCs w:val="24"/>
              </w:rPr>
            </w:pPr>
            <w:r w:rsidRPr="00655BB5">
              <w:rPr>
                <w:rFonts w:ascii="Times New Roman" w:hAnsi="Times New Roman"/>
                <w:szCs w:val="24"/>
              </w:rPr>
              <w:t>889</w:t>
            </w:r>
          </w:p>
        </w:tc>
      </w:tr>
    </w:tbl>
    <w:p w:rsidR="007528B8" w:rsidRDefault="00655BB5" w:rsidP="00555DE7">
      <w:pPr>
        <w:tabs>
          <w:tab w:val="left" w:pos="360"/>
        </w:tabs>
        <w:rPr>
          <w:rFonts w:ascii="Times New Roman" w:hAnsi="Times New Roman"/>
          <w:b/>
          <w:szCs w:val="24"/>
        </w:rPr>
      </w:pPr>
      <w:r w:rsidRPr="00363142">
        <w:rPr>
          <w:rFonts w:ascii="Times New Roman" w:hAnsi="Times New Roman"/>
          <w:szCs w:val="24"/>
        </w:rPr>
        <w:t>The total annual cost to the public for these reports is estimated to be $48,006.</w:t>
      </w:r>
      <w:r w:rsidRPr="00363142">
        <w:rPr>
          <w:rStyle w:val="FootnoteReference"/>
          <w:rFonts w:ascii="Times New Roman" w:hAnsi="Times New Roman"/>
          <w:szCs w:val="24"/>
          <w:vertAlign w:val="superscript"/>
        </w:rPr>
        <w:footnoteReference w:id="2"/>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lastRenderedPageBreak/>
        <w:t>Sensitive Questions</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This collection of information contains no questions of a sensitive nature, as defined by OMB guidelines.</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655BB5" w:rsidRPr="00363142" w:rsidRDefault="00655BB5" w:rsidP="00655BB5">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63142">
        <w:rPr>
          <w:rFonts w:ascii="Times New Roman" w:hAnsi="Times New Roman"/>
          <w:b/>
          <w:szCs w:val="24"/>
        </w:rPr>
        <w:t>Estimate of Cost to the Federal Reserve System</w:t>
      </w: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363142">
        <w:rPr>
          <w:rFonts w:ascii="Times New Roman" w:hAnsi="Times New Roman"/>
          <w:szCs w:val="24"/>
        </w:rPr>
        <w:t>The information submitted in the FR K-1 applications and notifications is not automated.  The cost to the Federal Reserve System of printing and mailing instructions is negligible.</w:t>
      </w:r>
    </w:p>
    <w:sectPr w:rsidR="00655BB5" w:rsidRPr="00363142" w:rsidSect="006B05CF">
      <w:headerReference w:type="even" r:id="rId7"/>
      <w:headerReference w:type="default" r:id="rId8"/>
      <w:footerReference w:type="even" r:id="rId9"/>
      <w:footerReference w:type="default" r:id="rId10"/>
      <w:endnotePr>
        <w:numFmt w:val="decimal"/>
      </w:endnotePr>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EE" w:rsidRDefault="00E35CEE">
      <w:r>
        <w:separator/>
      </w:r>
    </w:p>
  </w:endnote>
  <w:endnote w:type="continuationSeparator" w:id="0">
    <w:p w:rsidR="00E35CEE" w:rsidRDefault="00E35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CC" w:rsidRDefault="003E3C1A" w:rsidP="007403CC">
    <w:pPr>
      <w:pStyle w:val="Footer"/>
      <w:framePr w:wrap="around" w:vAnchor="text" w:hAnchor="margin" w:xAlign="center" w:y="1"/>
      <w:rPr>
        <w:rStyle w:val="PageNumber"/>
      </w:rPr>
    </w:pPr>
    <w:r>
      <w:rPr>
        <w:rStyle w:val="PageNumber"/>
      </w:rPr>
      <w:fldChar w:fldCharType="begin"/>
    </w:r>
    <w:r w:rsidR="007403CC">
      <w:rPr>
        <w:rStyle w:val="PageNumber"/>
      </w:rPr>
      <w:instrText xml:space="preserve">PAGE  </w:instrText>
    </w:r>
    <w:r>
      <w:rPr>
        <w:rStyle w:val="PageNumber"/>
      </w:rPr>
      <w:fldChar w:fldCharType="end"/>
    </w:r>
  </w:p>
  <w:p w:rsidR="007403CC" w:rsidRDefault="00740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CC" w:rsidRDefault="003E3C1A" w:rsidP="007403CC">
    <w:pPr>
      <w:pStyle w:val="Footer"/>
      <w:framePr w:wrap="around" w:vAnchor="text" w:hAnchor="margin" w:xAlign="center" w:y="1"/>
      <w:rPr>
        <w:rStyle w:val="PageNumber"/>
      </w:rPr>
    </w:pPr>
    <w:r>
      <w:rPr>
        <w:rStyle w:val="PageNumber"/>
      </w:rPr>
      <w:fldChar w:fldCharType="begin"/>
    </w:r>
    <w:r w:rsidR="007403CC">
      <w:rPr>
        <w:rStyle w:val="PageNumber"/>
      </w:rPr>
      <w:instrText xml:space="preserve">PAGE  </w:instrText>
    </w:r>
    <w:r>
      <w:rPr>
        <w:rStyle w:val="PageNumber"/>
      </w:rPr>
      <w:fldChar w:fldCharType="separate"/>
    </w:r>
    <w:r w:rsidR="00D41EC1">
      <w:rPr>
        <w:rStyle w:val="PageNumber"/>
        <w:noProof/>
      </w:rPr>
      <w:t>5</w:t>
    </w:r>
    <w:r>
      <w:rPr>
        <w:rStyle w:val="PageNumber"/>
      </w:rPr>
      <w:fldChar w:fldCharType="end"/>
    </w:r>
  </w:p>
  <w:p w:rsidR="007403CC" w:rsidRDefault="00740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EE" w:rsidRDefault="00E35CEE">
      <w:r>
        <w:separator/>
      </w:r>
    </w:p>
  </w:footnote>
  <w:footnote w:type="continuationSeparator" w:id="0">
    <w:p w:rsidR="00E35CEE" w:rsidRDefault="00E35CEE">
      <w:r>
        <w:continuationSeparator/>
      </w:r>
    </w:p>
  </w:footnote>
  <w:footnote w:id="1">
    <w:p w:rsidR="00655BB5" w:rsidRPr="005916EB" w:rsidRDefault="00655BB5" w:rsidP="00655BB5">
      <w:pPr>
        <w:spacing w:after="240"/>
        <w:rPr>
          <w:rFonts w:ascii="Times New Roman" w:hAnsi="Times New Roman"/>
          <w:sz w:val="20"/>
        </w:rPr>
      </w:pPr>
      <w:r w:rsidRPr="005916EB">
        <w:rPr>
          <w:rStyle w:val="FootnoteReference"/>
          <w:rFonts w:ascii="Times New Roman" w:hAnsi="Times New Roman"/>
          <w:sz w:val="20"/>
          <w:vertAlign w:val="superscript"/>
        </w:rPr>
        <w:footnoteRef/>
      </w:r>
      <w:r>
        <w:rPr>
          <w:rFonts w:ascii="Times New Roman" w:hAnsi="Times New Roman"/>
          <w:sz w:val="20"/>
        </w:rPr>
        <w:t xml:space="preserve"> </w:t>
      </w:r>
      <w:r w:rsidRPr="005916EB">
        <w:rPr>
          <w:rFonts w:ascii="Times New Roman" w:hAnsi="Times New Roman"/>
          <w:sz w:val="20"/>
        </w:rPr>
        <w:t>References to Edge corporations are inclusive of agreement corporations.  An agreement corporation is a corporation that has entered into an agreement with the Board that it will not exercise any power that is impermissible for an Edge corporation.</w:t>
      </w:r>
    </w:p>
  </w:footnote>
  <w:footnote w:id="2">
    <w:p w:rsidR="00655BB5" w:rsidRPr="00363142" w:rsidRDefault="00655BB5" w:rsidP="00655BB5">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363142">
        <w:rPr>
          <w:rStyle w:val="FootnoteReference"/>
          <w:rFonts w:ascii="Times New Roman" w:hAnsi="Times New Roman"/>
          <w:sz w:val="20"/>
          <w:vertAlign w:val="superscript"/>
        </w:rPr>
        <w:footnoteRef/>
      </w:r>
      <w:r w:rsidRPr="00363142">
        <w:rPr>
          <w:rFonts w:ascii="Times New Roman" w:hAnsi="Times New Roman"/>
          <w:sz w:val="20"/>
        </w:rPr>
        <w:t xml:space="preserve"> Total cost to the public was estimated using the following hourly rate:  Legal Counsel @ $54.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p w:rsidR="00655BB5" w:rsidRPr="00363142" w:rsidRDefault="00655BB5" w:rsidP="00655BB5">
      <w:pPr>
        <w:pStyle w:val="FootnoteText"/>
        <w:rPr>
          <w:sz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D7" w:rsidRDefault="003E3C1A">
    <w:pPr>
      <w:pStyle w:val="Header"/>
      <w:framePr w:wrap="around" w:vAnchor="text" w:hAnchor="margin" w:xAlign="center" w:y="1"/>
      <w:rPr>
        <w:rStyle w:val="PageNumber"/>
      </w:rPr>
    </w:pPr>
    <w:r>
      <w:rPr>
        <w:rStyle w:val="PageNumber"/>
      </w:rPr>
      <w:fldChar w:fldCharType="begin"/>
    </w:r>
    <w:r w:rsidR="00E95FD7">
      <w:rPr>
        <w:rStyle w:val="PageNumber"/>
      </w:rPr>
      <w:instrText xml:space="preserve">PAGE  </w:instrText>
    </w:r>
    <w:r>
      <w:rPr>
        <w:rStyle w:val="PageNumber"/>
      </w:rPr>
      <w:fldChar w:fldCharType="separate"/>
    </w:r>
    <w:r w:rsidR="00E95FD7">
      <w:rPr>
        <w:rStyle w:val="PageNumber"/>
        <w:noProof/>
      </w:rPr>
      <w:t>3</w:t>
    </w:r>
    <w:r>
      <w:rPr>
        <w:rStyle w:val="PageNumber"/>
      </w:rPr>
      <w:fldChar w:fldCharType="end"/>
    </w:r>
  </w:p>
  <w:p w:rsidR="00E95FD7" w:rsidRDefault="00E95F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D7" w:rsidRDefault="00E95FD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9791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AD3C48"/>
    <w:rsid w:val="0009107E"/>
    <w:rsid w:val="000C7A9B"/>
    <w:rsid w:val="0019283D"/>
    <w:rsid w:val="001A0603"/>
    <w:rsid w:val="00276671"/>
    <w:rsid w:val="00343FB8"/>
    <w:rsid w:val="003756DF"/>
    <w:rsid w:val="003C3FE3"/>
    <w:rsid w:val="003E3C1A"/>
    <w:rsid w:val="004263EB"/>
    <w:rsid w:val="004B2E58"/>
    <w:rsid w:val="00555DE7"/>
    <w:rsid w:val="005A09B3"/>
    <w:rsid w:val="00655BB5"/>
    <w:rsid w:val="006772AC"/>
    <w:rsid w:val="006B05CF"/>
    <w:rsid w:val="00707130"/>
    <w:rsid w:val="007403CC"/>
    <w:rsid w:val="007528B8"/>
    <w:rsid w:val="007861FF"/>
    <w:rsid w:val="00827E36"/>
    <w:rsid w:val="008A538F"/>
    <w:rsid w:val="00986C23"/>
    <w:rsid w:val="009D4B87"/>
    <w:rsid w:val="00A67BE6"/>
    <w:rsid w:val="00AD3C48"/>
    <w:rsid w:val="00AE436F"/>
    <w:rsid w:val="00BF771E"/>
    <w:rsid w:val="00C06E9D"/>
    <w:rsid w:val="00C2749E"/>
    <w:rsid w:val="00CE6ADE"/>
    <w:rsid w:val="00CF33D1"/>
    <w:rsid w:val="00D41EC1"/>
    <w:rsid w:val="00D7016B"/>
    <w:rsid w:val="00E35CEE"/>
    <w:rsid w:val="00E918EC"/>
    <w:rsid w:val="00E95FD7"/>
    <w:rsid w:val="00E96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EC"/>
    <w:pPr>
      <w:widowControl w:val="0"/>
    </w:pPr>
    <w:rPr>
      <w:rFonts w:ascii="Courier" w:hAnsi="Courier"/>
      <w:snapToGrid w:val="0"/>
      <w:sz w:val="24"/>
    </w:rPr>
  </w:style>
  <w:style w:type="paragraph" w:styleId="Heading1">
    <w:name w:val="heading 1"/>
    <w:basedOn w:val="Normal"/>
    <w:next w:val="Normal"/>
    <w:qFormat/>
    <w:rsid w:val="00E918EC"/>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outlineLvl w:val="0"/>
    </w:pPr>
    <w:rPr>
      <w:rFonts w:ascii="Times New Roman" w:hAnsi="Times New Roman"/>
      <w:i/>
      <w:iCs/>
    </w:rPr>
  </w:style>
  <w:style w:type="paragraph" w:styleId="Heading2">
    <w:name w:val="heading 2"/>
    <w:basedOn w:val="Normal"/>
    <w:next w:val="Normal"/>
    <w:qFormat/>
    <w:rsid w:val="00E918EC"/>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jc w:val="center"/>
      <w:outlineLvl w:val="1"/>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18EC"/>
  </w:style>
  <w:style w:type="paragraph" w:styleId="BodyTextIndent">
    <w:name w:val="Body Text Indent"/>
    <w:basedOn w:val="Normal"/>
    <w:rsid w:val="00E918EC"/>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left="412"/>
    </w:pPr>
    <w:rPr>
      <w:rFonts w:ascii="Times New Roman" w:hAnsi="Times New Roman"/>
    </w:rPr>
  </w:style>
  <w:style w:type="paragraph" w:styleId="BodyTextIndent2">
    <w:name w:val="Body Text Indent 2"/>
    <w:basedOn w:val="Normal"/>
    <w:rsid w:val="00E918EC"/>
    <w:pPr>
      <w:widowControl/>
      <w:tabs>
        <w:tab w:val="left" w:pos="190"/>
        <w:tab w:val="left" w:pos="4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rFonts w:ascii="Times New Roman" w:hAnsi="Times New Roman"/>
    </w:rPr>
  </w:style>
  <w:style w:type="paragraph" w:styleId="Header">
    <w:name w:val="header"/>
    <w:basedOn w:val="Normal"/>
    <w:link w:val="HeaderChar"/>
    <w:uiPriority w:val="99"/>
    <w:rsid w:val="00E918EC"/>
    <w:pPr>
      <w:tabs>
        <w:tab w:val="center" w:pos="4320"/>
        <w:tab w:val="right" w:pos="8640"/>
      </w:tabs>
    </w:pPr>
  </w:style>
  <w:style w:type="character" w:styleId="PageNumber">
    <w:name w:val="page number"/>
    <w:basedOn w:val="DefaultParagraphFont"/>
    <w:rsid w:val="00E918EC"/>
  </w:style>
  <w:style w:type="paragraph" w:styleId="BodyText2">
    <w:name w:val="Body Text 2"/>
    <w:basedOn w:val="Normal"/>
    <w:rsid w:val="00E918EC"/>
    <w:pPr>
      <w:widowControl/>
      <w:jc w:val="center"/>
    </w:pPr>
    <w:rPr>
      <w:rFonts w:ascii="Times New Roman" w:hAnsi="Times New Roman"/>
      <w:snapToGrid/>
    </w:rPr>
  </w:style>
  <w:style w:type="paragraph" w:styleId="Footer">
    <w:name w:val="footer"/>
    <w:basedOn w:val="Normal"/>
    <w:rsid w:val="006772AC"/>
    <w:pPr>
      <w:tabs>
        <w:tab w:val="center" w:pos="4320"/>
        <w:tab w:val="right" w:pos="8640"/>
      </w:tabs>
    </w:pPr>
  </w:style>
  <w:style w:type="paragraph" w:styleId="FootnoteText">
    <w:name w:val="footnote text"/>
    <w:basedOn w:val="Normal"/>
    <w:semiHidden/>
    <w:rsid w:val="00E95FD7"/>
    <w:pPr>
      <w:autoSpaceDE w:val="0"/>
      <w:autoSpaceDN w:val="0"/>
      <w:adjustRightInd w:val="0"/>
    </w:pPr>
    <w:rPr>
      <w:rFonts w:ascii="Times New Roman" w:hAnsi="Times New Roman"/>
      <w:snapToGrid/>
    </w:rPr>
  </w:style>
  <w:style w:type="table" w:styleId="TableGrid">
    <w:name w:val="Table Grid"/>
    <w:basedOn w:val="TableNormal"/>
    <w:rsid w:val="00E95FD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D4B87"/>
    <w:rPr>
      <w:rFonts w:ascii="Courier" w:hAnsi="Courier"/>
      <w:snapToGrid w:val="0"/>
      <w:sz w:val="24"/>
    </w:rPr>
  </w:style>
  <w:style w:type="paragraph" w:styleId="BalloonText">
    <w:name w:val="Balloon Text"/>
    <w:basedOn w:val="Normal"/>
    <w:link w:val="BalloonTextChar"/>
    <w:uiPriority w:val="99"/>
    <w:semiHidden/>
    <w:unhideWhenUsed/>
    <w:rsid w:val="009D4B87"/>
    <w:rPr>
      <w:rFonts w:ascii="Tahoma" w:hAnsi="Tahoma" w:cs="Tahoma"/>
      <w:sz w:val="16"/>
      <w:szCs w:val="16"/>
    </w:rPr>
  </w:style>
  <w:style w:type="character" w:customStyle="1" w:styleId="BalloonTextChar">
    <w:name w:val="Balloon Text Char"/>
    <w:basedOn w:val="DefaultParagraphFont"/>
    <w:link w:val="BalloonText"/>
    <w:uiPriority w:val="99"/>
    <w:semiHidden/>
    <w:rsid w:val="009D4B87"/>
    <w:rPr>
      <w:rFonts w:ascii="Tahoma" w:hAnsi="Tahoma" w:cs="Tahoma"/>
      <w:snapToGrid w:val="0"/>
      <w:sz w:val="16"/>
      <w:szCs w:val="16"/>
    </w:rPr>
  </w:style>
  <w:style w:type="character" w:styleId="CommentReference">
    <w:name w:val="annotation reference"/>
    <w:basedOn w:val="DefaultParagraphFont"/>
    <w:uiPriority w:val="99"/>
    <w:semiHidden/>
    <w:unhideWhenUsed/>
    <w:rsid w:val="00986C23"/>
    <w:rPr>
      <w:sz w:val="16"/>
      <w:szCs w:val="16"/>
    </w:rPr>
  </w:style>
  <w:style w:type="paragraph" w:styleId="CommentText">
    <w:name w:val="annotation text"/>
    <w:basedOn w:val="Normal"/>
    <w:link w:val="CommentTextChar"/>
    <w:uiPriority w:val="99"/>
    <w:semiHidden/>
    <w:unhideWhenUsed/>
    <w:rsid w:val="00986C23"/>
    <w:rPr>
      <w:sz w:val="20"/>
    </w:rPr>
  </w:style>
  <w:style w:type="character" w:customStyle="1" w:styleId="CommentTextChar">
    <w:name w:val="Comment Text Char"/>
    <w:basedOn w:val="DefaultParagraphFont"/>
    <w:link w:val="CommentText"/>
    <w:uiPriority w:val="99"/>
    <w:semiHidden/>
    <w:rsid w:val="00986C23"/>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986C23"/>
    <w:rPr>
      <w:b/>
      <w:bCs/>
    </w:rPr>
  </w:style>
  <w:style w:type="character" w:customStyle="1" w:styleId="CommentSubjectChar">
    <w:name w:val="Comment Subject Char"/>
    <w:basedOn w:val="CommentTextChar"/>
    <w:link w:val="CommentSubject"/>
    <w:uiPriority w:val="99"/>
    <w:semiHidden/>
    <w:rsid w:val="00986C2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the International Applications and </vt:lpstr>
    </vt:vector>
  </TitlesOfParts>
  <Company>Federal Reserve Board</Company>
  <LinksUpToDate>false</LinksUpToDate>
  <CharactersWithSpaces>14237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International Applications and </dc:title>
  <dc:subject/>
  <dc:creator>BS&amp;R</dc:creator>
  <cp:keywords/>
  <cp:lastModifiedBy>Scott William Farmer</cp:lastModifiedBy>
  <cp:revision>7</cp:revision>
  <cp:lastPrinted>2008-02-06T13:05:00Z</cp:lastPrinted>
  <dcterms:created xsi:type="dcterms:W3CDTF">2011-01-05T14:58:00Z</dcterms:created>
  <dcterms:modified xsi:type="dcterms:W3CDTF">2011-03-11T15:27:00Z</dcterms:modified>
</cp:coreProperties>
</file>