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9B" w:rsidRPr="00844F0C" w:rsidRDefault="0029659B" w:rsidP="00844F0C">
      <w:pPr>
        <w:pStyle w:val="Heading1"/>
        <w:spacing w:before="0" w:beforeAutospacing="0" w:after="0" w:afterAutospacing="0"/>
        <w:rPr>
          <w:rFonts w:ascii="Century Gothic" w:hAnsi="Century Gothic"/>
          <w:sz w:val="22"/>
          <w:szCs w:val="22"/>
        </w:rPr>
      </w:pPr>
      <w:r w:rsidRPr="00844F0C">
        <w:rPr>
          <w:rFonts w:ascii="Century Gothic" w:hAnsi="Century Gothic"/>
          <w:sz w:val="22"/>
          <w:szCs w:val="22"/>
        </w:rPr>
        <w:t>Supporting Statement (3145-0136)</w:t>
      </w:r>
    </w:p>
    <w:p w:rsidR="0029659B" w:rsidRPr="00844F0C" w:rsidRDefault="0029659B" w:rsidP="00844F0C">
      <w:pPr>
        <w:pStyle w:val="NormalWeb"/>
        <w:spacing w:before="0" w:beforeAutospacing="0" w:after="0" w:afterAutospacing="0"/>
        <w:jc w:val="center"/>
        <w:rPr>
          <w:rFonts w:ascii="Century Gothic" w:hAnsi="Century Gothic"/>
          <w:sz w:val="22"/>
          <w:szCs w:val="22"/>
        </w:rPr>
      </w:pPr>
      <w:r w:rsidRPr="00844F0C">
        <w:rPr>
          <w:rStyle w:val="Strong"/>
          <w:rFonts w:ascii="Century Gothic" w:hAnsi="Century Gothic"/>
          <w:sz w:val="22"/>
          <w:szCs w:val="22"/>
        </w:rPr>
        <w:t>Request For Clearance: National Science Foundation, Directorate of Education and Human Resources, Division of Graduate Education</w:t>
      </w:r>
    </w:p>
    <w:p w:rsidR="0029659B" w:rsidRPr="00844F0C" w:rsidRDefault="0029659B" w:rsidP="00844F0C">
      <w:pPr>
        <w:pStyle w:val="NormalWeb"/>
        <w:spacing w:before="0" w:beforeAutospacing="0" w:after="0" w:afterAutospacing="0"/>
        <w:jc w:val="center"/>
        <w:rPr>
          <w:rStyle w:val="Strong"/>
          <w:rFonts w:ascii="Century Gothic" w:hAnsi="Century Gothic"/>
          <w:sz w:val="22"/>
          <w:szCs w:val="22"/>
        </w:rPr>
      </w:pPr>
      <w:r w:rsidRPr="00844F0C">
        <w:rPr>
          <w:rStyle w:val="Strong"/>
          <w:rFonts w:ascii="Century Gothic" w:hAnsi="Century Gothic"/>
          <w:sz w:val="22"/>
          <w:szCs w:val="22"/>
        </w:rPr>
        <w:t xml:space="preserve">Distance Monitoring </w:t>
      </w:r>
      <w:r w:rsidR="00AD4932" w:rsidRPr="00844F0C">
        <w:rPr>
          <w:rStyle w:val="Strong"/>
          <w:rFonts w:ascii="Century Gothic" w:hAnsi="Century Gothic"/>
          <w:sz w:val="22"/>
          <w:szCs w:val="22"/>
        </w:rPr>
        <w:t xml:space="preserve">Data Collection in Support of </w:t>
      </w:r>
      <w:r w:rsidR="00063396" w:rsidRPr="00844F0C">
        <w:rPr>
          <w:rStyle w:val="Strong"/>
          <w:rFonts w:ascii="Century Gothic" w:hAnsi="Century Gothic"/>
          <w:sz w:val="22"/>
          <w:szCs w:val="22"/>
        </w:rPr>
        <w:t>the Computer &amp; Information Science &amp; Engineering’s Pathways to a Revitalized Undergraduate Computing Education Program (CPATH)</w:t>
      </w:r>
    </w:p>
    <w:p w:rsidR="0029659B" w:rsidRPr="00844F0C" w:rsidRDefault="0029659B" w:rsidP="00844F0C">
      <w:pPr>
        <w:pStyle w:val="Heading2"/>
        <w:spacing w:before="240" w:beforeAutospacing="0" w:after="120" w:afterAutospacing="0"/>
        <w:rPr>
          <w:rFonts w:ascii="Century Gothic" w:hAnsi="Century Gothic"/>
          <w:color w:val="000000"/>
          <w:sz w:val="22"/>
          <w:szCs w:val="22"/>
        </w:rPr>
      </w:pPr>
      <w:r w:rsidRPr="00844F0C">
        <w:rPr>
          <w:rFonts w:ascii="Century Gothic" w:hAnsi="Century Gothic"/>
          <w:color w:val="000000"/>
          <w:sz w:val="22"/>
          <w:szCs w:val="22"/>
        </w:rPr>
        <w:t>Section B</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Introduction</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B.1. Respondent Universe and Sampling Methods</w:t>
      </w:r>
    </w:p>
    <w:p w:rsidR="0031720B" w:rsidRPr="000C2D1B" w:rsidRDefault="00575882" w:rsidP="00844F0C">
      <w:pPr>
        <w:pStyle w:val="NormalWeb"/>
        <w:spacing w:before="120" w:beforeAutospacing="0" w:after="120" w:afterAutospacing="0"/>
      </w:pPr>
      <w:r w:rsidRPr="00E22B2F">
        <w:t>The sample size will be the entire universe of PIs on active CPATH awards.</w:t>
      </w:r>
      <w:r w:rsidR="0034304D" w:rsidRPr="00E22B2F">
        <w:t xml:space="preserve"> </w:t>
      </w:r>
      <w:r w:rsidRPr="00E22B2F">
        <w:t xml:space="preserve">There are </w:t>
      </w:r>
      <w:r w:rsidRPr="000C2D1B">
        <w:t xml:space="preserve">currently </w:t>
      </w:r>
      <w:r w:rsidR="005F5617">
        <w:t>76</w:t>
      </w:r>
      <w:r w:rsidR="00632E27">
        <w:t xml:space="preserve"> </w:t>
      </w:r>
      <w:r w:rsidRPr="000C2D1B">
        <w:t xml:space="preserve">CPATH awards. </w:t>
      </w:r>
      <w:r w:rsidR="00EE4400" w:rsidRPr="000C2D1B">
        <w:t>T</w:t>
      </w:r>
      <w:r w:rsidRPr="000C2D1B">
        <w:t xml:space="preserve">his number </w:t>
      </w:r>
      <w:r w:rsidR="009D5789">
        <w:t>will decline</w:t>
      </w:r>
      <w:r w:rsidRPr="000C2D1B">
        <w:t xml:space="preserve"> </w:t>
      </w:r>
      <w:r w:rsidR="00B56EE6" w:rsidRPr="000C2D1B">
        <w:t>in subsequent years</w:t>
      </w:r>
      <w:r w:rsidR="009D5789">
        <w:t xml:space="preserve"> as grant periods expire</w:t>
      </w:r>
      <w:r w:rsidRPr="000C2D1B">
        <w:t>.</w:t>
      </w:r>
      <w:r w:rsidR="005F57DE" w:rsidRPr="000C2D1B">
        <w:t xml:space="preserve"> </w:t>
      </w:r>
    </w:p>
    <w:tbl>
      <w:tblPr>
        <w:tblW w:w="0" w:type="auto"/>
        <w:jc w:val="center"/>
        <w:tblCellMar>
          <w:left w:w="0" w:type="dxa"/>
          <w:right w:w="0" w:type="dxa"/>
        </w:tblCellMar>
        <w:tblLook w:val="0000"/>
      </w:tblPr>
      <w:tblGrid>
        <w:gridCol w:w="2633"/>
        <w:gridCol w:w="1800"/>
        <w:gridCol w:w="1401"/>
      </w:tblGrid>
      <w:tr w:rsidR="00EE4400" w:rsidRPr="000C2D1B" w:rsidTr="00F24CC2">
        <w:trPr>
          <w:trHeight w:val="458"/>
          <w:jc w:val="center"/>
        </w:trPr>
        <w:tc>
          <w:tcPr>
            <w:tcW w:w="2633" w:type="dxa"/>
            <w:tcBorders>
              <w:top w:val="single" w:sz="4" w:space="0" w:color="auto"/>
              <w:bottom w:val="single" w:sz="4" w:space="0" w:color="auto"/>
            </w:tcBorders>
            <w:tcMar>
              <w:top w:w="0" w:type="dxa"/>
              <w:left w:w="108" w:type="dxa"/>
              <w:bottom w:w="0" w:type="dxa"/>
              <w:right w:w="108" w:type="dxa"/>
            </w:tcMar>
            <w:vAlign w:val="bottom"/>
          </w:tcPr>
          <w:p w:rsidR="00EE4400" w:rsidRPr="000C2D1B" w:rsidRDefault="00EE4400" w:rsidP="00844F0C">
            <w:pPr>
              <w:pStyle w:val="NormalWeb"/>
              <w:spacing w:before="0" w:beforeAutospacing="0" w:after="0" w:afterAutospacing="0"/>
              <w:ind w:left="-113"/>
              <w:rPr>
                <w:sz w:val="22"/>
                <w:szCs w:val="22"/>
              </w:rPr>
            </w:pPr>
            <w:r w:rsidRPr="000C2D1B">
              <w:rPr>
                <w:rStyle w:val="Strong"/>
                <w:sz w:val="22"/>
                <w:szCs w:val="22"/>
              </w:rPr>
              <w:t>Population</w:t>
            </w:r>
          </w:p>
        </w:tc>
        <w:tc>
          <w:tcPr>
            <w:tcW w:w="1800" w:type="dxa"/>
            <w:tcBorders>
              <w:top w:val="single" w:sz="4" w:space="0" w:color="auto"/>
              <w:bottom w:val="single" w:sz="4" w:space="0" w:color="auto"/>
            </w:tcBorders>
            <w:tcMar>
              <w:top w:w="0" w:type="dxa"/>
              <w:left w:w="108" w:type="dxa"/>
              <w:bottom w:w="0" w:type="dxa"/>
              <w:right w:w="108" w:type="dxa"/>
            </w:tcMar>
            <w:vAlign w:val="bottom"/>
          </w:tcPr>
          <w:p w:rsidR="00EE4400" w:rsidRPr="000C2D1B" w:rsidRDefault="00EE4400" w:rsidP="00844F0C">
            <w:pPr>
              <w:pStyle w:val="NormalWeb"/>
              <w:spacing w:before="0" w:beforeAutospacing="0" w:after="0" w:afterAutospacing="0"/>
              <w:ind w:left="-113"/>
              <w:jc w:val="center"/>
              <w:rPr>
                <w:sz w:val="22"/>
                <w:szCs w:val="22"/>
              </w:rPr>
            </w:pPr>
            <w:r w:rsidRPr="000C2D1B">
              <w:rPr>
                <w:rStyle w:val="Strong"/>
                <w:sz w:val="22"/>
                <w:szCs w:val="22"/>
              </w:rPr>
              <w:t>Estimated Universe Size</w:t>
            </w:r>
          </w:p>
        </w:tc>
        <w:tc>
          <w:tcPr>
            <w:tcW w:w="1401" w:type="dxa"/>
            <w:tcBorders>
              <w:top w:val="single" w:sz="4" w:space="0" w:color="auto"/>
              <w:bottom w:val="single" w:sz="4" w:space="0" w:color="auto"/>
            </w:tcBorders>
            <w:tcMar>
              <w:top w:w="0" w:type="dxa"/>
              <w:left w:w="108" w:type="dxa"/>
              <w:bottom w:w="0" w:type="dxa"/>
              <w:right w:w="108" w:type="dxa"/>
            </w:tcMar>
            <w:vAlign w:val="bottom"/>
          </w:tcPr>
          <w:p w:rsidR="00EE4400" w:rsidRPr="000C2D1B" w:rsidRDefault="00EE4400" w:rsidP="00844F0C">
            <w:pPr>
              <w:pStyle w:val="NormalWeb"/>
              <w:spacing w:before="0" w:beforeAutospacing="0" w:after="0" w:afterAutospacing="0"/>
              <w:ind w:left="-113" w:right="-71"/>
              <w:jc w:val="center"/>
              <w:rPr>
                <w:sz w:val="22"/>
                <w:szCs w:val="22"/>
              </w:rPr>
            </w:pPr>
            <w:r w:rsidRPr="000C2D1B">
              <w:rPr>
                <w:rStyle w:val="Strong"/>
                <w:sz w:val="22"/>
                <w:szCs w:val="22"/>
              </w:rPr>
              <w:t>Sample Size</w:t>
            </w:r>
          </w:p>
        </w:tc>
      </w:tr>
      <w:tr w:rsidR="00602AE1" w:rsidRPr="00E22B2F" w:rsidTr="00F24CC2">
        <w:trPr>
          <w:trHeight w:val="485"/>
          <w:jc w:val="center"/>
        </w:trPr>
        <w:tc>
          <w:tcPr>
            <w:tcW w:w="2633" w:type="dxa"/>
            <w:tcBorders>
              <w:top w:val="single" w:sz="4" w:space="0" w:color="auto"/>
              <w:bottom w:val="single" w:sz="6" w:space="0" w:color="auto"/>
            </w:tcBorders>
            <w:tcMar>
              <w:top w:w="0" w:type="dxa"/>
              <w:left w:w="101" w:type="dxa"/>
              <w:bottom w:w="0" w:type="dxa"/>
              <w:right w:w="101" w:type="dxa"/>
            </w:tcMar>
            <w:vAlign w:val="center"/>
          </w:tcPr>
          <w:p w:rsidR="00602AE1" w:rsidRPr="000C2D1B" w:rsidRDefault="00575882" w:rsidP="00844F0C">
            <w:pPr>
              <w:pStyle w:val="NormalWeb"/>
              <w:spacing w:before="0" w:beforeAutospacing="0" w:after="0" w:afterAutospacing="0"/>
              <w:ind w:left="-113"/>
              <w:rPr>
                <w:sz w:val="22"/>
                <w:szCs w:val="22"/>
              </w:rPr>
            </w:pPr>
            <w:r w:rsidRPr="000C2D1B">
              <w:rPr>
                <w:sz w:val="22"/>
                <w:szCs w:val="22"/>
              </w:rPr>
              <w:t>PI</w:t>
            </w:r>
            <w:r w:rsidR="0034304D" w:rsidRPr="000C2D1B">
              <w:rPr>
                <w:sz w:val="22"/>
                <w:szCs w:val="22"/>
              </w:rPr>
              <w:t>s</w:t>
            </w:r>
            <w:r w:rsidR="00B56EE6" w:rsidRPr="000C2D1B">
              <w:rPr>
                <w:sz w:val="22"/>
                <w:szCs w:val="22"/>
              </w:rPr>
              <w:t xml:space="preserve"> on CPATH awards</w:t>
            </w:r>
          </w:p>
        </w:tc>
        <w:tc>
          <w:tcPr>
            <w:tcW w:w="1800" w:type="dxa"/>
            <w:tcBorders>
              <w:top w:val="single" w:sz="4" w:space="0" w:color="auto"/>
              <w:bottom w:val="single" w:sz="6" w:space="0" w:color="auto"/>
            </w:tcBorders>
            <w:tcMar>
              <w:top w:w="0" w:type="dxa"/>
              <w:left w:w="101" w:type="dxa"/>
              <w:bottom w:w="0" w:type="dxa"/>
              <w:right w:w="101" w:type="dxa"/>
            </w:tcMar>
            <w:vAlign w:val="center"/>
          </w:tcPr>
          <w:p w:rsidR="00602AE1" w:rsidRPr="000C2D1B" w:rsidDel="00AC08A7" w:rsidRDefault="005F5617" w:rsidP="00844F0C">
            <w:pPr>
              <w:pStyle w:val="NormalWeb"/>
              <w:spacing w:before="0" w:beforeAutospacing="0" w:after="0" w:afterAutospacing="0"/>
              <w:ind w:left="-113"/>
              <w:jc w:val="center"/>
              <w:rPr>
                <w:sz w:val="22"/>
                <w:szCs w:val="22"/>
              </w:rPr>
            </w:pPr>
            <w:r>
              <w:rPr>
                <w:sz w:val="22"/>
                <w:szCs w:val="22"/>
              </w:rPr>
              <w:t>76</w:t>
            </w:r>
          </w:p>
        </w:tc>
        <w:tc>
          <w:tcPr>
            <w:tcW w:w="1401" w:type="dxa"/>
            <w:tcBorders>
              <w:top w:val="single" w:sz="4" w:space="0" w:color="auto"/>
              <w:bottom w:val="single" w:sz="6" w:space="0" w:color="auto"/>
            </w:tcBorders>
            <w:tcMar>
              <w:top w:w="0" w:type="dxa"/>
              <w:left w:w="101" w:type="dxa"/>
              <w:bottom w:w="0" w:type="dxa"/>
              <w:right w:w="101" w:type="dxa"/>
            </w:tcMar>
            <w:vAlign w:val="center"/>
          </w:tcPr>
          <w:p w:rsidR="00602AE1" w:rsidRPr="00E22B2F" w:rsidDel="00AC08A7" w:rsidRDefault="00602AE1" w:rsidP="00844F0C">
            <w:pPr>
              <w:pStyle w:val="NormalWeb"/>
              <w:spacing w:before="0" w:beforeAutospacing="0" w:after="0" w:afterAutospacing="0"/>
              <w:ind w:left="-113"/>
              <w:jc w:val="center"/>
              <w:rPr>
                <w:sz w:val="22"/>
                <w:szCs w:val="22"/>
              </w:rPr>
            </w:pPr>
            <w:r w:rsidRPr="000C2D1B">
              <w:rPr>
                <w:sz w:val="22"/>
                <w:szCs w:val="22"/>
              </w:rPr>
              <w:t>100%</w:t>
            </w:r>
          </w:p>
        </w:tc>
      </w:tr>
    </w:tbl>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 Information Collection Procedures/Limitations of the Study</w:t>
      </w:r>
    </w:p>
    <w:p w:rsidR="00B01D0E" w:rsidRPr="00E22B2F" w:rsidRDefault="00B01D0E" w:rsidP="00844F0C">
      <w:pPr>
        <w:pStyle w:val="NormalWeb"/>
        <w:spacing w:before="0" w:beforeAutospacing="0" w:after="0" w:afterAutospacing="0"/>
        <w:rPr>
          <w:color w:val="000000"/>
        </w:rPr>
      </w:pPr>
      <w:r w:rsidRPr="00E22B2F">
        <w:rPr>
          <w:color w:val="000000"/>
        </w:rPr>
        <w:t xml:space="preserve">This collection will use a Web-based data collection form. A PI for each CPATH award will provide descriptive data annually for the duration of NSF funding. The data will be used primarily for program management, monitoring of implementation, and descriptive analysis. </w:t>
      </w:r>
    </w:p>
    <w:p w:rsidR="00B01D0E" w:rsidRPr="00E22B2F" w:rsidRDefault="00B01D0E" w:rsidP="00844F0C">
      <w:pPr>
        <w:spacing w:before="120" w:after="120"/>
        <w:rPr>
          <w:rFonts w:ascii="Times New Roman" w:eastAsia="MS Mincho" w:hAnsi="Times New Roman"/>
          <w:color w:val="000000"/>
          <w:sz w:val="24"/>
          <w:szCs w:val="24"/>
        </w:rPr>
      </w:pPr>
      <w:r w:rsidRPr="00E22B2F">
        <w:rPr>
          <w:rFonts w:ascii="Times New Roman" w:eastAsia="MS Mincho" w:hAnsi="Times New Roman"/>
          <w:color w:val="000000"/>
          <w:sz w:val="24"/>
          <w:szCs w:val="24"/>
        </w:rPr>
        <w:t xml:space="preserve">NSF understands the limitations of the data collection, particularly in terms of using the data to determine program effectiveness. Data collected through the CPATH monitoring system will not be used to determine the ultimate effectiveness of its STEM educational interventions, but will be used in program planning and management, reporting on agency activities and goals, and future evaluation planning activities. </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B.2.1. Statistical Methodology for Stratification and Sample Selection</w:t>
      </w:r>
    </w:p>
    <w:p w:rsidR="0029659B" w:rsidRPr="00E22B2F" w:rsidRDefault="0029659B" w:rsidP="00844F0C">
      <w:pPr>
        <w:spacing w:before="120" w:after="120"/>
        <w:rPr>
          <w:rFonts w:ascii="Times New Roman" w:hAnsi="Times New Roman"/>
          <w:color w:val="000000"/>
        </w:rPr>
      </w:pPr>
      <w:r w:rsidRPr="00E22B2F">
        <w:rPr>
          <w:rFonts w:ascii="Times New Roman" w:hAnsi="Times New Roman"/>
          <w:color w:val="000000"/>
          <w:sz w:val="24"/>
          <w:szCs w:val="24"/>
        </w:rPr>
        <w:t>Th</w:t>
      </w:r>
      <w:r w:rsidR="00142BA4" w:rsidRPr="00E22B2F">
        <w:rPr>
          <w:rFonts w:ascii="Times New Roman" w:hAnsi="Times New Roman"/>
          <w:color w:val="000000"/>
          <w:sz w:val="24"/>
          <w:szCs w:val="24"/>
        </w:rPr>
        <w:t>e distance monitoring</w:t>
      </w:r>
      <w:r w:rsidRPr="00E22B2F">
        <w:rPr>
          <w:rFonts w:ascii="Times New Roman" w:hAnsi="Times New Roman"/>
          <w:color w:val="000000"/>
          <w:sz w:val="24"/>
          <w:szCs w:val="24"/>
        </w:rPr>
        <w:t xml:space="preserve"> data collection is a census, so no sampling is required</w:t>
      </w:r>
      <w:r w:rsidR="00142BA4" w:rsidRPr="00E22B2F">
        <w:rPr>
          <w:rFonts w:ascii="Times New Roman" w:hAnsi="Times New Roman"/>
          <w:color w:val="000000"/>
          <w:sz w:val="24"/>
          <w:szCs w:val="24"/>
        </w:rPr>
        <w:t xml:space="preserve">. </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B.2.2. Estimation Procedure</w:t>
      </w:r>
    </w:p>
    <w:p w:rsidR="00EE4400" w:rsidRPr="00E22B2F" w:rsidRDefault="00EE4400" w:rsidP="00844F0C">
      <w:pPr>
        <w:spacing w:before="120" w:after="120"/>
        <w:rPr>
          <w:rFonts w:ascii="Times New Roman" w:hAnsi="Times New Roman"/>
          <w:color w:val="000000"/>
          <w:sz w:val="24"/>
          <w:szCs w:val="24"/>
        </w:rPr>
      </w:pPr>
      <w:r w:rsidRPr="00E22B2F">
        <w:rPr>
          <w:rFonts w:ascii="Times New Roman" w:hAnsi="Times New Roman"/>
          <w:color w:val="000000"/>
          <w:sz w:val="24"/>
          <w:szCs w:val="24"/>
        </w:rPr>
        <w:t>Not Applicable.</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B.2.3. Degree of Accuracy Needed for the Purpose Described in the Justification</w:t>
      </w:r>
    </w:p>
    <w:p w:rsidR="00602AE1" w:rsidRPr="00E22B2F" w:rsidRDefault="00602AE1" w:rsidP="00844F0C">
      <w:pPr>
        <w:spacing w:before="120" w:after="120"/>
        <w:rPr>
          <w:rFonts w:ascii="Times New Roman" w:hAnsi="Times New Roman"/>
          <w:color w:val="000000"/>
          <w:sz w:val="24"/>
          <w:szCs w:val="24"/>
        </w:rPr>
      </w:pPr>
      <w:r w:rsidRPr="00E22B2F">
        <w:rPr>
          <w:rFonts w:ascii="Times New Roman" w:hAnsi="Times New Roman"/>
          <w:color w:val="000000"/>
          <w:sz w:val="24"/>
          <w:szCs w:val="24"/>
        </w:rPr>
        <w:t>Not Applicable</w:t>
      </w:r>
      <w:r w:rsidR="00EE4400" w:rsidRPr="00E22B2F">
        <w:rPr>
          <w:rFonts w:ascii="Times New Roman" w:hAnsi="Times New Roman"/>
          <w:color w:val="000000"/>
          <w:sz w:val="24"/>
          <w:szCs w:val="24"/>
        </w:rPr>
        <w:t>.</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B.2.4. Unusual Problems Requiring Specialized Sampling Procedures</w:t>
      </w:r>
    </w:p>
    <w:p w:rsidR="00EE4400" w:rsidRPr="00E22B2F" w:rsidRDefault="00EE4400" w:rsidP="00844F0C">
      <w:pPr>
        <w:spacing w:before="120" w:after="120"/>
        <w:rPr>
          <w:rFonts w:ascii="Times New Roman" w:hAnsi="Times New Roman"/>
          <w:color w:val="000000"/>
          <w:sz w:val="24"/>
          <w:szCs w:val="24"/>
        </w:rPr>
      </w:pPr>
      <w:r w:rsidRPr="00E22B2F">
        <w:rPr>
          <w:rFonts w:ascii="Times New Roman" w:hAnsi="Times New Roman"/>
          <w:color w:val="000000"/>
          <w:sz w:val="24"/>
          <w:szCs w:val="24"/>
        </w:rPr>
        <w:t>Not Applicable.</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B.2.5. Use of Periodic (Less Frequent Than Annual) Data Collection Cycles</w:t>
      </w:r>
    </w:p>
    <w:p w:rsidR="00EE4400" w:rsidRPr="00E22B2F" w:rsidRDefault="00EE4400" w:rsidP="00844F0C">
      <w:pPr>
        <w:spacing w:before="120" w:after="120"/>
        <w:rPr>
          <w:rFonts w:ascii="Times New Roman" w:hAnsi="Times New Roman"/>
          <w:color w:val="000000"/>
          <w:sz w:val="24"/>
          <w:szCs w:val="24"/>
        </w:rPr>
      </w:pPr>
      <w:r w:rsidRPr="00E22B2F">
        <w:rPr>
          <w:rFonts w:ascii="Times New Roman" w:hAnsi="Times New Roman"/>
          <w:color w:val="000000"/>
          <w:sz w:val="24"/>
          <w:szCs w:val="24"/>
        </w:rPr>
        <w:t>Not Applicable.</w:t>
      </w:r>
    </w:p>
    <w:p w:rsidR="00844F0C" w:rsidRDefault="00844F0C">
      <w:pPr>
        <w:rPr>
          <w:rFonts w:ascii="Century Gothic" w:hAnsi="Century Gothic"/>
          <w:b/>
          <w:bCs/>
          <w:color w:val="000000"/>
          <w:sz w:val="22"/>
          <w:szCs w:val="22"/>
        </w:rPr>
      </w:pPr>
      <w:r>
        <w:rPr>
          <w:rFonts w:ascii="Century Gothic" w:hAnsi="Century Gothic"/>
          <w:color w:val="000000"/>
        </w:rPr>
        <w:br w:type="page"/>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lastRenderedPageBreak/>
        <w:t xml:space="preserve">B.3. Methods for Maximizing the Response Rate and Addressing Issues of </w:t>
      </w:r>
      <w:proofErr w:type="spellStart"/>
      <w:r w:rsidRPr="00844F0C">
        <w:rPr>
          <w:rFonts w:ascii="Century Gothic" w:hAnsi="Century Gothic"/>
          <w:color w:val="000000"/>
        </w:rPr>
        <w:t>Nonresponse</w:t>
      </w:r>
      <w:proofErr w:type="spellEnd"/>
    </w:p>
    <w:p w:rsidR="00EE4400" w:rsidRPr="00E22B2F" w:rsidRDefault="00EE4400" w:rsidP="00844F0C">
      <w:pPr>
        <w:pStyle w:val="NormalWeb"/>
        <w:spacing w:before="120" w:beforeAutospacing="0" w:after="120" w:afterAutospacing="0"/>
        <w:rPr>
          <w:color w:val="000000"/>
          <w:spacing w:val="-2"/>
        </w:rPr>
      </w:pPr>
      <w:r w:rsidRPr="002F2337">
        <w:rPr>
          <w:color w:val="000000"/>
        </w:rPr>
        <w:t xml:space="preserve">Data submission is required </w:t>
      </w:r>
      <w:r w:rsidR="00B56EE6" w:rsidRPr="002F2337">
        <w:rPr>
          <w:color w:val="000000"/>
        </w:rPr>
        <w:t>for</w:t>
      </w:r>
      <w:r w:rsidRPr="002F2337">
        <w:rPr>
          <w:color w:val="000000"/>
        </w:rPr>
        <w:t xml:space="preserve"> </w:t>
      </w:r>
      <w:r w:rsidR="0034304D" w:rsidRPr="002F2337">
        <w:rPr>
          <w:color w:val="000000"/>
        </w:rPr>
        <w:t xml:space="preserve">all </w:t>
      </w:r>
      <w:r w:rsidRPr="002F2337">
        <w:rPr>
          <w:color w:val="000000"/>
        </w:rPr>
        <w:t>CPATH awards, and NSF aims to a</w:t>
      </w:r>
      <w:r w:rsidR="006B62E1" w:rsidRPr="002F2337">
        <w:rPr>
          <w:color w:val="000000"/>
        </w:rPr>
        <w:t>ttain</w:t>
      </w:r>
      <w:r w:rsidRPr="002F2337">
        <w:rPr>
          <w:color w:val="000000"/>
        </w:rPr>
        <w:t xml:space="preserve"> a</w:t>
      </w:r>
      <w:r w:rsidRPr="002F2337">
        <w:rPr>
          <w:color w:val="000000"/>
          <w:spacing w:val="-2"/>
        </w:rPr>
        <w:t xml:space="preserve"> 100</w:t>
      </w:r>
      <w:r w:rsidR="0034304D" w:rsidRPr="002F2337">
        <w:rPr>
          <w:color w:val="000000"/>
          <w:spacing w:val="-2"/>
        </w:rPr>
        <w:t>%</w:t>
      </w:r>
      <w:r w:rsidRPr="002F2337">
        <w:rPr>
          <w:color w:val="000000"/>
          <w:spacing w:val="-2"/>
        </w:rPr>
        <w:t xml:space="preserve"> response rate. This will be a</w:t>
      </w:r>
      <w:r w:rsidR="00993F38" w:rsidRPr="002F2337">
        <w:rPr>
          <w:color w:val="000000"/>
          <w:spacing w:val="-2"/>
        </w:rPr>
        <w:t>chieved by sending email reminders every week</w:t>
      </w:r>
      <w:r w:rsidRPr="002F2337">
        <w:rPr>
          <w:color w:val="000000"/>
          <w:spacing w:val="-2"/>
        </w:rPr>
        <w:t xml:space="preserve"> to award sites that have not logged into the system, and by notifying all award sites still entering data when the system closing date is one week away. Examples of the emails announcing the opening of the system and reminding awardees to log in and enter data are included in appendix </w:t>
      </w:r>
      <w:r w:rsidR="00584866">
        <w:rPr>
          <w:color w:val="000000"/>
          <w:spacing w:val="-2"/>
        </w:rPr>
        <w:t>D</w:t>
      </w:r>
      <w:r w:rsidRPr="002F2337">
        <w:rPr>
          <w:color w:val="000000"/>
          <w:spacing w:val="-2"/>
        </w:rPr>
        <w:t>.</w:t>
      </w:r>
      <w:r w:rsidRPr="00E22B2F">
        <w:rPr>
          <w:color w:val="000000"/>
          <w:spacing w:val="-2"/>
          <w:sz w:val="20"/>
          <w:szCs w:val="20"/>
        </w:rPr>
        <w:t xml:space="preserve"> </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B.4. Tests of Procedures or Methods</w:t>
      </w:r>
    </w:p>
    <w:p w:rsidR="00EE4400" w:rsidRPr="00E22B2F" w:rsidRDefault="00EE4400" w:rsidP="00844F0C">
      <w:pPr>
        <w:pStyle w:val="Heading3"/>
        <w:spacing w:before="120" w:beforeAutospacing="0" w:after="120" w:afterAutospacing="0"/>
        <w:rPr>
          <w:rFonts w:ascii="Times New Roman" w:hAnsi="Times New Roman"/>
          <w:b w:val="0"/>
          <w:color w:val="000000"/>
          <w:sz w:val="24"/>
          <w:szCs w:val="24"/>
        </w:rPr>
      </w:pPr>
      <w:r w:rsidRPr="00E22B2F">
        <w:rPr>
          <w:rFonts w:ascii="Times New Roman" w:hAnsi="Times New Roman"/>
          <w:b w:val="0"/>
          <w:color w:val="000000"/>
          <w:sz w:val="24"/>
          <w:szCs w:val="24"/>
        </w:rPr>
        <w:t xml:space="preserve">This </w:t>
      </w:r>
      <w:r w:rsidR="00B56EE6" w:rsidRPr="00E22B2F">
        <w:rPr>
          <w:rFonts w:ascii="Times New Roman" w:hAnsi="Times New Roman"/>
          <w:b w:val="0"/>
          <w:color w:val="000000"/>
          <w:sz w:val="24"/>
          <w:szCs w:val="24"/>
        </w:rPr>
        <w:t xml:space="preserve">distance data collection </w:t>
      </w:r>
      <w:r w:rsidRPr="00E22B2F">
        <w:rPr>
          <w:rFonts w:ascii="Times New Roman" w:hAnsi="Times New Roman"/>
          <w:b w:val="0"/>
          <w:color w:val="000000"/>
          <w:sz w:val="24"/>
          <w:szCs w:val="24"/>
        </w:rPr>
        <w:t>system is based on widely used open</w:t>
      </w:r>
      <w:r w:rsidR="0034304D" w:rsidRPr="00E22B2F">
        <w:rPr>
          <w:rFonts w:ascii="Times New Roman" w:hAnsi="Times New Roman"/>
          <w:b w:val="0"/>
          <w:color w:val="000000"/>
          <w:sz w:val="24"/>
          <w:szCs w:val="24"/>
        </w:rPr>
        <w:t>-</w:t>
      </w:r>
      <w:r w:rsidRPr="00E22B2F">
        <w:rPr>
          <w:rFonts w:ascii="Times New Roman" w:hAnsi="Times New Roman"/>
          <w:b w:val="0"/>
          <w:color w:val="000000"/>
          <w:sz w:val="24"/>
          <w:szCs w:val="24"/>
        </w:rPr>
        <w:t xml:space="preserve">source tools that have been tested extensively in a broad variety of environments. SRI’s modifications to these tools will be tested in-house and through a series of test submission exercises with </w:t>
      </w:r>
      <w:r w:rsidR="0034304D" w:rsidRPr="00E22B2F">
        <w:rPr>
          <w:rFonts w:ascii="Times New Roman" w:hAnsi="Times New Roman"/>
          <w:b w:val="0"/>
          <w:color w:val="000000"/>
          <w:sz w:val="24"/>
          <w:szCs w:val="24"/>
        </w:rPr>
        <w:t xml:space="preserve">the </w:t>
      </w:r>
      <w:r w:rsidRPr="00E22B2F">
        <w:rPr>
          <w:rFonts w:ascii="Times New Roman" w:hAnsi="Times New Roman"/>
          <w:b w:val="0"/>
          <w:color w:val="000000"/>
          <w:sz w:val="24"/>
          <w:szCs w:val="24"/>
        </w:rPr>
        <w:t xml:space="preserve">CPATH </w:t>
      </w:r>
      <w:r w:rsidR="0047204B" w:rsidRPr="00E22B2F">
        <w:rPr>
          <w:rFonts w:ascii="Times New Roman" w:hAnsi="Times New Roman"/>
          <w:b w:val="0"/>
          <w:color w:val="000000"/>
          <w:sz w:val="24"/>
          <w:szCs w:val="24"/>
        </w:rPr>
        <w:t>PIs</w:t>
      </w:r>
      <w:r w:rsidRPr="00E22B2F">
        <w:rPr>
          <w:rFonts w:ascii="Times New Roman" w:hAnsi="Times New Roman"/>
          <w:b w:val="0"/>
          <w:color w:val="000000"/>
          <w:sz w:val="24"/>
          <w:szCs w:val="24"/>
        </w:rPr>
        <w:t xml:space="preserve">. </w:t>
      </w:r>
    </w:p>
    <w:p w:rsidR="0029659B" w:rsidRPr="00844F0C" w:rsidRDefault="0029659B" w:rsidP="00844F0C">
      <w:pPr>
        <w:pStyle w:val="Heading3"/>
        <w:spacing w:before="120" w:beforeAutospacing="0" w:after="60" w:afterAutospacing="0"/>
        <w:rPr>
          <w:rFonts w:ascii="Century Gothic" w:hAnsi="Century Gothic"/>
          <w:color w:val="000000"/>
        </w:rPr>
      </w:pPr>
      <w:r w:rsidRPr="00844F0C">
        <w:rPr>
          <w:rFonts w:ascii="Century Gothic" w:hAnsi="Century Gothic"/>
          <w:color w:val="000000"/>
        </w:rPr>
        <w:t>B.5. Names and Telephone Numbers of Individuals Consulted</w:t>
      </w:r>
    </w:p>
    <w:p w:rsidR="0029659B" w:rsidRPr="00E22B2F" w:rsidRDefault="0029659B" w:rsidP="00844F0C">
      <w:pPr>
        <w:pStyle w:val="NormalWeb"/>
        <w:spacing w:before="120" w:beforeAutospacing="0" w:after="120" w:afterAutospacing="0"/>
        <w:rPr>
          <w:color w:val="000000"/>
        </w:rPr>
      </w:pPr>
      <w:r w:rsidRPr="00E22B2F">
        <w:rPr>
          <w:rStyle w:val="Strong"/>
          <w:color w:val="000000"/>
        </w:rPr>
        <w:t>Agency</w:t>
      </w:r>
    </w:p>
    <w:p w:rsidR="009330B6" w:rsidRPr="00E22B2F" w:rsidRDefault="00EE0684" w:rsidP="00844F0C">
      <w:pPr>
        <w:spacing w:before="120" w:after="120"/>
        <w:rPr>
          <w:rFonts w:ascii="Times New Roman" w:hAnsi="Times New Roman"/>
          <w:sz w:val="24"/>
          <w:szCs w:val="24"/>
        </w:rPr>
      </w:pPr>
      <w:r w:rsidRPr="00E22B2F">
        <w:rPr>
          <w:rFonts w:ascii="Times New Roman" w:hAnsi="Times New Roman"/>
          <w:sz w:val="24"/>
          <w:szCs w:val="24"/>
        </w:rPr>
        <w:t>Bernice T. Anderson</w:t>
      </w:r>
      <w:r w:rsidR="009330B6" w:rsidRPr="00E22B2F">
        <w:rPr>
          <w:rFonts w:ascii="Times New Roman" w:hAnsi="Times New Roman"/>
          <w:sz w:val="24"/>
          <w:szCs w:val="24"/>
        </w:rPr>
        <w:t>, National Science, Foundation, 703.292.5151</w:t>
      </w:r>
    </w:p>
    <w:p w:rsidR="009330B6" w:rsidRPr="00E22B2F" w:rsidRDefault="00EE0684" w:rsidP="00844F0C">
      <w:pPr>
        <w:spacing w:before="120" w:after="120"/>
        <w:rPr>
          <w:rFonts w:ascii="Times New Roman" w:hAnsi="Times New Roman"/>
          <w:sz w:val="24"/>
          <w:szCs w:val="24"/>
        </w:rPr>
      </w:pPr>
      <w:r w:rsidRPr="00E22B2F">
        <w:rPr>
          <w:rFonts w:ascii="Times New Roman" w:hAnsi="Times New Roman"/>
          <w:sz w:val="24"/>
          <w:szCs w:val="24"/>
        </w:rPr>
        <w:t>Paul W. Jennings</w:t>
      </w:r>
      <w:r w:rsidR="009330B6" w:rsidRPr="00E22B2F">
        <w:rPr>
          <w:rFonts w:ascii="Times New Roman" w:hAnsi="Times New Roman"/>
          <w:sz w:val="24"/>
          <w:szCs w:val="24"/>
        </w:rPr>
        <w:t>, National Science Foundation, 703.292.5307</w:t>
      </w:r>
    </w:p>
    <w:p w:rsidR="00EE0684" w:rsidRPr="00E22B2F" w:rsidRDefault="00EE0684" w:rsidP="00844F0C">
      <w:pPr>
        <w:spacing w:before="120" w:after="120"/>
        <w:rPr>
          <w:rFonts w:ascii="Times New Roman" w:hAnsi="Times New Roman"/>
          <w:sz w:val="24"/>
          <w:szCs w:val="24"/>
        </w:rPr>
      </w:pPr>
      <w:r w:rsidRPr="00E22B2F">
        <w:rPr>
          <w:rFonts w:ascii="Times New Roman" w:hAnsi="Times New Roman"/>
          <w:sz w:val="24"/>
          <w:szCs w:val="24"/>
        </w:rPr>
        <w:t>Harriet G. Taylor</w:t>
      </w:r>
      <w:r w:rsidR="009330B6" w:rsidRPr="00E22B2F">
        <w:rPr>
          <w:rFonts w:ascii="Times New Roman" w:hAnsi="Times New Roman"/>
          <w:sz w:val="24"/>
          <w:szCs w:val="24"/>
        </w:rPr>
        <w:t>, National Science Foundation, 703.292.8950</w:t>
      </w:r>
    </w:p>
    <w:p w:rsidR="0029659B" w:rsidRPr="00E22B2F" w:rsidRDefault="0029659B" w:rsidP="00844F0C">
      <w:pPr>
        <w:pStyle w:val="NormalWeb"/>
        <w:spacing w:before="120" w:beforeAutospacing="0" w:after="120" w:afterAutospacing="0"/>
        <w:rPr>
          <w:color w:val="000000"/>
        </w:rPr>
      </w:pPr>
      <w:r w:rsidRPr="00E22B2F">
        <w:rPr>
          <w:rStyle w:val="Strong"/>
          <w:color w:val="000000"/>
        </w:rPr>
        <w:t>Contractors</w:t>
      </w:r>
    </w:p>
    <w:p w:rsidR="00063396" w:rsidRPr="00E22B2F" w:rsidRDefault="00D973B8" w:rsidP="00844F0C">
      <w:pPr>
        <w:spacing w:before="120" w:after="120"/>
        <w:rPr>
          <w:rFonts w:ascii="Times New Roman" w:eastAsia="MS Mincho" w:hAnsi="Times New Roman"/>
          <w:color w:val="000000"/>
          <w:sz w:val="24"/>
          <w:szCs w:val="24"/>
        </w:rPr>
      </w:pPr>
      <w:r w:rsidRPr="00E22B2F">
        <w:rPr>
          <w:rFonts w:ascii="Times New Roman" w:eastAsia="MS Mincho" w:hAnsi="Times New Roman"/>
          <w:color w:val="000000"/>
          <w:sz w:val="24"/>
          <w:szCs w:val="24"/>
        </w:rPr>
        <w:t xml:space="preserve">SRI </w:t>
      </w:r>
      <w:r w:rsidR="0029659B" w:rsidRPr="00E22B2F">
        <w:rPr>
          <w:rFonts w:ascii="Times New Roman" w:eastAsia="MS Mincho" w:hAnsi="Times New Roman"/>
          <w:color w:val="000000"/>
          <w:sz w:val="24"/>
          <w:szCs w:val="24"/>
        </w:rPr>
        <w:t>International will be responsible for data collection and analysis</w:t>
      </w:r>
      <w:r w:rsidR="00142BA4" w:rsidRPr="00E22B2F">
        <w:rPr>
          <w:rFonts w:ascii="Times New Roman" w:eastAsia="MS Mincho" w:hAnsi="Times New Roman"/>
          <w:color w:val="000000"/>
          <w:sz w:val="24"/>
          <w:szCs w:val="24"/>
        </w:rPr>
        <w:t>,</w:t>
      </w:r>
      <w:r w:rsidR="0029659B" w:rsidRPr="00E22B2F">
        <w:rPr>
          <w:rFonts w:ascii="Times New Roman" w:eastAsia="MS Mincho" w:hAnsi="Times New Roman"/>
          <w:color w:val="000000"/>
          <w:sz w:val="24"/>
          <w:szCs w:val="24"/>
        </w:rPr>
        <w:t xml:space="preserve"> under the direction of </w:t>
      </w:r>
      <w:r w:rsidR="000B3FAB" w:rsidRPr="00E22B2F">
        <w:rPr>
          <w:rFonts w:ascii="Times New Roman" w:eastAsia="MS Mincho" w:hAnsi="Times New Roman"/>
          <w:color w:val="000000"/>
          <w:sz w:val="24"/>
          <w:szCs w:val="24"/>
        </w:rPr>
        <w:t>Nancy Adelman</w:t>
      </w:r>
      <w:r w:rsidR="0029659B" w:rsidRPr="00E22B2F">
        <w:rPr>
          <w:rFonts w:ascii="Times New Roman" w:eastAsia="MS Mincho" w:hAnsi="Times New Roman"/>
          <w:color w:val="000000"/>
          <w:sz w:val="24"/>
          <w:szCs w:val="24"/>
        </w:rPr>
        <w:t xml:space="preserve">, </w:t>
      </w:r>
      <w:r w:rsidRPr="00E22B2F">
        <w:rPr>
          <w:rFonts w:ascii="Times New Roman" w:eastAsia="MS Mincho" w:hAnsi="Times New Roman"/>
          <w:color w:val="000000"/>
          <w:sz w:val="24"/>
          <w:szCs w:val="24"/>
        </w:rPr>
        <w:t>703</w:t>
      </w:r>
      <w:r w:rsidR="000C2D1B">
        <w:rPr>
          <w:rFonts w:ascii="Times New Roman" w:eastAsia="MS Mincho" w:hAnsi="Times New Roman"/>
          <w:color w:val="000000"/>
          <w:sz w:val="24"/>
          <w:szCs w:val="24"/>
        </w:rPr>
        <w:t>.</w:t>
      </w:r>
      <w:r w:rsidRPr="00E22B2F">
        <w:rPr>
          <w:rFonts w:ascii="Times New Roman" w:eastAsia="MS Mincho" w:hAnsi="Times New Roman"/>
          <w:color w:val="000000"/>
          <w:sz w:val="24"/>
          <w:szCs w:val="24"/>
        </w:rPr>
        <w:t>247</w:t>
      </w:r>
      <w:r w:rsidR="000C2D1B">
        <w:rPr>
          <w:rFonts w:ascii="Times New Roman" w:eastAsia="MS Mincho" w:hAnsi="Times New Roman"/>
          <w:color w:val="000000"/>
          <w:sz w:val="24"/>
          <w:szCs w:val="24"/>
        </w:rPr>
        <w:t>.8434</w:t>
      </w:r>
      <w:r w:rsidR="0029659B" w:rsidRPr="00E22B2F">
        <w:rPr>
          <w:rFonts w:ascii="Times New Roman" w:eastAsia="MS Mincho" w:hAnsi="Times New Roman"/>
          <w:color w:val="000000"/>
          <w:sz w:val="24"/>
          <w:szCs w:val="24"/>
        </w:rPr>
        <w:t xml:space="preserve">. </w:t>
      </w:r>
    </w:p>
    <w:p w:rsidR="00DD0C8C" w:rsidRPr="00E22B2F" w:rsidRDefault="00DD0C8C" w:rsidP="00844F0C">
      <w:pPr>
        <w:pStyle w:val="Heading20"/>
        <w:rPr>
          <w:rFonts w:eastAsia="MS Mincho"/>
          <w:smallCaps w:val="0"/>
          <w:color w:val="000000"/>
        </w:rPr>
      </w:pPr>
    </w:p>
    <w:sectPr w:rsidR="00DD0C8C" w:rsidRPr="00E22B2F" w:rsidSect="00F2625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25A" w:rsidRDefault="00F2625A">
      <w:r>
        <w:separator/>
      </w:r>
    </w:p>
  </w:endnote>
  <w:endnote w:type="continuationSeparator" w:id="0">
    <w:p w:rsidR="00F2625A" w:rsidRDefault="00F26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25A" w:rsidRDefault="008D4729" w:rsidP="0034304D">
    <w:pPr>
      <w:pStyle w:val="Footer"/>
      <w:framePr w:wrap="around" w:vAnchor="text" w:hAnchor="margin" w:xAlign="center" w:y="1"/>
      <w:rPr>
        <w:rStyle w:val="PageNumber"/>
      </w:rPr>
    </w:pPr>
    <w:r>
      <w:rPr>
        <w:rStyle w:val="PageNumber"/>
      </w:rPr>
      <w:fldChar w:fldCharType="begin"/>
    </w:r>
    <w:r w:rsidR="00F2625A">
      <w:rPr>
        <w:rStyle w:val="PageNumber"/>
      </w:rPr>
      <w:instrText xml:space="preserve">PAGE  </w:instrText>
    </w:r>
    <w:r>
      <w:rPr>
        <w:rStyle w:val="PageNumber"/>
      </w:rPr>
      <w:fldChar w:fldCharType="end"/>
    </w:r>
  </w:p>
  <w:p w:rsidR="00F2625A" w:rsidRDefault="00F26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25A" w:rsidRDefault="00844F0C" w:rsidP="00844F0C">
    <w:pPr>
      <w:pStyle w:val="Footer"/>
      <w:tabs>
        <w:tab w:val="clear" w:pos="4320"/>
        <w:tab w:val="clear" w:pos="8640"/>
        <w:tab w:val="right" w:pos="9360"/>
      </w:tabs>
    </w:pPr>
    <w:r>
      <w:t>CPATH OMB Package: Statement B</w:t>
    </w:r>
    <w:r>
      <w:tab/>
    </w:r>
    <w:r w:rsidR="008D4729" w:rsidRPr="00844F0C">
      <w:rPr>
        <w:rFonts w:ascii="Century Gothic" w:hAnsi="Century Gothic"/>
      </w:rPr>
      <w:fldChar w:fldCharType="begin"/>
    </w:r>
    <w:r w:rsidRPr="00844F0C">
      <w:rPr>
        <w:rFonts w:ascii="Century Gothic" w:hAnsi="Century Gothic"/>
      </w:rPr>
      <w:instrText xml:space="preserve"> PAGE   \* MERGEFORMAT </w:instrText>
    </w:r>
    <w:r w:rsidR="008D4729" w:rsidRPr="00844F0C">
      <w:rPr>
        <w:rFonts w:ascii="Century Gothic" w:hAnsi="Century Gothic"/>
      </w:rPr>
      <w:fldChar w:fldCharType="separate"/>
    </w:r>
    <w:r w:rsidR="00584866">
      <w:rPr>
        <w:rFonts w:ascii="Century Gothic" w:hAnsi="Century Gothic"/>
        <w:noProof/>
      </w:rPr>
      <w:t>1</w:t>
    </w:r>
    <w:r w:rsidR="008D4729" w:rsidRPr="00844F0C">
      <w:rPr>
        <w:rFonts w:ascii="Century Gothic" w:hAnsi="Century Gothi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25A" w:rsidRDefault="00F2625A">
      <w:r>
        <w:separator/>
      </w:r>
    </w:p>
  </w:footnote>
  <w:footnote w:type="continuationSeparator" w:id="0">
    <w:p w:rsidR="00F2625A" w:rsidRDefault="00F26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0325"/>
    <w:multiLevelType w:val="hybridMultilevel"/>
    <w:tmpl w:val="ABF084AA"/>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F2E30"/>
    <w:multiLevelType w:val="hybridMultilevel"/>
    <w:tmpl w:val="95E04F6C"/>
    <w:lvl w:ilvl="0" w:tplc="FC480F18">
      <w:start w:val="1"/>
      <w:numFmt w:val="bullet"/>
      <w:pStyle w:val="Bullet"/>
      <w:lvlText w:val=""/>
      <w:lvlJc w:val="left"/>
      <w:pPr>
        <w:tabs>
          <w:tab w:val="num" w:pos="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D437C"/>
    <w:multiLevelType w:val="hybridMultilevel"/>
    <w:tmpl w:val="3CF88908"/>
    <w:lvl w:ilvl="0" w:tplc="F57658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E192F"/>
    <w:multiLevelType w:val="hybridMultilevel"/>
    <w:tmpl w:val="975E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64587"/>
    <w:multiLevelType w:val="hybridMultilevel"/>
    <w:tmpl w:val="0C768144"/>
    <w:lvl w:ilvl="0" w:tplc="F576581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2572F"/>
    <w:multiLevelType w:val="hybridMultilevel"/>
    <w:tmpl w:val="E120491A"/>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1176F"/>
    <w:multiLevelType w:val="hybridMultilevel"/>
    <w:tmpl w:val="039A91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670DFE"/>
    <w:multiLevelType w:val="multilevel"/>
    <w:tmpl w:val="6D2A4A3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EB430A"/>
    <w:multiLevelType w:val="multilevel"/>
    <w:tmpl w:val="20E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54629C"/>
    <w:multiLevelType w:val="hybridMultilevel"/>
    <w:tmpl w:val="85E08C40"/>
    <w:lvl w:ilvl="0" w:tplc="0452107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144DDD"/>
    <w:multiLevelType w:val="hybridMultilevel"/>
    <w:tmpl w:val="CF22C622"/>
    <w:lvl w:ilvl="0" w:tplc="F57658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463FB4"/>
    <w:multiLevelType w:val="multilevel"/>
    <w:tmpl w:val="039A9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
  </w:num>
  <w:num w:numId="5">
    <w:abstractNumId w:val="10"/>
  </w:num>
  <w:num w:numId="6">
    <w:abstractNumId w:val="6"/>
  </w:num>
  <w:num w:numId="7">
    <w:abstractNumId w:val="7"/>
  </w:num>
  <w:num w:numId="8">
    <w:abstractNumId w:val="9"/>
  </w:num>
  <w:num w:numId="9">
    <w:abstractNumId w:val="11"/>
  </w:num>
  <w:num w:numId="10">
    <w:abstractNumId w:val="5"/>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154A7A"/>
    <w:rsid w:val="000407FA"/>
    <w:rsid w:val="0004360E"/>
    <w:rsid w:val="00044DFF"/>
    <w:rsid w:val="0005175D"/>
    <w:rsid w:val="00061E71"/>
    <w:rsid w:val="00063396"/>
    <w:rsid w:val="00065134"/>
    <w:rsid w:val="0008467E"/>
    <w:rsid w:val="0009130C"/>
    <w:rsid w:val="00092BD2"/>
    <w:rsid w:val="000A5B79"/>
    <w:rsid w:val="000B3FAB"/>
    <w:rsid w:val="000B79B7"/>
    <w:rsid w:val="000C2D1B"/>
    <w:rsid w:val="000E6105"/>
    <w:rsid w:val="000F1447"/>
    <w:rsid w:val="000F19B0"/>
    <w:rsid w:val="00106587"/>
    <w:rsid w:val="00113500"/>
    <w:rsid w:val="00115815"/>
    <w:rsid w:val="00120BB4"/>
    <w:rsid w:val="0013519B"/>
    <w:rsid w:val="00142179"/>
    <w:rsid w:val="00142BA4"/>
    <w:rsid w:val="00154A7A"/>
    <w:rsid w:val="001618B1"/>
    <w:rsid w:val="0018240B"/>
    <w:rsid w:val="0019558C"/>
    <w:rsid w:val="001B1205"/>
    <w:rsid w:val="001B2613"/>
    <w:rsid w:val="001C0A6E"/>
    <w:rsid w:val="001C198D"/>
    <w:rsid w:val="001C19BD"/>
    <w:rsid w:val="001F1D04"/>
    <w:rsid w:val="001F61CC"/>
    <w:rsid w:val="00203E56"/>
    <w:rsid w:val="00250508"/>
    <w:rsid w:val="00260A23"/>
    <w:rsid w:val="00292E8D"/>
    <w:rsid w:val="0029659B"/>
    <w:rsid w:val="002965CC"/>
    <w:rsid w:val="002A4C9D"/>
    <w:rsid w:val="002C79B0"/>
    <w:rsid w:val="002D79CB"/>
    <w:rsid w:val="002F2337"/>
    <w:rsid w:val="002F53C5"/>
    <w:rsid w:val="00305CA2"/>
    <w:rsid w:val="00314BA8"/>
    <w:rsid w:val="0031720B"/>
    <w:rsid w:val="0034304D"/>
    <w:rsid w:val="0039490F"/>
    <w:rsid w:val="00394936"/>
    <w:rsid w:val="0039697F"/>
    <w:rsid w:val="003A2B14"/>
    <w:rsid w:val="003B01FE"/>
    <w:rsid w:val="003B13E6"/>
    <w:rsid w:val="003B16A6"/>
    <w:rsid w:val="003B4F02"/>
    <w:rsid w:val="003D68DC"/>
    <w:rsid w:val="003E33B8"/>
    <w:rsid w:val="003E5F79"/>
    <w:rsid w:val="003F54EA"/>
    <w:rsid w:val="004131C8"/>
    <w:rsid w:val="00415D6B"/>
    <w:rsid w:val="00430900"/>
    <w:rsid w:val="0043292E"/>
    <w:rsid w:val="0044047A"/>
    <w:rsid w:val="0044633D"/>
    <w:rsid w:val="0047204B"/>
    <w:rsid w:val="004748F9"/>
    <w:rsid w:val="004A1C39"/>
    <w:rsid w:val="004E17FC"/>
    <w:rsid w:val="004F0E10"/>
    <w:rsid w:val="00503248"/>
    <w:rsid w:val="0051200F"/>
    <w:rsid w:val="00515AD3"/>
    <w:rsid w:val="00543CB0"/>
    <w:rsid w:val="0054464A"/>
    <w:rsid w:val="005618B2"/>
    <w:rsid w:val="00575882"/>
    <w:rsid w:val="00584866"/>
    <w:rsid w:val="005D7819"/>
    <w:rsid w:val="005F0215"/>
    <w:rsid w:val="005F5617"/>
    <w:rsid w:val="005F57DE"/>
    <w:rsid w:val="00602AE1"/>
    <w:rsid w:val="0060378A"/>
    <w:rsid w:val="00632E27"/>
    <w:rsid w:val="00640370"/>
    <w:rsid w:val="00660767"/>
    <w:rsid w:val="00661E5A"/>
    <w:rsid w:val="006905D9"/>
    <w:rsid w:val="006A02E9"/>
    <w:rsid w:val="006B62E1"/>
    <w:rsid w:val="006C14A2"/>
    <w:rsid w:val="006C169F"/>
    <w:rsid w:val="006C5F6D"/>
    <w:rsid w:val="006C698C"/>
    <w:rsid w:val="006E0032"/>
    <w:rsid w:val="006E3316"/>
    <w:rsid w:val="006F491F"/>
    <w:rsid w:val="00702BA6"/>
    <w:rsid w:val="00705C07"/>
    <w:rsid w:val="007100D7"/>
    <w:rsid w:val="00710EF8"/>
    <w:rsid w:val="007147FF"/>
    <w:rsid w:val="00724F88"/>
    <w:rsid w:val="00735C0B"/>
    <w:rsid w:val="00776055"/>
    <w:rsid w:val="007C3B75"/>
    <w:rsid w:val="007C45F1"/>
    <w:rsid w:val="007D24E1"/>
    <w:rsid w:val="007F7F27"/>
    <w:rsid w:val="0081177A"/>
    <w:rsid w:val="00820CBE"/>
    <w:rsid w:val="00824039"/>
    <w:rsid w:val="00844F0C"/>
    <w:rsid w:val="0085326F"/>
    <w:rsid w:val="0087520B"/>
    <w:rsid w:val="00877E8D"/>
    <w:rsid w:val="008D4729"/>
    <w:rsid w:val="008D5097"/>
    <w:rsid w:val="008E36F9"/>
    <w:rsid w:val="008E73FF"/>
    <w:rsid w:val="008F1F13"/>
    <w:rsid w:val="0090242E"/>
    <w:rsid w:val="009246C4"/>
    <w:rsid w:val="009330B6"/>
    <w:rsid w:val="0094477D"/>
    <w:rsid w:val="00950FAA"/>
    <w:rsid w:val="0095523A"/>
    <w:rsid w:val="0096731A"/>
    <w:rsid w:val="00974590"/>
    <w:rsid w:val="009927EC"/>
    <w:rsid w:val="00993F38"/>
    <w:rsid w:val="009A4175"/>
    <w:rsid w:val="009D5789"/>
    <w:rsid w:val="009D6367"/>
    <w:rsid w:val="00A05BD2"/>
    <w:rsid w:val="00A27CB6"/>
    <w:rsid w:val="00A56875"/>
    <w:rsid w:val="00A873C7"/>
    <w:rsid w:val="00A92B29"/>
    <w:rsid w:val="00A95EA3"/>
    <w:rsid w:val="00AA7839"/>
    <w:rsid w:val="00AB54BD"/>
    <w:rsid w:val="00AC08A7"/>
    <w:rsid w:val="00AC41C8"/>
    <w:rsid w:val="00AC79F4"/>
    <w:rsid w:val="00AD4932"/>
    <w:rsid w:val="00AD59AF"/>
    <w:rsid w:val="00AE479F"/>
    <w:rsid w:val="00B01D0E"/>
    <w:rsid w:val="00B2684E"/>
    <w:rsid w:val="00B46115"/>
    <w:rsid w:val="00B56EE6"/>
    <w:rsid w:val="00B65A28"/>
    <w:rsid w:val="00B703B7"/>
    <w:rsid w:val="00B723B3"/>
    <w:rsid w:val="00B82839"/>
    <w:rsid w:val="00B8338B"/>
    <w:rsid w:val="00B87D33"/>
    <w:rsid w:val="00B96681"/>
    <w:rsid w:val="00BA0EA3"/>
    <w:rsid w:val="00BA3717"/>
    <w:rsid w:val="00BC6634"/>
    <w:rsid w:val="00BE0D4B"/>
    <w:rsid w:val="00BF7BDD"/>
    <w:rsid w:val="00C30D74"/>
    <w:rsid w:val="00C40A11"/>
    <w:rsid w:val="00C64699"/>
    <w:rsid w:val="00C66884"/>
    <w:rsid w:val="00C91C58"/>
    <w:rsid w:val="00C95AAF"/>
    <w:rsid w:val="00CA4BB4"/>
    <w:rsid w:val="00CB188F"/>
    <w:rsid w:val="00CB41C0"/>
    <w:rsid w:val="00CC2939"/>
    <w:rsid w:val="00CD454B"/>
    <w:rsid w:val="00CF25D6"/>
    <w:rsid w:val="00CF4C22"/>
    <w:rsid w:val="00CF6782"/>
    <w:rsid w:val="00D0450A"/>
    <w:rsid w:val="00D06C2D"/>
    <w:rsid w:val="00D15B8C"/>
    <w:rsid w:val="00D502E9"/>
    <w:rsid w:val="00D50CC5"/>
    <w:rsid w:val="00D60837"/>
    <w:rsid w:val="00D655AB"/>
    <w:rsid w:val="00D70CB2"/>
    <w:rsid w:val="00D748AA"/>
    <w:rsid w:val="00D973B8"/>
    <w:rsid w:val="00DA20D9"/>
    <w:rsid w:val="00DB0170"/>
    <w:rsid w:val="00DD0C8C"/>
    <w:rsid w:val="00DD5699"/>
    <w:rsid w:val="00DE1804"/>
    <w:rsid w:val="00DE5845"/>
    <w:rsid w:val="00E13015"/>
    <w:rsid w:val="00E1351A"/>
    <w:rsid w:val="00E1754F"/>
    <w:rsid w:val="00E22B2F"/>
    <w:rsid w:val="00E41EFC"/>
    <w:rsid w:val="00E70BEA"/>
    <w:rsid w:val="00EA07B6"/>
    <w:rsid w:val="00EA218E"/>
    <w:rsid w:val="00EA7CFA"/>
    <w:rsid w:val="00ED0BB4"/>
    <w:rsid w:val="00EE0684"/>
    <w:rsid w:val="00EE4400"/>
    <w:rsid w:val="00EE7AC5"/>
    <w:rsid w:val="00EF5ABA"/>
    <w:rsid w:val="00F11BFC"/>
    <w:rsid w:val="00F153F0"/>
    <w:rsid w:val="00F24CC2"/>
    <w:rsid w:val="00F2625A"/>
    <w:rsid w:val="00F3246A"/>
    <w:rsid w:val="00F340F8"/>
    <w:rsid w:val="00F51E6F"/>
    <w:rsid w:val="00F52F84"/>
    <w:rsid w:val="00F622ED"/>
    <w:rsid w:val="00F74010"/>
    <w:rsid w:val="00F813F5"/>
    <w:rsid w:val="00FA3849"/>
    <w:rsid w:val="00FC1B89"/>
    <w:rsid w:val="00FC39CD"/>
    <w:rsid w:val="00FE5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9BD"/>
    <w:rPr>
      <w:rFonts w:ascii="Verdana" w:eastAsia="Verdana" w:hAnsi="Verdana"/>
      <w:lang w:eastAsia="ja-JP"/>
    </w:rPr>
  </w:style>
  <w:style w:type="paragraph" w:styleId="Heading1">
    <w:name w:val="heading 1"/>
    <w:basedOn w:val="Normal"/>
    <w:qFormat/>
    <w:rsid w:val="001C19BD"/>
    <w:pPr>
      <w:spacing w:before="100" w:beforeAutospacing="1" w:after="100" w:afterAutospacing="1"/>
      <w:jc w:val="center"/>
      <w:outlineLvl w:val="0"/>
    </w:pPr>
    <w:rPr>
      <w:b/>
      <w:bCs/>
      <w:kern w:val="36"/>
      <w:sz w:val="28"/>
      <w:szCs w:val="28"/>
    </w:rPr>
  </w:style>
  <w:style w:type="paragraph" w:styleId="Heading2">
    <w:name w:val="heading 2"/>
    <w:basedOn w:val="Normal"/>
    <w:qFormat/>
    <w:rsid w:val="001C19BD"/>
    <w:pPr>
      <w:spacing w:before="100" w:beforeAutospacing="1" w:after="100" w:afterAutospacing="1"/>
      <w:outlineLvl w:val="1"/>
    </w:pPr>
    <w:rPr>
      <w:b/>
      <w:bCs/>
      <w:sz w:val="24"/>
      <w:szCs w:val="24"/>
    </w:rPr>
  </w:style>
  <w:style w:type="paragraph" w:styleId="Heading3">
    <w:name w:val="heading 3"/>
    <w:basedOn w:val="Normal"/>
    <w:qFormat/>
    <w:rsid w:val="001C19BD"/>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19BD"/>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1C19BD"/>
    <w:rPr>
      <w:b/>
      <w:bCs/>
    </w:rPr>
  </w:style>
  <w:style w:type="character" w:styleId="Hyperlink">
    <w:name w:val="Hyperlink"/>
    <w:basedOn w:val="DefaultParagraphFont"/>
    <w:rsid w:val="001C19BD"/>
    <w:rPr>
      <w:color w:val="0000FF"/>
      <w:u w:val="single"/>
    </w:rPr>
  </w:style>
  <w:style w:type="character" w:styleId="FollowedHyperlink">
    <w:name w:val="FollowedHyperlink"/>
    <w:basedOn w:val="DefaultParagraphFont"/>
    <w:rsid w:val="001C19BD"/>
    <w:rPr>
      <w:color w:val="0000FF"/>
      <w:u w:val="single"/>
    </w:rPr>
  </w:style>
  <w:style w:type="character" w:styleId="Emphasis">
    <w:name w:val="Emphasis"/>
    <w:basedOn w:val="DefaultParagraphFont"/>
    <w:qFormat/>
    <w:rsid w:val="001C19BD"/>
    <w:rPr>
      <w:i/>
      <w:iCs/>
    </w:rPr>
  </w:style>
  <w:style w:type="paragraph" w:styleId="BalloonText">
    <w:name w:val="Balloon Text"/>
    <w:basedOn w:val="Normal"/>
    <w:semiHidden/>
    <w:rsid w:val="00154A7A"/>
    <w:rPr>
      <w:rFonts w:ascii="Tahoma" w:hAnsi="Tahoma" w:cs="Tahoma"/>
      <w:sz w:val="16"/>
      <w:szCs w:val="16"/>
    </w:rPr>
  </w:style>
  <w:style w:type="character" w:styleId="CommentReference">
    <w:name w:val="annotation reference"/>
    <w:basedOn w:val="DefaultParagraphFont"/>
    <w:semiHidden/>
    <w:rsid w:val="00CF4C22"/>
    <w:rPr>
      <w:sz w:val="16"/>
      <w:szCs w:val="16"/>
    </w:rPr>
  </w:style>
  <w:style w:type="paragraph" w:styleId="CommentText">
    <w:name w:val="annotation text"/>
    <w:basedOn w:val="Normal"/>
    <w:semiHidden/>
    <w:rsid w:val="00CF4C22"/>
  </w:style>
  <w:style w:type="paragraph" w:styleId="CommentSubject">
    <w:name w:val="annotation subject"/>
    <w:basedOn w:val="CommentText"/>
    <w:next w:val="CommentText"/>
    <w:semiHidden/>
    <w:rsid w:val="00CF4C22"/>
    <w:rPr>
      <w:b/>
      <w:bCs/>
    </w:rPr>
  </w:style>
  <w:style w:type="paragraph" w:customStyle="1" w:styleId="Bullet">
    <w:name w:val="Bullet"/>
    <w:basedOn w:val="Normal"/>
    <w:rsid w:val="00063396"/>
    <w:pPr>
      <w:numPr>
        <w:numId w:val="4"/>
      </w:numPr>
    </w:pPr>
    <w:rPr>
      <w:rFonts w:ascii="Garamond" w:eastAsia="MS Mincho" w:hAnsi="Garamond"/>
      <w:sz w:val="24"/>
      <w:szCs w:val="24"/>
    </w:rPr>
  </w:style>
  <w:style w:type="paragraph" w:customStyle="1" w:styleId="Heading20">
    <w:name w:val="Heading #2"/>
    <w:basedOn w:val="Normal"/>
    <w:rsid w:val="00063396"/>
    <w:pPr>
      <w:outlineLvl w:val="1"/>
    </w:pPr>
    <w:rPr>
      <w:rFonts w:ascii="Times New Roman" w:eastAsia="Times New Roman" w:hAnsi="Times New Roman"/>
      <w:b/>
      <w:smallCaps/>
      <w:sz w:val="24"/>
      <w:szCs w:val="24"/>
      <w:lang w:eastAsia="en-US"/>
    </w:rPr>
  </w:style>
  <w:style w:type="paragraph" w:styleId="Footer">
    <w:name w:val="footer"/>
    <w:basedOn w:val="Normal"/>
    <w:rsid w:val="00F52F84"/>
    <w:pPr>
      <w:tabs>
        <w:tab w:val="center" w:pos="4320"/>
        <w:tab w:val="right" w:pos="8640"/>
      </w:tabs>
    </w:pPr>
  </w:style>
  <w:style w:type="character" w:styleId="PageNumber">
    <w:name w:val="page number"/>
    <w:basedOn w:val="DefaultParagraphFont"/>
    <w:rsid w:val="00F52F84"/>
  </w:style>
  <w:style w:type="paragraph" w:styleId="Header">
    <w:name w:val="header"/>
    <w:basedOn w:val="Normal"/>
    <w:rsid w:val="00CF25D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99028606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lthurgood</dc:creator>
  <cp:lastModifiedBy>Kyle Goss</cp:lastModifiedBy>
  <cp:revision>2</cp:revision>
  <cp:lastPrinted>2010-11-09T15:05:00Z</cp:lastPrinted>
  <dcterms:created xsi:type="dcterms:W3CDTF">2010-12-20T21:53:00Z</dcterms:created>
  <dcterms:modified xsi:type="dcterms:W3CDTF">2010-12-20T21:53:00Z</dcterms:modified>
</cp:coreProperties>
</file>