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24" w:rsidRDefault="00004924" w:rsidP="00004924">
      <w:pPr>
        <w:widowControl/>
        <w:jc w:val="center"/>
        <w:rPr>
          <w:b/>
          <w:bCs/>
        </w:rPr>
      </w:pPr>
      <w:r w:rsidRPr="004552BB">
        <w:rPr>
          <w:b/>
          <w:bCs/>
        </w:rPr>
        <w:t>Multifamily Rental Project Closing Documents</w:t>
      </w:r>
    </w:p>
    <w:p w:rsidR="00C96930" w:rsidRDefault="00004924" w:rsidP="00004924">
      <w:pPr>
        <w:widowControl/>
        <w:jc w:val="center"/>
        <w:rPr>
          <w:b/>
          <w:bCs/>
        </w:rPr>
      </w:pPr>
      <w:r>
        <w:rPr>
          <w:b/>
          <w:bCs/>
        </w:rPr>
        <w:t xml:space="preserve">HUD Responses to </w:t>
      </w:r>
      <w:r w:rsidR="00E42121">
        <w:rPr>
          <w:b/>
          <w:bCs/>
        </w:rPr>
        <w:t xml:space="preserve">Some </w:t>
      </w:r>
      <w:r w:rsidR="00C96930">
        <w:rPr>
          <w:b/>
          <w:bCs/>
        </w:rPr>
        <w:t>of the More Significant</w:t>
      </w:r>
      <w:r w:rsidR="00E42121">
        <w:rPr>
          <w:b/>
          <w:bCs/>
        </w:rPr>
        <w:t xml:space="preserve"> </w:t>
      </w:r>
      <w:r>
        <w:rPr>
          <w:b/>
          <w:bCs/>
        </w:rPr>
        <w:t xml:space="preserve">Comments </w:t>
      </w:r>
      <w:r w:rsidR="00EE3539">
        <w:rPr>
          <w:b/>
          <w:bCs/>
        </w:rPr>
        <w:t xml:space="preserve">and </w:t>
      </w:r>
    </w:p>
    <w:p w:rsidR="00004924" w:rsidRPr="004552BB" w:rsidRDefault="00EE3539" w:rsidP="00004924">
      <w:pPr>
        <w:widowControl/>
        <w:jc w:val="center"/>
        <w:rPr>
          <w:b/>
          <w:bCs/>
        </w:rPr>
      </w:pPr>
      <w:r>
        <w:rPr>
          <w:b/>
          <w:bCs/>
        </w:rPr>
        <w:t xml:space="preserve">Technical Issues </w:t>
      </w:r>
      <w:r w:rsidR="00C96930">
        <w:rPr>
          <w:b/>
          <w:bCs/>
        </w:rPr>
        <w:t>Raised in Connection with the</w:t>
      </w:r>
      <w:r w:rsidR="00004924">
        <w:rPr>
          <w:b/>
          <w:bCs/>
        </w:rPr>
        <w:t xml:space="preserve"> 30-Day </w:t>
      </w:r>
      <w:r w:rsidR="00E42121">
        <w:rPr>
          <w:b/>
          <w:bCs/>
        </w:rPr>
        <w:t xml:space="preserve">PRA </w:t>
      </w:r>
      <w:r w:rsidR="00004924">
        <w:rPr>
          <w:b/>
          <w:bCs/>
        </w:rPr>
        <w:t>Notice</w:t>
      </w:r>
    </w:p>
    <w:p w:rsidR="00383572" w:rsidRDefault="00383572" w:rsidP="007B0668">
      <w:pPr>
        <w:widowControl/>
        <w:spacing w:line="480" w:lineRule="auto"/>
        <w:rPr>
          <w:bCs/>
          <w:u w:val="single"/>
        </w:rPr>
      </w:pPr>
    </w:p>
    <w:p w:rsidR="00E123A6" w:rsidRPr="00604CD9" w:rsidRDefault="007B0668" w:rsidP="00E123A6">
      <w:pPr>
        <w:widowControl/>
        <w:rPr>
          <w:b/>
          <w:bCs/>
          <w:u w:val="single"/>
        </w:rPr>
      </w:pPr>
      <w:r w:rsidRPr="00604CD9">
        <w:rPr>
          <w:b/>
          <w:bCs/>
          <w:u w:val="single"/>
        </w:rPr>
        <w:t>Program Obligations</w:t>
      </w:r>
      <w:r w:rsidR="00E123A6" w:rsidRPr="00604CD9">
        <w:rPr>
          <w:b/>
          <w:bCs/>
          <w:u w:val="single"/>
        </w:rPr>
        <w:t xml:space="preserve">  </w:t>
      </w:r>
    </w:p>
    <w:p w:rsidR="00E123A6" w:rsidRDefault="00E123A6" w:rsidP="00E123A6">
      <w:pPr>
        <w:widowControl/>
        <w:rPr>
          <w:bCs/>
          <w:u w:val="single"/>
        </w:rPr>
      </w:pPr>
    </w:p>
    <w:p w:rsidR="007B0668" w:rsidRPr="001A6070" w:rsidRDefault="00E123A6" w:rsidP="001A6070">
      <w:pPr>
        <w:pStyle w:val="ListParagraph"/>
        <w:widowControl/>
        <w:ind w:left="0"/>
        <w:rPr>
          <w:bCs/>
        </w:rPr>
      </w:pPr>
      <w:r w:rsidRPr="001A6070">
        <w:rPr>
          <w:bCs/>
        </w:rPr>
        <w:t xml:space="preserve">A </w:t>
      </w:r>
      <w:r w:rsidR="00E84FD1" w:rsidRPr="001A6070">
        <w:rPr>
          <w:bCs/>
        </w:rPr>
        <w:t>d</w:t>
      </w:r>
      <w:r w:rsidRPr="001A6070">
        <w:rPr>
          <w:bCs/>
        </w:rPr>
        <w:t xml:space="preserve">efinition of </w:t>
      </w:r>
      <w:r w:rsidR="00C96930">
        <w:rPr>
          <w:bCs/>
        </w:rPr>
        <w:t>“P</w:t>
      </w:r>
      <w:r w:rsidRPr="001A6070">
        <w:rPr>
          <w:bCs/>
        </w:rPr>
        <w:t xml:space="preserve">rogram </w:t>
      </w:r>
      <w:r w:rsidR="00C96930">
        <w:rPr>
          <w:bCs/>
        </w:rPr>
        <w:t>O</w:t>
      </w:r>
      <w:r w:rsidRPr="001A6070">
        <w:rPr>
          <w:bCs/>
        </w:rPr>
        <w:t>bligations</w:t>
      </w:r>
      <w:r w:rsidR="00C96930">
        <w:rPr>
          <w:bCs/>
        </w:rPr>
        <w:t>”</w:t>
      </w:r>
      <w:r w:rsidRPr="001A6070">
        <w:rPr>
          <w:bCs/>
        </w:rPr>
        <w:t xml:space="preserve"> is included in several of the </w:t>
      </w:r>
      <w:r w:rsidR="00D7135F" w:rsidRPr="001A6070">
        <w:rPr>
          <w:bCs/>
        </w:rPr>
        <w:t xml:space="preserve">closing </w:t>
      </w:r>
      <w:r w:rsidRPr="001A6070">
        <w:rPr>
          <w:bCs/>
        </w:rPr>
        <w:t>documents,</w:t>
      </w:r>
      <w:r w:rsidR="00E84FD1" w:rsidRPr="001A6070">
        <w:rPr>
          <w:bCs/>
        </w:rPr>
        <w:t xml:space="preserve"> </w:t>
      </w:r>
      <w:r w:rsidR="00F74DEB" w:rsidRPr="001A6070">
        <w:rPr>
          <w:bCs/>
        </w:rPr>
        <w:t>e.g.</w:t>
      </w:r>
      <w:r w:rsidRPr="001A6070">
        <w:rPr>
          <w:bCs/>
        </w:rPr>
        <w:t xml:space="preserve"> </w:t>
      </w:r>
      <w:r w:rsidR="000456E5">
        <w:rPr>
          <w:bCs/>
        </w:rPr>
        <w:t>t</w:t>
      </w:r>
      <w:r w:rsidRPr="001A6070">
        <w:rPr>
          <w:bCs/>
        </w:rPr>
        <w:t>he Security Instrument</w:t>
      </w:r>
      <w:r w:rsidR="00E84FD1" w:rsidRPr="001A6070">
        <w:rPr>
          <w:bCs/>
        </w:rPr>
        <w:t xml:space="preserve">, </w:t>
      </w:r>
      <w:r w:rsidR="001A6070">
        <w:rPr>
          <w:bCs/>
        </w:rPr>
        <w:t>(</w:t>
      </w:r>
      <w:r w:rsidRPr="001A6070">
        <w:rPr>
          <w:bCs/>
        </w:rPr>
        <w:t>the Mortgage</w:t>
      </w:r>
      <w:r w:rsidR="001A6070">
        <w:rPr>
          <w:bCs/>
        </w:rPr>
        <w:t>)</w:t>
      </w:r>
      <w:r w:rsidRPr="001A6070">
        <w:rPr>
          <w:bCs/>
        </w:rPr>
        <w:t>, and the Regulatory Agreement</w:t>
      </w:r>
      <w:r w:rsidR="000456E5">
        <w:rPr>
          <w:bCs/>
        </w:rPr>
        <w:t>.  The Regulatory Agreement</w:t>
      </w:r>
      <w:r w:rsidRPr="001A6070">
        <w:rPr>
          <w:bCs/>
        </w:rPr>
        <w:t xml:space="preserve"> sets forth the </w:t>
      </w:r>
      <w:r w:rsidR="00E57962" w:rsidRPr="001A6070">
        <w:rPr>
          <w:bCs/>
        </w:rPr>
        <w:t>requirements</w:t>
      </w:r>
      <w:r w:rsidRPr="001A6070">
        <w:rPr>
          <w:bCs/>
        </w:rPr>
        <w:t xml:space="preserve"> that an owner must meet over the term of the HUD loan. </w:t>
      </w:r>
      <w:r w:rsidR="00C96930">
        <w:rPr>
          <w:bCs/>
        </w:rPr>
        <w:t>The</w:t>
      </w:r>
      <w:r w:rsidR="00E84FD1" w:rsidRPr="001A6070">
        <w:rPr>
          <w:bCs/>
        </w:rPr>
        <w:t xml:space="preserve"> definition </w:t>
      </w:r>
      <w:r w:rsidR="000456E5">
        <w:rPr>
          <w:bCs/>
        </w:rPr>
        <w:t xml:space="preserve">of Program Obligation </w:t>
      </w:r>
      <w:r w:rsidR="00D7135F" w:rsidRPr="00AF6E24">
        <w:t>identifies the specific, longstanding, and familiar types of requirements</w:t>
      </w:r>
      <w:r w:rsidR="00D7135F">
        <w:t>--</w:t>
      </w:r>
      <w:r w:rsidR="00D7135F" w:rsidRPr="00AF6E24">
        <w:t>those in statutes, regulations, handbooks, notices, and mortgagee letters) to which the parties must adhere.</w:t>
      </w:r>
    </w:p>
    <w:p w:rsidR="00E84FD1" w:rsidRDefault="00E84FD1" w:rsidP="001A6070">
      <w:pPr>
        <w:widowControl/>
        <w:spacing w:line="480" w:lineRule="auto"/>
        <w:rPr>
          <w:bCs/>
        </w:rPr>
      </w:pPr>
    </w:p>
    <w:p w:rsidR="002435AC" w:rsidRPr="001A6070" w:rsidRDefault="00B67039" w:rsidP="001A6070">
      <w:pPr>
        <w:pStyle w:val="ListParagraph"/>
        <w:widowControl/>
        <w:spacing w:line="480" w:lineRule="auto"/>
        <w:ind w:left="0"/>
        <w:rPr>
          <w:bCs/>
          <w:u w:val="single"/>
        </w:rPr>
      </w:pPr>
      <w:r w:rsidRPr="001A6070">
        <w:rPr>
          <w:bCs/>
          <w:u w:val="single"/>
        </w:rPr>
        <w:t xml:space="preserve">Comment  </w:t>
      </w:r>
    </w:p>
    <w:p w:rsidR="00E123A6" w:rsidRPr="000456E5" w:rsidRDefault="002435AC" w:rsidP="000456E5">
      <w:pPr>
        <w:pStyle w:val="ListParagraph"/>
        <w:widowControl/>
        <w:numPr>
          <w:ilvl w:val="0"/>
          <w:numId w:val="13"/>
        </w:numPr>
        <w:rPr>
          <w:bCs/>
        </w:rPr>
      </w:pPr>
      <w:r w:rsidRPr="000456E5">
        <w:rPr>
          <w:bCs/>
        </w:rPr>
        <w:t>C</w:t>
      </w:r>
      <w:r w:rsidRPr="000456E5">
        <w:rPr>
          <w:color w:val="000000"/>
        </w:rPr>
        <w:t xml:space="preserve">ommenters repeated concerns raised </w:t>
      </w:r>
      <w:r w:rsidR="00E123A6" w:rsidRPr="000456E5">
        <w:rPr>
          <w:color w:val="000000"/>
        </w:rPr>
        <w:t xml:space="preserve">in </w:t>
      </w:r>
      <w:r w:rsidR="00E84FD1" w:rsidRPr="000456E5">
        <w:rPr>
          <w:color w:val="000000"/>
        </w:rPr>
        <w:t xml:space="preserve">response to </w:t>
      </w:r>
      <w:r w:rsidR="00C4298D" w:rsidRPr="000456E5">
        <w:rPr>
          <w:color w:val="000000"/>
        </w:rPr>
        <w:t>previous</w:t>
      </w:r>
      <w:r w:rsidR="00E123A6" w:rsidRPr="000456E5">
        <w:rPr>
          <w:color w:val="000000"/>
        </w:rPr>
        <w:t xml:space="preserve"> notices</w:t>
      </w:r>
      <w:r w:rsidR="00E42121" w:rsidRPr="000456E5">
        <w:rPr>
          <w:color w:val="000000"/>
        </w:rPr>
        <w:t xml:space="preserve"> that</w:t>
      </w:r>
      <w:r w:rsidR="00E84FD1" w:rsidRPr="000456E5" w:rsidDel="00E84FD1">
        <w:rPr>
          <w:bCs/>
          <w:color w:val="000000"/>
        </w:rPr>
        <w:t xml:space="preserve"> </w:t>
      </w:r>
      <w:r w:rsidRPr="000456E5">
        <w:rPr>
          <w:color w:val="000000"/>
        </w:rPr>
        <w:t xml:space="preserve">HUD appeared to have unfettered discretion to make future </w:t>
      </w:r>
      <w:r w:rsidRPr="000456E5">
        <w:rPr>
          <w:color w:val="000000"/>
          <w:u w:val="single"/>
        </w:rPr>
        <w:t>material</w:t>
      </w:r>
      <w:r w:rsidRPr="000456E5">
        <w:rPr>
          <w:color w:val="000000"/>
        </w:rPr>
        <w:t xml:space="preserve"> changes</w:t>
      </w:r>
      <w:r w:rsidR="000456E5">
        <w:rPr>
          <w:color w:val="000000"/>
        </w:rPr>
        <w:t xml:space="preserve"> </w:t>
      </w:r>
      <w:r w:rsidRPr="000456E5">
        <w:rPr>
          <w:color w:val="000000"/>
        </w:rPr>
        <w:t>t</w:t>
      </w:r>
      <w:r>
        <w:t>o policies</w:t>
      </w:r>
      <w:r w:rsidR="00C96930">
        <w:t>, and requested HUD include a materiality standard</w:t>
      </w:r>
      <w:r w:rsidR="000456E5">
        <w:t>.</w:t>
      </w:r>
      <w:r w:rsidR="00E42121">
        <w:t xml:space="preserve"> </w:t>
      </w:r>
    </w:p>
    <w:p w:rsidR="000456E5" w:rsidRDefault="000456E5" w:rsidP="001A6070">
      <w:pPr>
        <w:pStyle w:val="ListParagraph"/>
        <w:widowControl/>
        <w:spacing w:line="480" w:lineRule="auto"/>
        <w:ind w:left="0"/>
        <w:rPr>
          <w:bCs/>
          <w:u w:val="single"/>
        </w:rPr>
      </w:pPr>
    </w:p>
    <w:p w:rsidR="00B67039" w:rsidRPr="001A6070" w:rsidRDefault="0006194C" w:rsidP="001A6070">
      <w:pPr>
        <w:pStyle w:val="ListParagraph"/>
        <w:widowControl/>
        <w:spacing w:line="480" w:lineRule="auto"/>
        <w:ind w:left="0"/>
        <w:rPr>
          <w:bCs/>
          <w:u w:val="single"/>
        </w:rPr>
      </w:pPr>
      <w:r w:rsidRPr="001A6070">
        <w:rPr>
          <w:bCs/>
          <w:u w:val="single"/>
        </w:rPr>
        <w:t>Response</w:t>
      </w:r>
    </w:p>
    <w:p w:rsidR="00BA7C7F" w:rsidRDefault="00BA7C7F"/>
    <w:p w:rsidR="00E123A6" w:rsidRDefault="00E123A6" w:rsidP="000456E5">
      <w:pPr>
        <w:pStyle w:val="ListParagraph"/>
        <w:numPr>
          <w:ilvl w:val="0"/>
          <w:numId w:val="11"/>
        </w:numPr>
        <w:rPr>
          <w:bCs/>
        </w:rPr>
      </w:pPr>
      <w:r w:rsidRPr="000C76C8">
        <w:rPr>
          <w:bCs/>
        </w:rPr>
        <w:t>HUD did not include a materiality standard</w:t>
      </w:r>
      <w:r>
        <w:rPr>
          <w:bCs/>
        </w:rPr>
        <w:t xml:space="preserve"> as requested by the commenters</w:t>
      </w:r>
      <w:r w:rsidR="000456E5">
        <w:rPr>
          <w:bCs/>
        </w:rPr>
        <w:t xml:space="preserve">. </w:t>
      </w:r>
      <w:r w:rsidRPr="000456E5">
        <w:rPr>
          <w:bCs/>
        </w:rPr>
        <w:t>If adopted, a materiality standard would invite individual disputes about th</w:t>
      </w:r>
      <w:r w:rsidRPr="000C76C8">
        <w:rPr>
          <w:bCs/>
        </w:rPr>
        <w:t>e application of certain provisions in the documents that may have a material effect on one Borrower but not on another. Instead</w:t>
      </w:r>
      <w:r w:rsidR="00C96930">
        <w:rPr>
          <w:bCs/>
        </w:rPr>
        <w:t>, HUD</w:t>
      </w:r>
      <w:r w:rsidRPr="000C76C8">
        <w:rPr>
          <w:bCs/>
        </w:rPr>
        <w:t xml:space="preserve"> include</w:t>
      </w:r>
      <w:r w:rsidR="00C96930">
        <w:rPr>
          <w:bCs/>
        </w:rPr>
        <w:t>d</w:t>
      </w:r>
      <w:r w:rsidRPr="000C76C8">
        <w:rPr>
          <w:bCs/>
        </w:rPr>
        <w:t xml:space="preserve"> language </w:t>
      </w:r>
      <w:r>
        <w:rPr>
          <w:bCs/>
        </w:rPr>
        <w:t xml:space="preserve">clarifying </w:t>
      </w:r>
      <w:r w:rsidRPr="000C76C8">
        <w:rPr>
          <w:bCs/>
        </w:rPr>
        <w:t xml:space="preserve">that notice and comment rulemaking procedures </w:t>
      </w:r>
      <w:r w:rsidR="00C96930">
        <w:rPr>
          <w:bCs/>
        </w:rPr>
        <w:t>are</w:t>
      </w:r>
      <w:r w:rsidRPr="000C76C8">
        <w:rPr>
          <w:bCs/>
        </w:rPr>
        <w:t xml:space="preserve"> used for </w:t>
      </w:r>
      <w:r w:rsidRPr="00DA536C">
        <w:t>significant substantive requirements</w:t>
      </w:r>
      <w:r>
        <w:t>, as such is the case in practice.</w:t>
      </w:r>
      <w:r w:rsidRPr="00DA536C">
        <w:t xml:space="preserve"> </w:t>
      </w:r>
    </w:p>
    <w:p w:rsidR="00E123A6" w:rsidRDefault="00E123A6" w:rsidP="00E123A6">
      <w:pPr>
        <w:pStyle w:val="ListParagraph"/>
        <w:ind w:left="1440"/>
        <w:rPr>
          <w:bCs/>
        </w:rPr>
      </w:pPr>
    </w:p>
    <w:p w:rsidR="000456E5" w:rsidRDefault="000456E5" w:rsidP="000456E5">
      <w:pPr>
        <w:pStyle w:val="ListParagraph"/>
        <w:ind w:left="0"/>
        <w:rPr>
          <w:bCs/>
          <w:u w:val="single"/>
        </w:rPr>
      </w:pPr>
      <w:r w:rsidRPr="000456E5">
        <w:rPr>
          <w:bCs/>
          <w:u w:val="single"/>
        </w:rPr>
        <w:t>Comment</w:t>
      </w:r>
    </w:p>
    <w:p w:rsidR="000456E5" w:rsidRDefault="000456E5" w:rsidP="000456E5">
      <w:pPr>
        <w:pStyle w:val="ListParagraph"/>
        <w:ind w:left="0"/>
        <w:rPr>
          <w:bCs/>
          <w:u w:val="single"/>
        </w:rPr>
      </w:pPr>
    </w:p>
    <w:p w:rsidR="000456E5" w:rsidRPr="000456E5" w:rsidRDefault="000456E5" w:rsidP="000456E5">
      <w:pPr>
        <w:pStyle w:val="ListParagraph"/>
        <w:widowControl/>
        <w:numPr>
          <w:ilvl w:val="0"/>
          <w:numId w:val="11"/>
        </w:numPr>
        <w:rPr>
          <w:bCs/>
          <w:color w:val="000000"/>
          <w:u w:val="single"/>
        </w:rPr>
      </w:pPr>
      <w:r w:rsidRPr="00E42121">
        <w:rPr>
          <w:bCs/>
        </w:rPr>
        <w:t>C</w:t>
      </w:r>
      <w:r w:rsidRPr="002435AC">
        <w:rPr>
          <w:color w:val="000000"/>
        </w:rPr>
        <w:t xml:space="preserve">ommenters repeated concerns </w:t>
      </w:r>
      <w:r>
        <w:rPr>
          <w:color w:val="000000"/>
        </w:rPr>
        <w:t>raised in response to previous notices that</w:t>
      </w:r>
      <w:r w:rsidRPr="000456E5">
        <w:t xml:space="preserve"> </w:t>
      </w:r>
      <w:r w:rsidR="00C96930">
        <w:t xml:space="preserve">HUD </w:t>
      </w:r>
      <w:r w:rsidR="00C96930">
        <w:rPr>
          <w:color w:val="000000"/>
        </w:rPr>
        <w:t>p</w:t>
      </w:r>
      <w:r w:rsidRPr="000456E5">
        <w:rPr>
          <w:color w:val="000000"/>
        </w:rPr>
        <w:t>olicy changes will be applied to existing Borrowers that could have an financial effect on the operation of a Project</w:t>
      </w:r>
    </w:p>
    <w:p w:rsidR="000456E5" w:rsidRPr="00E42121" w:rsidRDefault="000456E5" w:rsidP="000456E5">
      <w:pPr>
        <w:pStyle w:val="ListParagraph"/>
        <w:widowControl/>
        <w:rPr>
          <w:bCs/>
          <w:u w:val="single"/>
        </w:rPr>
      </w:pPr>
      <w:r>
        <w:rPr>
          <w:color w:val="000000"/>
        </w:rPr>
        <w:t xml:space="preserve"> </w:t>
      </w:r>
    </w:p>
    <w:p w:rsidR="000456E5" w:rsidRDefault="000456E5" w:rsidP="000456E5">
      <w:pPr>
        <w:pStyle w:val="ListParagraph"/>
        <w:ind w:left="0"/>
        <w:rPr>
          <w:bCs/>
        </w:rPr>
      </w:pPr>
    </w:p>
    <w:p w:rsidR="000456E5" w:rsidRPr="001A6070" w:rsidRDefault="000456E5" w:rsidP="000456E5">
      <w:pPr>
        <w:pStyle w:val="ListParagraph"/>
        <w:widowControl/>
        <w:spacing w:line="480" w:lineRule="auto"/>
        <w:ind w:left="0"/>
        <w:rPr>
          <w:bCs/>
          <w:u w:val="single"/>
        </w:rPr>
      </w:pPr>
      <w:r w:rsidRPr="001A6070">
        <w:rPr>
          <w:bCs/>
          <w:u w:val="single"/>
        </w:rPr>
        <w:t>Response</w:t>
      </w:r>
    </w:p>
    <w:p w:rsidR="000456E5" w:rsidRDefault="000456E5" w:rsidP="000456E5">
      <w:pPr>
        <w:pStyle w:val="ListParagraph"/>
        <w:ind w:left="0"/>
        <w:rPr>
          <w:bCs/>
        </w:rPr>
      </w:pPr>
    </w:p>
    <w:p w:rsidR="00E123A6" w:rsidRDefault="00E123A6" w:rsidP="001A6070">
      <w:pPr>
        <w:pStyle w:val="ListParagraph"/>
        <w:numPr>
          <w:ilvl w:val="0"/>
          <w:numId w:val="11"/>
        </w:numPr>
      </w:pPr>
      <w:r>
        <w:t xml:space="preserve">HUD has revised the definition of Program Obligations to clarify </w:t>
      </w:r>
      <w:r w:rsidR="000456E5">
        <w:t>the process</w:t>
      </w:r>
      <w:r w:rsidR="00C96930">
        <w:t xml:space="preserve"> by which policy changes would be applicable</w:t>
      </w:r>
      <w:r w:rsidR="000456E5">
        <w:t>.</w:t>
      </w:r>
      <w:r>
        <w:t xml:space="preserve"> In this regard, the definition is revised to</w:t>
      </w:r>
      <w:r w:rsidRPr="00E123A6">
        <w:rPr>
          <w:bCs/>
        </w:rPr>
        <w:t xml:space="preserve"> </w:t>
      </w:r>
      <w:r>
        <w:rPr>
          <w:bCs/>
        </w:rPr>
        <w:t xml:space="preserve">make </w:t>
      </w:r>
      <w:r>
        <w:rPr>
          <w:bCs/>
        </w:rPr>
        <w:lastRenderedPageBreak/>
        <w:t>explicit that</w:t>
      </w:r>
      <w:r>
        <w:t>:</w:t>
      </w:r>
    </w:p>
    <w:p w:rsidR="00E123A6" w:rsidRDefault="00E123A6"/>
    <w:p w:rsidR="003C3894" w:rsidRDefault="00E123A6" w:rsidP="001A6070">
      <w:pPr>
        <w:pStyle w:val="ListParagraph"/>
        <w:numPr>
          <w:ilvl w:val="1"/>
          <w:numId w:val="11"/>
        </w:numPr>
      </w:pPr>
      <w:r>
        <w:rPr>
          <w:bCs/>
        </w:rPr>
        <w:t>C</w:t>
      </w:r>
      <w:r w:rsidR="00467D38" w:rsidRPr="00004924">
        <w:rPr>
          <w:bCs/>
        </w:rPr>
        <w:t>hanges</w:t>
      </w:r>
      <w:r w:rsidR="00DA536C" w:rsidRPr="00004924">
        <w:rPr>
          <w:bCs/>
        </w:rPr>
        <w:t xml:space="preserve"> subject to notice and comment rulemaking become effective only upon completion of the rulemaking process</w:t>
      </w:r>
      <w:r>
        <w:rPr>
          <w:bCs/>
        </w:rPr>
        <w:t>.</w:t>
      </w:r>
    </w:p>
    <w:p w:rsidR="00DA536C" w:rsidRDefault="00DA536C"/>
    <w:p w:rsidR="003C3894" w:rsidRDefault="00BA7C7F" w:rsidP="001A6070">
      <w:pPr>
        <w:pStyle w:val="ListParagraph"/>
        <w:numPr>
          <w:ilvl w:val="1"/>
          <w:numId w:val="11"/>
        </w:numPr>
        <w:rPr>
          <w:bCs/>
        </w:rPr>
      </w:pPr>
      <w:r w:rsidRPr="00004924">
        <w:rPr>
          <w:bCs/>
        </w:rPr>
        <w:t>Future updates, changes and amendments shall be applicable to the Project only to the extent that they interpret, clarify and implement terms in th</w:t>
      </w:r>
      <w:r w:rsidR="00B67039">
        <w:rPr>
          <w:bCs/>
        </w:rPr>
        <w:t xml:space="preserve">e particular document </w:t>
      </w:r>
      <w:r w:rsidRPr="00004924">
        <w:rPr>
          <w:bCs/>
        </w:rPr>
        <w:t xml:space="preserve">rather than add or delete provisions from </w:t>
      </w:r>
      <w:r w:rsidR="00B67039">
        <w:rPr>
          <w:bCs/>
        </w:rPr>
        <w:t xml:space="preserve">the </w:t>
      </w:r>
      <w:r w:rsidRPr="00004924">
        <w:rPr>
          <w:bCs/>
        </w:rPr>
        <w:t>document.</w:t>
      </w:r>
    </w:p>
    <w:p w:rsidR="00BA7C7F" w:rsidRDefault="00BA7C7F">
      <w:pPr>
        <w:rPr>
          <w:bCs/>
        </w:rPr>
      </w:pPr>
    </w:p>
    <w:p w:rsidR="008C541C" w:rsidRDefault="008C541C" w:rsidP="008C541C">
      <w:pPr>
        <w:pStyle w:val="ListParagraph"/>
        <w:widowControl/>
        <w:rPr>
          <w:bCs/>
          <w:u w:val="single"/>
        </w:rPr>
      </w:pPr>
    </w:p>
    <w:p w:rsidR="008C541C" w:rsidRPr="003C5E6E" w:rsidRDefault="008C541C" w:rsidP="001A6070">
      <w:pPr>
        <w:pStyle w:val="ListParagraph"/>
        <w:widowControl/>
        <w:ind w:left="0"/>
        <w:rPr>
          <w:b/>
          <w:bCs/>
          <w:u w:val="single"/>
        </w:rPr>
      </w:pPr>
      <w:r w:rsidRPr="003C5E6E">
        <w:rPr>
          <w:b/>
          <w:bCs/>
          <w:u w:val="single"/>
        </w:rPr>
        <w:t>Treatment of Reserves and Escrows</w:t>
      </w:r>
    </w:p>
    <w:p w:rsidR="00B77672" w:rsidRDefault="00B77672" w:rsidP="008C541C">
      <w:pPr>
        <w:pStyle w:val="ListParagraph"/>
        <w:widowControl/>
        <w:rPr>
          <w:bCs/>
          <w:u w:val="single"/>
        </w:rPr>
      </w:pPr>
    </w:p>
    <w:p w:rsidR="008C541C" w:rsidRPr="001A6070" w:rsidRDefault="00B77672" w:rsidP="001A6070">
      <w:pPr>
        <w:pStyle w:val="ListParagraph"/>
        <w:widowControl/>
        <w:ind w:left="0"/>
        <w:rPr>
          <w:bCs/>
        </w:rPr>
      </w:pPr>
      <w:r w:rsidRPr="001A6070">
        <w:rPr>
          <w:bCs/>
        </w:rPr>
        <w:t xml:space="preserve">Several of the documents, namely the </w:t>
      </w:r>
      <w:r w:rsidR="00C96930">
        <w:rPr>
          <w:bCs/>
        </w:rPr>
        <w:t>S</w:t>
      </w:r>
      <w:r w:rsidRPr="001A6070">
        <w:rPr>
          <w:bCs/>
        </w:rPr>
        <w:t xml:space="preserve">ecurity </w:t>
      </w:r>
      <w:r w:rsidR="00C96930">
        <w:rPr>
          <w:bCs/>
        </w:rPr>
        <w:t>I</w:t>
      </w:r>
      <w:r w:rsidRPr="001A6070">
        <w:rPr>
          <w:bCs/>
        </w:rPr>
        <w:t xml:space="preserve">nstrument, the </w:t>
      </w:r>
      <w:r w:rsidR="00C96930">
        <w:rPr>
          <w:bCs/>
        </w:rPr>
        <w:t>R</w:t>
      </w:r>
      <w:r w:rsidRPr="001A6070">
        <w:rPr>
          <w:bCs/>
        </w:rPr>
        <w:t xml:space="preserve">egulatory </w:t>
      </w:r>
      <w:r w:rsidR="00C96930">
        <w:rPr>
          <w:bCs/>
        </w:rPr>
        <w:t>A</w:t>
      </w:r>
      <w:r w:rsidRPr="001A6070">
        <w:rPr>
          <w:bCs/>
        </w:rPr>
        <w:t xml:space="preserve">greement and the </w:t>
      </w:r>
      <w:r w:rsidR="00C96930">
        <w:rPr>
          <w:bCs/>
        </w:rPr>
        <w:t>E</w:t>
      </w:r>
      <w:r w:rsidRPr="001A6070">
        <w:rPr>
          <w:bCs/>
        </w:rPr>
        <w:t>scrow</w:t>
      </w:r>
      <w:r w:rsidR="00C96930">
        <w:rPr>
          <w:bCs/>
        </w:rPr>
        <w:t xml:space="preserve"> documents</w:t>
      </w:r>
      <w:r w:rsidRPr="001A6070">
        <w:rPr>
          <w:bCs/>
        </w:rPr>
        <w:t xml:space="preserve">, establish requirements for where borrowers will place reserve funds and restrict investment categories. </w:t>
      </w:r>
    </w:p>
    <w:p w:rsidR="00B77672" w:rsidRPr="001A6070" w:rsidRDefault="00B77672" w:rsidP="001A6070">
      <w:pPr>
        <w:pStyle w:val="ListParagraph"/>
        <w:widowControl/>
        <w:ind w:left="0"/>
        <w:rPr>
          <w:bCs/>
        </w:rPr>
      </w:pPr>
    </w:p>
    <w:p w:rsidR="008C541C" w:rsidRPr="001A6070" w:rsidRDefault="008C541C" w:rsidP="001A6070">
      <w:pPr>
        <w:pStyle w:val="ListParagraph"/>
        <w:widowControl/>
        <w:ind w:left="0"/>
        <w:rPr>
          <w:bCs/>
          <w:u w:val="single"/>
        </w:rPr>
      </w:pPr>
      <w:r w:rsidRPr="001A6070">
        <w:rPr>
          <w:bCs/>
          <w:u w:val="single"/>
        </w:rPr>
        <w:t>Comment</w:t>
      </w:r>
    </w:p>
    <w:p w:rsidR="008C541C" w:rsidRDefault="008C541C" w:rsidP="008C541C">
      <w:pPr>
        <w:pStyle w:val="ListParagraph"/>
        <w:widowControl/>
        <w:rPr>
          <w:bCs/>
          <w:u w:val="single"/>
        </w:rPr>
      </w:pPr>
    </w:p>
    <w:p w:rsidR="001A6070" w:rsidRDefault="008C541C" w:rsidP="000456E5">
      <w:pPr>
        <w:pStyle w:val="ListParagraph"/>
        <w:widowControl/>
        <w:numPr>
          <w:ilvl w:val="0"/>
          <w:numId w:val="11"/>
        </w:numPr>
        <w:spacing w:before="240"/>
        <w:rPr>
          <w:bCs/>
        </w:rPr>
      </w:pPr>
      <w:r w:rsidRPr="001A6070">
        <w:rPr>
          <w:bCs/>
        </w:rPr>
        <w:t xml:space="preserve">Commenters </w:t>
      </w:r>
      <w:r w:rsidR="00C96930">
        <w:rPr>
          <w:bCs/>
        </w:rPr>
        <w:t>stated</w:t>
      </w:r>
      <w:r w:rsidRPr="001A6070">
        <w:rPr>
          <w:bCs/>
        </w:rPr>
        <w:t xml:space="preserve"> that the policies in the documents providing investment policies for reserves and escrows represent a departure from current policy.  They contend that the policies interfere with the business relationship between the Lender and Borrower, and restrict the liquidity of the reserves. The lenders contend that (1) requirements that escrows be deposited only in accounts fully insured by the United States of America would create administrative costs and difficulties,</w:t>
      </w:r>
      <w:r w:rsidR="00C96930">
        <w:rPr>
          <w:bCs/>
        </w:rPr>
        <w:t xml:space="preserve"> and</w:t>
      </w:r>
      <w:r w:rsidRPr="001A6070">
        <w:rPr>
          <w:bCs/>
        </w:rPr>
        <w:t xml:space="preserve"> (2) the low limit on insured accounts would require breaking up certain reserves or escrows into multiple insured accounts</w:t>
      </w:r>
      <w:r w:rsidR="000456E5">
        <w:rPr>
          <w:bCs/>
        </w:rPr>
        <w:t>.</w:t>
      </w:r>
      <w:r w:rsidRPr="001A6070">
        <w:rPr>
          <w:bCs/>
        </w:rPr>
        <w:t xml:space="preserve"> </w:t>
      </w:r>
    </w:p>
    <w:p w:rsidR="00846F0E" w:rsidRDefault="00846F0E">
      <w:pPr>
        <w:pStyle w:val="ListParagraph"/>
        <w:widowControl/>
        <w:spacing w:before="240"/>
        <w:rPr>
          <w:bCs/>
        </w:rPr>
      </w:pPr>
    </w:p>
    <w:p w:rsidR="008C541C" w:rsidRPr="000456E5" w:rsidRDefault="008C541C" w:rsidP="001A6070">
      <w:pPr>
        <w:pStyle w:val="ListParagraph"/>
        <w:widowControl/>
        <w:ind w:left="0"/>
        <w:rPr>
          <w:bCs/>
          <w:u w:val="single"/>
        </w:rPr>
      </w:pPr>
      <w:r w:rsidRPr="000456E5">
        <w:rPr>
          <w:bCs/>
          <w:u w:val="single"/>
        </w:rPr>
        <w:t>Response</w:t>
      </w:r>
    </w:p>
    <w:p w:rsidR="001A6070" w:rsidRPr="000456E5" w:rsidRDefault="001A6070" w:rsidP="001A6070">
      <w:pPr>
        <w:pStyle w:val="ListParagraph"/>
        <w:widowControl/>
        <w:ind w:left="0"/>
        <w:rPr>
          <w:bCs/>
          <w:u w:val="single"/>
        </w:rPr>
      </w:pPr>
    </w:p>
    <w:p w:rsidR="00846F0E" w:rsidRDefault="008C541C">
      <w:pPr>
        <w:pStyle w:val="ListParagraph"/>
        <w:numPr>
          <w:ilvl w:val="0"/>
          <w:numId w:val="11"/>
        </w:numPr>
        <w:rPr>
          <w:bCs/>
        </w:rPr>
      </w:pPr>
      <w:r w:rsidRPr="000456E5">
        <w:rPr>
          <w:bCs/>
        </w:rPr>
        <w:t>HUD</w:t>
      </w:r>
      <w:r w:rsidR="00B77672" w:rsidRPr="000456E5">
        <w:rPr>
          <w:bCs/>
        </w:rPr>
        <w:t xml:space="preserve"> </w:t>
      </w:r>
      <w:r w:rsidR="00C96930">
        <w:rPr>
          <w:bCs/>
        </w:rPr>
        <w:t>removed</w:t>
      </w:r>
      <w:r w:rsidRPr="000456E5">
        <w:rPr>
          <w:bCs/>
        </w:rPr>
        <w:t xml:space="preserve"> restrictions in the documents that required investment in US </w:t>
      </w:r>
      <w:r w:rsidR="00F74DEB" w:rsidRPr="000456E5">
        <w:rPr>
          <w:bCs/>
        </w:rPr>
        <w:t>Treasury securities</w:t>
      </w:r>
      <w:r w:rsidRPr="000456E5">
        <w:rPr>
          <w:bCs/>
        </w:rPr>
        <w:t xml:space="preserve">, and substituted a requirement that funds be held in accounts insured by </w:t>
      </w:r>
      <w:r w:rsidR="00C96930">
        <w:rPr>
          <w:bCs/>
        </w:rPr>
        <w:t>f</w:t>
      </w:r>
      <w:r w:rsidRPr="000456E5">
        <w:rPr>
          <w:bCs/>
        </w:rPr>
        <w:t xml:space="preserve">ederal </w:t>
      </w:r>
      <w:r w:rsidR="00C96930">
        <w:rPr>
          <w:bCs/>
        </w:rPr>
        <w:t xml:space="preserve">supervisory </w:t>
      </w:r>
      <w:r w:rsidR="00F74DEB" w:rsidRPr="000456E5">
        <w:rPr>
          <w:bCs/>
        </w:rPr>
        <w:t>agencies</w:t>
      </w:r>
      <w:r w:rsidRPr="000456E5">
        <w:rPr>
          <w:bCs/>
        </w:rPr>
        <w:t xml:space="preserve">, e.g. the FDIC and NCUA.  </w:t>
      </w:r>
    </w:p>
    <w:p w:rsidR="00AC2D64" w:rsidRDefault="00AC2D64" w:rsidP="00AC2D64">
      <w:pPr>
        <w:pStyle w:val="ListParagraph"/>
        <w:rPr>
          <w:bCs/>
        </w:rPr>
      </w:pPr>
    </w:p>
    <w:p w:rsidR="008C541C" w:rsidRPr="00C96930" w:rsidRDefault="00506AB8" w:rsidP="001A6070">
      <w:pPr>
        <w:pStyle w:val="ListParagraph"/>
        <w:numPr>
          <w:ilvl w:val="0"/>
          <w:numId w:val="11"/>
        </w:numPr>
        <w:rPr>
          <w:bCs/>
          <w:color w:val="1F497D"/>
        </w:rPr>
      </w:pPr>
      <w:r>
        <w:rPr>
          <w:bCs/>
        </w:rPr>
        <w:t xml:space="preserve">As is the current case, HUD will allow the Lender and the Borrower to negotiate appropriate fees for administration of reserves and escrows. </w:t>
      </w:r>
    </w:p>
    <w:p w:rsidR="008C541C" w:rsidRPr="00C96930" w:rsidRDefault="008C541C" w:rsidP="008C541C">
      <w:pPr>
        <w:rPr>
          <w:bCs/>
          <w:u w:val="single"/>
        </w:rPr>
      </w:pPr>
    </w:p>
    <w:p w:rsidR="00B77672" w:rsidRPr="00C96930" w:rsidRDefault="00506AB8" w:rsidP="001A6070">
      <w:pPr>
        <w:pStyle w:val="ListParagraph"/>
        <w:ind w:left="0"/>
        <w:rPr>
          <w:b/>
          <w:bCs/>
          <w:u w:val="single"/>
        </w:rPr>
      </w:pPr>
      <w:r>
        <w:rPr>
          <w:b/>
          <w:bCs/>
          <w:u w:val="single"/>
        </w:rPr>
        <w:t>Liability of Principals</w:t>
      </w:r>
    </w:p>
    <w:p w:rsidR="00273D4B" w:rsidRPr="00C96930" w:rsidRDefault="00273D4B">
      <w:pPr>
        <w:rPr>
          <w:bCs/>
        </w:rPr>
      </w:pPr>
    </w:p>
    <w:p w:rsidR="00B77672" w:rsidRPr="001A6070" w:rsidRDefault="00506AB8" w:rsidP="003C5E6E">
      <w:pPr>
        <w:pStyle w:val="ListParagraph"/>
        <w:ind w:left="0"/>
        <w:rPr>
          <w:bCs/>
        </w:rPr>
      </w:pPr>
      <w:r>
        <w:rPr>
          <w:bCs/>
        </w:rPr>
        <w:t>Although HUD is moving to allow a single asset form of borrow</w:t>
      </w:r>
      <w:r w:rsidR="00273D4B" w:rsidRPr="001A6070">
        <w:rPr>
          <w:bCs/>
        </w:rPr>
        <w:t>er, HUD ha</w:t>
      </w:r>
      <w:r w:rsidR="000456E5">
        <w:rPr>
          <w:bCs/>
        </w:rPr>
        <w:t>d</w:t>
      </w:r>
      <w:r w:rsidR="00273D4B" w:rsidRPr="001A6070">
        <w:rPr>
          <w:bCs/>
        </w:rPr>
        <w:t xml:space="preserve"> proposed that “principals” be responsible for certain “Bad Boy Acts.”</w:t>
      </w:r>
    </w:p>
    <w:p w:rsidR="00B77672" w:rsidRDefault="00B77672">
      <w:pPr>
        <w:rPr>
          <w:bCs/>
        </w:rPr>
      </w:pPr>
    </w:p>
    <w:p w:rsidR="00273D4B" w:rsidRPr="001A6070" w:rsidRDefault="00273D4B" w:rsidP="003C5E6E">
      <w:pPr>
        <w:pStyle w:val="ListParagraph"/>
        <w:ind w:left="0"/>
        <w:rPr>
          <w:bCs/>
          <w:u w:val="single"/>
        </w:rPr>
      </w:pPr>
      <w:r w:rsidRPr="001A6070">
        <w:rPr>
          <w:bCs/>
          <w:u w:val="single"/>
        </w:rPr>
        <w:t>Comment</w:t>
      </w:r>
    </w:p>
    <w:p w:rsidR="00273D4B" w:rsidRDefault="00273D4B" w:rsidP="00273D4B">
      <w:pPr>
        <w:rPr>
          <w:bCs/>
          <w:u w:val="single"/>
        </w:rPr>
      </w:pPr>
    </w:p>
    <w:p w:rsidR="00273D4B" w:rsidRPr="001A6070" w:rsidRDefault="00273D4B" w:rsidP="003C5E6E">
      <w:pPr>
        <w:pStyle w:val="ListParagraph"/>
        <w:numPr>
          <w:ilvl w:val="0"/>
          <w:numId w:val="11"/>
        </w:numPr>
        <w:rPr>
          <w:bCs/>
        </w:rPr>
      </w:pPr>
      <w:r w:rsidRPr="001A6070">
        <w:rPr>
          <w:bCs/>
        </w:rPr>
        <w:t>Commen</w:t>
      </w:r>
      <w:r w:rsidR="003C5E6E">
        <w:rPr>
          <w:bCs/>
        </w:rPr>
        <w:t>t</w:t>
      </w:r>
      <w:r w:rsidRPr="001A6070">
        <w:rPr>
          <w:bCs/>
        </w:rPr>
        <w:t xml:space="preserve">ers claimed that individuals should never be personally responsible for any of </w:t>
      </w:r>
      <w:r w:rsidRPr="001A6070">
        <w:rPr>
          <w:bCs/>
        </w:rPr>
        <w:lastRenderedPageBreak/>
        <w:t>the financial or manag</w:t>
      </w:r>
      <w:r w:rsidR="003C5E6E">
        <w:rPr>
          <w:bCs/>
        </w:rPr>
        <w:t>e</w:t>
      </w:r>
      <w:r w:rsidRPr="001A6070">
        <w:rPr>
          <w:bCs/>
        </w:rPr>
        <w:t xml:space="preserve">ment aspects of the multifamily projects. </w:t>
      </w:r>
    </w:p>
    <w:p w:rsidR="00273D4B" w:rsidRDefault="00273D4B" w:rsidP="00273D4B">
      <w:pPr>
        <w:rPr>
          <w:bCs/>
          <w:u w:val="single"/>
        </w:rPr>
      </w:pPr>
    </w:p>
    <w:p w:rsidR="00273D4B" w:rsidRDefault="00273D4B" w:rsidP="003C5E6E">
      <w:pPr>
        <w:pStyle w:val="ListParagraph"/>
        <w:ind w:left="0"/>
        <w:rPr>
          <w:bCs/>
          <w:u w:val="single"/>
        </w:rPr>
      </w:pPr>
      <w:r w:rsidRPr="001A6070">
        <w:rPr>
          <w:bCs/>
          <w:u w:val="single"/>
        </w:rPr>
        <w:t xml:space="preserve">Response </w:t>
      </w:r>
    </w:p>
    <w:p w:rsidR="00CE09C9" w:rsidRDefault="00CE09C9" w:rsidP="003C5E6E">
      <w:pPr>
        <w:pStyle w:val="ListParagraph"/>
        <w:ind w:left="0"/>
      </w:pPr>
    </w:p>
    <w:p w:rsidR="00273D4B" w:rsidRDefault="00273D4B" w:rsidP="001A6070">
      <w:pPr>
        <w:pStyle w:val="ListParagraph"/>
        <w:numPr>
          <w:ilvl w:val="0"/>
          <w:numId w:val="11"/>
        </w:numPr>
      </w:pPr>
      <w:r>
        <w:t>HUD, consistent with its commitment to modify key terms only in the rulemaking process, included a d</w:t>
      </w:r>
      <w:r w:rsidRPr="00702972">
        <w:t xml:space="preserve">efinition of </w:t>
      </w:r>
      <w:r w:rsidR="00C96930">
        <w:t>P</w:t>
      </w:r>
      <w:r w:rsidRPr="00702972">
        <w:t>rincipals</w:t>
      </w:r>
      <w:r w:rsidR="00AC2D64">
        <w:t xml:space="preserve"> in the Security Instrument. That definition cites directly to the regulation.</w:t>
      </w:r>
      <w:r>
        <w:t xml:space="preserve">--24 CFR 200.215. </w:t>
      </w:r>
      <w:r w:rsidR="00AC2D64">
        <w:t>Thus, a</w:t>
      </w:r>
      <w:r w:rsidR="004A44AB">
        <w:t>ny</w:t>
      </w:r>
      <w:r w:rsidR="00AC2D64">
        <w:t xml:space="preserve"> Security Instrument contract will always reference the current regulation. </w:t>
      </w:r>
      <w:r>
        <w:t xml:space="preserve"> </w:t>
      </w:r>
    </w:p>
    <w:p w:rsidR="00273D4B" w:rsidRDefault="00273D4B" w:rsidP="003C5E6E">
      <w:pPr>
        <w:pStyle w:val="ListParagraph"/>
      </w:pPr>
    </w:p>
    <w:p w:rsidR="00273D4B" w:rsidRDefault="005E5E60" w:rsidP="001A6070">
      <w:pPr>
        <w:pStyle w:val="ListParagraph"/>
        <w:numPr>
          <w:ilvl w:val="0"/>
          <w:numId w:val="11"/>
        </w:numPr>
      </w:pPr>
      <w:r w:rsidRPr="001A6070">
        <w:rPr>
          <w:bCs/>
        </w:rPr>
        <w:t xml:space="preserve">HUD is </w:t>
      </w:r>
      <w:r w:rsidR="00923278">
        <w:rPr>
          <w:bCs/>
        </w:rPr>
        <w:t>also r</w:t>
      </w:r>
      <w:r w:rsidRPr="001A6070">
        <w:rPr>
          <w:bCs/>
        </w:rPr>
        <w:t>equiring that key Principals sign the Regulatory Agreement</w:t>
      </w:r>
      <w:r w:rsidR="00CE09C9">
        <w:rPr>
          <w:bCs/>
        </w:rPr>
        <w:t>.</w:t>
      </w:r>
      <w:r w:rsidRPr="001A6070">
        <w:rPr>
          <w:bCs/>
        </w:rPr>
        <w:t xml:space="preserve"> </w:t>
      </w:r>
      <w:r w:rsidR="00CE09C9">
        <w:rPr>
          <w:bCs/>
        </w:rPr>
        <w:t xml:space="preserve">Signing </w:t>
      </w:r>
      <w:r w:rsidR="00273D4B" w:rsidRPr="001A6070">
        <w:rPr>
          <w:bCs/>
        </w:rPr>
        <w:t>Principals should be personally responsible for paying damages for cer</w:t>
      </w:r>
      <w:r w:rsidR="00273D4B" w:rsidRPr="00702972">
        <w:t>tain “bad boy</w:t>
      </w:r>
      <w:r w:rsidR="00273D4B">
        <w:t>”</w:t>
      </w:r>
      <w:r w:rsidR="00273D4B" w:rsidRPr="00702972">
        <w:t xml:space="preserve"> acts</w:t>
      </w:r>
      <w:r w:rsidR="00273D4B">
        <w:t xml:space="preserve"> as exceptions to the nonrecourse provisions of the Note</w:t>
      </w:r>
      <w:r w:rsidR="00273D4B" w:rsidRPr="00702972">
        <w:t xml:space="preserve">.  </w:t>
      </w:r>
    </w:p>
    <w:p w:rsidR="00273D4B" w:rsidRDefault="00273D4B" w:rsidP="00273D4B"/>
    <w:p w:rsidR="005E5E60" w:rsidRDefault="005E5E60" w:rsidP="00F74DEB">
      <w:pPr>
        <w:pStyle w:val="ListParagraph"/>
      </w:pPr>
    </w:p>
    <w:p w:rsidR="00273D4B" w:rsidRPr="008541D6" w:rsidRDefault="00273D4B" w:rsidP="001A6070">
      <w:pPr>
        <w:pStyle w:val="ListParagraph"/>
        <w:numPr>
          <w:ilvl w:val="0"/>
          <w:numId w:val="11"/>
        </w:numPr>
      </w:pPr>
      <w:r>
        <w:t xml:space="preserve">Principals required to sign the documents </w:t>
      </w:r>
      <w:r w:rsidRPr="00702972">
        <w:t>are</w:t>
      </w:r>
      <w:r>
        <w:t>, in general,</w:t>
      </w:r>
      <w:r w:rsidRPr="00702972">
        <w:t xml:space="preserve"> attesting only “to the best of their knowledge,” </w:t>
      </w:r>
      <w:r>
        <w:t xml:space="preserve">and primarily to their own statements and representations.  </w:t>
      </w:r>
      <w:r w:rsidRPr="00702972">
        <w:tab/>
      </w:r>
    </w:p>
    <w:p w:rsidR="003C5E6E" w:rsidRDefault="003C5E6E">
      <w:pPr>
        <w:rPr>
          <w:bCs/>
        </w:rPr>
      </w:pPr>
    </w:p>
    <w:p w:rsidR="00E57962" w:rsidRPr="001A6070" w:rsidRDefault="00DA536C" w:rsidP="003C5E6E">
      <w:pPr>
        <w:pStyle w:val="ListParagraph"/>
        <w:widowControl/>
        <w:spacing w:line="480" w:lineRule="auto"/>
        <w:ind w:left="0"/>
        <w:rPr>
          <w:b/>
          <w:bCs/>
          <w:u w:val="single"/>
        </w:rPr>
      </w:pPr>
      <w:r w:rsidRPr="001A6070">
        <w:rPr>
          <w:b/>
          <w:bCs/>
          <w:u w:val="single"/>
        </w:rPr>
        <w:t>The Lender’s Certificate</w:t>
      </w:r>
      <w:r w:rsidR="00E123A6" w:rsidRPr="001A6070">
        <w:rPr>
          <w:b/>
          <w:bCs/>
          <w:u w:val="single"/>
        </w:rPr>
        <w:t xml:space="preserve"> </w:t>
      </w:r>
    </w:p>
    <w:p w:rsidR="00DA536C" w:rsidRPr="001A6070" w:rsidRDefault="00E57962" w:rsidP="003C5E6E">
      <w:pPr>
        <w:pStyle w:val="ListParagraph"/>
        <w:widowControl/>
        <w:ind w:left="0"/>
        <w:rPr>
          <w:bCs/>
        </w:rPr>
      </w:pPr>
      <w:r w:rsidRPr="001A6070">
        <w:rPr>
          <w:bCs/>
        </w:rPr>
        <w:t>Th</w:t>
      </w:r>
      <w:r w:rsidR="00D7135F" w:rsidRPr="001A6070">
        <w:rPr>
          <w:bCs/>
        </w:rPr>
        <w:t xml:space="preserve">e Lender’s Certificate </w:t>
      </w:r>
      <w:r w:rsidR="00B77672" w:rsidRPr="001A6070">
        <w:rPr>
          <w:bCs/>
        </w:rPr>
        <w:t xml:space="preserve">lists </w:t>
      </w:r>
      <w:r w:rsidRPr="001A6070">
        <w:rPr>
          <w:bCs/>
        </w:rPr>
        <w:t>the c</w:t>
      </w:r>
      <w:r w:rsidR="00E123A6" w:rsidRPr="001A6070">
        <w:rPr>
          <w:bCs/>
        </w:rPr>
        <w:t xml:space="preserve">ertifications </w:t>
      </w:r>
      <w:r w:rsidRPr="001A6070">
        <w:rPr>
          <w:bCs/>
        </w:rPr>
        <w:t>m</w:t>
      </w:r>
      <w:r w:rsidR="00E123A6" w:rsidRPr="001A6070">
        <w:rPr>
          <w:bCs/>
        </w:rPr>
        <w:t>ade by the Lender to HUD</w:t>
      </w:r>
      <w:r w:rsidRPr="001A6070">
        <w:rPr>
          <w:bCs/>
        </w:rPr>
        <w:t xml:space="preserve"> regarding the responsibilities the lender ha</w:t>
      </w:r>
      <w:r w:rsidR="0045740C" w:rsidRPr="001A6070">
        <w:rPr>
          <w:bCs/>
        </w:rPr>
        <w:t>s completed in performing the due diligence necessary to complete final underwriting</w:t>
      </w:r>
      <w:r w:rsidR="00EE3539" w:rsidRPr="001A6070">
        <w:rPr>
          <w:bCs/>
        </w:rPr>
        <w:t xml:space="preserve"> of the project</w:t>
      </w:r>
      <w:r w:rsidR="00634E82" w:rsidRPr="001A6070">
        <w:rPr>
          <w:bCs/>
        </w:rPr>
        <w:t>.</w:t>
      </w:r>
    </w:p>
    <w:p w:rsidR="00E84FD1" w:rsidRDefault="00E84FD1" w:rsidP="00D226BC">
      <w:pPr>
        <w:rPr>
          <w:bCs/>
          <w:u w:val="single"/>
        </w:rPr>
      </w:pPr>
    </w:p>
    <w:p w:rsidR="0006194C" w:rsidRPr="001A6070" w:rsidRDefault="0006194C" w:rsidP="003C5E6E">
      <w:pPr>
        <w:pStyle w:val="ListParagraph"/>
        <w:ind w:left="0"/>
        <w:rPr>
          <w:bCs/>
          <w:u w:val="single"/>
        </w:rPr>
      </w:pPr>
      <w:r w:rsidRPr="001A6070">
        <w:rPr>
          <w:bCs/>
          <w:u w:val="single"/>
        </w:rPr>
        <w:t xml:space="preserve">Comment </w:t>
      </w:r>
    </w:p>
    <w:p w:rsidR="0006194C" w:rsidRDefault="0006194C" w:rsidP="00D226BC">
      <w:pPr>
        <w:rPr>
          <w:bCs/>
        </w:rPr>
      </w:pPr>
    </w:p>
    <w:p w:rsidR="0081216B" w:rsidRPr="0006194C" w:rsidRDefault="00D226BC" w:rsidP="001A6070">
      <w:pPr>
        <w:pStyle w:val="ListParagraph"/>
        <w:numPr>
          <w:ilvl w:val="0"/>
          <w:numId w:val="11"/>
        </w:numPr>
        <w:rPr>
          <w:bCs/>
        </w:rPr>
      </w:pPr>
      <w:r w:rsidRPr="0006194C">
        <w:rPr>
          <w:bCs/>
        </w:rPr>
        <w:t>Commenters were concerned that they would have to absolutely certify that the Borrower possessed all necessary governmental certificates, permits, licenses, qualifications and approvals of Governmental Authorities to own and operate the Mortgaged Property, and to carry out all of the transactions required by the Loan Documents</w:t>
      </w:r>
      <w:r w:rsidR="00634E82">
        <w:rPr>
          <w:bCs/>
        </w:rPr>
        <w:t>,</w:t>
      </w:r>
      <w:r w:rsidRPr="0006194C">
        <w:rPr>
          <w:bCs/>
        </w:rPr>
        <w:t xml:space="preserve"> and to comply with applicable federal statutes and regulations of HUD in effect on the date of the Firm Commitment.  </w:t>
      </w:r>
      <w:r w:rsidR="0006194C">
        <w:rPr>
          <w:bCs/>
        </w:rPr>
        <w:t xml:space="preserve">Commenters </w:t>
      </w:r>
      <w:r w:rsidR="00C96930">
        <w:rPr>
          <w:bCs/>
        </w:rPr>
        <w:t>stated</w:t>
      </w:r>
      <w:r w:rsidR="0006194C">
        <w:rPr>
          <w:bCs/>
        </w:rPr>
        <w:t xml:space="preserve"> that </w:t>
      </w:r>
      <w:r w:rsidR="00634E82">
        <w:rPr>
          <w:bCs/>
        </w:rPr>
        <w:t>in</w:t>
      </w:r>
      <w:r w:rsidR="0006194C">
        <w:rPr>
          <w:bCs/>
        </w:rPr>
        <w:t xml:space="preserve"> </w:t>
      </w:r>
      <w:r w:rsidRPr="0006194C">
        <w:rPr>
          <w:bCs/>
        </w:rPr>
        <w:t xml:space="preserve">commercial transactions, </w:t>
      </w:r>
      <w:r w:rsidR="00634E82">
        <w:rPr>
          <w:bCs/>
        </w:rPr>
        <w:t xml:space="preserve">these </w:t>
      </w:r>
      <w:r w:rsidRPr="0006194C">
        <w:rPr>
          <w:bCs/>
        </w:rPr>
        <w:t>issues would be addressed in representations and warranties made by the Borrower</w:t>
      </w:r>
      <w:r w:rsidR="00634E82">
        <w:rPr>
          <w:bCs/>
        </w:rPr>
        <w:t xml:space="preserve"> instead of the Lender. With respect to HUD transactions,</w:t>
      </w:r>
      <w:r w:rsidRPr="0006194C">
        <w:rPr>
          <w:bCs/>
        </w:rPr>
        <w:t xml:space="preserve"> </w:t>
      </w:r>
      <w:r w:rsidR="00634E82">
        <w:rPr>
          <w:bCs/>
        </w:rPr>
        <w:t xml:space="preserve">commenters </w:t>
      </w:r>
      <w:r w:rsidR="00C96930">
        <w:rPr>
          <w:bCs/>
        </w:rPr>
        <w:t>stated</w:t>
      </w:r>
      <w:r w:rsidR="00634E82">
        <w:rPr>
          <w:bCs/>
        </w:rPr>
        <w:t xml:space="preserve"> i</w:t>
      </w:r>
      <w:r w:rsidRPr="0006194C">
        <w:rPr>
          <w:bCs/>
        </w:rPr>
        <w:t>t ha</w:t>
      </w:r>
      <w:r w:rsidR="0081216B" w:rsidRPr="0006194C">
        <w:rPr>
          <w:bCs/>
        </w:rPr>
        <w:t>s</w:t>
      </w:r>
      <w:r w:rsidRPr="0006194C">
        <w:rPr>
          <w:bCs/>
        </w:rPr>
        <w:t xml:space="preserve"> been the responsibility of the Borrower (and its counsel) to provide evidence of compliance. </w:t>
      </w:r>
    </w:p>
    <w:p w:rsidR="00D7135F" w:rsidRDefault="00D7135F" w:rsidP="00D226BC">
      <w:pPr>
        <w:rPr>
          <w:bCs/>
          <w:u w:val="single"/>
        </w:rPr>
      </w:pPr>
    </w:p>
    <w:p w:rsidR="0084453D" w:rsidRPr="003C5E6E" w:rsidRDefault="0006194C" w:rsidP="003C5E6E">
      <w:pPr>
        <w:pStyle w:val="ListParagraph"/>
        <w:ind w:left="0"/>
        <w:rPr>
          <w:bCs/>
          <w:u w:val="single"/>
        </w:rPr>
      </w:pPr>
      <w:r w:rsidRPr="003C5E6E">
        <w:rPr>
          <w:bCs/>
          <w:u w:val="single"/>
        </w:rPr>
        <w:t xml:space="preserve">Response  </w:t>
      </w:r>
    </w:p>
    <w:p w:rsidR="0006194C" w:rsidRDefault="0006194C" w:rsidP="00D226BC">
      <w:pPr>
        <w:rPr>
          <w:bCs/>
        </w:rPr>
      </w:pPr>
    </w:p>
    <w:p w:rsidR="00634E82" w:rsidRDefault="00D226BC" w:rsidP="001A6070">
      <w:pPr>
        <w:pStyle w:val="ListParagraph"/>
        <w:numPr>
          <w:ilvl w:val="0"/>
          <w:numId w:val="11"/>
        </w:numPr>
        <w:rPr>
          <w:bCs/>
        </w:rPr>
      </w:pPr>
      <w:r w:rsidRPr="00634E82">
        <w:rPr>
          <w:bCs/>
        </w:rPr>
        <w:t xml:space="preserve">HUD </w:t>
      </w:r>
      <w:r w:rsidR="00634E82" w:rsidRPr="00634E82">
        <w:rPr>
          <w:bCs/>
        </w:rPr>
        <w:t>adopted the following</w:t>
      </w:r>
      <w:r w:rsidRPr="00634E82">
        <w:rPr>
          <w:bCs/>
        </w:rPr>
        <w:t xml:space="preserve"> modifi</w:t>
      </w:r>
      <w:r w:rsidR="0084453D" w:rsidRPr="00634E82">
        <w:rPr>
          <w:bCs/>
        </w:rPr>
        <w:t>cation</w:t>
      </w:r>
      <w:r w:rsidR="00634E82" w:rsidRPr="00634E82">
        <w:rPr>
          <w:bCs/>
        </w:rPr>
        <w:t>s</w:t>
      </w:r>
      <w:r w:rsidR="00CE09C9">
        <w:rPr>
          <w:bCs/>
        </w:rPr>
        <w:t xml:space="preserve"> which narrow the liability tests:</w:t>
      </w:r>
      <w:r w:rsidR="00634E82" w:rsidRPr="00634E82">
        <w:rPr>
          <w:bCs/>
        </w:rPr>
        <w:t xml:space="preserve">: </w:t>
      </w:r>
    </w:p>
    <w:p w:rsidR="00634E82" w:rsidRDefault="00634E82" w:rsidP="00CE09C9">
      <w:pPr>
        <w:pStyle w:val="ListParagraph"/>
        <w:numPr>
          <w:ilvl w:val="1"/>
          <w:numId w:val="11"/>
        </w:numPr>
        <w:rPr>
          <w:bCs/>
        </w:rPr>
      </w:pPr>
      <w:r w:rsidRPr="00634E82">
        <w:rPr>
          <w:bCs/>
        </w:rPr>
        <w:t xml:space="preserve">The </w:t>
      </w:r>
      <w:r>
        <w:rPr>
          <w:bCs/>
        </w:rPr>
        <w:t>L</w:t>
      </w:r>
      <w:r w:rsidRPr="00634E82">
        <w:rPr>
          <w:bCs/>
        </w:rPr>
        <w:t xml:space="preserve">ender </w:t>
      </w:r>
      <w:r w:rsidR="00CE09C9">
        <w:rPr>
          <w:bCs/>
        </w:rPr>
        <w:t>c</w:t>
      </w:r>
      <w:r w:rsidRPr="00634E82">
        <w:rPr>
          <w:bCs/>
        </w:rPr>
        <w:t>ertifications will be b</w:t>
      </w:r>
      <w:r w:rsidR="00467D38" w:rsidRPr="00634E82">
        <w:rPr>
          <w:bCs/>
        </w:rPr>
        <w:t>ased</w:t>
      </w:r>
      <w:r w:rsidR="00D226BC" w:rsidRPr="00634E82">
        <w:rPr>
          <w:bCs/>
        </w:rPr>
        <w:t xml:space="preserve"> upon reasonable due diligence</w:t>
      </w:r>
      <w:r w:rsidR="00CE09C9">
        <w:rPr>
          <w:bCs/>
        </w:rPr>
        <w:t>,</w:t>
      </w:r>
      <w:r w:rsidR="00D226BC" w:rsidRPr="00634E82">
        <w:rPr>
          <w:bCs/>
        </w:rPr>
        <w:t>”</w:t>
      </w:r>
      <w:r w:rsidR="00EA65BC">
        <w:rPr>
          <w:bCs/>
        </w:rPr>
        <w:t xml:space="preserve"> </w:t>
      </w:r>
      <w:r w:rsidR="00CE09C9">
        <w:rPr>
          <w:bCs/>
        </w:rPr>
        <w:t>and</w:t>
      </w:r>
    </w:p>
    <w:p w:rsidR="00CE09C9" w:rsidRDefault="00634E82" w:rsidP="00CE09C9">
      <w:pPr>
        <w:pStyle w:val="ListParagraph"/>
        <w:numPr>
          <w:ilvl w:val="1"/>
          <w:numId w:val="11"/>
        </w:numPr>
        <w:rPr>
          <w:bCs/>
        </w:rPr>
      </w:pPr>
      <w:r w:rsidRPr="00634E82">
        <w:rPr>
          <w:bCs/>
        </w:rPr>
        <w:t>T</w:t>
      </w:r>
      <w:r w:rsidR="00D226BC" w:rsidRPr="00634E82">
        <w:rPr>
          <w:bCs/>
        </w:rPr>
        <w:t>he Lender</w:t>
      </w:r>
      <w:r w:rsidRPr="00634E82">
        <w:rPr>
          <w:bCs/>
        </w:rPr>
        <w:t xml:space="preserve"> will certify that they have </w:t>
      </w:r>
      <w:r w:rsidR="00D226BC" w:rsidRPr="00634E82">
        <w:rPr>
          <w:bCs/>
        </w:rPr>
        <w:t>made reasonable inquiry” or is certifying “to the best of Lender’s knowledge.”</w:t>
      </w:r>
    </w:p>
    <w:p w:rsidR="0084453D" w:rsidRDefault="00D226BC" w:rsidP="00923278">
      <w:pPr>
        <w:pStyle w:val="ListParagraph"/>
        <w:ind w:left="1440"/>
        <w:rPr>
          <w:bCs/>
        </w:rPr>
      </w:pPr>
      <w:r w:rsidRPr="00634E82">
        <w:rPr>
          <w:bCs/>
        </w:rPr>
        <w:t xml:space="preserve">  </w:t>
      </w:r>
    </w:p>
    <w:p w:rsidR="00D226BC" w:rsidRPr="00634E82" w:rsidRDefault="00634E82" w:rsidP="001A6070">
      <w:pPr>
        <w:pStyle w:val="ListParagraph"/>
        <w:numPr>
          <w:ilvl w:val="0"/>
          <w:numId w:val="11"/>
        </w:numPr>
        <w:rPr>
          <w:bCs/>
        </w:rPr>
      </w:pPr>
      <w:r w:rsidRPr="00634E82">
        <w:rPr>
          <w:bCs/>
        </w:rPr>
        <w:t xml:space="preserve">The Lender will </w:t>
      </w:r>
      <w:r w:rsidR="00D226BC" w:rsidRPr="00634E82">
        <w:rPr>
          <w:bCs/>
          <w:u w:val="single"/>
        </w:rPr>
        <w:t>confirm</w:t>
      </w:r>
      <w:r w:rsidR="00CE09C9" w:rsidRPr="00923278">
        <w:rPr>
          <w:bCs/>
        </w:rPr>
        <w:t>,</w:t>
      </w:r>
      <w:r w:rsidR="00EA65BC">
        <w:rPr>
          <w:bCs/>
        </w:rPr>
        <w:t xml:space="preserve"> </w:t>
      </w:r>
      <w:r w:rsidR="00CE09C9" w:rsidRPr="00923278">
        <w:rPr>
          <w:bCs/>
        </w:rPr>
        <w:t>(as oppo</w:t>
      </w:r>
      <w:r w:rsidR="00923278" w:rsidRPr="00923278">
        <w:rPr>
          <w:bCs/>
        </w:rPr>
        <w:t>s</w:t>
      </w:r>
      <w:r w:rsidR="00CE09C9" w:rsidRPr="00923278">
        <w:rPr>
          <w:bCs/>
        </w:rPr>
        <w:t>ed to certifying)</w:t>
      </w:r>
      <w:r w:rsidR="00506AB8" w:rsidRPr="00506AB8">
        <w:rPr>
          <w:bCs/>
        </w:rPr>
        <w:t xml:space="preserve"> </w:t>
      </w:r>
      <w:r w:rsidR="00D226BC" w:rsidRPr="00634E82">
        <w:rPr>
          <w:bCs/>
        </w:rPr>
        <w:t xml:space="preserve">in writing before final endorsement of the Note that the Borrower has obtained the necessary permits and met the listed </w:t>
      </w:r>
      <w:r w:rsidR="00D226BC" w:rsidRPr="00634E82">
        <w:rPr>
          <w:bCs/>
        </w:rPr>
        <w:lastRenderedPageBreak/>
        <w:t>requirements.</w:t>
      </w:r>
    </w:p>
    <w:p w:rsidR="00DA536C" w:rsidRDefault="00DA536C" w:rsidP="00E84FD1"/>
    <w:p w:rsidR="0084453D" w:rsidRPr="001A6070" w:rsidRDefault="0084453D" w:rsidP="003C5E6E">
      <w:pPr>
        <w:pStyle w:val="ListParagraph"/>
        <w:ind w:left="0"/>
        <w:rPr>
          <w:b/>
          <w:bCs/>
          <w:u w:val="single"/>
        </w:rPr>
      </w:pPr>
      <w:r w:rsidRPr="001A6070">
        <w:rPr>
          <w:b/>
          <w:bCs/>
          <w:u w:val="single"/>
        </w:rPr>
        <w:t xml:space="preserve">Guide for Opinion of Borrower’s Counsel </w:t>
      </w:r>
    </w:p>
    <w:p w:rsidR="00F251B7" w:rsidRDefault="00F251B7" w:rsidP="003C5E6E">
      <w:pPr>
        <w:rPr>
          <w:bCs/>
          <w:u w:val="single"/>
        </w:rPr>
      </w:pPr>
    </w:p>
    <w:p w:rsidR="009E4134" w:rsidRPr="001A6070" w:rsidRDefault="00D7135F" w:rsidP="003C5E6E">
      <w:pPr>
        <w:pStyle w:val="ListParagraph"/>
        <w:ind w:left="0"/>
        <w:rPr>
          <w:bCs/>
          <w:u w:val="single"/>
        </w:rPr>
      </w:pPr>
      <w:r w:rsidRPr="001A6070">
        <w:rPr>
          <w:bCs/>
        </w:rPr>
        <w:t>The Guide is the legal opinion that the borrower’s attorney gives to the Lender prior to closing to provide the Lender with protection that the borrower is legally formed, has the authority to enter into the mortgage, and can execute the closing documents.</w:t>
      </w:r>
      <w:r w:rsidR="00604CD9" w:rsidRPr="001A6070">
        <w:rPr>
          <w:bCs/>
        </w:rPr>
        <w:t xml:space="preserve"> T</w:t>
      </w:r>
      <w:r w:rsidR="00337544" w:rsidRPr="001A6070">
        <w:rPr>
          <w:bCs/>
        </w:rPr>
        <w:t xml:space="preserve">he Lender </w:t>
      </w:r>
      <w:r w:rsidR="00604CD9" w:rsidRPr="001A6070">
        <w:rPr>
          <w:bCs/>
        </w:rPr>
        <w:t xml:space="preserve">requests this opinion because the </w:t>
      </w:r>
      <w:r w:rsidR="00F74DEB" w:rsidRPr="001A6070">
        <w:rPr>
          <w:bCs/>
        </w:rPr>
        <w:t>lender will</w:t>
      </w:r>
      <w:r w:rsidR="00337544" w:rsidRPr="001A6070">
        <w:rPr>
          <w:bCs/>
        </w:rPr>
        <w:t xml:space="preserve"> frequently depend on the borrower and its counsel to provide the</w:t>
      </w:r>
      <w:r w:rsidR="00604CD9" w:rsidRPr="001A6070">
        <w:rPr>
          <w:bCs/>
        </w:rPr>
        <w:t>m</w:t>
      </w:r>
      <w:r w:rsidR="00337544" w:rsidRPr="001A6070">
        <w:rPr>
          <w:bCs/>
        </w:rPr>
        <w:t xml:space="preserve"> with accurate and complete information on many aspects of the law in the applicable jurisdiction, </w:t>
      </w:r>
      <w:r w:rsidR="00CE09C9">
        <w:rPr>
          <w:bCs/>
        </w:rPr>
        <w:t xml:space="preserve">as well as </w:t>
      </w:r>
      <w:r w:rsidR="00337544" w:rsidRPr="001A6070">
        <w:rPr>
          <w:bCs/>
        </w:rPr>
        <w:t xml:space="preserve">the </w:t>
      </w:r>
      <w:r w:rsidR="00415CC1" w:rsidRPr="001A6070">
        <w:rPr>
          <w:bCs/>
        </w:rPr>
        <w:t xml:space="preserve">borrower’s legal status. </w:t>
      </w:r>
    </w:p>
    <w:p w:rsidR="00F251B7" w:rsidRDefault="00F251B7" w:rsidP="003C5E6E">
      <w:pPr>
        <w:rPr>
          <w:bCs/>
          <w:u w:val="single"/>
        </w:rPr>
      </w:pPr>
    </w:p>
    <w:p w:rsidR="00EE3539" w:rsidRDefault="00EE3539" w:rsidP="00CE09C9">
      <w:pPr>
        <w:pStyle w:val="ListParagraph"/>
        <w:ind w:left="0"/>
        <w:rPr>
          <w:bCs/>
          <w:u w:val="single"/>
        </w:rPr>
      </w:pPr>
      <w:r w:rsidRPr="001A6070">
        <w:rPr>
          <w:bCs/>
          <w:u w:val="single"/>
        </w:rPr>
        <w:t>Comment:</w:t>
      </w:r>
    </w:p>
    <w:p w:rsidR="00923278" w:rsidRDefault="00923278" w:rsidP="00CE09C9">
      <w:pPr>
        <w:pStyle w:val="ListParagraph"/>
        <w:ind w:left="0"/>
        <w:rPr>
          <w:bCs/>
          <w:u w:val="single"/>
        </w:rPr>
      </w:pPr>
    </w:p>
    <w:p w:rsidR="00EE3539" w:rsidRDefault="00EE3539" w:rsidP="001A6070">
      <w:pPr>
        <w:pStyle w:val="ListParagraph"/>
        <w:numPr>
          <w:ilvl w:val="0"/>
          <w:numId w:val="11"/>
        </w:numPr>
        <w:rPr>
          <w:bCs/>
        </w:rPr>
      </w:pPr>
      <w:r w:rsidRPr="00EE3539">
        <w:rPr>
          <w:bCs/>
        </w:rPr>
        <w:t xml:space="preserve">Commenters </w:t>
      </w:r>
      <w:r w:rsidR="00EA65BC">
        <w:rPr>
          <w:bCs/>
        </w:rPr>
        <w:t>stated</w:t>
      </w:r>
      <w:r w:rsidRPr="00EE3539">
        <w:rPr>
          <w:bCs/>
        </w:rPr>
        <w:t xml:space="preserve"> that it was impossible to obtain </w:t>
      </w:r>
      <w:r w:rsidR="0084453D" w:rsidRPr="00EE3539">
        <w:rPr>
          <w:bCs/>
        </w:rPr>
        <w:t>certificate</w:t>
      </w:r>
      <w:r w:rsidRPr="00EE3539">
        <w:rPr>
          <w:bCs/>
        </w:rPr>
        <w:t>s</w:t>
      </w:r>
      <w:r w:rsidR="0084453D" w:rsidRPr="00EE3539">
        <w:rPr>
          <w:bCs/>
        </w:rPr>
        <w:t xml:space="preserve"> of good standing for trusts</w:t>
      </w:r>
      <w:r w:rsidRPr="00EE3539">
        <w:rPr>
          <w:bCs/>
        </w:rPr>
        <w:t xml:space="preserve"> in certain jurisdictions. </w:t>
      </w:r>
    </w:p>
    <w:p w:rsidR="00EE3539" w:rsidRDefault="00EE3539" w:rsidP="00E84FD1">
      <w:pPr>
        <w:pStyle w:val="ListParagraph"/>
        <w:ind w:left="0"/>
        <w:rPr>
          <w:bCs/>
        </w:rPr>
      </w:pPr>
    </w:p>
    <w:p w:rsidR="00EE3539" w:rsidRPr="00A14ACA" w:rsidRDefault="00EE3539" w:rsidP="003C5E6E">
      <w:pPr>
        <w:pStyle w:val="ListParagraph"/>
        <w:ind w:left="0"/>
        <w:rPr>
          <w:bCs/>
          <w:u w:val="single"/>
        </w:rPr>
      </w:pPr>
      <w:r w:rsidRPr="00A14ACA">
        <w:rPr>
          <w:bCs/>
          <w:u w:val="single"/>
        </w:rPr>
        <w:t>Response</w:t>
      </w:r>
    </w:p>
    <w:p w:rsidR="00A14ACA" w:rsidRDefault="00A14ACA" w:rsidP="00604CD9">
      <w:pPr>
        <w:pStyle w:val="ListParagraph"/>
        <w:rPr>
          <w:bCs/>
        </w:rPr>
      </w:pPr>
    </w:p>
    <w:p w:rsidR="0084453D" w:rsidRPr="00A14ACA" w:rsidRDefault="00EE3539" w:rsidP="001A6070">
      <w:pPr>
        <w:pStyle w:val="ListParagraph"/>
        <w:numPr>
          <w:ilvl w:val="0"/>
          <w:numId w:val="11"/>
        </w:numPr>
        <w:rPr>
          <w:bCs/>
        </w:rPr>
      </w:pPr>
      <w:r>
        <w:rPr>
          <w:bCs/>
        </w:rPr>
        <w:t>HUD will allow attorneys to provide</w:t>
      </w:r>
      <w:r w:rsidR="00A14ACA">
        <w:rPr>
          <w:bCs/>
        </w:rPr>
        <w:t xml:space="preserve"> </w:t>
      </w:r>
      <w:r w:rsidR="00A14ACA" w:rsidRPr="00604CD9">
        <w:rPr>
          <w:bCs/>
        </w:rPr>
        <w:t>a</w:t>
      </w:r>
      <w:r w:rsidR="00467D38" w:rsidRPr="00604CD9">
        <w:rPr>
          <w:bCs/>
        </w:rPr>
        <w:t>lternatives</w:t>
      </w:r>
      <w:r w:rsidR="0084453D" w:rsidRPr="00604CD9">
        <w:rPr>
          <w:bCs/>
        </w:rPr>
        <w:t xml:space="preserve"> appropriate</w:t>
      </w:r>
      <w:r w:rsidR="0084453D" w:rsidRPr="00A14ACA">
        <w:rPr>
          <w:bCs/>
        </w:rPr>
        <w:t xml:space="preserve"> for the jurisdiction</w:t>
      </w:r>
      <w:r w:rsidR="0084453D" w:rsidRPr="00EE3539">
        <w:rPr>
          <w:bCs/>
        </w:rPr>
        <w:t xml:space="preserve"> and the entity</w:t>
      </w:r>
      <w:r w:rsidR="00A14ACA">
        <w:rPr>
          <w:bCs/>
        </w:rPr>
        <w:t>, and will a</w:t>
      </w:r>
      <w:r w:rsidR="0084453D" w:rsidRPr="00A14ACA">
        <w:rPr>
          <w:bCs/>
        </w:rPr>
        <w:t xml:space="preserve">llow the participating entities to </w:t>
      </w:r>
      <w:r w:rsidR="0084453D" w:rsidRPr="00604CD9">
        <w:rPr>
          <w:bCs/>
        </w:rPr>
        <w:t>certify their legal</w:t>
      </w:r>
      <w:r w:rsidR="0084453D" w:rsidRPr="00A14ACA">
        <w:rPr>
          <w:bCs/>
        </w:rPr>
        <w:t xml:space="preserve"> status.</w:t>
      </w:r>
    </w:p>
    <w:p w:rsidR="00C35E28" w:rsidRDefault="00C35E28" w:rsidP="00E84FD1">
      <w:pPr>
        <w:ind w:firstLine="720"/>
        <w:rPr>
          <w:bCs/>
        </w:rPr>
      </w:pPr>
    </w:p>
    <w:p w:rsidR="00A14ACA" w:rsidRPr="001A6070" w:rsidRDefault="00A14ACA" w:rsidP="003C5E6E">
      <w:pPr>
        <w:pStyle w:val="ListParagraph"/>
        <w:ind w:left="0"/>
        <w:rPr>
          <w:bCs/>
          <w:u w:val="single"/>
        </w:rPr>
      </w:pPr>
      <w:r w:rsidRPr="001A6070">
        <w:rPr>
          <w:bCs/>
          <w:u w:val="single"/>
        </w:rPr>
        <w:t>Comment</w:t>
      </w:r>
    </w:p>
    <w:p w:rsidR="00A14ACA" w:rsidRDefault="00A14ACA" w:rsidP="00E84FD1">
      <w:pPr>
        <w:rPr>
          <w:bCs/>
        </w:rPr>
      </w:pPr>
    </w:p>
    <w:p w:rsidR="006D5AD2" w:rsidRPr="00604CD9" w:rsidRDefault="00A14ACA" w:rsidP="001A6070">
      <w:pPr>
        <w:pStyle w:val="ListParagraph"/>
        <w:numPr>
          <w:ilvl w:val="0"/>
          <w:numId w:val="11"/>
        </w:numPr>
        <w:rPr>
          <w:bCs/>
        </w:rPr>
      </w:pPr>
      <w:r w:rsidRPr="00604CD9">
        <w:rPr>
          <w:bCs/>
        </w:rPr>
        <w:t xml:space="preserve">Commenters </w:t>
      </w:r>
      <w:r w:rsidR="00EA65BC">
        <w:rPr>
          <w:bCs/>
        </w:rPr>
        <w:t>stated</w:t>
      </w:r>
      <w:r w:rsidRPr="00604CD9">
        <w:rPr>
          <w:bCs/>
        </w:rPr>
        <w:t xml:space="preserve"> that the conflicts test, under which attorneys certify that they, for example, have no financial interest </w:t>
      </w:r>
      <w:r w:rsidR="00604CD9">
        <w:rPr>
          <w:bCs/>
        </w:rPr>
        <w:t xml:space="preserve">or conflict </w:t>
      </w:r>
      <w:r w:rsidRPr="00604CD9">
        <w:rPr>
          <w:bCs/>
        </w:rPr>
        <w:t xml:space="preserve">in the project or connection to the borrower, was too narrow and prohibited many attorneys and law firms from being able to give opinions on the </w:t>
      </w:r>
      <w:r w:rsidR="00604CD9">
        <w:rPr>
          <w:bCs/>
        </w:rPr>
        <w:t xml:space="preserve">viability of the </w:t>
      </w:r>
      <w:r w:rsidRPr="00604CD9">
        <w:rPr>
          <w:bCs/>
        </w:rPr>
        <w:t xml:space="preserve">deals.  For example, </w:t>
      </w:r>
      <w:r w:rsidR="006D5AD2" w:rsidRPr="00604CD9">
        <w:rPr>
          <w:bCs/>
        </w:rPr>
        <w:t xml:space="preserve">commenters </w:t>
      </w:r>
      <w:r w:rsidR="00EA65BC">
        <w:rPr>
          <w:bCs/>
        </w:rPr>
        <w:t>stated</w:t>
      </w:r>
      <w:r w:rsidR="006D5AD2" w:rsidRPr="00604CD9">
        <w:rPr>
          <w:bCs/>
        </w:rPr>
        <w:t xml:space="preserve"> that be</w:t>
      </w:r>
      <w:r w:rsidRPr="00604CD9">
        <w:rPr>
          <w:bCs/>
        </w:rPr>
        <w:t xml:space="preserve">cause </w:t>
      </w:r>
      <w:r w:rsidR="006D5AD2" w:rsidRPr="00604CD9">
        <w:rPr>
          <w:bCs/>
        </w:rPr>
        <w:t xml:space="preserve">they might perform some kind of legal work for Wells Fargo, such as employment litigation, they would be prohibited from rendering opinions under the conflicts tests. </w:t>
      </w:r>
      <w:r w:rsidRPr="00604CD9">
        <w:rPr>
          <w:bCs/>
        </w:rPr>
        <w:t xml:space="preserve"> </w:t>
      </w:r>
    </w:p>
    <w:p w:rsidR="00604CD9" w:rsidRDefault="00604CD9" w:rsidP="00E84FD1">
      <w:pPr>
        <w:rPr>
          <w:bCs/>
        </w:rPr>
      </w:pPr>
    </w:p>
    <w:p w:rsidR="006D5AD2" w:rsidRPr="001A6070" w:rsidRDefault="006D5AD2" w:rsidP="003C5E6E">
      <w:pPr>
        <w:pStyle w:val="ListParagraph"/>
        <w:ind w:left="0"/>
        <w:rPr>
          <w:bCs/>
          <w:u w:val="single"/>
        </w:rPr>
      </w:pPr>
      <w:r w:rsidRPr="001A6070">
        <w:rPr>
          <w:bCs/>
          <w:u w:val="single"/>
        </w:rPr>
        <w:t>Response</w:t>
      </w:r>
    </w:p>
    <w:p w:rsidR="006D5AD2" w:rsidRDefault="006D5AD2" w:rsidP="00E84FD1">
      <w:pPr>
        <w:rPr>
          <w:bCs/>
        </w:rPr>
      </w:pPr>
    </w:p>
    <w:p w:rsidR="0084453D" w:rsidRPr="00604CD9" w:rsidRDefault="006D5AD2" w:rsidP="001A6070">
      <w:pPr>
        <w:pStyle w:val="ListParagraph"/>
        <w:numPr>
          <w:ilvl w:val="0"/>
          <w:numId w:val="11"/>
        </w:numPr>
        <w:rPr>
          <w:bCs/>
          <w:u w:val="single"/>
        </w:rPr>
      </w:pPr>
      <w:r w:rsidRPr="00604CD9">
        <w:rPr>
          <w:bCs/>
        </w:rPr>
        <w:t>HUD revised the document to</w:t>
      </w:r>
      <w:r w:rsidR="00F27362" w:rsidRPr="00604CD9">
        <w:rPr>
          <w:bCs/>
        </w:rPr>
        <w:t xml:space="preserve"> </w:t>
      </w:r>
      <w:r w:rsidRPr="00604CD9">
        <w:rPr>
          <w:bCs/>
        </w:rPr>
        <w:t xml:space="preserve">provide that </w:t>
      </w:r>
      <w:r w:rsidR="00F27362" w:rsidRPr="00604CD9">
        <w:rPr>
          <w:bCs/>
        </w:rPr>
        <w:t xml:space="preserve">the conflicts test is applicable to </w:t>
      </w:r>
      <w:r w:rsidR="00CE09C9">
        <w:rPr>
          <w:bCs/>
        </w:rPr>
        <w:t>“</w:t>
      </w:r>
      <w:r w:rsidR="00F27362" w:rsidRPr="00604CD9">
        <w:rPr>
          <w:bCs/>
        </w:rPr>
        <w:t>only those a</w:t>
      </w:r>
      <w:r w:rsidRPr="00604CD9">
        <w:rPr>
          <w:bCs/>
        </w:rPr>
        <w:t xml:space="preserve">ttorneys </w:t>
      </w:r>
      <w:r w:rsidR="0084453D" w:rsidRPr="00604CD9">
        <w:rPr>
          <w:bCs/>
        </w:rPr>
        <w:t>who devote substantive attention to the transaction</w:t>
      </w:r>
      <w:r w:rsidR="00F27362" w:rsidRPr="00604CD9">
        <w:rPr>
          <w:bCs/>
        </w:rPr>
        <w:t xml:space="preserve">”, and does </w:t>
      </w:r>
      <w:r w:rsidR="00F74DEB" w:rsidRPr="00604CD9">
        <w:rPr>
          <w:bCs/>
        </w:rPr>
        <w:t>not apply</w:t>
      </w:r>
      <w:r w:rsidR="00F27362" w:rsidRPr="00604CD9">
        <w:rPr>
          <w:bCs/>
        </w:rPr>
        <w:t xml:space="preserve"> to other lawyers in the firm. HUD also narrowed the conflicts test to </w:t>
      </w:r>
      <w:r w:rsidR="00F74DEB" w:rsidRPr="00604CD9">
        <w:rPr>
          <w:bCs/>
        </w:rPr>
        <w:t>provide that</w:t>
      </w:r>
      <w:r w:rsidR="00F27362" w:rsidRPr="00604CD9">
        <w:rPr>
          <w:bCs/>
        </w:rPr>
        <w:t xml:space="preserve"> the p</w:t>
      </w:r>
      <w:r w:rsidR="0084453D" w:rsidRPr="00604CD9">
        <w:rPr>
          <w:bCs/>
        </w:rPr>
        <w:t xml:space="preserve">articipating attorneys </w:t>
      </w:r>
      <w:r w:rsidR="00F27362" w:rsidRPr="00604CD9">
        <w:rPr>
          <w:bCs/>
        </w:rPr>
        <w:t xml:space="preserve">will base </w:t>
      </w:r>
      <w:r w:rsidR="00CE09C9">
        <w:rPr>
          <w:bCs/>
        </w:rPr>
        <w:t xml:space="preserve">their </w:t>
      </w:r>
      <w:r w:rsidR="00F27362" w:rsidRPr="00604CD9">
        <w:rPr>
          <w:bCs/>
        </w:rPr>
        <w:t xml:space="preserve">opinion on their own </w:t>
      </w:r>
      <w:r w:rsidR="0084453D" w:rsidRPr="00604CD9">
        <w:rPr>
          <w:bCs/>
        </w:rPr>
        <w:t>knowledge of other</w:t>
      </w:r>
      <w:r w:rsidR="00604CD9">
        <w:rPr>
          <w:bCs/>
        </w:rPr>
        <w:t xml:space="preserve"> </w:t>
      </w:r>
      <w:r w:rsidR="0084453D" w:rsidRPr="00604CD9">
        <w:rPr>
          <w:bCs/>
        </w:rPr>
        <w:t xml:space="preserve">firm attorneys’ financial interest and conflicts in the Project, the Property, or </w:t>
      </w:r>
      <w:r w:rsidR="00F74DEB" w:rsidRPr="00604CD9">
        <w:rPr>
          <w:bCs/>
        </w:rPr>
        <w:t>the Borrower</w:t>
      </w:r>
    </w:p>
    <w:p w:rsidR="00383572" w:rsidRDefault="00383572" w:rsidP="00604CD9">
      <w:pPr>
        <w:pStyle w:val="ListParagraph"/>
        <w:ind w:left="1080"/>
        <w:rPr>
          <w:bCs/>
          <w:u w:val="single"/>
        </w:rPr>
      </w:pPr>
    </w:p>
    <w:p w:rsidR="00F27362" w:rsidRDefault="00D8137C" w:rsidP="003C5E6E">
      <w:pPr>
        <w:pStyle w:val="ListParagraph"/>
        <w:ind w:left="0"/>
        <w:rPr>
          <w:bCs/>
          <w:u w:val="single"/>
        </w:rPr>
      </w:pPr>
      <w:r>
        <w:rPr>
          <w:bCs/>
          <w:u w:val="single"/>
        </w:rPr>
        <w:t xml:space="preserve">Comment </w:t>
      </w:r>
    </w:p>
    <w:p w:rsidR="00F27362" w:rsidRDefault="00F27362" w:rsidP="00E84FD1">
      <w:pPr>
        <w:pStyle w:val="ListParagraph"/>
        <w:ind w:left="0"/>
        <w:jc w:val="both"/>
        <w:rPr>
          <w:bCs/>
          <w:u w:val="single"/>
        </w:rPr>
      </w:pPr>
    </w:p>
    <w:p w:rsidR="00D8137C" w:rsidRPr="00604CD9" w:rsidRDefault="00D8137C" w:rsidP="001A6070">
      <w:pPr>
        <w:pStyle w:val="ListParagraph"/>
        <w:numPr>
          <w:ilvl w:val="0"/>
          <w:numId w:val="11"/>
        </w:numPr>
        <w:rPr>
          <w:bCs/>
        </w:rPr>
      </w:pPr>
      <w:r w:rsidRPr="00604CD9">
        <w:rPr>
          <w:bCs/>
        </w:rPr>
        <w:t xml:space="preserve">Commenters contend that individual lawyers typically did not sign the </w:t>
      </w:r>
      <w:r w:rsidR="00F74DEB" w:rsidRPr="00604CD9">
        <w:rPr>
          <w:bCs/>
        </w:rPr>
        <w:t>opinon,</w:t>
      </w:r>
      <w:r w:rsidR="00F74DEB">
        <w:rPr>
          <w:bCs/>
        </w:rPr>
        <w:t xml:space="preserve"> </w:t>
      </w:r>
      <w:r w:rsidR="00F74DEB" w:rsidRPr="00604CD9">
        <w:rPr>
          <w:bCs/>
        </w:rPr>
        <w:t>and</w:t>
      </w:r>
      <w:r w:rsidRPr="00604CD9">
        <w:rPr>
          <w:bCs/>
        </w:rPr>
        <w:t xml:space="preserve"> that instead, lawyers signed on behalf of their firm.</w:t>
      </w:r>
    </w:p>
    <w:p w:rsidR="00D8137C" w:rsidRPr="00604CD9" w:rsidRDefault="00D8137C" w:rsidP="00E84FD1">
      <w:pPr>
        <w:pStyle w:val="ListParagraph"/>
        <w:ind w:left="0"/>
        <w:rPr>
          <w:bCs/>
        </w:rPr>
      </w:pPr>
    </w:p>
    <w:p w:rsidR="00383572" w:rsidRDefault="00D8137C" w:rsidP="003C5E6E">
      <w:pPr>
        <w:pStyle w:val="ListParagraph"/>
        <w:ind w:left="0"/>
        <w:rPr>
          <w:bCs/>
          <w:u w:val="single"/>
        </w:rPr>
      </w:pPr>
      <w:r>
        <w:rPr>
          <w:bCs/>
          <w:u w:val="single"/>
        </w:rPr>
        <w:lastRenderedPageBreak/>
        <w:t xml:space="preserve">Response  </w:t>
      </w:r>
      <w:r w:rsidR="00383572">
        <w:rPr>
          <w:bCs/>
          <w:u w:val="single"/>
        </w:rPr>
        <w:t xml:space="preserve"> </w:t>
      </w:r>
    </w:p>
    <w:p w:rsidR="00604CD9" w:rsidRDefault="00604CD9" w:rsidP="00E84FD1">
      <w:pPr>
        <w:pStyle w:val="ListParagraph"/>
        <w:ind w:left="0"/>
        <w:rPr>
          <w:bCs/>
          <w:u w:val="single"/>
        </w:rPr>
      </w:pPr>
    </w:p>
    <w:p w:rsidR="00DA4973" w:rsidRPr="00604CD9" w:rsidRDefault="00DA4973" w:rsidP="001A6070">
      <w:pPr>
        <w:pStyle w:val="ListParagraph"/>
        <w:numPr>
          <w:ilvl w:val="0"/>
          <w:numId w:val="11"/>
        </w:numPr>
        <w:rPr>
          <w:bCs/>
        </w:rPr>
      </w:pPr>
      <w:r w:rsidRPr="00604CD9">
        <w:rPr>
          <w:bCs/>
        </w:rPr>
        <w:t>HUD de</w:t>
      </w:r>
      <w:r w:rsidR="00604CD9">
        <w:rPr>
          <w:bCs/>
        </w:rPr>
        <w:t xml:space="preserve">cided </w:t>
      </w:r>
      <w:r w:rsidRPr="00604CD9">
        <w:rPr>
          <w:bCs/>
        </w:rPr>
        <w:t xml:space="preserve">to allow the Opinion to be signed on behalf of the firm issuing the Opinion rather than by an individual counsel. </w:t>
      </w:r>
    </w:p>
    <w:p w:rsidR="00383572" w:rsidRPr="00604CD9" w:rsidRDefault="00383572" w:rsidP="00E84FD1">
      <w:pPr>
        <w:widowControl/>
        <w:ind w:firstLine="720"/>
        <w:rPr>
          <w:bCs/>
        </w:rPr>
      </w:pPr>
    </w:p>
    <w:p w:rsidR="00383572" w:rsidRPr="00604CD9" w:rsidRDefault="00383572" w:rsidP="00E84FD1">
      <w:pPr>
        <w:widowControl/>
        <w:ind w:firstLine="720"/>
        <w:rPr>
          <w:bCs/>
        </w:rPr>
      </w:pPr>
    </w:p>
    <w:p w:rsidR="00383572" w:rsidRPr="00F74DEB" w:rsidRDefault="00383572" w:rsidP="003C5E6E">
      <w:pPr>
        <w:pStyle w:val="ListParagraph"/>
        <w:widowControl/>
        <w:ind w:left="0"/>
        <w:rPr>
          <w:b/>
          <w:bCs/>
          <w:u w:val="single"/>
        </w:rPr>
      </w:pPr>
      <w:r w:rsidRPr="00F74DEB">
        <w:rPr>
          <w:b/>
          <w:bCs/>
          <w:u w:val="single"/>
        </w:rPr>
        <w:t>Borrower’s Certification</w:t>
      </w:r>
    </w:p>
    <w:p w:rsidR="00604CD9" w:rsidRDefault="00604CD9" w:rsidP="003C5E6E">
      <w:pPr>
        <w:widowControl/>
        <w:rPr>
          <w:bCs/>
          <w:u w:val="single"/>
        </w:rPr>
      </w:pPr>
    </w:p>
    <w:p w:rsidR="00604CD9" w:rsidRPr="001A6070" w:rsidRDefault="00DA4973" w:rsidP="003C5E6E">
      <w:pPr>
        <w:pStyle w:val="ListParagraph"/>
        <w:widowControl/>
        <w:ind w:left="0"/>
        <w:rPr>
          <w:bCs/>
        </w:rPr>
      </w:pPr>
      <w:r w:rsidRPr="001A6070">
        <w:rPr>
          <w:bCs/>
        </w:rPr>
        <w:t>The Borrower</w:t>
      </w:r>
      <w:r w:rsidR="00ED1721" w:rsidRPr="001A6070">
        <w:rPr>
          <w:bCs/>
        </w:rPr>
        <w:t>’</w:t>
      </w:r>
      <w:r w:rsidRPr="001A6070">
        <w:rPr>
          <w:bCs/>
        </w:rPr>
        <w:t>s Certification is the HUD document comparable to the Borrower’s Affidavit in commercial lending transactions.</w:t>
      </w:r>
      <w:r w:rsidR="003E2159" w:rsidRPr="001A6070">
        <w:rPr>
          <w:bCs/>
        </w:rPr>
        <w:t xml:space="preserve"> In this docum</w:t>
      </w:r>
      <w:r w:rsidR="00604CD9" w:rsidRPr="001A6070">
        <w:rPr>
          <w:bCs/>
        </w:rPr>
        <w:t>e</w:t>
      </w:r>
      <w:r w:rsidR="003E2159" w:rsidRPr="001A6070">
        <w:rPr>
          <w:bCs/>
        </w:rPr>
        <w:t>n</w:t>
      </w:r>
      <w:r w:rsidR="00604CD9" w:rsidRPr="001A6070">
        <w:rPr>
          <w:bCs/>
        </w:rPr>
        <w:t>t</w:t>
      </w:r>
      <w:r w:rsidR="003E2159" w:rsidRPr="001A6070">
        <w:rPr>
          <w:bCs/>
        </w:rPr>
        <w:t>, the borrower reaffirms certain information provided to the lender,</w:t>
      </w:r>
      <w:r w:rsidR="00604CD9" w:rsidRPr="001A6070">
        <w:rPr>
          <w:bCs/>
        </w:rPr>
        <w:t xml:space="preserve"> </w:t>
      </w:r>
      <w:r w:rsidR="00F74DEB" w:rsidRPr="001A6070">
        <w:rPr>
          <w:bCs/>
        </w:rPr>
        <w:t>and represents</w:t>
      </w:r>
      <w:r w:rsidR="007363C2" w:rsidRPr="001A6070">
        <w:rPr>
          <w:bCs/>
        </w:rPr>
        <w:t xml:space="preserve"> to </w:t>
      </w:r>
      <w:r w:rsidR="003E2159" w:rsidRPr="001A6070">
        <w:rPr>
          <w:bCs/>
        </w:rPr>
        <w:t>both th</w:t>
      </w:r>
      <w:r w:rsidR="00604CD9" w:rsidRPr="001A6070">
        <w:rPr>
          <w:bCs/>
        </w:rPr>
        <w:t>e</w:t>
      </w:r>
      <w:r w:rsidR="003E2159" w:rsidRPr="001A6070">
        <w:rPr>
          <w:bCs/>
        </w:rPr>
        <w:t xml:space="preserve"> lender and the title insurance </w:t>
      </w:r>
      <w:r w:rsidR="00604CD9" w:rsidRPr="001A6070">
        <w:rPr>
          <w:bCs/>
        </w:rPr>
        <w:t>c</w:t>
      </w:r>
      <w:r w:rsidR="003E2159" w:rsidRPr="001A6070">
        <w:rPr>
          <w:bCs/>
        </w:rPr>
        <w:t>ompany th</w:t>
      </w:r>
      <w:r w:rsidR="00604CD9" w:rsidRPr="001A6070">
        <w:rPr>
          <w:bCs/>
        </w:rPr>
        <w:t>a</w:t>
      </w:r>
      <w:r w:rsidR="003E2159" w:rsidRPr="001A6070">
        <w:rPr>
          <w:bCs/>
        </w:rPr>
        <w:t xml:space="preserve">t is </w:t>
      </w:r>
      <w:r w:rsidR="00604CD9" w:rsidRPr="001A6070">
        <w:rPr>
          <w:bCs/>
        </w:rPr>
        <w:t xml:space="preserve">insuring </w:t>
      </w:r>
      <w:r w:rsidR="003E2159" w:rsidRPr="001A6070">
        <w:rPr>
          <w:bCs/>
        </w:rPr>
        <w:t xml:space="preserve">the property that they are aware of facts related to the property. </w:t>
      </w:r>
    </w:p>
    <w:p w:rsidR="00604CD9" w:rsidRDefault="00604CD9" w:rsidP="00E84FD1">
      <w:pPr>
        <w:widowControl/>
        <w:rPr>
          <w:bCs/>
        </w:rPr>
      </w:pPr>
    </w:p>
    <w:p w:rsidR="00604CD9" w:rsidRPr="003C5E6E" w:rsidRDefault="00604CD9" w:rsidP="003C5E6E">
      <w:pPr>
        <w:pStyle w:val="ListParagraph"/>
        <w:widowControl/>
        <w:ind w:left="0"/>
        <w:rPr>
          <w:bCs/>
          <w:u w:val="single"/>
        </w:rPr>
      </w:pPr>
      <w:r w:rsidRPr="003C5E6E">
        <w:rPr>
          <w:bCs/>
          <w:u w:val="single"/>
        </w:rPr>
        <w:t>Comment</w:t>
      </w:r>
    </w:p>
    <w:p w:rsidR="00604CD9" w:rsidRPr="003C5E6E" w:rsidRDefault="00604CD9" w:rsidP="003C5E6E">
      <w:pPr>
        <w:widowControl/>
        <w:rPr>
          <w:bCs/>
          <w:u w:val="single"/>
        </w:rPr>
      </w:pPr>
    </w:p>
    <w:p w:rsidR="00383572" w:rsidRPr="00CE09C9" w:rsidRDefault="007363C2" w:rsidP="00CE09C9">
      <w:pPr>
        <w:pStyle w:val="ListParagraph"/>
        <w:widowControl/>
        <w:numPr>
          <w:ilvl w:val="0"/>
          <w:numId w:val="11"/>
        </w:numPr>
        <w:rPr>
          <w:bCs/>
        </w:rPr>
      </w:pPr>
      <w:r>
        <w:rPr>
          <w:bCs/>
        </w:rPr>
        <w:t xml:space="preserve">Commenters were concerned that </w:t>
      </w:r>
      <w:r w:rsidR="001A6E87">
        <w:rPr>
          <w:bCs/>
        </w:rPr>
        <w:t xml:space="preserve">the certification would cover </w:t>
      </w:r>
      <w:r>
        <w:rPr>
          <w:bCs/>
        </w:rPr>
        <w:t xml:space="preserve">many parties to the transaction, such as parties with minor financial interests, </w:t>
      </w:r>
      <w:r w:rsidR="001A6E87">
        <w:rPr>
          <w:bCs/>
        </w:rPr>
        <w:t xml:space="preserve">who </w:t>
      </w:r>
      <w:r>
        <w:rPr>
          <w:bCs/>
        </w:rPr>
        <w:t xml:space="preserve">could fall into a category where they would be personally responsible for signing the documents, </w:t>
      </w:r>
    </w:p>
    <w:p w:rsidR="001A6E87" w:rsidRPr="00CE09C9" w:rsidRDefault="001A6E87" w:rsidP="001A6E87">
      <w:pPr>
        <w:pStyle w:val="ListParagraph"/>
        <w:widowControl/>
        <w:ind w:left="1080"/>
        <w:rPr>
          <w:bCs/>
        </w:rPr>
      </w:pPr>
    </w:p>
    <w:p w:rsidR="001A6E87" w:rsidRPr="00CE09C9" w:rsidRDefault="001A6E87" w:rsidP="00F74DEB">
      <w:pPr>
        <w:pStyle w:val="ListParagraph"/>
        <w:widowControl/>
        <w:ind w:left="0"/>
        <w:rPr>
          <w:bCs/>
          <w:u w:val="single"/>
        </w:rPr>
      </w:pPr>
      <w:r w:rsidRPr="00CE09C9">
        <w:rPr>
          <w:bCs/>
          <w:u w:val="single"/>
        </w:rPr>
        <w:t>Response</w:t>
      </w:r>
    </w:p>
    <w:p w:rsidR="001A6E87" w:rsidRPr="00CE09C9" w:rsidRDefault="001A6E87" w:rsidP="00F74DEB">
      <w:pPr>
        <w:pStyle w:val="ListParagraph"/>
        <w:widowControl/>
        <w:ind w:left="0"/>
        <w:rPr>
          <w:bCs/>
        </w:rPr>
      </w:pPr>
    </w:p>
    <w:p w:rsidR="00FA1CEE" w:rsidRDefault="001A6E87" w:rsidP="00F74DEB">
      <w:pPr>
        <w:pStyle w:val="ListParagraph"/>
        <w:widowControl/>
        <w:numPr>
          <w:ilvl w:val="0"/>
          <w:numId w:val="11"/>
        </w:numPr>
        <w:rPr>
          <w:bCs/>
        </w:rPr>
      </w:pPr>
      <w:r w:rsidRPr="00CE09C9">
        <w:rPr>
          <w:bCs/>
        </w:rPr>
        <w:t>HUD narrowed the parties who would most likely be held responsible for these warranties to the general partner, managing member, or similar person or entity, not parties who might have minor financial interests.</w:t>
      </w:r>
      <w:r w:rsidR="00FA1CEE" w:rsidRPr="00CE09C9">
        <w:rPr>
          <w:bCs/>
        </w:rPr>
        <w:t xml:space="preserve"> The parties respons</w:t>
      </w:r>
      <w:r w:rsidR="00FA1CEE" w:rsidRPr="00FA1CEE">
        <w:rPr>
          <w:bCs/>
        </w:rPr>
        <w:t xml:space="preserve">ible for signing will be specified in more detail in a definition of Principal that will be developed in the forthcoming </w:t>
      </w:r>
      <w:r w:rsidR="00FA1CEE">
        <w:rPr>
          <w:bCs/>
        </w:rPr>
        <w:t>guidance.</w:t>
      </w:r>
    </w:p>
    <w:p w:rsidR="00CE09C9" w:rsidRDefault="00CE09C9" w:rsidP="00CE09C9">
      <w:pPr>
        <w:widowControl/>
        <w:rPr>
          <w:bCs/>
        </w:rPr>
      </w:pPr>
    </w:p>
    <w:p w:rsidR="00CE09C9" w:rsidRPr="00CE09C9" w:rsidRDefault="00CE09C9" w:rsidP="00CE09C9">
      <w:pPr>
        <w:pStyle w:val="ListParagraph"/>
        <w:widowControl/>
        <w:ind w:left="0"/>
        <w:rPr>
          <w:bCs/>
          <w:u w:val="single"/>
        </w:rPr>
      </w:pPr>
      <w:r w:rsidRPr="00CE09C9">
        <w:rPr>
          <w:bCs/>
          <w:u w:val="single"/>
        </w:rPr>
        <w:t>Response</w:t>
      </w:r>
    </w:p>
    <w:p w:rsidR="00CE09C9" w:rsidRPr="00CE09C9" w:rsidRDefault="00CE09C9" w:rsidP="00CE09C9">
      <w:pPr>
        <w:widowControl/>
        <w:rPr>
          <w:bCs/>
        </w:rPr>
      </w:pPr>
    </w:p>
    <w:p w:rsidR="00FA1CEE" w:rsidRDefault="00FA1CEE" w:rsidP="001A6070">
      <w:pPr>
        <w:pStyle w:val="ListParagraph"/>
        <w:widowControl/>
        <w:numPr>
          <w:ilvl w:val="0"/>
          <w:numId w:val="11"/>
        </w:numPr>
        <w:rPr>
          <w:bCs/>
        </w:rPr>
      </w:pPr>
      <w:r>
        <w:rPr>
          <w:bCs/>
        </w:rPr>
        <w:t xml:space="preserve">HUD narrowed the required warranties to provide that the borrower is only required to attest to pending litigation and claims </w:t>
      </w:r>
      <w:r w:rsidR="006343AA">
        <w:rPr>
          <w:bCs/>
        </w:rPr>
        <w:t>against th</w:t>
      </w:r>
      <w:r w:rsidR="00F74DEB">
        <w:rPr>
          <w:bCs/>
        </w:rPr>
        <w:t>at</w:t>
      </w:r>
      <w:r w:rsidR="006343AA">
        <w:rPr>
          <w:bCs/>
        </w:rPr>
        <w:t xml:space="preserve"> </w:t>
      </w:r>
      <w:r w:rsidR="00F74DEB">
        <w:rPr>
          <w:bCs/>
        </w:rPr>
        <w:t>narrower</w:t>
      </w:r>
      <w:r w:rsidR="00800ECB">
        <w:rPr>
          <w:bCs/>
        </w:rPr>
        <w:t xml:space="preserve"> category of liable </w:t>
      </w:r>
      <w:r w:rsidR="006343AA">
        <w:rPr>
          <w:bCs/>
        </w:rPr>
        <w:t>parties</w:t>
      </w:r>
      <w:r w:rsidR="00800ECB">
        <w:rPr>
          <w:bCs/>
        </w:rPr>
        <w:t>,</w:t>
      </w:r>
      <w:r w:rsidR="006343AA">
        <w:rPr>
          <w:bCs/>
        </w:rPr>
        <w:t xml:space="preserve"> versus the compr</w:t>
      </w:r>
      <w:r w:rsidR="00800ECB">
        <w:rPr>
          <w:bCs/>
        </w:rPr>
        <w:t>e</w:t>
      </w:r>
      <w:r w:rsidR="006343AA">
        <w:rPr>
          <w:bCs/>
        </w:rPr>
        <w:t xml:space="preserve">hensive </w:t>
      </w:r>
      <w:r w:rsidR="00800ECB">
        <w:rPr>
          <w:bCs/>
        </w:rPr>
        <w:t xml:space="preserve">universe </w:t>
      </w:r>
      <w:r w:rsidR="006343AA">
        <w:rPr>
          <w:bCs/>
        </w:rPr>
        <w:t xml:space="preserve">of </w:t>
      </w:r>
      <w:r w:rsidR="00455D61">
        <w:rPr>
          <w:bCs/>
        </w:rPr>
        <w:t>parties.</w:t>
      </w:r>
      <w:r>
        <w:rPr>
          <w:bCs/>
        </w:rPr>
        <w:t xml:space="preserve"> </w:t>
      </w:r>
    </w:p>
    <w:p w:rsidR="00FA1CEE" w:rsidRDefault="00FA1CEE" w:rsidP="00FA1CEE">
      <w:pPr>
        <w:widowControl/>
        <w:rPr>
          <w:bCs/>
        </w:rPr>
      </w:pPr>
    </w:p>
    <w:p w:rsidR="001A6E87" w:rsidRPr="00FA1CEE" w:rsidRDefault="001A6E87" w:rsidP="001A6070">
      <w:pPr>
        <w:pStyle w:val="ListParagraph"/>
        <w:widowControl/>
        <w:ind w:left="1080" w:firstLine="1125"/>
        <w:rPr>
          <w:bCs/>
        </w:rPr>
      </w:pPr>
    </w:p>
    <w:p w:rsidR="0084453D" w:rsidRPr="008541D6" w:rsidRDefault="0084453D" w:rsidP="00F74DEB">
      <w:pPr>
        <w:pStyle w:val="ListParagraph"/>
      </w:pPr>
    </w:p>
    <w:sectPr w:rsidR="0084453D" w:rsidRPr="008541D6" w:rsidSect="00C92652">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B12" w:rsidRDefault="002F2B12" w:rsidP="00467D38">
      <w:r>
        <w:separator/>
      </w:r>
    </w:p>
  </w:endnote>
  <w:endnote w:type="continuationSeparator" w:id="0">
    <w:p w:rsidR="002F2B12" w:rsidRDefault="002F2B12" w:rsidP="00467D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B12" w:rsidRDefault="002F2B12" w:rsidP="00467D38">
      <w:r>
        <w:separator/>
      </w:r>
    </w:p>
  </w:footnote>
  <w:footnote w:type="continuationSeparator" w:id="0">
    <w:p w:rsidR="002F2B12" w:rsidRDefault="002F2B12" w:rsidP="00467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28563"/>
      <w:docPartObj>
        <w:docPartGallery w:val="Page Numbers (Top of Page)"/>
        <w:docPartUnique/>
      </w:docPartObj>
    </w:sdtPr>
    <w:sdtContent>
      <w:p w:rsidR="00C96930" w:rsidRDefault="000E2679">
        <w:pPr>
          <w:pStyle w:val="Header"/>
          <w:jc w:val="right"/>
        </w:pPr>
        <w:fldSimple w:instr=" PAGE   \* MERGEFORMAT ">
          <w:r w:rsidR="0085204B">
            <w:rPr>
              <w:noProof/>
            </w:rPr>
            <w:t>5</w:t>
          </w:r>
        </w:fldSimple>
      </w:p>
    </w:sdtContent>
  </w:sdt>
  <w:p w:rsidR="00C96930" w:rsidRDefault="00C969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930" w:rsidRDefault="00C96930">
    <w:pPr>
      <w:pStyle w:val="Header"/>
    </w:pPr>
    <w:r>
      <w:t>04.0</w:t>
    </w:r>
    <w:r w:rsidR="004A44AB">
      <w:t>8</w:t>
    </w:r>
    <w:r>
      <w:t>.11</w:t>
    </w:r>
  </w:p>
  <w:p w:rsidR="00C96930" w:rsidRDefault="00C969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26AC"/>
    <w:multiLevelType w:val="hybridMultilevel"/>
    <w:tmpl w:val="7B3E8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56F19"/>
    <w:multiLevelType w:val="hybridMultilevel"/>
    <w:tmpl w:val="8FFC3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7372F9"/>
    <w:multiLevelType w:val="hybridMultilevel"/>
    <w:tmpl w:val="3796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57610"/>
    <w:multiLevelType w:val="hybridMultilevel"/>
    <w:tmpl w:val="3D24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E0BF2"/>
    <w:multiLevelType w:val="hybridMultilevel"/>
    <w:tmpl w:val="23C6D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57AF3"/>
    <w:multiLevelType w:val="hybridMultilevel"/>
    <w:tmpl w:val="7AF0D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EE288A"/>
    <w:multiLevelType w:val="hybridMultilevel"/>
    <w:tmpl w:val="F4DC57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9E1718"/>
    <w:multiLevelType w:val="hybridMultilevel"/>
    <w:tmpl w:val="5B56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2964A7"/>
    <w:multiLevelType w:val="hybridMultilevel"/>
    <w:tmpl w:val="5F5E2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0B71AB"/>
    <w:multiLevelType w:val="hybridMultilevel"/>
    <w:tmpl w:val="23D65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CE088E"/>
    <w:multiLevelType w:val="hybridMultilevel"/>
    <w:tmpl w:val="CDF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96FD2"/>
    <w:multiLevelType w:val="hybridMultilevel"/>
    <w:tmpl w:val="4DA2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0E0CEA"/>
    <w:multiLevelType w:val="hybridMultilevel"/>
    <w:tmpl w:val="FE76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9"/>
  </w:num>
  <w:num w:numId="4">
    <w:abstractNumId w:val="12"/>
  </w:num>
  <w:num w:numId="5">
    <w:abstractNumId w:val="4"/>
  </w:num>
  <w:num w:numId="6">
    <w:abstractNumId w:val="5"/>
  </w:num>
  <w:num w:numId="7">
    <w:abstractNumId w:val="2"/>
  </w:num>
  <w:num w:numId="8">
    <w:abstractNumId w:val="3"/>
  </w:num>
  <w:num w:numId="9">
    <w:abstractNumId w:val="7"/>
  </w:num>
  <w:num w:numId="10">
    <w:abstractNumId w:val="6"/>
  </w:num>
  <w:num w:numId="11">
    <w:abstractNumId w:val="0"/>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668"/>
    <w:rsid w:val="00004924"/>
    <w:rsid w:val="00024CAE"/>
    <w:rsid w:val="000456E5"/>
    <w:rsid w:val="00050661"/>
    <w:rsid w:val="00056423"/>
    <w:rsid w:val="0006194C"/>
    <w:rsid w:val="0007540D"/>
    <w:rsid w:val="00095FF0"/>
    <w:rsid w:val="000C76C8"/>
    <w:rsid w:val="000E2679"/>
    <w:rsid w:val="000F408E"/>
    <w:rsid w:val="000F57B9"/>
    <w:rsid w:val="001059E5"/>
    <w:rsid w:val="00127D34"/>
    <w:rsid w:val="001A4D16"/>
    <w:rsid w:val="001A6070"/>
    <w:rsid w:val="001A6E87"/>
    <w:rsid w:val="001C6190"/>
    <w:rsid w:val="001D3582"/>
    <w:rsid w:val="001E4499"/>
    <w:rsid w:val="001E4516"/>
    <w:rsid w:val="00242638"/>
    <w:rsid w:val="002435AC"/>
    <w:rsid w:val="00273D4B"/>
    <w:rsid w:val="002B7D84"/>
    <w:rsid w:val="002F2B12"/>
    <w:rsid w:val="00337544"/>
    <w:rsid w:val="00383572"/>
    <w:rsid w:val="003C3894"/>
    <w:rsid w:val="003C5E6E"/>
    <w:rsid w:val="003E2159"/>
    <w:rsid w:val="003E59B0"/>
    <w:rsid w:val="003F6956"/>
    <w:rsid w:val="00415CC1"/>
    <w:rsid w:val="004265DB"/>
    <w:rsid w:val="00451333"/>
    <w:rsid w:val="00455D61"/>
    <w:rsid w:val="0045740C"/>
    <w:rsid w:val="00467D38"/>
    <w:rsid w:val="004A44AB"/>
    <w:rsid w:val="004C25C2"/>
    <w:rsid w:val="004F4E8D"/>
    <w:rsid w:val="00506AB8"/>
    <w:rsid w:val="005320A7"/>
    <w:rsid w:val="00537FE7"/>
    <w:rsid w:val="005418BB"/>
    <w:rsid w:val="00555D77"/>
    <w:rsid w:val="00562B1A"/>
    <w:rsid w:val="00567F3A"/>
    <w:rsid w:val="00582C6F"/>
    <w:rsid w:val="005B7694"/>
    <w:rsid w:val="005C765A"/>
    <w:rsid w:val="005E5E60"/>
    <w:rsid w:val="00604CD9"/>
    <w:rsid w:val="006343AA"/>
    <w:rsid w:val="00634E82"/>
    <w:rsid w:val="006729CA"/>
    <w:rsid w:val="00685868"/>
    <w:rsid w:val="00696B59"/>
    <w:rsid w:val="006D5AD2"/>
    <w:rsid w:val="0070648B"/>
    <w:rsid w:val="00711A6D"/>
    <w:rsid w:val="007214C8"/>
    <w:rsid w:val="007363C2"/>
    <w:rsid w:val="007A71F3"/>
    <w:rsid w:val="007B0668"/>
    <w:rsid w:val="00800ECB"/>
    <w:rsid w:val="0081216B"/>
    <w:rsid w:val="00816DF8"/>
    <w:rsid w:val="0084453D"/>
    <w:rsid w:val="00846F0E"/>
    <w:rsid w:val="0085204B"/>
    <w:rsid w:val="008541D6"/>
    <w:rsid w:val="008C541C"/>
    <w:rsid w:val="008F542A"/>
    <w:rsid w:val="009129CE"/>
    <w:rsid w:val="00923278"/>
    <w:rsid w:val="00964961"/>
    <w:rsid w:val="00977ABC"/>
    <w:rsid w:val="009E31CD"/>
    <w:rsid w:val="009E4134"/>
    <w:rsid w:val="00A14ACA"/>
    <w:rsid w:val="00A205FB"/>
    <w:rsid w:val="00A4506F"/>
    <w:rsid w:val="00AC2D64"/>
    <w:rsid w:val="00B31D6B"/>
    <w:rsid w:val="00B427C4"/>
    <w:rsid w:val="00B67039"/>
    <w:rsid w:val="00B73486"/>
    <w:rsid w:val="00B77672"/>
    <w:rsid w:val="00B92FC1"/>
    <w:rsid w:val="00BA7C7F"/>
    <w:rsid w:val="00BD4020"/>
    <w:rsid w:val="00C069CE"/>
    <w:rsid w:val="00C35E28"/>
    <w:rsid w:val="00C4298D"/>
    <w:rsid w:val="00C83371"/>
    <w:rsid w:val="00C92652"/>
    <w:rsid w:val="00C96930"/>
    <w:rsid w:val="00CA6CE2"/>
    <w:rsid w:val="00CE09C9"/>
    <w:rsid w:val="00CF6F89"/>
    <w:rsid w:val="00D0717E"/>
    <w:rsid w:val="00D226BC"/>
    <w:rsid w:val="00D7135F"/>
    <w:rsid w:val="00D8137C"/>
    <w:rsid w:val="00DA4973"/>
    <w:rsid w:val="00DA536C"/>
    <w:rsid w:val="00DB3AE7"/>
    <w:rsid w:val="00DC3800"/>
    <w:rsid w:val="00E048CA"/>
    <w:rsid w:val="00E05335"/>
    <w:rsid w:val="00E06FA2"/>
    <w:rsid w:val="00E123A6"/>
    <w:rsid w:val="00E42121"/>
    <w:rsid w:val="00E44224"/>
    <w:rsid w:val="00E57962"/>
    <w:rsid w:val="00E84FD1"/>
    <w:rsid w:val="00E90FE2"/>
    <w:rsid w:val="00EA65BC"/>
    <w:rsid w:val="00ED1721"/>
    <w:rsid w:val="00EE3539"/>
    <w:rsid w:val="00F03FA7"/>
    <w:rsid w:val="00F251B7"/>
    <w:rsid w:val="00F27362"/>
    <w:rsid w:val="00F47900"/>
    <w:rsid w:val="00F61D1F"/>
    <w:rsid w:val="00F74DEB"/>
    <w:rsid w:val="00FA1CEE"/>
    <w:rsid w:val="00FB20BB"/>
    <w:rsid w:val="00FC11D3"/>
    <w:rsid w:val="00FF0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6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53D"/>
    <w:pPr>
      <w:ind w:left="720"/>
      <w:contextualSpacing/>
    </w:pPr>
  </w:style>
  <w:style w:type="paragraph" w:styleId="Header">
    <w:name w:val="header"/>
    <w:basedOn w:val="Normal"/>
    <w:link w:val="HeaderChar"/>
    <w:uiPriority w:val="99"/>
    <w:unhideWhenUsed/>
    <w:rsid w:val="00467D38"/>
    <w:pPr>
      <w:tabs>
        <w:tab w:val="center" w:pos="4680"/>
        <w:tab w:val="right" w:pos="9360"/>
      </w:tabs>
    </w:pPr>
  </w:style>
  <w:style w:type="character" w:customStyle="1" w:styleId="HeaderChar">
    <w:name w:val="Header Char"/>
    <w:basedOn w:val="DefaultParagraphFont"/>
    <w:link w:val="Header"/>
    <w:uiPriority w:val="99"/>
    <w:rsid w:val="00467D3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67D38"/>
    <w:pPr>
      <w:tabs>
        <w:tab w:val="center" w:pos="4680"/>
        <w:tab w:val="right" w:pos="9360"/>
      </w:tabs>
    </w:pPr>
  </w:style>
  <w:style w:type="character" w:customStyle="1" w:styleId="FooterChar">
    <w:name w:val="Footer Char"/>
    <w:basedOn w:val="DefaultParagraphFont"/>
    <w:link w:val="Footer"/>
    <w:uiPriority w:val="99"/>
    <w:semiHidden/>
    <w:rsid w:val="00467D3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4924"/>
    <w:rPr>
      <w:sz w:val="16"/>
      <w:szCs w:val="16"/>
    </w:rPr>
  </w:style>
  <w:style w:type="paragraph" w:styleId="CommentText">
    <w:name w:val="annotation text"/>
    <w:basedOn w:val="Normal"/>
    <w:link w:val="CommentTextChar"/>
    <w:uiPriority w:val="99"/>
    <w:semiHidden/>
    <w:unhideWhenUsed/>
    <w:rsid w:val="00004924"/>
    <w:rPr>
      <w:sz w:val="20"/>
      <w:szCs w:val="20"/>
    </w:rPr>
  </w:style>
  <w:style w:type="character" w:customStyle="1" w:styleId="CommentTextChar">
    <w:name w:val="Comment Text Char"/>
    <w:basedOn w:val="DefaultParagraphFont"/>
    <w:link w:val="CommentText"/>
    <w:uiPriority w:val="99"/>
    <w:semiHidden/>
    <w:rsid w:val="00004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924"/>
    <w:rPr>
      <w:b/>
      <w:bCs/>
    </w:rPr>
  </w:style>
  <w:style w:type="character" w:customStyle="1" w:styleId="CommentSubjectChar">
    <w:name w:val="Comment Subject Char"/>
    <w:basedOn w:val="CommentTextChar"/>
    <w:link w:val="CommentSubject"/>
    <w:uiPriority w:val="99"/>
    <w:semiHidden/>
    <w:rsid w:val="00004924"/>
    <w:rPr>
      <w:b/>
      <w:bCs/>
    </w:rPr>
  </w:style>
  <w:style w:type="paragraph" w:styleId="Revision">
    <w:name w:val="Revision"/>
    <w:hidden/>
    <w:uiPriority w:val="99"/>
    <w:semiHidden/>
    <w:rsid w:val="0000492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4924"/>
    <w:rPr>
      <w:rFonts w:ascii="Tahoma" w:hAnsi="Tahoma" w:cs="Tahoma"/>
      <w:sz w:val="16"/>
      <w:szCs w:val="16"/>
    </w:rPr>
  </w:style>
  <w:style w:type="character" w:customStyle="1" w:styleId="BalloonTextChar">
    <w:name w:val="Balloon Text Char"/>
    <w:basedOn w:val="DefaultParagraphFont"/>
    <w:link w:val="BalloonText"/>
    <w:uiPriority w:val="99"/>
    <w:semiHidden/>
    <w:rsid w:val="00004924"/>
    <w:rPr>
      <w:rFonts w:ascii="Tahoma" w:eastAsia="Times New Roman" w:hAnsi="Tahoma" w:cs="Tahoma"/>
      <w:sz w:val="16"/>
      <w:szCs w:val="16"/>
    </w:rPr>
  </w:style>
  <w:style w:type="character" w:styleId="Hyperlink">
    <w:name w:val="Hyperlink"/>
    <w:basedOn w:val="DefaultParagraphFont"/>
    <w:rsid w:val="00FA1CEE"/>
    <w:rPr>
      <w:color w:val="0000FF"/>
      <w:u w:val="single"/>
    </w:rPr>
  </w:style>
  <w:style w:type="paragraph" w:styleId="FootnoteText">
    <w:name w:val="footnote text"/>
    <w:basedOn w:val="Normal"/>
    <w:link w:val="FootnoteTextChar"/>
    <w:uiPriority w:val="99"/>
    <w:semiHidden/>
    <w:unhideWhenUsed/>
    <w:rsid w:val="00FA1CEE"/>
    <w:rPr>
      <w:sz w:val="20"/>
      <w:szCs w:val="20"/>
    </w:rPr>
  </w:style>
  <w:style w:type="character" w:customStyle="1" w:styleId="FootnoteTextChar">
    <w:name w:val="Footnote Text Char"/>
    <w:basedOn w:val="DefaultParagraphFont"/>
    <w:link w:val="FootnoteText"/>
    <w:uiPriority w:val="99"/>
    <w:semiHidden/>
    <w:rsid w:val="00FA1C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A1CE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H45177</dc:creator>
  <cp:keywords/>
  <dc:description/>
  <cp:lastModifiedBy>H45177</cp:lastModifiedBy>
  <cp:revision>3</cp:revision>
  <cp:lastPrinted>2011-04-07T21:42:00Z</cp:lastPrinted>
  <dcterms:created xsi:type="dcterms:W3CDTF">2011-04-08T13:39:00Z</dcterms:created>
  <dcterms:modified xsi:type="dcterms:W3CDTF">2011-04-08T13:40:00Z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-921269839</vt:i4>
  </property>
  <property fmtid="{D5CDD505-2E9C-101B-9397-08002B2CF9AE}" pid="3" name="_NewReviewCycle">
    <vt:lpwstr/>
  </property>
  <property fmtid="{D5CDD505-2E9C-101B-9397-08002B2CF9AE}" pid="4" name="_EmailSubject">
    <vt:lpwstr>Multifamily Rental Project Closing Documents: Responses to 30 Day Comments </vt:lpwstr>
  </property>
  <property fmtid="{D5CDD505-2E9C-101B-9397-08002B2CF9AE}" pid="5" name="_AuthorEmail">
    <vt:lpwstr>Ann.H.vomEigen@hud.gov</vt:lpwstr>
  </property>
  <property fmtid="{D5CDD505-2E9C-101B-9397-08002B2CF9AE}" pid="6" name="_AuthorEmailDisplayName">
    <vt:lpwstr>vom Eigen, Ann</vt:lpwstr>
  </property>
  <property fmtid="{D5CDD505-2E9C-101B-9397-08002B2CF9AE}" pid="7" name="_PreviousAdHocReviewCycleID">
    <vt:i4>-1013199237</vt:i4>
  </property>
</Properties>
</file>