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E7B" w:rsidRDefault="00483E7B" w:rsidP="00483E7B">
      <w:pPr>
        <w:spacing w:after="0" w:line="240" w:lineRule="auto"/>
        <w:ind w:left="1440" w:hanging="1440"/>
        <w:jc w:val="center"/>
        <w:rPr>
          <w:rFonts w:ascii="Times New Roman" w:eastAsia="Times New Roman" w:hAnsi="Times New Roman"/>
          <w:b/>
          <w:sz w:val="24"/>
          <w:szCs w:val="24"/>
        </w:rPr>
      </w:pPr>
      <w:r w:rsidRPr="00483E7B">
        <w:rPr>
          <w:rFonts w:ascii="Times New Roman" w:eastAsia="Times New Roman" w:hAnsi="Times New Roman"/>
          <w:b/>
          <w:sz w:val="24"/>
          <w:szCs w:val="24"/>
        </w:rPr>
        <w:t>Regulation to Establish Mandatory Reporting of Greenhouse Gases</w:t>
      </w:r>
    </w:p>
    <w:p w:rsidR="00804DF8" w:rsidRDefault="00483E7B" w:rsidP="00483E7B">
      <w:pPr>
        <w:spacing w:after="0" w:line="240" w:lineRule="auto"/>
        <w:ind w:left="1440" w:hanging="1440"/>
        <w:jc w:val="center"/>
        <w:rPr>
          <w:rFonts w:ascii="Times New Roman" w:eastAsia="Times New Roman" w:hAnsi="Times New Roman"/>
          <w:b/>
          <w:sz w:val="24"/>
          <w:szCs w:val="24"/>
        </w:rPr>
      </w:pPr>
      <w:r>
        <w:rPr>
          <w:rFonts w:ascii="Times New Roman" w:eastAsia="Times New Roman" w:hAnsi="Times New Roman"/>
          <w:b/>
          <w:sz w:val="24"/>
          <w:szCs w:val="24"/>
        </w:rPr>
        <w:t>Reconsideration Package</w:t>
      </w:r>
    </w:p>
    <w:p w:rsidR="00483E7B" w:rsidRDefault="00483E7B" w:rsidP="00483E7B">
      <w:pPr>
        <w:spacing w:after="0" w:line="240" w:lineRule="auto"/>
        <w:ind w:left="1440" w:hanging="1440"/>
        <w:jc w:val="center"/>
        <w:rPr>
          <w:rFonts w:ascii="Times New Roman" w:eastAsia="Times New Roman" w:hAnsi="Times New Roman"/>
          <w:b/>
          <w:sz w:val="24"/>
          <w:szCs w:val="24"/>
        </w:rPr>
      </w:pPr>
      <w:r>
        <w:rPr>
          <w:rFonts w:ascii="Times New Roman" w:eastAsia="Times New Roman" w:hAnsi="Times New Roman"/>
          <w:b/>
          <w:sz w:val="24"/>
          <w:szCs w:val="24"/>
        </w:rPr>
        <w:t>OMB Control Number 2060-0629, EPA ICR Number 2300.06</w:t>
      </w:r>
    </w:p>
    <w:p w:rsidR="00483E7B" w:rsidRPr="00C55872" w:rsidRDefault="00483E7B" w:rsidP="00C55872">
      <w:pPr>
        <w:spacing w:after="0" w:line="240" w:lineRule="auto"/>
        <w:ind w:left="1440" w:hanging="1440"/>
        <w:rPr>
          <w:rFonts w:ascii="Times New Roman" w:eastAsia="Times New Roman" w:hAnsi="Times New Roman"/>
          <w:b/>
          <w:sz w:val="24"/>
          <w:szCs w:val="24"/>
        </w:rPr>
      </w:pPr>
    </w:p>
    <w:p w:rsidR="00214DE3"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On October 30, 2009, EPA promulgated the final rule titled: Mandatory Reporting of Greenhouse Gases (74 FR 56259), under the authority of Sections 114 and 208 of the Clean Air Act.  The final rule (Part 98) requires reporting of greenhous</w:t>
      </w:r>
      <w:r w:rsidR="005A5DC2">
        <w:rPr>
          <w:rFonts w:ascii="Times New Roman" w:eastAsia="Times New Roman" w:hAnsi="Times New Roman"/>
          <w:sz w:val="24"/>
          <w:szCs w:val="24"/>
        </w:rPr>
        <w:t xml:space="preserve">e gas (GHG) emissions and other </w:t>
      </w:r>
      <w:r w:rsidRPr="00C55872">
        <w:rPr>
          <w:rFonts w:ascii="Times New Roman" w:eastAsia="Times New Roman" w:hAnsi="Times New Roman"/>
          <w:sz w:val="24"/>
          <w:szCs w:val="24"/>
        </w:rPr>
        <w:t>relevant information from certain sources in the economy.  Data collection begins in the 2010 calendar year with the first repor</w:t>
      </w:r>
      <w:r w:rsidR="007C3A32" w:rsidRPr="00C55872">
        <w:rPr>
          <w:rFonts w:ascii="Times New Roman" w:eastAsia="Times New Roman" w:hAnsi="Times New Roman"/>
          <w:sz w:val="24"/>
          <w:szCs w:val="24"/>
        </w:rPr>
        <w:t>ts submitted by March 31, 2011,</w:t>
      </w:r>
      <w:r w:rsidRPr="00C55872">
        <w:rPr>
          <w:rFonts w:ascii="Times New Roman" w:eastAsia="Times New Roman" w:hAnsi="Times New Roman"/>
          <w:sz w:val="24"/>
          <w:szCs w:val="24"/>
        </w:rPr>
        <w:t xml:space="preserve"> and annually thereafter by that deadline.  </w:t>
      </w:r>
    </w:p>
    <w:p w:rsidR="00BA0E03" w:rsidRPr="00C55872" w:rsidRDefault="00BA0E03" w:rsidP="00C55872">
      <w:pPr>
        <w:spacing w:after="0" w:line="240" w:lineRule="auto"/>
        <w:rPr>
          <w:rFonts w:ascii="Times New Roman" w:eastAsia="Times New Roman" w:hAnsi="Times New Roman"/>
          <w:sz w:val="24"/>
          <w:szCs w:val="24"/>
        </w:rPr>
      </w:pPr>
    </w:p>
    <w:p w:rsidR="00214DE3"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xml:space="preserve">Following publication of the rule, EPA has been working closely with owners and operators of facilities subject to the rule to communicate reporting requirements. Through these discussions, EPA has identified specific sections of the final rule that were either not clear, or did not have the intended effect.  EPA is </w:t>
      </w:r>
      <w:r w:rsidR="00FE2AB2">
        <w:rPr>
          <w:rFonts w:ascii="Times New Roman" w:eastAsia="Times New Roman" w:hAnsi="Times New Roman"/>
          <w:sz w:val="24"/>
          <w:szCs w:val="24"/>
        </w:rPr>
        <w:t>amending</w:t>
      </w:r>
      <w:r w:rsidRPr="00C55872">
        <w:rPr>
          <w:rFonts w:ascii="Times New Roman" w:eastAsia="Times New Roman" w:hAnsi="Times New Roman"/>
          <w:sz w:val="24"/>
          <w:szCs w:val="24"/>
        </w:rPr>
        <w:t xml:space="preserve"> specific provisions in the </w:t>
      </w:r>
      <w:r w:rsidR="00BA0E03">
        <w:rPr>
          <w:rFonts w:ascii="Times New Roman" w:eastAsia="Times New Roman" w:hAnsi="Times New Roman"/>
          <w:sz w:val="24"/>
          <w:szCs w:val="24"/>
        </w:rPr>
        <w:t>GHG</w:t>
      </w:r>
      <w:r w:rsidRPr="00C55872">
        <w:rPr>
          <w:rFonts w:ascii="Times New Roman" w:eastAsia="Times New Roman" w:hAnsi="Times New Roman"/>
          <w:sz w:val="24"/>
          <w:szCs w:val="24"/>
        </w:rPr>
        <w:t xml:space="preserve"> rule to resolve issues and </w:t>
      </w:r>
      <w:proofErr w:type="gramStart"/>
      <w:r w:rsidRPr="00C55872">
        <w:rPr>
          <w:rFonts w:ascii="Times New Roman" w:eastAsia="Times New Roman" w:hAnsi="Times New Roman"/>
          <w:sz w:val="24"/>
          <w:szCs w:val="24"/>
        </w:rPr>
        <w:t>questions</w:t>
      </w:r>
      <w:proofErr w:type="gramEnd"/>
      <w:r w:rsidRPr="00C55872">
        <w:rPr>
          <w:rFonts w:ascii="Times New Roman" w:eastAsia="Times New Roman" w:hAnsi="Times New Roman"/>
          <w:sz w:val="24"/>
          <w:szCs w:val="24"/>
        </w:rPr>
        <w:t xml:space="preserve"> raised during implementation, and to correct technical and editorial errors that have been identified since publication.  This memorandum documents changes in the national </w:t>
      </w:r>
      <w:r w:rsidR="00B55DD0">
        <w:rPr>
          <w:rFonts w:ascii="Times New Roman" w:eastAsia="Times New Roman" w:hAnsi="Times New Roman"/>
          <w:sz w:val="24"/>
          <w:szCs w:val="24"/>
        </w:rPr>
        <w:t xml:space="preserve">respondent </w:t>
      </w:r>
      <w:r w:rsidR="00BA0E03">
        <w:rPr>
          <w:rFonts w:ascii="Times New Roman" w:eastAsia="Times New Roman" w:hAnsi="Times New Roman"/>
          <w:sz w:val="24"/>
          <w:szCs w:val="24"/>
        </w:rPr>
        <w:t>burden</w:t>
      </w:r>
      <w:r w:rsidRPr="00C55872">
        <w:rPr>
          <w:rFonts w:ascii="Times New Roman" w:eastAsia="Times New Roman" w:hAnsi="Times New Roman"/>
          <w:sz w:val="24"/>
          <w:szCs w:val="24"/>
        </w:rPr>
        <w:t xml:space="preserve"> estimates associated with the </w:t>
      </w:r>
      <w:r w:rsidR="00FE2AB2">
        <w:rPr>
          <w:rFonts w:ascii="Times New Roman" w:eastAsia="Times New Roman" w:hAnsi="Times New Roman"/>
          <w:sz w:val="24"/>
          <w:szCs w:val="24"/>
        </w:rPr>
        <w:t>revisions</w:t>
      </w:r>
      <w:r w:rsidRPr="00C55872">
        <w:rPr>
          <w:rFonts w:ascii="Times New Roman" w:eastAsia="Times New Roman" w:hAnsi="Times New Roman"/>
          <w:sz w:val="24"/>
          <w:szCs w:val="24"/>
        </w:rPr>
        <w:t>.</w:t>
      </w:r>
    </w:p>
    <w:p w:rsidR="00C55872" w:rsidRPr="00C55872" w:rsidRDefault="00C55872" w:rsidP="00C55872">
      <w:pPr>
        <w:spacing w:after="0" w:line="240" w:lineRule="auto"/>
        <w:rPr>
          <w:rFonts w:ascii="Times New Roman" w:eastAsia="Times New Roman" w:hAnsi="Times New Roman"/>
          <w:sz w:val="24"/>
          <w:szCs w:val="24"/>
        </w:rPr>
      </w:pPr>
    </w:p>
    <w:p w:rsidR="00214DE3" w:rsidRPr="00C55872" w:rsidRDefault="00214DE3" w:rsidP="00C55872">
      <w:pPr>
        <w:keepNext/>
        <w:tabs>
          <w:tab w:val="right" w:pos="-259"/>
        </w:tabs>
        <w:spacing w:after="0" w:line="240" w:lineRule="auto"/>
        <w:outlineLvl w:val="2"/>
        <w:rPr>
          <w:rFonts w:ascii="Times New Roman" w:eastAsia="Times New Roman" w:hAnsi="Times New Roman"/>
          <w:b/>
          <w:iCs/>
          <w:sz w:val="24"/>
          <w:szCs w:val="24"/>
          <w:u w:val="single"/>
        </w:rPr>
      </w:pPr>
      <w:r w:rsidRPr="00C55872">
        <w:rPr>
          <w:rFonts w:ascii="Times New Roman" w:eastAsia="Times New Roman" w:hAnsi="Times New Roman"/>
          <w:b/>
          <w:iCs/>
          <w:sz w:val="24"/>
          <w:szCs w:val="24"/>
          <w:u w:val="single"/>
        </w:rPr>
        <w:t xml:space="preserve">Additional First-Year </w:t>
      </w:r>
      <w:r w:rsidR="00C923A6" w:rsidRPr="00C55872">
        <w:rPr>
          <w:rFonts w:ascii="Times New Roman" w:eastAsia="Times New Roman" w:hAnsi="Times New Roman"/>
          <w:b/>
          <w:iCs/>
          <w:sz w:val="24"/>
          <w:szCs w:val="24"/>
          <w:u w:val="single"/>
        </w:rPr>
        <w:t>Burden</w:t>
      </w:r>
      <w:r w:rsidRPr="00C55872">
        <w:rPr>
          <w:rFonts w:ascii="Times New Roman" w:eastAsia="Times New Roman" w:hAnsi="Times New Roman"/>
          <w:b/>
          <w:iCs/>
          <w:sz w:val="24"/>
          <w:szCs w:val="24"/>
          <w:u w:val="single"/>
        </w:rPr>
        <w:t xml:space="preserve"> Associated with the Review of Revisions Provisions</w:t>
      </w:r>
    </w:p>
    <w:p w:rsidR="00C55872" w:rsidRPr="00C55872" w:rsidRDefault="00C55872" w:rsidP="00C55872">
      <w:pPr>
        <w:keepNext/>
        <w:tabs>
          <w:tab w:val="right" w:pos="-259"/>
        </w:tabs>
        <w:spacing w:after="0" w:line="240" w:lineRule="auto"/>
        <w:outlineLvl w:val="2"/>
        <w:rPr>
          <w:rFonts w:ascii="Times New Roman" w:eastAsia="Times New Roman" w:hAnsi="Times New Roman"/>
          <w:b/>
          <w:iCs/>
          <w:sz w:val="24"/>
          <w:szCs w:val="24"/>
        </w:rPr>
      </w:pPr>
    </w:p>
    <w:p w:rsidR="00C923A6" w:rsidRPr="00C55872" w:rsidRDefault="00214DE3" w:rsidP="00C55872">
      <w:pPr>
        <w:pStyle w:val="bodytext"/>
        <w:spacing w:after="0" w:line="240" w:lineRule="auto"/>
        <w:rPr>
          <w:szCs w:val="24"/>
        </w:rPr>
      </w:pPr>
      <w:r w:rsidRPr="00C55872">
        <w:rPr>
          <w:szCs w:val="24"/>
        </w:rPr>
        <w:t xml:space="preserve">During the first year of the </w:t>
      </w:r>
      <w:r w:rsidR="00BA0E03">
        <w:rPr>
          <w:szCs w:val="24"/>
        </w:rPr>
        <w:t>GHG</w:t>
      </w:r>
      <w:r w:rsidRPr="00C55872">
        <w:rPr>
          <w:szCs w:val="24"/>
        </w:rPr>
        <w:t xml:space="preserve"> Reporting Program (GHGRP), EPA anticipates all reporting facilities would need to review the amended provisions associated with the notice of revisions.  To estimate these cos</w:t>
      </w:r>
      <w:r w:rsidR="005E36F8">
        <w:rPr>
          <w:szCs w:val="24"/>
        </w:rPr>
        <w:t>ts, EPA assumes an additional 3-</w:t>
      </w:r>
      <w:r w:rsidRPr="00C55872">
        <w:rPr>
          <w:szCs w:val="24"/>
        </w:rPr>
        <w:t>hour burden</w:t>
      </w:r>
      <w:r w:rsidR="00D832F2">
        <w:rPr>
          <w:szCs w:val="24"/>
        </w:rPr>
        <w:t xml:space="preserve"> to review the revisions provision</w:t>
      </w:r>
      <w:r w:rsidRPr="00C55872">
        <w:rPr>
          <w:szCs w:val="24"/>
        </w:rPr>
        <w:t xml:space="preserve">. </w:t>
      </w:r>
      <w:r w:rsidR="00C923A6" w:rsidRPr="00C55872">
        <w:rPr>
          <w:szCs w:val="24"/>
        </w:rPr>
        <w:t xml:space="preserve">Multiplying the additional burden by the estimated affected population, the total additional first year burden is estimated to be </w:t>
      </w:r>
      <w:r w:rsidR="005E36F8">
        <w:rPr>
          <w:szCs w:val="24"/>
        </w:rPr>
        <w:t>34,023</w:t>
      </w:r>
      <w:r w:rsidR="00B978BE" w:rsidRPr="00C55872">
        <w:rPr>
          <w:szCs w:val="24"/>
        </w:rPr>
        <w:t xml:space="preserve"> hours</w:t>
      </w:r>
      <w:r w:rsidR="00C923A6" w:rsidRPr="00C55872">
        <w:rPr>
          <w:szCs w:val="24"/>
        </w:rPr>
        <w:t xml:space="preserve">. </w:t>
      </w:r>
    </w:p>
    <w:p w:rsidR="00214DE3" w:rsidRPr="00C55872" w:rsidRDefault="00214DE3" w:rsidP="00C55872">
      <w:pPr>
        <w:spacing w:after="0" w:line="240" w:lineRule="auto"/>
        <w:rPr>
          <w:rFonts w:ascii="Times New Roman" w:eastAsia="Times New Roman" w:hAnsi="Times New Roman"/>
          <w:sz w:val="24"/>
          <w:szCs w:val="24"/>
        </w:rPr>
      </w:pPr>
    </w:p>
    <w:p w:rsidR="005E36F8" w:rsidRDefault="00214DE3" w:rsidP="00AA74DB">
      <w:pPr>
        <w:spacing w:after="0" w:line="240" w:lineRule="auto"/>
        <w:rPr>
          <w:rFonts w:ascii="Times New Roman" w:eastAsia="Times New Roman" w:hAnsi="Times New Roman"/>
          <w:b/>
          <w:sz w:val="24"/>
          <w:szCs w:val="24"/>
        </w:rPr>
      </w:pPr>
      <w:r w:rsidRPr="00C55872">
        <w:rPr>
          <w:rFonts w:ascii="Times New Roman" w:eastAsia="Times New Roman" w:hAnsi="Times New Roman"/>
          <w:sz w:val="24"/>
          <w:szCs w:val="24"/>
        </w:rPr>
        <w:br w:type="page"/>
      </w:r>
      <w:proofErr w:type="gramStart"/>
      <w:r w:rsidR="00B978BE" w:rsidRPr="00C55872">
        <w:rPr>
          <w:rFonts w:ascii="Times New Roman" w:eastAsia="Times New Roman" w:hAnsi="Times New Roman"/>
          <w:b/>
          <w:sz w:val="24"/>
          <w:szCs w:val="24"/>
        </w:rPr>
        <w:lastRenderedPageBreak/>
        <w:t>Table 1.</w:t>
      </w:r>
      <w:proofErr w:type="gramEnd"/>
      <w:r w:rsidR="00B978BE" w:rsidRPr="00C55872">
        <w:rPr>
          <w:rFonts w:ascii="Times New Roman" w:eastAsia="Times New Roman" w:hAnsi="Times New Roman"/>
          <w:b/>
          <w:sz w:val="24"/>
          <w:szCs w:val="24"/>
        </w:rPr>
        <w:t xml:space="preserve">  </w:t>
      </w:r>
      <w:r w:rsidR="005E36F8">
        <w:rPr>
          <w:rFonts w:ascii="Times New Roman" w:eastAsia="Times New Roman" w:hAnsi="Times New Roman"/>
          <w:b/>
          <w:sz w:val="24"/>
          <w:szCs w:val="24"/>
        </w:rPr>
        <w:t>First</w:t>
      </w:r>
      <w:r w:rsidR="00B978BE" w:rsidRPr="00C55872">
        <w:rPr>
          <w:rFonts w:ascii="Times New Roman" w:eastAsia="Times New Roman" w:hAnsi="Times New Roman"/>
          <w:b/>
          <w:sz w:val="24"/>
          <w:szCs w:val="24"/>
        </w:rPr>
        <w:t xml:space="preserve"> Year Changes Associated with</w:t>
      </w:r>
      <w:r w:rsidR="00B55DD0">
        <w:rPr>
          <w:rFonts w:ascii="Times New Roman" w:eastAsia="Times New Roman" w:hAnsi="Times New Roman"/>
          <w:b/>
          <w:sz w:val="24"/>
          <w:szCs w:val="24"/>
        </w:rPr>
        <w:t xml:space="preserve"> Review of Revisions </w:t>
      </w:r>
      <w:proofErr w:type="gramStart"/>
      <w:r w:rsidR="00B55DD0">
        <w:rPr>
          <w:rFonts w:ascii="Times New Roman" w:eastAsia="Times New Roman" w:hAnsi="Times New Roman"/>
          <w:b/>
          <w:sz w:val="24"/>
          <w:szCs w:val="24"/>
        </w:rPr>
        <w:t xml:space="preserve">Provisions </w:t>
      </w:r>
      <w:r w:rsidR="00273425" w:rsidRPr="00273425">
        <w:rPr>
          <w:szCs w:val="24"/>
        </w:rPr>
        <w:t xml:space="preserve"> </w:t>
      </w:r>
      <w:r w:rsidR="00B978BE" w:rsidRPr="00C55872">
        <w:rPr>
          <w:rFonts w:ascii="Times New Roman" w:eastAsia="Times New Roman" w:hAnsi="Times New Roman"/>
          <w:b/>
          <w:sz w:val="24"/>
          <w:szCs w:val="24"/>
        </w:rPr>
        <w:t>(</w:t>
      </w:r>
      <w:proofErr w:type="gramEnd"/>
      <w:r w:rsidR="00632AB4" w:rsidRPr="00C55872">
        <w:rPr>
          <w:rFonts w:ascii="Times New Roman" w:eastAsia="Times New Roman" w:hAnsi="Times New Roman"/>
          <w:b/>
          <w:sz w:val="24"/>
          <w:szCs w:val="24"/>
        </w:rPr>
        <w:t>hours</w:t>
      </w:r>
      <w:r w:rsidR="00B978BE" w:rsidRPr="00C55872">
        <w:rPr>
          <w:rFonts w:ascii="Times New Roman" w:eastAsia="Times New Roman" w:hAnsi="Times New Roman"/>
          <w:b/>
          <w:sz w:val="24"/>
          <w:szCs w:val="24"/>
        </w:rPr>
        <w:t>)</w:t>
      </w:r>
    </w:p>
    <w:p w:rsidR="00B978BE" w:rsidRDefault="00B978BE" w:rsidP="00AA74DB">
      <w:pPr>
        <w:spacing w:after="0" w:line="240" w:lineRule="auto"/>
        <w:rPr>
          <w:rFonts w:ascii="Times New Roman" w:eastAsia="Times New Roman" w:hAnsi="Times New Roman"/>
          <w:b/>
          <w:sz w:val="24"/>
          <w:szCs w:val="24"/>
        </w:rPr>
      </w:pPr>
    </w:p>
    <w:p w:rsidR="00D00376" w:rsidRDefault="005A5DC2" w:rsidP="00C55872">
      <w:pPr>
        <w:keepNext/>
        <w:tabs>
          <w:tab w:val="right" w:pos="-259"/>
        </w:tabs>
        <w:spacing w:after="0" w:line="240" w:lineRule="auto"/>
        <w:outlineLvl w:val="2"/>
        <w:rPr>
          <w:rFonts w:ascii="Times New Roman" w:eastAsia="Times New Roman" w:hAnsi="Times New Roman"/>
          <w:b/>
          <w:iCs/>
          <w:sz w:val="24"/>
          <w:szCs w:val="24"/>
          <w:u w:val="single"/>
        </w:rPr>
      </w:pPr>
      <w:r w:rsidRPr="005A5D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76pt;margin-top:4.35pt;width:291pt;height:99.75pt;z-index:-4" wrapcoords="-56 0 -56 21275 21600 21275 21600 0 -56 0">
            <v:imagedata r:id="rId7" o:title=""/>
            <w10:wrap type="through"/>
          </v:shape>
        </w:pict>
      </w:r>
    </w:p>
    <w:p w:rsidR="00273425" w:rsidRDefault="00273425" w:rsidP="00C55872">
      <w:pPr>
        <w:keepNext/>
        <w:tabs>
          <w:tab w:val="right" w:pos="-259"/>
        </w:tabs>
        <w:spacing w:after="0" w:line="240" w:lineRule="auto"/>
        <w:outlineLvl w:val="2"/>
        <w:rPr>
          <w:rFonts w:ascii="Times New Roman" w:eastAsia="Times New Roman" w:hAnsi="Times New Roman"/>
          <w:b/>
          <w:iCs/>
          <w:sz w:val="24"/>
          <w:szCs w:val="24"/>
          <w:u w:val="single"/>
        </w:rPr>
      </w:pPr>
    </w:p>
    <w:p w:rsidR="005A5DC2" w:rsidRDefault="005A5DC2" w:rsidP="00C55872">
      <w:pPr>
        <w:keepNext/>
        <w:tabs>
          <w:tab w:val="right" w:pos="-259"/>
        </w:tabs>
        <w:spacing w:after="0" w:line="240" w:lineRule="auto"/>
        <w:outlineLvl w:val="2"/>
        <w:rPr>
          <w:rFonts w:ascii="Times New Roman" w:eastAsia="Times New Roman" w:hAnsi="Times New Roman"/>
          <w:b/>
          <w:iCs/>
          <w:sz w:val="24"/>
          <w:szCs w:val="24"/>
          <w:u w:val="single"/>
        </w:rPr>
      </w:pPr>
    </w:p>
    <w:p w:rsidR="005A5DC2" w:rsidRDefault="005A5DC2" w:rsidP="00C55872">
      <w:pPr>
        <w:keepNext/>
        <w:tabs>
          <w:tab w:val="right" w:pos="-259"/>
        </w:tabs>
        <w:spacing w:after="0" w:line="240" w:lineRule="auto"/>
        <w:outlineLvl w:val="2"/>
        <w:rPr>
          <w:rFonts w:ascii="Times New Roman" w:eastAsia="Times New Roman" w:hAnsi="Times New Roman"/>
          <w:b/>
          <w:iCs/>
          <w:sz w:val="24"/>
          <w:szCs w:val="24"/>
          <w:u w:val="single"/>
        </w:rPr>
      </w:pPr>
    </w:p>
    <w:p w:rsidR="005A5DC2" w:rsidRDefault="005A5DC2" w:rsidP="00C55872">
      <w:pPr>
        <w:keepNext/>
        <w:tabs>
          <w:tab w:val="right" w:pos="-259"/>
        </w:tabs>
        <w:spacing w:after="0" w:line="240" w:lineRule="auto"/>
        <w:outlineLvl w:val="2"/>
        <w:rPr>
          <w:rFonts w:ascii="Times New Roman" w:eastAsia="Times New Roman" w:hAnsi="Times New Roman"/>
          <w:b/>
          <w:iCs/>
          <w:sz w:val="24"/>
          <w:szCs w:val="24"/>
          <w:u w:val="single"/>
        </w:rPr>
      </w:pPr>
    </w:p>
    <w:p w:rsidR="005A5DC2" w:rsidRDefault="005A5DC2" w:rsidP="00C55872">
      <w:pPr>
        <w:keepNext/>
        <w:tabs>
          <w:tab w:val="right" w:pos="-259"/>
        </w:tabs>
        <w:spacing w:after="0" w:line="240" w:lineRule="auto"/>
        <w:outlineLvl w:val="2"/>
        <w:rPr>
          <w:rFonts w:ascii="Times New Roman" w:eastAsia="Times New Roman" w:hAnsi="Times New Roman"/>
          <w:b/>
          <w:iCs/>
          <w:sz w:val="24"/>
          <w:szCs w:val="24"/>
          <w:u w:val="single"/>
        </w:rPr>
      </w:pPr>
    </w:p>
    <w:p w:rsidR="005A5DC2" w:rsidRDefault="005A5DC2" w:rsidP="00C55872">
      <w:pPr>
        <w:keepNext/>
        <w:tabs>
          <w:tab w:val="right" w:pos="-259"/>
        </w:tabs>
        <w:spacing w:after="0" w:line="240" w:lineRule="auto"/>
        <w:outlineLvl w:val="2"/>
        <w:rPr>
          <w:rFonts w:ascii="Times New Roman" w:eastAsia="Times New Roman" w:hAnsi="Times New Roman"/>
          <w:b/>
          <w:iCs/>
          <w:sz w:val="24"/>
          <w:szCs w:val="24"/>
          <w:u w:val="single"/>
        </w:rPr>
      </w:pPr>
    </w:p>
    <w:p w:rsidR="005A5DC2" w:rsidRDefault="005A5DC2" w:rsidP="00C55872">
      <w:pPr>
        <w:keepNext/>
        <w:tabs>
          <w:tab w:val="right" w:pos="-259"/>
        </w:tabs>
        <w:spacing w:after="0" w:line="240" w:lineRule="auto"/>
        <w:outlineLvl w:val="2"/>
        <w:rPr>
          <w:rFonts w:ascii="Times New Roman" w:eastAsia="Times New Roman" w:hAnsi="Times New Roman"/>
          <w:b/>
          <w:iCs/>
          <w:sz w:val="24"/>
          <w:szCs w:val="24"/>
          <w:u w:val="single"/>
        </w:rPr>
      </w:pPr>
    </w:p>
    <w:p w:rsidR="005A5DC2" w:rsidRDefault="005A5DC2" w:rsidP="00C55872">
      <w:pPr>
        <w:keepNext/>
        <w:tabs>
          <w:tab w:val="right" w:pos="-259"/>
        </w:tabs>
        <w:spacing w:after="0" w:line="240" w:lineRule="auto"/>
        <w:outlineLvl w:val="2"/>
        <w:rPr>
          <w:rFonts w:ascii="Times New Roman" w:eastAsia="Times New Roman" w:hAnsi="Times New Roman"/>
          <w:b/>
          <w:iCs/>
          <w:sz w:val="24"/>
          <w:szCs w:val="24"/>
          <w:u w:val="single"/>
        </w:rPr>
      </w:pPr>
    </w:p>
    <w:p w:rsidR="005A5DC2" w:rsidRDefault="005A5DC2" w:rsidP="00C55872">
      <w:pPr>
        <w:keepNext/>
        <w:tabs>
          <w:tab w:val="right" w:pos="-259"/>
        </w:tabs>
        <w:spacing w:after="0" w:line="240" w:lineRule="auto"/>
        <w:outlineLvl w:val="2"/>
        <w:rPr>
          <w:rFonts w:ascii="Times New Roman" w:eastAsia="Times New Roman" w:hAnsi="Times New Roman"/>
          <w:b/>
          <w:iCs/>
          <w:sz w:val="24"/>
          <w:szCs w:val="24"/>
          <w:u w:val="single"/>
        </w:rPr>
      </w:pPr>
    </w:p>
    <w:p w:rsidR="00C55872" w:rsidRPr="00C55872" w:rsidRDefault="00214DE3" w:rsidP="00C55872">
      <w:pPr>
        <w:keepNext/>
        <w:tabs>
          <w:tab w:val="right" w:pos="-259"/>
        </w:tabs>
        <w:spacing w:after="0" w:line="240" w:lineRule="auto"/>
        <w:outlineLvl w:val="2"/>
        <w:rPr>
          <w:rFonts w:ascii="Times New Roman" w:eastAsia="Times New Roman" w:hAnsi="Times New Roman"/>
          <w:b/>
          <w:iCs/>
          <w:sz w:val="24"/>
          <w:szCs w:val="24"/>
          <w:u w:val="single"/>
        </w:rPr>
      </w:pPr>
      <w:r w:rsidRPr="00C55872">
        <w:rPr>
          <w:rFonts w:ascii="Times New Roman" w:eastAsia="Times New Roman" w:hAnsi="Times New Roman"/>
          <w:b/>
          <w:iCs/>
          <w:sz w:val="24"/>
          <w:szCs w:val="24"/>
          <w:u w:val="single"/>
        </w:rPr>
        <w:t>Subpart NN:  Local natural gas distribution companies (LDCs)</w:t>
      </w:r>
    </w:p>
    <w:p w:rsidR="00C55872" w:rsidRDefault="00C55872" w:rsidP="00C55872">
      <w:pPr>
        <w:keepNext/>
        <w:tabs>
          <w:tab w:val="right" w:pos="-259"/>
        </w:tabs>
        <w:spacing w:after="0" w:line="240" w:lineRule="auto"/>
        <w:outlineLvl w:val="2"/>
        <w:rPr>
          <w:rFonts w:ascii="Times New Roman" w:eastAsia="Times New Roman" w:hAnsi="Times New Roman"/>
          <w:b/>
          <w:iCs/>
          <w:sz w:val="24"/>
          <w:szCs w:val="24"/>
        </w:rPr>
      </w:pPr>
    </w:p>
    <w:p w:rsidR="00214DE3" w:rsidRPr="00C55872" w:rsidRDefault="00214DE3" w:rsidP="00C55872">
      <w:pPr>
        <w:keepNext/>
        <w:tabs>
          <w:tab w:val="right" w:pos="-259"/>
        </w:tabs>
        <w:spacing w:after="0" w:line="240" w:lineRule="auto"/>
        <w:outlineLvl w:val="2"/>
        <w:rPr>
          <w:rFonts w:ascii="Times New Roman" w:eastAsia="Times New Roman" w:hAnsi="Times New Roman"/>
          <w:sz w:val="24"/>
          <w:szCs w:val="24"/>
        </w:rPr>
      </w:pPr>
      <w:r w:rsidRPr="00C55872">
        <w:rPr>
          <w:rFonts w:ascii="Times New Roman" w:eastAsia="Times New Roman" w:hAnsi="Times New Roman"/>
          <w:sz w:val="24"/>
          <w:szCs w:val="24"/>
        </w:rPr>
        <w:t xml:space="preserve">EPA </w:t>
      </w:r>
      <w:r w:rsidR="00FE2AB2">
        <w:rPr>
          <w:rFonts w:ascii="Times New Roman" w:eastAsia="Times New Roman" w:hAnsi="Times New Roman"/>
          <w:sz w:val="24"/>
          <w:szCs w:val="24"/>
        </w:rPr>
        <w:t>is amending</w:t>
      </w:r>
      <w:r w:rsidRPr="00C55872">
        <w:rPr>
          <w:rFonts w:ascii="Times New Roman" w:eastAsia="Times New Roman" w:hAnsi="Times New Roman"/>
          <w:sz w:val="24"/>
          <w:szCs w:val="24"/>
        </w:rPr>
        <w:t xml:space="preserve"> Part 98 to require all LDCs that deliver 460,000 thousand standard cubic feet (</w:t>
      </w:r>
      <w:proofErr w:type="spellStart"/>
      <w:r w:rsidRPr="00C55872">
        <w:rPr>
          <w:rFonts w:ascii="Times New Roman" w:eastAsia="Times New Roman" w:hAnsi="Times New Roman"/>
          <w:sz w:val="24"/>
          <w:szCs w:val="24"/>
        </w:rPr>
        <w:t>mscf</w:t>
      </w:r>
      <w:proofErr w:type="spellEnd"/>
      <w:r w:rsidRPr="00C55872">
        <w:rPr>
          <w:rFonts w:ascii="Times New Roman" w:eastAsia="Times New Roman" w:hAnsi="Times New Roman"/>
          <w:sz w:val="24"/>
          <w:szCs w:val="24"/>
        </w:rPr>
        <w:t xml:space="preserve">) or more of natural gas per year to be required to report.  EPA </w:t>
      </w:r>
      <w:r w:rsidR="00FE2AB2">
        <w:rPr>
          <w:rFonts w:ascii="Times New Roman" w:eastAsia="Times New Roman" w:hAnsi="Times New Roman"/>
          <w:sz w:val="24"/>
          <w:szCs w:val="24"/>
        </w:rPr>
        <w:t>is setting</w:t>
      </w:r>
      <w:r w:rsidRPr="00C55872">
        <w:rPr>
          <w:rFonts w:ascii="Times New Roman" w:eastAsia="Times New Roman" w:hAnsi="Times New Roman"/>
          <w:sz w:val="24"/>
          <w:szCs w:val="24"/>
        </w:rPr>
        <w:t xml:space="preserve"> this capacity-based threshold because a capacity-based threshold would be more familiar to LDCs.  Owners and operators of LDCs know how much natural gas they deliver to their customers and it would, therefore, be easier for facilities to determine if they are subject to the rule, than if the threshold were emissions-based.  The threshold is approximately equivalent to 25,000 mtCO</w:t>
      </w:r>
      <w:r w:rsidRPr="00C55872">
        <w:rPr>
          <w:rFonts w:ascii="Times New Roman" w:eastAsia="Times New Roman" w:hAnsi="Times New Roman"/>
          <w:sz w:val="24"/>
          <w:szCs w:val="24"/>
          <w:vertAlign w:val="subscript"/>
        </w:rPr>
        <w:t>2</w:t>
      </w:r>
      <w:r w:rsidRPr="00C55872">
        <w:rPr>
          <w:rFonts w:ascii="Times New Roman" w:eastAsia="Times New Roman" w:hAnsi="Times New Roman"/>
          <w:sz w:val="24"/>
          <w:szCs w:val="24"/>
        </w:rPr>
        <w:t xml:space="preserve">e.     </w:t>
      </w:r>
    </w:p>
    <w:p w:rsidR="00B55DD0" w:rsidRDefault="00B55DD0" w:rsidP="00C55872">
      <w:pPr>
        <w:spacing w:after="0" w:line="240" w:lineRule="auto"/>
        <w:rPr>
          <w:rFonts w:ascii="Times New Roman" w:eastAsia="Times New Roman" w:hAnsi="Times New Roman"/>
          <w:sz w:val="24"/>
          <w:szCs w:val="24"/>
        </w:rPr>
      </w:pPr>
    </w:p>
    <w:p w:rsidR="00127BD0"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Under the new reporting threshold, the number of covered LDCs falls by 848 facilities</w:t>
      </w:r>
      <w:r w:rsidR="008630DE">
        <w:rPr>
          <w:rFonts w:ascii="Times New Roman" w:eastAsia="Times New Roman" w:hAnsi="Times New Roman"/>
          <w:sz w:val="24"/>
          <w:szCs w:val="24"/>
        </w:rPr>
        <w:t xml:space="preserve">.  </w:t>
      </w:r>
      <w:r w:rsidR="001B4E52">
        <w:rPr>
          <w:rFonts w:ascii="Times New Roman" w:eastAsia="Times New Roman" w:hAnsi="Times New Roman"/>
          <w:sz w:val="24"/>
          <w:szCs w:val="24"/>
        </w:rPr>
        <w:t xml:space="preserve">EPA estimates the </w:t>
      </w:r>
      <w:r w:rsidR="00095B0C">
        <w:rPr>
          <w:rFonts w:ascii="Times New Roman" w:eastAsia="Times New Roman" w:hAnsi="Times New Roman"/>
          <w:sz w:val="24"/>
          <w:szCs w:val="24"/>
        </w:rPr>
        <w:t xml:space="preserve">revised total respondent </w:t>
      </w:r>
      <w:r w:rsidR="00095B0C" w:rsidRPr="00C55872">
        <w:rPr>
          <w:rFonts w:ascii="Times New Roman" w:eastAsia="Times New Roman" w:hAnsi="Times New Roman"/>
          <w:sz w:val="24"/>
          <w:szCs w:val="24"/>
        </w:rPr>
        <w:t xml:space="preserve">burden </w:t>
      </w:r>
      <w:r w:rsidR="00B55DD0">
        <w:rPr>
          <w:rFonts w:ascii="Times New Roman" w:eastAsia="Times New Roman" w:hAnsi="Times New Roman"/>
          <w:sz w:val="24"/>
          <w:szCs w:val="24"/>
        </w:rPr>
        <w:t>to decrease</w:t>
      </w:r>
      <w:r w:rsidR="008630DE">
        <w:rPr>
          <w:rFonts w:ascii="Times New Roman" w:eastAsia="Times New Roman" w:hAnsi="Times New Roman"/>
          <w:sz w:val="24"/>
          <w:szCs w:val="24"/>
        </w:rPr>
        <w:t xml:space="preserve"> by 63</w:t>
      </w:r>
      <w:r w:rsidR="00D00376">
        <w:rPr>
          <w:rFonts w:ascii="Times New Roman" w:eastAsia="Times New Roman" w:hAnsi="Times New Roman"/>
          <w:sz w:val="24"/>
          <w:szCs w:val="24"/>
        </w:rPr>
        <w:t>,</w:t>
      </w:r>
      <w:r w:rsidR="008630DE">
        <w:rPr>
          <w:rFonts w:ascii="Times New Roman" w:eastAsia="Times New Roman" w:hAnsi="Times New Roman"/>
          <w:sz w:val="24"/>
          <w:szCs w:val="24"/>
        </w:rPr>
        <w:t>048</w:t>
      </w:r>
      <w:r w:rsidR="00632AB4" w:rsidRPr="00C55872">
        <w:rPr>
          <w:rFonts w:ascii="Times New Roman" w:eastAsia="Times New Roman" w:hAnsi="Times New Roman"/>
          <w:sz w:val="24"/>
          <w:szCs w:val="24"/>
        </w:rPr>
        <w:t xml:space="preserve"> hours</w:t>
      </w:r>
      <w:r w:rsidR="008630DE">
        <w:rPr>
          <w:rFonts w:ascii="Times New Roman" w:eastAsia="Times New Roman" w:hAnsi="Times New Roman"/>
          <w:sz w:val="24"/>
          <w:szCs w:val="24"/>
        </w:rPr>
        <w:t xml:space="preserve"> </w:t>
      </w:r>
      <w:r w:rsidR="008148AB">
        <w:rPr>
          <w:rFonts w:ascii="Times New Roman" w:eastAsia="Times New Roman" w:hAnsi="Times New Roman"/>
          <w:sz w:val="24"/>
          <w:szCs w:val="24"/>
        </w:rPr>
        <w:t>in the first year and</w:t>
      </w:r>
      <w:r w:rsidR="00C51B35">
        <w:rPr>
          <w:rFonts w:ascii="Times New Roman" w:eastAsia="Times New Roman" w:hAnsi="Times New Roman"/>
          <w:sz w:val="24"/>
          <w:szCs w:val="24"/>
        </w:rPr>
        <w:t xml:space="preserve"> 46,766 hours in the second and third years (see Tables 2a and 2b)</w:t>
      </w:r>
      <w:r w:rsidR="00127BD0" w:rsidRPr="00C55872">
        <w:rPr>
          <w:rFonts w:ascii="Times New Roman" w:eastAsia="Times New Roman" w:hAnsi="Times New Roman"/>
          <w:sz w:val="24"/>
          <w:szCs w:val="24"/>
        </w:rPr>
        <w:t>.</w:t>
      </w:r>
    </w:p>
    <w:p w:rsidR="007C3A32" w:rsidRPr="00C55872" w:rsidRDefault="007C3A32" w:rsidP="00C55872">
      <w:pPr>
        <w:keepNext/>
        <w:keepLines/>
        <w:spacing w:after="0" w:line="240" w:lineRule="auto"/>
        <w:rPr>
          <w:rFonts w:ascii="Times New Roman" w:eastAsia="Times New Roman" w:hAnsi="Times New Roman"/>
          <w:b/>
          <w:sz w:val="24"/>
          <w:szCs w:val="24"/>
        </w:rPr>
      </w:pPr>
    </w:p>
    <w:p w:rsidR="00127BD0" w:rsidRPr="00C55872" w:rsidRDefault="00127BD0" w:rsidP="00C55872">
      <w:pPr>
        <w:keepNext/>
        <w:keepLines/>
        <w:spacing w:after="0" w:line="240" w:lineRule="auto"/>
        <w:rPr>
          <w:rFonts w:ascii="Times New Roman" w:eastAsia="Times New Roman" w:hAnsi="Times New Roman"/>
          <w:b/>
          <w:sz w:val="24"/>
          <w:szCs w:val="24"/>
        </w:rPr>
      </w:pPr>
      <w:proofErr w:type="gramStart"/>
      <w:r w:rsidRPr="00C55872">
        <w:rPr>
          <w:rFonts w:ascii="Times New Roman" w:eastAsia="Times New Roman" w:hAnsi="Times New Roman"/>
          <w:b/>
          <w:sz w:val="24"/>
          <w:szCs w:val="24"/>
        </w:rPr>
        <w:t>Table 2</w:t>
      </w:r>
      <w:r w:rsidR="00C51B35">
        <w:rPr>
          <w:rFonts w:ascii="Times New Roman" w:eastAsia="Times New Roman" w:hAnsi="Times New Roman"/>
          <w:b/>
          <w:sz w:val="24"/>
          <w:szCs w:val="24"/>
        </w:rPr>
        <w:t>a</w:t>
      </w:r>
      <w:r w:rsidRPr="00C55872">
        <w:rPr>
          <w:rFonts w:ascii="Times New Roman" w:eastAsia="Times New Roman" w:hAnsi="Times New Roman"/>
          <w:b/>
          <w:sz w:val="24"/>
          <w:szCs w:val="24"/>
        </w:rPr>
        <w:t>.</w:t>
      </w:r>
      <w:proofErr w:type="gramEnd"/>
      <w:r w:rsidRPr="00C55872">
        <w:rPr>
          <w:rFonts w:ascii="Times New Roman" w:eastAsia="Times New Roman" w:hAnsi="Times New Roman"/>
          <w:b/>
          <w:sz w:val="24"/>
          <w:szCs w:val="24"/>
        </w:rPr>
        <w:t xml:space="preserve">  </w:t>
      </w:r>
      <w:r w:rsidR="008148AB">
        <w:rPr>
          <w:rFonts w:ascii="Times New Roman" w:eastAsia="Times New Roman" w:hAnsi="Times New Roman"/>
          <w:b/>
          <w:sz w:val="24"/>
          <w:szCs w:val="24"/>
        </w:rPr>
        <w:t xml:space="preserve">First Year </w:t>
      </w:r>
      <w:r w:rsidR="005E36F8">
        <w:rPr>
          <w:rFonts w:ascii="Times New Roman" w:eastAsia="Times New Roman" w:hAnsi="Times New Roman"/>
          <w:b/>
          <w:sz w:val="24"/>
          <w:szCs w:val="24"/>
        </w:rPr>
        <w:t xml:space="preserve">Change in Burden </w:t>
      </w:r>
      <w:r w:rsidRPr="00C55872">
        <w:rPr>
          <w:rFonts w:ascii="Times New Roman" w:eastAsia="Times New Roman" w:hAnsi="Times New Roman"/>
          <w:b/>
          <w:sz w:val="24"/>
          <w:szCs w:val="24"/>
        </w:rPr>
        <w:t xml:space="preserve">Associated with </w:t>
      </w:r>
      <w:r w:rsidR="005E36F8">
        <w:rPr>
          <w:rFonts w:ascii="Times New Roman" w:eastAsia="Times New Roman" w:hAnsi="Times New Roman"/>
          <w:b/>
          <w:sz w:val="24"/>
          <w:szCs w:val="24"/>
        </w:rPr>
        <w:t>Modifications to</w:t>
      </w:r>
      <w:r w:rsidRPr="00C55872">
        <w:rPr>
          <w:rFonts w:ascii="Times New Roman" w:eastAsia="Times New Roman" w:hAnsi="Times New Roman"/>
          <w:b/>
          <w:sz w:val="24"/>
          <w:szCs w:val="24"/>
        </w:rPr>
        <w:t xml:space="preserve"> Subpart NN (hours)</w:t>
      </w:r>
    </w:p>
    <w:p w:rsidR="005A5DC2" w:rsidRPr="007B6A24" w:rsidRDefault="007B6A24" w:rsidP="00C55872">
      <w:pPr>
        <w:spacing w:after="0" w:line="240" w:lineRule="auto"/>
        <w:rPr>
          <w:rFonts w:ascii="Arial" w:eastAsia="Times New Roman" w:hAnsi="Arial" w:cs="Arial"/>
          <w:sz w:val="16"/>
          <w:szCs w:val="16"/>
        </w:rPr>
      </w:pPr>
      <w:r w:rsidRPr="007B6A24">
        <w:rPr>
          <w:rFonts w:ascii="Arial" w:eastAsia="Times New Roman" w:hAnsi="Arial" w:cs="Arial"/>
          <w:sz w:val="16"/>
          <w:szCs w:val="16"/>
        </w:rPr>
        <w:t xml:space="preserve">(1) Total number of respondents reflects the net change anticipated by these revisions.  </w:t>
      </w:r>
      <w:r w:rsidR="00632AB4" w:rsidRPr="007B6A24">
        <w:rPr>
          <w:rFonts w:ascii="Arial" w:eastAsia="Times New Roman" w:hAnsi="Arial" w:cs="Arial"/>
          <w:sz w:val="16"/>
          <w:szCs w:val="16"/>
        </w:rPr>
        <w:t xml:space="preserve"> </w:t>
      </w:r>
    </w:p>
    <w:p w:rsidR="005A5DC2" w:rsidRPr="00C55872" w:rsidRDefault="005A5DC2" w:rsidP="00C55872">
      <w:pPr>
        <w:spacing w:after="0" w:line="240" w:lineRule="auto"/>
        <w:rPr>
          <w:rFonts w:ascii="Times New Roman" w:eastAsia="Times New Roman" w:hAnsi="Times New Roman"/>
          <w:sz w:val="24"/>
          <w:szCs w:val="24"/>
        </w:rPr>
      </w:pPr>
      <w:r w:rsidRPr="005A5DC2">
        <w:pict>
          <v:shape id="_x0000_s1031" type="#_x0000_t75" style="position:absolute;margin-left:0;margin-top:0;width:467.7pt;height:106.85pt;z-index:-3" wrapcoords="-35 0 -35 21296 21600 21296 21600 0 -35 0">
            <v:imagedata r:id="rId8" o:title=""/>
            <w10:wrap type="through"/>
          </v:shape>
        </w:pict>
      </w:r>
    </w:p>
    <w:p w:rsidR="00C51B35" w:rsidRPr="00C55872" w:rsidRDefault="00C51B35" w:rsidP="00C51B35">
      <w:pPr>
        <w:keepNext/>
        <w:keepLines/>
        <w:spacing w:after="0" w:line="240" w:lineRule="auto"/>
        <w:rPr>
          <w:rFonts w:ascii="Times New Roman" w:eastAsia="Times New Roman" w:hAnsi="Times New Roman"/>
          <w:b/>
          <w:sz w:val="24"/>
          <w:szCs w:val="24"/>
        </w:rPr>
      </w:pPr>
      <w:proofErr w:type="gramStart"/>
      <w:r w:rsidRPr="00C55872">
        <w:rPr>
          <w:rFonts w:ascii="Times New Roman" w:eastAsia="Times New Roman" w:hAnsi="Times New Roman"/>
          <w:b/>
          <w:sz w:val="24"/>
          <w:szCs w:val="24"/>
        </w:rPr>
        <w:lastRenderedPageBreak/>
        <w:t>Table 2</w:t>
      </w:r>
      <w:r>
        <w:rPr>
          <w:rFonts w:ascii="Times New Roman" w:eastAsia="Times New Roman" w:hAnsi="Times New Roman"/>
          <w:b/>
          <w:sz w:val="24"/>
          <w:szCs w:val="24"/>
        </w:rPr>
        <w:t>b</w:t>
      </w:r>
      <w:r w:rsidRPr="00C55872">
        <w:rPr>
          <w:rFonts w:ascii="Times New Roman" w:eastAsia="Times New Roman" w:hAnsi="Times New Roman"/>
          <w:b/>
          <w:sz w:val="24"/>
          <w:szCs w:val="24"/>
        </w:rPr>
        <w:t>.</w:t>
      </w:r>
      <w:proofErr w:type="gramEnd"/>
      <w:r w:rsidRPr="00C55872">
        <w:rPr>
          <w:rFonts w:ascii="Times New Roman" w:eastAsia="Times New Roman" w:hAnsi="Times New Roman"/>
          <w:b/>
          <w:sz w:val="24"/>
          <w:szCs w:val="24"/>
        </w:rPr>
        <w:t xml:space="preserve">  </w:t>
      </w:r>
      <w:r>
        <w:rPr>
          <w:rFonts w:ascii="Times New Roman" w:eastAsia="Times New Roman" w:hAnsi="Times New Roman"/>
          <w:b/>
          <w:sz w:val="24"/>
          <w:szCs w:val="24"/>
        </w:rPr>
        <w:t xml:space="preserve">Second and Third Year Change in Burden </w:t>
      </w:r>
      <w:r w:rsidRPr="00C55872">
        <w:rPr>
          <w:rFonts w:ascii="Times New Roman" w:eastAsia="Times New Roman" w:hAnsi="Times New Roman"/>
          <w:b/>
          <w:sz w:val="24"/>
          <w:szCs w:val="24"/>
        </w:rPr>
        <w:t xml:space="preserve">Associated with </w:t>
      </w:r>
      <w:r>
        <w:rPr>
          <w:rFonts w:ascii="Times New Roman" w:eastAsia="Times New Roman" w:hAnsi="Times New Roman"/>
          <w:b/>
          <w:sz w:val="24"/>
          <w:szCs w:val="24"/>
        </w:rPr>
        <w:t>Modifications to</w:t>
      </w:r>
      <w:r w:rsidRPr="00C55872">
        <w:rPr>
          <w:rFonts w:ascii="Times New Roman" w:eastAsia="Times New Roman" w:hAnsi="Times New Roman"/>
          <w:b/>
          <w:sz w:val="24"/>
          <w:szCs w:val="24"/>
        </w:rPr>
        <w:t xml:space="preserve"> Subpart NN (hours)</w:t>
      </w:r>
    </w:p>
    <w:p w:rsidR="00C51B35" w:rsidRDefault="00C51B35" w:rsidP="00C51B35">
      <w:pPr>
        <w:keepNext/>
        <w:keepLines/>
        <w:tabs>
          <w:tab w:val="right" w:pos="-259"/>
        </w:tabs>
        <w:spacing w:after="0" w:line="240" w:lineRule="auto"/>
        <w:outlineLvl w:val="2"/>
        <w:rPr>
          <w:rFonts w:ascii="Times New Roman" w:eastAsia="Times New Roman" w:hAnsi="Times New Roman"/>
          <w:b/>
          <w:iCs/>
          <w:sz w:val="24"/>
          <w:szCs w:val="24"/>
          <w:u w:val="single"/>
        </w:rPr>
      </w:pPr>
    </w:p>
    <w:p w:rsidR="00C51B35" w:rsidRDefault="007B6A24" w:rsidP="00095B0C">
      <w:pPr>
        <w:keepNext/>
        <w:keepLines/>
        <w:tabs>
          <w:tab w:val="right" w:pos="-259"/>
        </w:tabs>
        <w:spacing w:after="0" w:line="240" w:lineRule="auto"/>
        <w:outlineLvl w:val="2"/>
        <w:rPr>
          <w:rFonts w:ascii="Times New Roman" w:eastAsia="Times New Roman" w:hAnsi="Times New Roman"/>
          <w:b/>
          <w:iCs/>
          <w:sz w:val="24"/>
          <w:szCs w:val="24"/>
          <w:u w:val="single"/>
        </w:rPr>
      </w:pPr>
      <w:r w:rsidRPr="007B6A24">
        <w:rPr>
          <w:szCs w:val="24"/>
        </w:rPr>
        <w:pict>
          <v:shape id="_x0000_i1025" type="#_x0000_t75" style="width:426.55pt;height:114.8pt">
            <v:imagedata r:id="rId9" o:title=""/>
          </v:shape>
        </w:pict>
      </w:r>
    </w:p>
    <w:p w:rsidR="00642A2C" w:rsidRPr="007B6A24" w:rsidRDefault="00642A2C" w:rsidP="00642A2C">
      <w:pPr>
        <w:spacing w:after="0" w:line="240" w:lineRule="auto"/>
        <w:rPr>
          <w:rFonts w:ascii="Arial" w:eastAsia="Times New Roman" w:hAnsi="Arial" w:cs="Arial"/>
          <w:sz w:val="16"/>
          <w:szCs w:val="16"/>
        </w:rPr>
      </w:pPr>
      <w:r w:rsidRPr="007B6A24">
        <w:rPr>
          <w:rFonts w:ascii="Arial" w:eastAsia="Times New Roman" w:hAnsi="Arial" w:cs="Arial"/>
          <w:sz w:val="16"/>
          <w:szCs w:val="16"/>
        </w:rPr>
        <w:t xml:space="preserve">(1) Total number of respondents reflects the net change anticipated by these revisions.   </w:t>
      </w:r>
    </w:p>
    <w:p w:rsidR="00C51B35" w:rsidRDefault="00C51B35" w:rsidP="00095B0C">
      <w:pPr>
        <w:keepNext/>
        <w:keepLines/>
        <w:tabs>
          <w:tab w:val="right" w:pos="-259"/>
        </w:tabs>
        <w:spacing w:after="0" w:line="240" w:lineRule="auto"/>
        <w:outlineLvl w:val="2"/>
        <w:rPr>
          <w:rFonts w:ascii="Times New Roman" w:eastAsia="Times New Roman" w:hAnsi="Times New Roman"/>
          <w:b/>
          <w:iCs/>
          <w:sz w:val="24"/>
          <w:szCs w:val="24"/>
          <w:u w:val="single"/>
        </w:rPr>
      </w:pPr>
    </w:p>
    <w:p w:rsidR="00642A2C" w:rsidRDefault="00642A2C" w:rsidP="00095B0C">
      <w:pPr>
        <w:keepNext/>
        <w:keepLines/>
        <w:tabs>
          <w:tab w:val="right" w:pos="-259"/>
        </w:tabs>
        <w:spacing w:after="0" w:line="240" w:lineRule="auto"/>
        <w:outlineLvl w:val="2"/>
        <w:rPr>
          <w:rFonts w:ascii="Times New Roman" w:eastAsia="Times New Roman" w:hAnsi="Times New Roman"/>
          <w:b/>
          <w:iCs/>
          <w:sz w:val="24"/>
          <w:szCs w:val="24"/>
          <w:u w:val="single"/>
        </w:rPr>
      </w:pPr>
    </w:p>
    <w:p w:rsidR="00642A2C" w:rsidRDefault="00642A2C" w:rsidP="00095B0C">
      <w:pPr>
        <w:keepNext/>
        <w:keepLines/>
        <w:tabs>
          <w:tab w:val="right" w:pos="-259"/>
        </w:tabs>
        <w:spacing w:after="0" w:line="240" w:lineRule="auto"/>
        <w:outlineLvl w:val="2"/>
        <w:rPr>
          <w:rFonts w:ascii="Times New Roman" w:eastAsia="Times New Roman" w:hAnsi="Times New Roman"/>
          <w:b/>
          <w:iCs/>
          <w:sz w:val="24"/>
          <w:szCs w:val="24"/>
          <w:u w:val="single"/>
        </w:rPr>
      </w:pPr>
    </w:p>
    <w:p w:rsidR="00214DE3" w:rsidRPr="00BA0E03" w:rsidRDefault="00214DE3" w:rsidP="00095B0C">
      <w:pPr>
        <w:keepNext/>
        <w:keepLines/>
        <w:tabs>
          <w:tab w:val="right" w:pos="-259"/>
        </w:tabs>
        <w:spacing w:after="0" w:line="240" w:lineRule="auto"/>
        <w:outlineLvl w:val="2"/>
        <w:rPr>
          <w:rFonts w:ascii="Times New Roman" w:eastAsia="Times New Roman" w:hAnsi="Times New Roman"/>
          <w:b/>
          <w:iCs/>
          <w:sz w:val="24"/>
          <w:szCs w:val="24"/>
          <w:u w:val="single"/>
        </w:rPr>
      </w:pPr>
      <w:r w:rsidRPr="00BA0E03">
        <w:rPr>
          <w:rFonts w:ascii="Times New Roman" w:eastAsia="Times New Roman" w:hAnsi="Times New Roman"/>
          <w:b/>
          <w:iCs/>
          <w:sz w:val="24"/>
          <w:szCs w:val="24"/>
          <w:u w:val="single"/>
        </w:rPr>
        <w:t xml:space="preserve">Subpart C:  Tier 4 Requirements for Units that Combust Greater than 250 Tons of Municipal Solid Waste (MSW) per Day  </w:t>
      </w:r>
    </w:p>
    <w:p w:rsidR="00BA0E03" w:rsidRDefault="00BA0E03" w:rsidP="00095B0C">
      <w:pPr>
        <w:keepNext/>
        <w:keepLines/>
        <w:spacing w:after="0" w:line="240" w:lineRule="auto"/>
        <w:rPr>
          <w:rFonts w:ascii="Times New Roman" w:eastAsia="Times New Roman" w:hAnsi="Times New Roman"/>
          <w:sz w:val="24"/>
          <w:szCs w:val="24"/>
        </w:rPr>
      </w:pPr>
    </w:p>
    <w:p w:rsidR="00713DAE" w:rsidRPr="00C828D9" w:rsidRDefault="00713DAE" w:rsidP="00713DAE">
      <w:pPr>
        <w:rPr>
          <w:rFonts w:ascii="Times New Roman" w:hAnsi="Times New Roman"/>
          <w:i/>
          <w:iCs/>
          <w:sz w:val="24"/>
          <w:szCs w:val="24"/>
        </w:rPr>
      </w:pPr>
      <w:r w:rsidRPr="00C828D9">
        <w:rPr>
          <w:rFonts w:ascii="Times New Roman" w:hAnsi="Times New Roman"/>
          <w:i/>
          <w:iCs/>
          <w:sz w:val="24"/>
          <w:szCs w:val="24"/>
        </w:rPr>
        <w:t>Threshold Revisions</w:t>
      </w:r>
    </w:p>
    <w:p w:rsidR="00214DE3" w:rsidRPr="00C828D9" w:rsidRDefault="00214DE3" w:rsidP="00095B0C">
      <w:pPr>
        <w:keepNext/>
        <w:keepLines/>
        <w:spacing w:after="0" w:line="240" w:lineRule="auto"/>
        <w:rPr>
          <w:rFonts w:ascii="Times New Roman" w:eastAsia="Times New Roman" w:hAnsi="Times New Roman"/>
          <w:sz w:val="24"/>
          <w:szCs w:val="24"/>
        </w:rPr>
      </w:pPr>
      <w:r w:rsidRPr="00C828D9">
        <w:rPr>
          <w:rFonts w:ascii="Times New Roman" w:eastAsia="Times New Roman" w:hAnsi="Times New Roman"/>
          <w:sz w:val="24"/>
          <w:szCs w:val="24"/>
        </w:rPr>
        <w:t xml:space="preserve">In Part 98, EPA finalized a threshold of 250 tons per day of MSW, along with the requisite monitors to determine who had to follow Tier 4, versus who could use Tier 2.  EPA </w:t>
      </w:r>
      <w:r w:rsidR="00FE2AB2" w:rsidRPr="00C828D9">
        <w:rPr>
          <w:rFonts w:ascii="Times New Roman" w:eastAsia="Times New Roman" w:hAnsi="Times New Roman"/>
          <w:sz w:val="24"/>
          <w:szCs w:val="24"/>
        </w:rPr>
        <w:t>is amending</w:t>
      </w:r>
      <w:r w:rsidRPr="00C828D9">
        <w:rPr>
          <w:rFonts w:ascii="Times New Roman" w:eastAsia="Times New Roman" w:hAnsi="Times New Roman"/>
          <w:sz w:val="24"/>
          <w:szCs w:val="24"/>
        </w:rPr>
        <w:t xml:space="preserve"> Part 98 to change the 250 tons per day threshold to 600 tons per day, based on EPA analysis that this value is approximately equivalent to the 250 </w:t>
      </w:r>
      <w:proofErr w:type="spellStart"/>
      <w:r w:rsidRPr="00C828D9">
        <w:rPr>
          <w:rFonts w:ascii="Times New Roman" w:eastAsia="Times New Roman" w:hAnsi="Times New Roman"/>
          <w:sz w:val="24"/>
          <w:szCs w:val="24"/>
        </w:rPr>
        <w:t>mmBtu</w:t>
      </w:r>
      <w:proofErr w:type="spellEnd"/>
      <w:r w:rsidRPr="00C828D9">
        <w:rPr>
          <w:rFonts w:ascii="Times New Roman" w:eastAsia="Times New Roman" w:hAnsi="Times New Roman"/>
          <w:sz w:val="24"/>
          <w:szCs w:val="24"/>
        </w:rPr>
        <w:t xml:space="preserve">/hr heat input requirements for other large stationary combustion units (please see the Background Technical Support Document for Revisions </w:t>
      </w:r>
      <w:r w:rsidRPr="00C828D9">
        <w:rPr>
          <w:rFonts w:ascii="Times New Roman" w:eastAsia="Times New Roman" w:hAnsi="Times New Roman"/>
          <w:bCs/>
          <w:sz w:val="24"/>
          <w:szCs w:val="24"/>
        </w:rPr>
        <w:t>EPA-HQ-OAR-2008-0508</w:t>
      </w:r>
      <w:r w:rsidRPr="00C828D9">
        <w:rPr>
          <w:rFonts w:ascii="Times New Roman" w:eastAsia="Times New Roman" w:hAnsi="Times New Roman"/>
          <w:sz w:val="24"/>
          <w:szCs w:val="24"/>
        </w:rPr>
        <w:t xml:space="preserve">).  Units that do not meet the 600 tons per day trigger, and do not have the requisite monitors, could use Tier 2.  EPA believes that this </w:t>
      </w:r>
      <w:r w:rsidR="00FE2AB2" w:rsidRPr="00C828D9">
        <w:rPr>
          <w:rFonts w:ascii="Times New Roman" w:eastAsia="Times New Roman" w:hAnsi="Times New Roman"/>
          <w:sz w:val="24"/>
          <w:szCs w:val="24"/>
        </w:rPr>
        <w:t>revision</w:t>
      </w:r>
      <w:r w:rsidRPr="00C828D9">
        <w:rPr>
          <w:rFonts w:ascii="Times New Roman" w:eastAsia="Times New Roman" w:hAnsi="Times New Roman"/>
          <w:sz w:val="24"/>
          <w:szCs w:val="24"/>
        </w:rPr>
        <w:t xml:space="preserve"> still meets the desired goal to obtain high quality data from larger units, while not applying unnecessary burden.  With this </w:t>
      </w:r>
      <w:r w:rsidR="00FE2AB2" w:rsidRPr="00C828D9">
        <w:rPr>
          <w:rFonts w:ascii="Times New Roman" w:eastAsia="Times New Roman" w:hAnsi="Times New Roman"/>
          <w:sz w:val="24"/>
          <w:szCs w:val="24"/>
        </w:rPr>
        <w:t>revision</w:t>
      </w:r>
      <w:r w:rsidRPr="00C828D9">
        <w:rPr>
          <w:rFonts w:ascii="Times New Roman" w:eastAsia="Times New Roman" w:hAnsi="Times New Roman"/>
          <w:sz w:val="24"/>
          <w:szCs w:val="24"/>
        </w:rPr>
        <w:t xml:space="preserve">, general stationary combustion units will be subject to similar thresholds and conditions. </w:t>
      </w:r>
    </w:p>
    <w:p w:rsidR="00BA0E03" w:rsidRPr="00C828D9" w:rsidRDefault="00BA0E03" w:rsidP="00C55872">
      <w:pPr>
        <w:spacing w:after="0" w:line="240" w:lineRule="auto"/>
        <w:rPr>
          <w:rFonts w:ascii="Times New Roman" w:eastAsia="Times New Roman" w:hAnsi="Times New Roman"/>
          <w:sz w:val="24"/>
          <w:szCs w:val="24"/>
        </w:rPr>
      </w:pPr>
    </w:p>
    <w:p w:rsidR="000E65E9" w:rsidRPr="00C828D9" w:rsidRDefault="000E65E9" w:rsidP="00C55872">
      <w:pPr>
        <w:spacing w:after="0" w:line="240" w:lineRule="auto"/>
        <w:rPr>
          <w:rFonts w:ascii="Times New Roman" w:eastAsia="Times New Roman" w:hAnsi="Times New Roman"/>
          <w:sz w:val="24"/>
          <w:szCs w:val="24"/>
        </w:rPr>
      </w:pPr>
      <w:r w:rsidRPr="00C828D9">
        <w:rPr>
          <w:rFonts w:ascii="Times New Roman" w:eastAsia="Times New Roman" w:hAnsi="Times New Roman"/>
          <w:sz w:val="24"/>
          <w:szCs w:val="24"/>
        </w:rPr>
        <w:t>Under t</w:t>
      </w:r>
      <w:r w:rsidR="00B55DD0" w:rsidRPr="00C828D9">
        <w:rPr>
          <w:rFonts w:ascii="Times New Roman" w:eastAsia="Times New Roman" w:hAnsi="Times New Roman"/>
          <w:sz w:val="24"/>
          <w:szCs w:val="24"/>
        </w:rPr>
        <w:t xml:space="preserve">he new reporting threshold, EPA believes 87 general unspecified industrial combustion units will move from Tier 4 to Tier 2.  EPA estimates the </w:t>
      </w:r>
      <w:r w:rsidR="00095B0C" w:rsidRPr="00C828D9">
        <w:rPr>
          <w:rFonts w:ascii="Times New Roman" w:eastAsia="Times New Roman" w:hAnsi="Times New Roman"/>
          <w:sz w:val="24"/>
          <w:szCs w:val="24"/>
        </w:rPr>
        <w:t xml:space="preserve">revised total </w:t>
      </w:r>
      <w:r w:rsidR="00B55DD0" w:rsidRPr="00C828D9">
        <w:rPr>
          <w:rFonts w:ascii="Times New Roman" w:eastAsia="Times New Roman" w:hAnsi="Times New Roman"/>
          <w:sz w:val="24"/>
          <w:szCs w:val="24"/>
        </w:rPr>
        <w:t xml:space="preserve">respondent burden to decrease by </w:t>
      </w:r>
      <w:r w:rsidR="008630DE" w:rsidRPr="00C828D9">
        <w:rPr>
          <w:rFonts w:ascii="Times New Roman" w:eastAsia="Times New Roman" w:hAnsi="Times New Roman"/>
          <w:sz w:val="24"/>
          <w:szCs w:val="24"/>
        </w:rPr>
        <w:t>14</w:t>
      </w:r>
      <w:r w:rsidRPr="00C828D9">
        <w:rPr>
          <w:rFonts w:ascii="Times New Roman" w:eastAsia="Times New Roman" w:hAnsi="Times New Roman"/>
          <w:sz w:val="24"/>
          <w:szCs w:val="24"/>
        </w:rPr>
        <w:t>,885 hours</w:t>
      </w:r>
      <w:r w:rsidR="008630DE" w:rsidRPr="00C828D9">
        <w:rPr>
          <w:rFonts w:ascii="Times New Roman" w:eastAsia="Times New Roman" w:hAnsi="Times New Roman"/>
          <w:sz w:val="24"/>
          <w:szCs w:val="24"/>
        </w:rPr>
        <w:t xml:space="preserve"> in the first year</w:t>
      </w:r>
      <w:r w:rsidR="00C51B35" w:rsidRPr="00C828D9">
        <w:rPr>
          <w:rFonts w:ascii="Times New Roman" w:eastAsia="Times New Roman" w:hAnsi="Times New Roman"/>
          <w:sz w:val="24"/>
          <w:szCs w:val="24"/>
        </w:rPr>
        <w:t xml:space="preserve"> and </w:t>
      </w:r>
      <w:r w:rsidR="007679EE">
        <w:rPr>
          <w:rFonts w:ascii="Times New Roman" w:eastAsia="Times New Roman" w:hAnsi="Times New Roman"/>
          <w:sz w:val="24"/>
          <w:szCs w:val="24"/>
        </w:rPr>
        <w:t>4,162</w:t>
      </w:r>
      <w:r w:rsidR="00C51B35" w:rsidRPr="00C828D9">
        <w:rPr>
          <w:rFonts w:ascii="Times New Roman" w:eastAsia="Times New Roman" w:hAnsi="Times New Roman"/>
          <w:sz w:val="24"/>
          <w:szCs w:val="24"/>
        </w:rPr>
        <w:t xml:space="preserve"> hours in the second and third years (see Tables 3a and 3b)</w:t>
      </w:r>
      <w:r w:rsidRPr="00C828D9">
        <w:rPr>
          <w:rFonts w:ascii="Times New Roman" w:eastAsia="Times New Roman" w:hAnsi="Times New Roman"/>
          <w:sz w:val="24"/>
          <w:szCs w:val="24"/>
        </w:rPr>
        <w:t>.</w:t>
      </w:r>
    </w:p>
    <w:p w:rsidR="00713DAE" w:rsidRPr="00C828D9" w:rsidRDefault="00713DAE" w:rsidP="00C55872">
      <w:pPr>
        <w:spacing w:after="0" w:line="240" w:lineRule="auto"/>
        <w:rPr>
          <w:rFonts w:ascii="Times New Roman" w:eastAsia="Times New Roman" w:hAnsi="Times New Roman"/>
          <w:sz w:val="24"/>
          <w:szCs w:val="24"/>
        </w:rPr>
      </w:pPr>
    </w:p>
    <w:p w:rsidR="00713DAE" w:rsidRPr="00C828D9" w:rsidRDefault="00713DAE" w:rsidP="00713DAE">
      <w:pPr>
        <w:rPr>
          <w:rFonts w:ascii="Times New Roman" w:hAnsi="Times New Roman"/>
          <w:i/>
          <w:iCs/>
          <w:sz w:val="24"/>
          <w:szCs w:val="24"/>
        </w:rPr>
      </w:pPr>
      <w:r w:rsidRPr="00C828D9">
        <w:rPr>
          <w:rFonts w:ascii="Times New Roman" w:hAnsi="Times New Roman"/>
          <w:i/>
          <w:iCs/>
          <w:sz w:val="24"/>
          <w:szCs w:val="24"/>
        </w:rPr>
        <w:t xml:space="preserve">New </w:t>
      </w:r>
      <w:proofErr w:type="spellStart"/>
      <w:r w:rsidRPr="00C828D9">
        <w:rPr>
          <w:rFonts w:ascii="Times New Roman" w:hAnsi="Times New Roman"/>
          <w:i/>
          <w:iCs/>
          <w:sz w:val="24"/>
          <w:szCs w:val="24"/>
        </w:rPr>
        <w:t>Biogenics</w:t>
      </w:r>
      <w:proofErr w:type="spellEnd"/>
      <w:r w:rsidRPr="00C828D9">
        <w:rPr>
          <w:rFonts w:ascii="Times New Roman" w:hAnsi="Times New Roman"/>
          <w:i/>
          <w:iCs/>
          <w:sz w:val="24"/>
          <w:szCs w:val="24"/>
        </w:rPr>
        <w:t xml:space="preserve"> CO</w:t>
      </w:r>
      <w:r w:rsidRPr="00C828D9">
        <w:rPr>
          <w:rFonts w:ascii="Times New Roman" w:hAnsi="Times New Roman"/>
          <w:i/>
          <w:iCs/>
          <w:sz w:val="24"/>
          <w:szCs w:val="24"/>
          <w:vertAlign w:val="subscript"/>
        </w:rPr>
        <w:t>2</w:t>
      </w:r>
      <w:r w:rsidRPr="00C828D9">
        <w:rPr>
          <w:rFonts w:ascii="Times New Roman" w:hAnsi="Times New Roman"/>
          <w:i/>
          <w:iCs/>
          <w:sz w:val="24"/>
          <w:szCs w:val="24"/>
        </w:rPr>
        <w:t xml:space="preserve"> Emissions Reporting</w:t>
      </w:r>
      <w:r w:rsidRPr="00C828D9">
        <w:rPr>
          <w:rFonts w:ascii="Times New Roman" w:hAnsi="Times New Roman"/>
          <w:i/>
          <w:iCs/>
          <w:sz w:val="24"/>
          <w:szCs w:val="24"/>
          <w:vertAlign w:val="subscript"/>
        </w:rPr>
        <w:t xml:space="preserve"> </w:t>
      </w:r>
      <w:r w:rsidRPr="00C828D9">
        <w:rPr>
          <w:rFonts w:ascii="Times New Roman" w:hAnsi="Times New Roman"/>
          <w:i/>
          <w:iCs/>
          <w:sz w:val="24"/>
          <w:szCs w:val="24"/>
        </w:rPr>
        <w:t xml:space="preserve">Requirements </w:t>
      </w:r>
    </w:p>
    <w:p w:rsidR="00713DAE" w:rsidRDefault="00713DAE" w:rsidP="002D39B0">
      <w:pPr>
        <w:spacing w:after="0" w:line="240" w:lineRule="auto"/>
        <w:rPr>
          <w:rFonts w:ascii="Times New Roman" w:eastAsia="Times New Roman" w:hAnsi="Times New Roman"/>
          <w:sz w:val="24"/>
          <w:szCs w:val="24"/>
        </w:rPr>
      </w:pPr>
      <w:r w:rsidRPr="002D39B0">
        <w:rPr>
          <w:rFonts w:ascii="Times New Roman" w:eastAsia="Times New Roman" w:hAnsi="Times New Roman"/>
          <w:sz w:val="24"/>
          <w:szCs w:val="24"/>
        </w:rPr>
        <w:t xml:space="preserve">Under the proposed rule, EPA was trying to reflect in regulatory language clarifications that have been issued stating that separate reporting of biogenic emissions for units subject to 40 CFR </w:t>
      </w:r>
      <w:proofErr w:type="gramStart"/>
      <w:r w:rsidRPr="002D39B0">
        <w:rPr>
          <w:rFonts w:ascii="Times New Roman" w:eastAsia="Times New Roman" w:hAnsi="Times New Roman"/>
          <w:sz w:val="24"/>
          <w:szCs w:val="24"/>
        </w:rPr>
        <w:t>part</w:t>
      </w:r>
      <w:proofErr w:type="gramEnd"/>
      <w:r w:rsidRPr="002D39B0">
        <w:rPr>
          <w:rFonts w:ascii="Times New Roman" w:eastAsia="Times New Roman" w:hAnsi="Times New Roman"/>
          <w:sz w:val="24"/>
          <w:szCs w:val="24"/>
        </w:rPr>
        <w:t xml:space="preserve"> 75 was optional.  To clarify this optional reporting, </w:t>
      </w:r>
      <w:r w:rsidR="00C828D9">
        <w:rPr>
          <w:rFonts w:ascii="Times New Roman" w:eastAsia="Times New Roman" w:hAnsi="Times New Roman"/>
          <w:sz w:val="24"/>
          <w:szCs w:val="24"/>
        </w:rPr>
        <w:t>EPA</w:t>
      </w:r>
      <w:r w:rsidRPr="002D39B0">
        <w:rPr>
          <w:rFonts w:ascii="Times New Roman" w:eastAsia="Times New Roman" w:hAnsi="Times New Roman"/>
          <w:sz w:val="24"/>
          <w:szCs w:val="24"/>
        </w:rPr>
        <w:t xml:space="preserve"> proposed to amend the data elements in subpart A (specifically §98.3(c)(4)</w:t>
      </w:r>
      <w:r w:rsidR="00C828D9">
        <w:rPr>
          <w:rFonts w:ascii="Times New Roman" w:eastAsia="Times New Roman" w:hAnsi="Times New Roman"/>
          <w:sz w:val="24"/>
          <w:szCs w:val="24"/>
        </w:rPr>
        <w:t>)</w:t>
      </w:r>
      <w:r w:rsidRPr="002D39B0">
        <w:rPr>
          <w:rFonts w:ascii="Times New Roman" w:eastAsia="Times New Roman" w:hAnsi="Times New Roman"/>
          <w:sz w:val="24"/>
          <w:szCs w:val="24"/>
        </w:rPr>
        <w:t xml:space="preserve"> and subpart C that currently require separate accounting and reporting of biogenic CO</w:t>
      </w:r>
      <w:r w:rsidRPr="00642A2C">
        <w:rPr>
          <w:rFonts w:ascii="Times New Roman" w:eastAsia="Times New Roman" w:hAnsi="Times New Roman"/>
          <w:sz w:val="24"/>
          <w:szCs w:val="24"/>
          <w:vertAlign w:val="subscript"/>
        </w:rPr>
        <w:t>2</w:t>
      </w:r>
      <w:r w:rsidRPr="002D39B0">
        <w:rPr>
          <w:rFonts w:ascii="Times New Roman" w:eastAsia="Times New Roman" w:hAnsi="Times New Roman"/>
          <w:sz w:val="24"/>
          <w:szCs w:val="24"/>
        </w:rPr>
        <w:t xml:space="preserve"> emissions so that it is optional for Part 75 units.  All units, except Part 75 units, would still have been required to calculate and report biogenic </w:t>
      </w:r>
      <w:r w:rsidR="00642A2C" w:rsidRPr="002D39B0">
        <w:rPr>
          <w:rFonts w:ascii="Times New Roman" w:eastAsia="Times New Roman" w:hAnsi="Times New Roman"/>
          <w:sz w:val="24"/>
          <w:szCs w:val="24"/>
        </w:rPr>
        <w:t>CO</w:t>
      </w:r>
      <w:r w:rsidR="00642A2C" w:rsidRPr="00642A2C">
        <w:rPr>
          <w:rFonts w:ascii="Times New Roman" w:eastAsia="Times New Roman" w:hAnsi="Times New Roman"/>
          <w:sz w:val="24"/>
          <w:szCs w:val="24"/>
          <w:vertAlign w:val="subscript"/>
        </w:rPr>
        <w:t>2</w:t>
      </w:r>
      <w:r w:rsidRPr="002D39B0">
        <w:rPr>
          <w:rFonts w:ascii="Times New Roman" w:eastAsia="Times New Roman" w:hAnsi="Times New Roman"/>
          <w:sz w:val="24"/>
          <w:szCs w:val="24"/>
        </w:rPr>
        <w:t xml:space="preserve"> emissions separately under subpart C.  </w:t>
      </w:r>
    </w:p>
    <w:p w:rsidR="002D39B0" w:rsidRPr="002D39B0" w:rsidRDefault="002D39B0" w:rsidP="002D39B0">
      <w:pPr>
        <w:spacing w:after="0" w:line="240" w:lineRule="auto"/>
        <w:rPr>
          <w:rFonts w:ascii="Times New Roman" w:eastAsia="Times New Roman" w:hAnsi="Times New Roman"/>
          <w:sz w:val="24"/>
          <w:szCs w:val="24"/>
        </w:rPr>
      </w:pPr>
    </w:p>
    <w:p w:rsidR="00713DAE" w:rsidRDefault="00713DAE" w:rsidP="002D39B0">
      <w:pPr>
        <w:spacing w:after="0" w:line="240" w:lineRule="auto"/>
        <w:rPr>
          <w:rFonts w:ascii="Times New Roman" w:eastAsia="Times New Roman" w:hAnsi="Times New Roman"/>
          <w:sz w:val="24"/>
          <w:szCs w:val="24"/>
        </w:rPr>
      </w:pPr>
      <w:r w:rsidRPr="002D39B0">
        <w:rPr>
          <w:rFonts w:ascii="Times New Roman" w:eastAsia="Times New Roman" w:hAnsi="Times New Roman"/>
          <w:sz w:val="24"/>
          <w:szCs w:val="24"/>
        </w:rPr>
        <w:lastRenderedPageBreak/>
        <w:t>EPA received numerous adverse comments on the proposed amendments that would re-structure §98.3(c</w:t>
      </w:r>
      <w:proofErr w:type="gramStart"/>
      <w:r w:rsidRPr="002D39B0">
        <w:rPr>
          <w:rFonts w:ascii="Times New Roman" w:eastAsia="Times New Roman" w:hAnsi="Times New Roman"/>
          <w:sz w:val="24"/>
          <w:szCs w:val="24"/>
        </w:rPr>
        <w:t>)(</w:t>
      </w:r>
      <w:proofErr w:type="gramEnd"/>
      <w:r w:rsidRPr="002D39B0">
        <w:rPr>
          <w:rFonts w:ascii="Times New Roman" w:eastAsia="Times New Roman" w:hAnsi="Times New Roman"/>
          <w:sz w:val="24"/>
          <w:szCs w:val="24"/>
        </w:rPr>
        <w:t xml:space="preserve">4) and make separate reporting of biogenic </w:t>
      </w:r>
      <w:r w:rsidR="00642A2C" w:rsidRPr="002D39B0">
        <w:rPr>
          <w:rFonts w:ascii="Times New Roman" w:eastAsia="Times New Roman" w:hAnsi="Times New Roman"/>
          <w:sz w:val="24"/>
          <w:szCs w:val="24"/>
        </w:rPr>
        <w:t>CO</w:t>
      </w:r>
      <w:r w:rsidR="00642A2C" w:rsidRPr="00642A2C">
        <w:rPr>
          <w:rFonts w:ascii="Times New Roman" w:eastAsia="Times New Roman" w:hAnsi="Times New Roman"/>
          <w:sz w:val="24"/>
          <w:szCs w:val="24"/>
          <w:vertAlign w:val="subscript"/>
        </w:rPr>
        <w:t>2</w:t>
      </w:r>
      <w:r w:rsidRPr="002D39B0">
        <w:rPr>
          <w:rFonts w:ascii="Times New Roman" w:eastAsia="Times New Roman" w:hAnsi="Times New Roman"/>
          <w:sz w:val="24"/>
          <w:szCs w:val="24"/>
        </w:rPr>
        <w:t xml:space="preserve"> emissions optional for Part 75 units. Most commenters urged EPA to make separate reporting of biogenic emissions mandatory for all reporters. Based on the comments received, EPA decided to withdraw the proposed re-structuring of §98.3(c</w:t>
      </w:r>
      <w:proofErr w:type="gramStart"/>
      <w:r w:rsidRPr="002D39B0">
        <w:rPr>
          <w:rFonts w:ascii="Times New Roman" w:eastAsia="Times New Roman" w:hAnsi="Times New Roman"/>
          <w:sz w:val="24"/>
          <w:szCs w:val="24"/>
        </w:rPr>
        <w:t>)(</w:t>
      </w:r>
      <w:proofErr w:type="gramEnd"/>
      <w:r w:rsidRPr="002D39B0">
        <w:rPr>
          <w:rFonts w:ascii="Times New Roman" w:eastAsia="Times New Roman" w:hAnsi="Times New Roman"/>
          <w:sz w:val="24"/>
          <w:szCs w:val="24"/>
        </w:rPr>
        <w:t xml:space="preserve">4).  EPA also reconsidered their position on optional biogenic </w:t>
      </w:r>
      <w:r w:rsidR="00642A2C" w:rsidRPr="002D39B0">
        <w:rPr>
          <w:rFonts w:ascii="Times New Roman" w:eastAsia="Times New Roman" w:hAnsi="Times New Roman"/>
          <w:sz w:val="24"/>
          <w:szCs w:val="24"/>
        </w:rPr>
        <w:t>CO</w:t>
      </w:r>
      <w:r w:rsidR="00642A2C" w:rsidRPr="00642A2C">
        <w:rPr>
          <w:rFonts w:ascii="Times New Roman" w:eastAsia="Times New Roman" w:hAnsi="Times New Roman"/>
          <w:sz w:val="24"/>
          <w:szCs w:val="24"/>
          <w:vertAlign w:val="subscript"/>
        </w:rPr>
        <w:t>2</w:t>
      </w:r>
      <w:r w:rsidRPr="002D39B0">
        <w:rPr>
          <w:rFonts w:ascii="Times New Roman" w:eastAsia="Times New Roman" w:hAnsi="Times New Roman"/>
          <w:sz w:val="24"/>
          <w:szCs w:val="24"/>
        </w:rPr>
        <w:t xml:space="preserve"> emissions reporting for Part 75 units.  In the final rule, a new paragraph, (c</w:t>
      </w:r>
      <w:proofErr w:type="gramStart"/>
      <w:r w:rsidRPr="002D39B0">
        <w:rPr>
          <w:rFonts w:ascii="Times New Roman" w:eastAsia="Times New Roman" w:hAnsi="Times New Roman"/>
          <w:sz w:val="24"/>
          <w:szCs w:val="24"/>
        </w:rPr>
        <w:t>)(</w:t>
      </w:r>
      <w:proofErr w:type="gramEnd"/>
      <w:r w:rsidRPr="002D39B0">
        <w:rPr>
          <w:rFonts w:ascii="Times New Roman" w:eastAsia="Times New Roman" w:hAnsi="Times New Roman"/>
          <w:sz w:val="24"/>
          <w:szCs w:val="24"/>
        </w:rPr>
        <w:t xml:space="preserve">12), has been added to §98.3(c), which states that this reporting is optional only for the first year of the program (i.e., for the 2010 reporting year).  Thereafter, all Part 75 units must separately report their biogenic </w:t>
      </w:r>
      <w:r w:rsidR="00642A2C" w:rsidRPr="002D39B0">
        <w:rPr>
          <w:rFonts w:ascii="Times New Roman" w:eastAsia="Times New Roman" w:hAnsi="Times New Roman"/>
          <w:sz w:val="24"/>
          <w:szCs w:val="24"/>
        </w:rPr>
        <w:t>CO</w:t>
      </w:r>
      <w:r w:rsidR="00642A2C" w:rsidRPr="00642A2C">
        <w:rPr>
          <w:rFonts w:ascii="Times New Roman" w:eastAsia="Times New Roman" w:hAnsi="Times New Roman"/>
          <w:sz w:val="24"/>
          <w:szCs w:val="24"/>
          <w:vertAlign w:val="subscript"/>
        </w:rPr>
        <w:t>2</w:t>
      </w:r>
      <w:r w:rsidRPr="002D39B0">
        <w:rPr>
          <w:rFonts w:ascii="Times New Roman" w:eastAsia="Times New Roman" w:hAnsi="Times New Roman"/>
          <w:sz w:val="24"/>
          <w:szCs w:val="24"/>
        </w:rPr>
        <w:t xml:space="preserve"> emissions.  EPA is allowing the optional biogenic </w:t>
      </w:r>
      <w:r w:rsidR="00642A2C" w:rsidRPr="002D39B0">
        <w:rPr>
          <w:rFonts w:ascii="Times New Roman" w:eastAsia="Times New Roman" w:hAnsi="Times New Roman"/>
          <w:sz w:val="24"/>
          <w:szCs w:val="24"/>
        </w:rPr>
        <w:t>CO</w:t>
      </w:r>
      <w:r w:rsidR="00642A2C" w:rsidRPr="00642A2C">
        <w:rPr>
          <w:rFonts w:ascii="Times New Roman" w:eastAsia="Times New Roman" w:hAnsi="Times New Roman"/>
          <w:sz w:val="24"/>
          <w:szCs w:val="24"/>
          <w:vertAlign w:val="subscript"/>
        </w:rPr>
        <w:t>2</w:t>
      </w:r>
      <w:r w:rsidRPr="002D39B0">
        <w:rPr>
          <w:rFonts w:ascii="Times New Roman" w:eastAsia="Times New Roman" w:hAnsi="Times New Roman"/>
          <w:sz w:val="24"/>
          <w:szCs w:val="24"/>
        </w:rPr>
        <w:t xml:space="preserve"> emissions reporting for the 2010 reporting year in light of previous statements and guidance on the issue.  It is likely that at least some Part 75 sources are following that policy guidance and have elected not to separately report biogenic </w:t>
      </w:r>
      <w:r w:rsidR="00642A2C" w:rsidRPr="002D39B0">
        <w:rPr>
          <w:rFonts w:ascii="Times New Roman" w:eastAsia="Times New Roman" w:hAnsi="Times New Roman"/>
          <w:sz w:val="24"/>
          <w:szCs w:val="24"/>
        </w:rPr>
        <w:t>CO</w:t>
      </w:r>
      <w:r w:rsidR="00642A2C" w:rsidRPr="00642A2C">
        <w:rPr>
          <w:rFonts w:ascii="Times New Roman" w:eastAsia="Times New Roman" w:hAnsi="Times New Roman"/>
          <w:sz w:val="24"/>
          <w:szCs w:val="24"/>
          <w:vertAlign w:val="subscript"/>
        </w:rPr>
        <w:t>2</w:t>
      </w:r>
      <w:r w:rsidRPr="002D39B0">
        <w:rPr>
          <w:rFonts w:ascii="Times New Roman" w:eastAsia="Times New Roman" w:hAnsi="Times New Roman"/>
          <w:sz w:val="24"/>
          <w:szCs w:val="24"/>
        </w:rPr>
        <w:t xml:space="preserve"> emissions.  It is equally likely that these sources have not been keeping the necessary records or performing the required emission testing to enable them to report these emissions for 2010.</w:t>
      </w:r>
    </w:p>
    <w:p w:rsidR="002D39B0" w:rsidRPr="002D39B0" w:rsidRDefault="002D39B0" w:rsidP="002D39B0">
      <w:pPr>
        <w:spacing w:after="0" w:line="240" w:lineRule="auto"/>
        <w:rPr>
          <w:rFonts w:ascii="Times New Roman" w:eastAsia="Times New Roman" w:hAnsi="Times New Roman"/>
          <w:sz w:val="24"/>
          <w:szCs w:val="24"/>
        </w:rPr>
      </w:pPr>
    </w:p>
    <w:p w:rsidR="00C51B35" w:rsidRPr="00C55872" w:rsidRDefault="00127BD0" w:rsidP="00C51B35">
      <w:pPr>
        <w:keepNext/>
        <w:keepLines/>
        <w:spacing w:after="0" w:line="240" w:lineRule="auto"/>
        <w:rPr>
          <w:rFonts w:ascii="Times New Roman" w:eastAsia="Times New Roman" w:hAnsi="Times New Roman"/>
          <w:b/>
          <w:sz w:val="24"/>
          <w:szCs w:val="24"/>
        </w:rPr>
      </w:pPr>
      <w:proofErr w:type="gramStart"/>
      <w:r w:rsidRPr="00C55872">
        <w:rPr>
          <w:rFonts w:ascii="Times New Roman" w:eastAsia="Times New Roman" w:hAnsi="Times New Roman"/>
          <w:b/>
          <w:sz w:val="24"/>
          <w:szCs w:val="24"/>
        </w:rPr>
        <w:t>Table 3</w:t>
      </w:r>
      <w:r w:rsidR="00C51B35">
        <w:rPr>
          <w:rFonts w:ascii="Times New Roman" w:eastAsia="Times New Roman" w:hAnsi="Times New Roman"/>
          <w:b/>
          <w:sz w:val="24"/>
          <w:szCs w:val="24"/>
        </w:rPr>
        <w:t>a</w:t>
      </w:r>
      <w:r w:rsidRPr="00C55872">
        <w:rPr>
          <w:rFonts w:ascii="Times New Roman" w:eastAsia="Times New Roman" w:hAnsi="Times New Roman"/>
          <w:b/>
          <w:sz w:val="24"/>
          <w:szCs w:val="24"/>
        </w:rPr>
        <w:t>.</w:t>
      </w:r>
      <w:proofErr w:type="gramEnd"/>
      <w:r w:rsidRPr="00C55872">
        <w:rPr>
          <w:rFonts w:ascii="Times New Roman" w:eastAsia="Times New Roman" w:hAnsi="Times New Roman"/>
          <w:b/>
          <w:sz w:val="24"/>
          <w:szCs w:val="24"/>
        </w:rPr>
        <w:t xml:space="preserve"> </w:t>
      </w:r>
      <w:r w:rsidR="00C51B35">
        <w:rPr>
          <w:rFonts w:ascii="Times New Roman" w:eastAsia="Times New Roman" w:hAnsi="Times New Roman"/>
          <w:b/>
          <w:sz w:val="24"/>
          <w:szCs w:val="24"/>
        </w:rPr>
        <w:t xml:space="preserve">First Year Change in Burden </w:t>
      </w:r>
      <w:r w:rsidR="00C51B35" w:rsidRPr="00C55872">
        <w:rPr>
          <w:rFonts w:ascii="Times New Roman" w:eastAsia="Times New Roman" w:hAnsi="Times New Roman"/>
          <w:b/>
          <w:sz w:val="24"/>
          <w:szCs w:val="24"/>
        </w:rPr>
        <w:t xml:space="preserve">Associated with </w:t>
      </w:r>
      <w:r w:rsidR="00C51B35">
        <w:rPr>
          <w:rFonts w:ascii="Times New Roman" w:eastAsia="Times New Roman" w:hAnsi="Times New Roman"/>
          <w:b/>
          <w:sz w:val="24"/>
          <w:szCs w:val="24"/>
        </w:rPr>
        <w:t>Modifications to Subpart C</w:t>
      </w:r>
      <w:r w:rsidR="00C51B35" w:rsidRPr="00C55872">
        <w:rPr>
          <w:rFonts w:ascii="Times New Roman" w:eastAsia="Times New Roman" w:hAnsi="Times New Roman"/>
          <w:b/>
          <w:sz w:val="24"/>
          <w:szCs w:val="24"/>
        </w:rPr>
        <w:t xml:space="preserve"> (hours)</w:t>
      </w:r>
    </w:p>
    <w:p w:rsidR="008630DE" w:rsidRDefault="00642A2C" w:rsidP="00C51B35">
      <w:pPr>
        <w:keepNext/>
        <w:keepLines/>
        <w:spacing w:after="0" w:line="240" w:lineRule="auto"/>
        <w:rPr>
          <w:rFonts w:ascii="Times New Roman" w:eastAsia="Times New Roman" w:hAnsi="Times New Roman"/>
          <w:sz w:val="24"/>
          <w:szCs w:val="24"/>
        </w:rPr>
      </w:pPr>
      <w:r w:rsidRPr="00C828D9">
        <w:pict>
          <v:shape id="_x0000_s1033" type="#_x0000_t75" style="position:absolute;margin-left:49.5pt;margin-top:10.6pt;width:348pt;height:153.75pt;z-index:-2" wrapcoords="-47 0 -47 21389 21600 21389 21600 0 -47 0">
            <v:imagedata r:id="rId10" o:title=""/>
            <w10:wrap type="through"/>
          </v:shape>
        </w:pict>
      </w:r>
    </w:p>
    <w:p w:rsidR="00C828D9" w:rsidRDefault="00C828D9" w:rsidP="00C828D9">
      <w:pPr>
        <w:spacing w:after="0" w:line="240" w:lineRule="auto"/>
        <w:rPr>
          <w:rFonts w:ascii="Times New Roman" w:eastAsia="Times New Roman" w:hAnsi="Times New Roman"/>
          <w:b/>
          <w:sz w:val="24"/>
          <w:szCs w:val="24"/>
        </w:rPr>
      </w:pPr>
    </w:p>
    <w:p w:rsidR="00C828D9" w:rsidRDefault="00C828D9" w:rsidP="00C51B35">
      <w:pPr>
        <w:keepNext/>
        <w:keepLines/>
        <w:spacing w:after="0" w:line="240" w:lineRule="auto"/>
        <w:rPr>
          <w:rFonts w:ascii="Times New Roman" w:eastAsia="Times New Roman" w:hAnsi="Times New Roman"/>
          <w:b/>
          <w:sz w:val="24"/>
          <w:szCs w:val="24"/>
        </w:rPr>
      </w:pPr>
    </w:p>
    <w:p w:rsidR="00C828D9" w:rsidRDefault="00C828D9" w:rsidP="00C51B35">
      <w:pPr>
        <w:keepNext/>
        <w:keepLines/>
        <w:spacing w:after="0" w:line="240" w:lineRule="auto"/>
        <w:rPr>
          <w:rFonts w:ascii="Times New Roman" w:eastAsia="Times New Roman" w:hAnsi="Times New Roman"/>
          <w:b/>
          <w:sz w:val="24"/>
          <w:szCs w:val="24"/>
        </w:rPr>
      </w:pPr>
    </w:p>
    <w:p w:rsidR="00C828D9" w:rsidRDefault="00C828D9" w:rsidP="00C51B35">
      <w:pPr>
        <w:keepNext/>
        <w:keepLines/>
        <w:spacing w:after="0" w:line="240" w:lineRule="auto"/>
        <w:rPr>
          <w:rFonts w:ascii="Times New Roman" w:eastAsia="Times New Roman" w:hAnsi="Times New Roman"/>
          <w:b/>
          <w:sz w:val="24"/>
          <w:szCs w:val="24"/>
        </w:rPr>
      </w:pPr>
    </w:p>
    <w:p w:rsidR="00C828D9" w:rsidRDefault="00C828D9" w:rsidP="00C51B35">
      <w:pPr>
        <w:keepNext/>
        <w:keepLines/>
        <w:spacing w:after="0" w:line="240" w:lineRule="auto"/>
        <w:rPr>
          <w:rFonts w:ascii="Times New Roman" w:eastAsia="Times New Roman" w:hAnsi="Times New Roman"/>
          <w:b/>
          <w:sz w:val="24"/>
          <w:szCs w:val="24"/>
        </w:rPr>
      </w:pPr>
    </w:p>
    <w:p w:rsidR="00C828D9" w:rsidRDefault="00C828D9" w:rsidP="00C51B35">
      <w:pPr>
        <w:keepNext/>
        <w:keepLines/>
        <w:spacing w:after="0" w:line="240" w:lineRule="auto"/>
        <w:rPr>
          <w:rFonts w:ascii="Times New Roman" w:eastAsia="Times New Roman" w:hAnsi="Times New Roman"/>
          <w:b/>
          <w:sz w:val="24"/>
          <w:szCs w:val="24"/>
        </w:rPr>
      </w:pPr>
    </w:p>
    <w:p w:rsidR="00C828D9" w:rsidRDefault="00C828D9" w:rsidP="00C51B35">
      <w:pPr>
        <w:keepNext/>
        <w:keepLines/>
        <w:spacing w:after="0" w:line="240" w:lineRule="auto"/>
        <w:rPr>
          <w:rFonts w:ascii="Times New Roman" w:eastAsia="Times New Roman" w:hAnsi="Times New Roman"/>
          <w:b/>
          <w:sz w:val="24"/>
          <w:szCs w:val="24"/>
        </w:rPr>
      </w:pPr>
    </w:p>
    <w:p w:rsidR="00C828D9" w:rsidRDefault="00C828D9" w:rsidP="00C51B35">
      <w:pPr>
        <w:keepNext/>
        <w:keepLines/>
        <w:spacing w:after="0" w:line="240" w:lineRule="auto"/>
        <w:rPr>
          <w:rFonts w:ascii="Times New Roman" w:eastAsia="Times New Roman" w:hAnsi="Times New Roman"/>
          <w:b/>
          <w:sz w:val="24"/>
          <w:szCs w:val="24"/>
        </w:rPr>
      </w:pPr>
    </w:p>
    <w:p w:rsidR="00C828D9" w:rsidRDefault="00C828D9" w:rsidP="00C51B35">
      <w:pPr>
        <w:keepNext/>
        <w:keepLines/>
        <w:spacing w:after="0" w:line="240" w:lineRule="auto"/>
        <w:rPr>
          <w:rFonts w:ascii="Times New Roman" w:eastAsia="Times New Roman" w:hAnsi="Times New Roman"/>
          <w:b/>
          <w:sz w:val="24"/>
          <w:szCs w:val="24"/>
        </w:rPr>
      </w:pPr>
    </w:p>
    <w:p w:rsidR="00C828D9" w:rsidRDefault="00C828D9" w:rsidP="00C51B35">
      <w:pPr>
        <w:keepNext/>
        <w:keepLines/>
        <w:spacing w:after="0" w:line="240" w:lineRule="auto"/>
        <w:rPr>
          <w:rFonts w:ascii="Times New Roman" w:eastAsia="Times New Roman" w:hAnsi="Times New Roman"/>
          <w:b/>
          <w:sz w:val="24"/>
          <w:szCs w:val="24"/>
        </w:rPr>
      </w:pPr>
    </w:p>
    <w:p w:rsidR="00642A2C" w:rsidRDefault="00642A2C" w:rsidP="00642A2C">
      <w:pPr>
        <w:spacing w:after="0" w:line="240" w:lineRule="auto"/>
        <w:jc w:val="center"/>
        <w:rPr>
          <w:rFonts w:ascii="Arial" w:eastAsia="Times New Roman" w:hAnsi="Arial" w:cs="Arial"/>
          <w:sz w:val="16"/>
          <w:szCs w:val="16"/>
        </w:rPr>
      </w:pPr>
    </w:p>
    <w:p w:rsidR="00642A2C" w:rsidRPr="007B6A24" w:rsidRDefault="00642A2C" w:rsidP="00642A2C">
      <w:pPr>
        <w:spacing w:after="0" w:line="240" w:lineRule="auto"/>
        <w:jc w:val="center"/>
        <w:rPr>
          <w:rFonts w:ascii="Arial" w:eastAsia="Times New Roman" w:hAnsi="Arial" w:cs="Arial"/>
          <w:sz w:val="16"/>
          <w:szCs w:val="16"/>
        </w:rPr>
      </w:pPr>
      <w:r w:rsidRPr="007B6A24">
        <w:rPr>
          <w:rFonts w:ascii="Arial" w:eastAsia="Times New Roman" w:hAnsi="Arial" w:cs="Arial"/>
          <w:sz w:val="16"/>
          <w:szCs w:val="16"/>
        </w:rPr>
        <w:t>(1) Total number of respondents reflects the net change anticipated by these revisions.</w:t>
      </w:r>
    </w:p>
    <w:p w:rsidR="00C828D9" w:rsidRDefault="00642A2C" w:rsidP="00642A2C">
      <w:pPr>
        <w:keepNext/>
        <w:keepLines/>
        <w:tabs>
          <w:tab w:val="left" w:pos="720"/>
          <w:tab w:val="left" w:pos="1440"/>
          <w:tab w:val="left" w:pos="2160"/>
          <w:tab w:val="left" w:pos="3627"/>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rsidR="00C828D9" w:rsidRDefault="00C828D9" w:rsidP="00C51B35">
      <w:pPr>
        <w:keepNext/>
        <w:keepLines/>
        <w:spacing w:after="0" w:line="240" w:lineRule="auto"/>
        <w:rPr>
          <w:rFonts w:ascii="Times New Roman" w:eastAsia="Times New Roman" w:hAnsi="Times New Roman"/>
          <w:b/>
          <w:sz w:val="24"/>
          <w:szCs w:val="24"/>
        </w:rPr>
      </w:pPr>
    </w:p>
    <w:p w:rsidR="00C51B35" w:rsidRDefault="00C51B35" w:rsidP="00C51B35">
      <w:pPr>
        <w:keepNext/>
        <w:keepLines/>
        <w:spacing w:after="0" w:line="240" w:lineRule="auto"/>
        <w:rPr>
          <w:rFonts w:ascii="Times New Roman" w:eastAsia="Times New Roman" w:hAnsi="Times New Roman"/>
          <w:b/>
          <w:sz w:val="24"/>
          <w:szCs w:val="24"/>
        </w:rPr>
      </w:pPr>
      <w:proofErr w:type="gramStart"/>
      <w:r w:rsidRPr="00C55872">
        <w:rPr>
          <w:rFonts w:ascii="Times New Roman" w:eastAsia="Times New Roman" w:hAnsi="Times New Roman"/>
          <w:b/>
          <w:sz w:val="24"/>
          <w:szCs w:val="24"/>
        </w:rPr>
        <w:t>Table 3</w:t>
      </w:r>
      <w:r>
        <w:rPr>
          <w:rFonts w:ascii="Times New Roman" w:eastAsia="Times New Roman" w:hAnsi="Times New Roman"/>
          <w:b/>
          <w:sz w:val="24"/>
          <w:szCs w:val="24"/>
        </w:rPr>
        <w:t>b</w:t>
      </w:r>
      <w:r w:rsidRPr="00C55872">
        <w:rPr>
          <w:rFonts w:ascii="Times New Roman" w:eastAsia="Times New Roman" w:hAnsi="Times New Roman"/>
          <w:b/>
          <w:sz w:val="24"/>
          <w:szCs w:val="24"/>
        </w:rPr>
        <w:t>.</w:t>
      </w:r>
      <w:proofErr w:type="gramEnd"/>
      <w:r w:rsidRPr="00C55872">
        <w:rPr>
          <w:rFonts w:ascii="Times New Roman" w:eastAsia="Times New Roman" w:hAnsi="Times New Roman"/>
          <w:b/>
          <w:sz w:val="24"/>
          <w:szCs w:val="24"/>
        </w:rPr>
        <w:t xml:space="preserve"> </w:t>
      </w:r>
      <w:r>
        <w:rPr>
          <w:rFonts w:ascii="Times New Roman" w:eastAsia="Times New Roman" w:hAnsi="Times New Roman"/>
          <w:b/>
          <w:sz w:val="24"/>
          <w:szCs w:val="24"/>
        </w:rPr>
        <w:t xml:space="preserve">Second and Third Year Change in Burden </w:t>
      </w:r>
      <w:r w:rsidRPr="00C55872">
        <w:rPr>
          <w:rFonts w:ascii="Times New Roman" w:eastAsia="Times New Roman" w:hAnsi="Times New Roman"/>
          <w:b/>
          <w:sz w:val="24"/>
          <w:szCs w:val="24"/>
        </w:rPr>
        <w:t xml:space="preserve">Associated with </w:t>
      </w:r>
      <w:r>
        <w:rPr>
          <w:rFonts w:ascii="Times New Roman" w:eastAsia="Times New Roman" w:hAnsi="Times New Roman"/>
          <w:b/>
          <w:sz w:val="24"/>
          <w:szCs w:val="24"/>
        </w:rPr>
        <w:t>Modifications to Subpart C</w:t>
      </w:r>
      <w:r w:rsidRPr="00C55872">
        <w:rPr>
          <w:rFonts w:ascii="Times New Roman" w:eastAsia="Times New Roman" w:hAnsi="Times New Roman"/>
          <w:b/>
          <w:sz w:val="24"/>
          <w:szCs w:val="24"/>
        </w:rPr>
        <w:t xml:space="preserve"> (hours)</w:t>
      </w:r>
    </w:p>
    <w:p w:rsidR="00C51B35" w:rsidRDefault="00C51B35" w:rsidP="00C51B35">
      <w:pPr>
        <w:keepNext/>
        <w:keepLines/>
        <w:spacing w:after="0" w:line="240" w:lineRule="auto"/>
        <w:rPr>
          <w:rFonts w:ascii="Times New Roman" w:eastAsia="Times New Roman" w:hAnsi="Times New Roman"/>
          <w:b/>
          <w:sz w:val="24"/>
          <w:szCs w:val="24"/>
        </w:rPr>
      </w:pPr>
    </w:p>
    <w:p w:rsidR="00C51B35" w:rsidRDefault="007B6A24" w:rsidP="00C55872">
      <w:pPr>
        <w:spacing w:after="0" w:line="240" w:lineRule="auto"/>
        <w:rPr>
          <w:rFonts w:ascii="Times New Roman" w:eastAsia="Times New Roman" w:hAnsi="Times New Roman"/>
          <w:b/>
          <w:sz w:val="24"/>
          <w:szCs w:val="24"/>
          <w:u w:val="single"/>
        </w:rPr>
      </w:pPr>
      <w:r>
        <w:rPr>
          <w:noProof/>
        </w:rPr>
        <w:pict>
          <v:shape id="_x0000_s1037" type="#_x0000_t75" style="position:absolute;margin-left:101.55pt;margin-top:5.9pt;width:264.9pt;height:149.45pt;z-index:4">
            <v:imagedata r:id="rId11" o:title=""/>
            <w10:wrap type="square"/>
          </v:shape>
        </w:pict>
      </w:r>
    </w:p>
    <w:p w:rsidR="00C828D9" w:rsidRDefault="00C828D9" w:rsidP="00C55872">
      <w:pPr>
        <w:spacing w:after="0" w:line="240" w:lineRule="auto"/>
        <w:rPr>
          <w:rFonts w:ascii="Times New Roman" w:eastAsia="Times New Roman" w:hAnsi="Times New Roman"/>
          <w:b/>
          <w:sz w:val="24"/>
          <w:szCs w:val="24"/>
          <w:u w:val="single"/>
        </w:rPr>
      </w:pPr>
    </w:p>
    <w:p w:rsidR="00C828D9" w:rsidRDefault="00C828D9" w:rsidP="00C55872">
      <w:pPr>
        <w:spacing w:after="0" w:line="240" w:lineRule="auto"/>
        <w:rPr>
          <w:rFonts w:ascii="Times New Roman" w:eastAsia="Times New Roman" w:hAnsi="Times New Roman"/>
          <w:b/>
          <w:sz w:val="24"/>
          <w:szCs w:val="24"/>
          <w:u w:val="single"/>
        </w:rPr>
      </w:pPr>
    </w:p>
    <w:p w:rsidR="00C828D9" w:rsidRDefault="00C828D9" w:rsidP="00C55872">
      <w:pPr>
        <w:spacing w:after="0" w:line="240" w:lineRule="auto"/>
        <w:rPr>
          <w:rFonts w:ascii="Times New Roman" w:eastAsia="Times New Roman" w:hAnsi="Times New Roman"/>
          <w:b/>
          <w:sz w:val="24"/>
          <w:szCs w:val="24"/>
          <w:u w:val="single"/>
        </w:rPr>
      </w:pPr>
    </w:p>
    <w:p w:rsidR="00C828D9" w:rsidRDefault="00C828D9" w:rsidP="00C55872">
      <w:pPr>
        <w:spacing w:after="0" w:line="240" w:lineRule="auto"/>
        <w:rPr>
          <w:rFonts w:ascii="Times New Roman" w:eastAsia="Times New Roman" w:hAnsi="Times New Roman"/>
          <w:b/>
          <w:sz w:val="24"/>
          <w:szCs w:val="24"/>
          <w:u w:val="single"/>
        </w:rPr>
      </w:pPr>
    </w:p>
    <w:p w:rsidR="00C828D9" w:rsidRDefault="00C828D9" w:rsidP="00C55872">
      <w:pPr>
        <w:spacing w:after="0" w:line="240" w:lineRule="auto"/>
        <w:rPr>
          <w:rFonts w:ascii="Times New Roman" w:eastAsia="Times New Roman" w:hAnsi="Times New Roman"/>
          <w:b/>
          <w:sz w:val="24"/>
          <w:szCs w:val="24"/>
          <w:u w:val="single"/>
        </w:rPr>
      </w:pPr>
    </w:p>
    <w:p w:rsidR="00C828D9" w:rsidRDefault="00C828D9" w:rsidP="00C55872">
      <w:pPr>
        <w:spacing w:after="0" w:line="240" w:lineRule="auto"/>
        <w:rPr>
          <w:rFonts w:ascii="Times New Roman" w:eastAsia="Times New Roman" w:hAnsi="Times New Roman"/>
          <w:b/>
          <w:sz w:val="24"/>
          <w:szCs w:val="24"/>
          <w:u w:val="single"/>
        </w:rPr>
      </w:pPr>
    </w:p>
    <w:p w:rsidR="00C828D9" w:rsidRDefault="00C828D9" w:rsidP="00C55872">
      <w:pPr>
        <w:spacing w:after="0" w:line="240" w:lineRule="auto"/>
        <w:rPr>
          <w:rFonts w:ascii="Times New Roman" w:eastAsia="Times New Roman" w:hAnsi="Times New Roman"/>
          <w:b/>
          <w:sz w:val="24"/>
          <w:szCs w:val="24"/>
          <w:u w:val="single"/>
        </w:rPr>
      </w:pPr>
    </w:p>
    <w:p w:rsidR="00C828D9" w:rsidRDefault="00C828D9" w:rsidP="00C55872">
      <w:pPr>
        <w:spacing w:after="0" w:line="240" w:lineRule="auto"/>
        <w:rPr>
          <w:rFonts w:ascii="Times New Roman" w:eastAsia="Times New Roman" w:hAnsi="Times New Roman"/>
          <w:b/>
          <w:sz w:val="24"/>
          <w:szCs w:val="24"/>
          <w:u w:val="single"/>
        </w:rPr>
      </w:pPr>
    </w:p>
    <w:p w:rsidR="00C828D9" w:rsidRDefault="00C828D9" w:rsidP="00C55872">
      <w:pPr>
        <w:spacing w:after="0" w:line="240" w:lineRule="auto"/>
        <w:rPr>
          <w:rFonts w:ascii="Times New Roman" w:eastAsia="Times New Roman" w:hAnsi="Times New Roman"/>
          <w:b/>
          <w:sz w:val="24"/>
          <w:szCs w:val="24"/>
          <w:u w:val="single"/>
        </w:rPr>
      </w:pPr>
    </w:p>
    <w:p w:rsidR="00C828D9" w:rsidRDefault="00C828D9" w:rsidP="00C55872">
      <w:pPr>
        <w:spacing w:after="0" w:line="240" w:lineRule="auto"/>
        <w:rPr>
          <w:rFonts w:ascii="Times New Roman" w:eastAsia="Times New Roman" w:hAnsi="Times New Roman"/>
          <w:b/>
          <w:sz w:val="24"/>
          <w:szCs w:val="24"/>
          <w:u w:val="single"/>
        </w:rPr>
      </w:pPr>
    </w:p>
    <w:p w:rsidR="00642A2C" w:rsidRPr="00C55872" w:rsidRDefault="00642A2C" w:rsidP="00642A2C">
      <w:pPr>
        <w:keepNext/>
        <w:keepLines/>
        <w:spacing w:after="0" w:line="240" w:lineRule="auto"/>
        <w:rPr>
          <w:rFonts w:ascii="Times New Roman" w:eastAsia="Times New Roman" w:hAnsi="Times New Roman"/>
          <w:b/>
          <w:sz w:val="24"/>
          <w:szCs w:val="24"/>
        </w:rPr>
      </w:pPr>
    </w:p>
    <w:p w:rsidR="00642A2C" w:rsidRPr="007B6A24" w:rsidRDefault="00642A2C" w:rsidP="00642A2C">
      <w:pPr>
        <w:spacing w:after="0" w:line="240" w:lineRule="auto"/>
        <w:jc w:val="center"/>
        <w:rPr>
          <w:rFonts w:ascii="Arial" w:eastAsia="Times New Roman" w:hAnsi="Arial" w:cs="Arial"/>
          <w:sz w:val="16"/>
          <w:szCs w:val="16"/>
        </w:rPr>
      </w:pPr>
      <w:r w:rsidRPr="007B6A24">
        <w:rPr>
          <w:rFonts w:ascii="Arial" w:eastAsia="Times New Roman" w:hAnsi="Arial" w:cs="Arial"/>
          <w:sz w:val="16"/>
          <w:szCs w:val="16"/>
        </w:rPr>
        <w:t>(1) Total number of respondents reflects the net change anticipated by these revisions.</w:t>
      </w:r>
    </w:p>
    <w:p w:rsidR="00642A2C" w:rsidRDefault="00642A2C" w:rsidP="00C55872">
      <w:pPr>
        <w:spacing w:after="0" w:line="240" w:lineRule="auto"/>
        <w:rPr>
          <w:rFonts w:ascii="Times New Roman" w:eastAsia="Times New Roman" w:hAnsi="Times New Roman"/>
          <w:b/>
          <w:sz w:val="24"/>
          <w:szCs w:val="24"/>
          <w:u w:val="single"/>
        </w:rPr>
      </w:pPr>
    </w:p>
    <w:p w:rsidR="00C828D9" w:rsidRDefault="00C828D9" w:rsidP="00C55872">
      <w:pPr>
        <w:spacing w:after="0" w:line="240" w:lineRule="auto"/>
        <w:rPr>
          <w:rFonts w:ascii="Times New Roman" w:eastAsia="Times New Roman" w:hAnsi="Times New Roman"/>
          <w:b/>
          <w:sz w:val="24"/>
          <w:szCs w:val="24"/>
          <w:u w:val="single"/>
        </w:rPr>
      </w:pPr>
    </w:p>
    <w:p w:rsidR="00C828D9" w:rsidRDefault="00C828D9" w:rsidP="00C55872">
      <w:pPr>
        <w:spacing w:after="0" w:line="240" w:lineRule="auto"/>
        <w:rPr>
          <w:rFonts w:ascii="Times New Roman" w:eastAsia="Times New Roman" w:hAnsi="Times New Roman"/>
          <w:b/>
          <w:sz w:val="24"/>
          <w:szCs w:val="24"/>
          <w:u w:val="single"/>
        </w:rPr>
      </w:pPr>
    </w:p>
    <w:p w:rsidR="000E65E9" w:rsidRPr="00BA0E03" w:rsidRDefault="000E65E9" w:rsidP="007B6A24">
      <w:pPr>
        <w:keepNext/>
        <w:keepLines/>
        <w:spacing w:after="0" w:line="240" w:lineRule="auto"/>
        <w:rPr>
          <w:rFonts w:ascii="Times New Roman" w:eastAsia="Times New Roman" w:hAnsi="Times New Roman"/>
          <w:b/>
          <w:sz w:val="24"/>
          <w:szCs w:val="24"/>
          <w:u w:val="single"/>
        </w:rPr>
      </w:pPr>
      <w:r w:rsidRPr="00BA0E03">
        <w:rPr>
          <w:rFonts w:ascii="Times New Roman" w:eastAsia="Times New Roman" w:hAnsi="Times New Roman"/>
          <w:b/>
          <w:sz w:val="24"/>
          <w:szCs w:val="24"/>
          <w:u w:val="single"/>
        </w:rPr>
        <w:t xml:space="preserve">Summary </w:t>
      </w:r>
      <w:r w:rsidR="00B55DD0" w:rsidRPr="00B55DD0">
        <w:rPr>
          <w:rFonts w:ascii="Times New Roman" w:eastAsia="Times New Roman" w:hAnsi="Times New Roman"/>
          <w:b/>
          <w:sz w:val="24"/>
          <w:szCs w:val="24"/>
          <w:u w:val="single"/>
        </w:rPr>
        <w:t xml:space="preserve">Respondent </w:t>
      </w:r>
      <w:r w:rsidR="000800D7" w:rsidRPr="00BA0E03">
        <w:rPr>
          <w:rFonts w:ascii="Times New Roman" w:eastAsia="Times New Roman" w:hAnsi="Times New Roman"/>
          <w:b/>
          <w:sz w:val="24"/>
          <w:szCs w:val="24"/>
          <w:u w:val="single"/>
        </w:rPr>
        <w:t xml:space="preserve">Burden </w:t>
      </w:r>
      <w:r w:rsidRPr="00BA0E03">
        <w:rPr>
          <w:rFonts w:ascii="Times New Roman" w:eastAsia="Times New Roman" w:hAnsi="Times New Roman"/>
          <w:b/>
          <w:sz w:val="24"/>
          <w:szCs w:val="24"/>
          <w:u w:val="single"/>
        </w:rPr>
        <w:t>Changes Associated with the Notice of Revisions</w:t>
      </w:r>
    </w:p>
    <w:p w:rsidR="000800D7" w:rsidRDefault="000800D7" w:rsidP="007B6A24">
      <w:pPr>
        <w:keepNext/>
        <w:keepLines/>
        <w:spacing w:after="0" w:line="240" w:lineRule="auto"/>
        <w:rPr>
          <w:rFonts w:ascii="Times New Roman" w:eastAsia="Times New Roman" w:hAnsi="Times New Roman"/>
          <w:sz w:val="24"/>
          <w:szCs w:val="24"/>
        </w:rPr>
      </w:pPr>
    </w:p>
    <w:p w:rsidR="000E65E9" w:rsidRDefault="00B55DD0" w:rsidP="007B6A24">
      <w:pPr>
        <w:keepNext/>
        <w:keepLines/>
        <w:spacing w:line="240" w:lineRule="auto"/>
        <w:rPr>
          <w:rFonts w:ascii="Times New Roman" w:eastAsia="Times New Roman" w:hAnsi="Times New Roman"/>
          <w:sz w:val="24"/>
          <w:szCs w:val="24"/>
        </w:rPr>
      </w:pPr>
      <w:r>
        <w:rPr>
          <w:rFonts w:ascii="Times New Roman" w:eastAsia="Times New Roman" w:hAnsi="Times New Roman"/>
          <w:sz w:val="24"/>
          <w:szCs w:val="24"/>
        </w:rPr>
        <w:t>National r</w:t>
      </w:r>
      <w:r w:rsidRPr="00BA0E03">
        <w:rPr>
          <w:rFonts w:ascii="Times New Roman" w:eastAsia="Times New Roman" w:hAnsi="Times New Roman"/>
          <w:sz w:val="24"/>
          <w:szCs w:val="24"/>
        </w:rPr>
        <w:t>espondent burden estimates are presented in</w:t>
      </w:r>
      <w:r>
        <w:rPr>
          <w:rFonts w:ascii="Times New Roman" w:eastAsia="Times New Roman" w:hAnsi="Times New Roman"/>
          <w:sz w:val="24"/>
          <w:szCs w:val="24"/>
        </w:rPr>
        <w:t xml:space="preserve"> </w:t>
      </w:r>
      <w:r w:rsidR="000800D7">
        <w:rPr>
          <w:rFonts w:ascii="Times New Roman" w:eastAsia="Times New Roman" w:hAnsi="Times New Roman"/>
          <w:sz w:val="24"/>
          <w:szCs w:val="24"/>
        </w:rPr>
        <w:t xml:space="preserve">Table </w:t>
      </w:r>
      <w:r w:rsidR="009E0568">
        <w:rPr>
          <w:rFonts w:ascii="Times New Roman" w:eastAsia="Times New Roman" w:hAnsi="Times New Roman"/>
          <w:sz w:val="24"/>
          <w:szCs w:val="24"/>
        </w:rPr>
        <w:t>4</w:t>
      </w:r>
      <w:r>
        <w:rPr>
          <w:rFonts w:ascii="Times New Roman" w:eastAsia="Times New Roman" w:hAnsi="Times New Roman"/>
          <w:sz w:val="24"/>
          <w:szCs w:val="24"/>
        </w:rPr>
        <w:t>.</w:t>
      </w:r>
      <w:r w:rsidR="000E65E9" w:rsidRPr="00C55872">
        <w:rPr>
          <w:rFonts w:ascii="Times New Roman" w:eastAsia="Times New Roman" w:hAnsi="Times New Roman"/>
          <w:sz w:val="24"/>
          <w:szCs w:val="24"/>
        </w:rPr>
        <w:t xml:space="preserve"> </w:t>
      </w:r>
      <w:r w:rsidRPr="00BA0E03">
        <w:rPr>
          <w:rFonts w:ascii="Times New Roman" w:eastAsia="Times New Roman" w:hAnsi="Times New Roman"/>
          <w:sz w:val="24"/>
          <w:szCs w:val="24"/>
        </w:rPr>
        <w:t xml:space="preserve">EPA estimates that the </w:t>
      </w:r>
      <w:r w:rsidR="00095B0C">
        <w:rPr>
          <w:rFonts w:ascii="Times New Roman" w:eastAsia="Times New Roman" w:hAnsi="Times New Roman"/>
          <w:sz w:val="24"/>
          <w:szCs w:val="24"/>
        </w:rPr>
        <w:t xml:space="preserve">revised annual </w:t>
      </w:r>
      <w:r w:rsidR="007135B5">
        <w:rPr>
          <w:rFonts w:ascii="Times New Roman" w:eastAsia="Times New Roman" w:hAnsi="Times New Roman"/>
          <w:sz w:val="24"/>
          <w:szCs w:val="24"/>
        </w:rPr>
        <w:t xml:space="preserve">average </w:t>
      </w:r>
      <w:r w:rsidR="00095B0C">
        <w:rPr>
          <w:rFonts w:ascii="Times New Roman" w:eastAsia="Times New Roman" w:hAnsi="Times New Roman"/>
          <w:sz w:val="24"/>
          <w:szCs w:val="24"/>
        </w:rPr>
        <w:t>national</w:t>
      </w:r>
      <w:r w:rsidRPr="00BA0E03">
        <w:rPr>
          <w:rFonts w:ascii="Times New Roman" w:eastAsia="Times New Roman" w:hAnsi="Times New Roman"/>
          <w:sz w:val="24"/>
          <w:szCs w:val="24"/>
        </w:rPr>
        <w:t xml:space="preserve"> burden to all affected entities </w:t>
      </w:r>
      <w:r w:rsidR="009E0568">
        <w:rPr>
          <w:rFonts w:ascii="Times New Roman" w:eastAsia="Times New Roman" w:hAnsi="Times New Roman"/>
          <w:sz w:val="24"/>
          <w:szCs w:val="24"/>
        </w:rPr>
        <w:t>reflects a net reduction in burden of 4</w:t>
      </w:r>
      <w:r w:rsidR="00563A04">
        <w:rPr>
          <w:rFonts w:ascii="Times New Roman" w:eastAsia="Times New Roman" w:hAnsi="Times New Roman"/>
          <w:sz w:val="24"/>
          <w:szCs w:val="24"/>
        </w:rPr>
        <w:t>8</w:t>
      </w:r>
      <w:r w:rsidR="009E0568">
        <w:rPr>
          <w:rFonts w:ascii="Times New Roman" w:eastAsia="Times New Roman" w:hAnsi="Times New Roman"/>
          <w:sz w:val="24"/>
          <w:szCs w:val="24"/>
        </w:rPr>
        <w:t>,</w:t>
      </w:r>
      <w:r w:rsidR="00563A04">
        <w:rPr>
          <w:rFonts w:ascii="Times New Roman" w:eastAsia="Times New Roman" w:hAnsi="Times New Roman"/>
          <w:sz w:val="24"/>
          <w:szCs w:val="24"/>
        </w:rPr>
        <w:t>58</w:t>
      </w:r>
      <w:r w:rsidR="009E0568">
        <w:rPr>
          <w:rFonts w:ascii="Times New Roman" w:eastAsia="Times New Roman" w:hAnsi="Times New Roman"/>
          <w:sz w:val="24"/>
          <w:szCs w:val="24"/>
        </w:rPr>
        <w:t>9 hours and $3.</w:t>
      </w:r>
      <w:r w:rsidR="00563A04">
        <w:rPr>
          <w:rFonts w:ascii="Times New Roman" w:eastAsia="Times New Roman" w:hAnsi="Times New Roman"/>
          <w:sz w:val="24"/>
          <w:szCs w:val="24"/>
        </w:rPr>
        <w:t>6</w:t>
      </w:r>
      <w:r w:rsidR="009E0568">
        <w:rPr>
          <w:rFonts w:ascii="Times New Roman" w:eastAsia="Times New Roman" w:hAnsi="Times New Roman"/>
          <w:sz w:val="24"/>
          <w:szCs w:val="24"/>
        </w:rPr>
        <w:t xml:space="preserve"> million.  </w:t>
      </w:r>
      <w:r w:rsidRPr="00BA0E03">
        <w:rPr>
          <w:rFonts w:ascii="Times New Roman" w:eastAsia="Times New Roman" w:hAnsi="Times New Roman"/>
          <w:sz w:val="24"/>
          <w:szCs w:val="24"/>
        </w:rPr>
        <w:t xml:space="preserve"> </w:t>
      </w:r>
    </w:p>
    <w:p w:rsidR="008630DE" w:rsidRDefault="008630DE" w:rsidP="008630DE">
      <w:pPr>
        <w:keepNext/>
        <w:keepLines/>
        <w:spacing w:after="0" w:line="240" w:lineRule="auto"/>
        <w:rPr>
          <w:rFonts w:ascii="Times New Roman" w:eastAsia="Times New Roman" w:hAnsi="Times New Roman"/>
          <w:b/>
          <w:sz w:val="24"/>
          <w:szCs w:val="24"/>
        </w:rPr>
      </w:pPr>
    </w:p>
    <w:p w:rsidR="00A61C8C" w:rsidRPr="009E0568" w:rsidRDefault="008630DE" w:rsidP="008630DE">
      <w:pPr>
        <w:keepNext/>
        <w:spacing w:after="0" w:line="240" w:lineRule="auto"/>
        <w:rPr>
          <w:rFonts w:ascii="Times New Roman" w:eastAsia="Times New Roman" w:hAnsi="Times New Roman"/>
          <w:b/>
          <w:sz w:val="24"/>
          <w:szCs w:val="24"/>
        </w:rPr>
      </w:pPr>
      <w:proofErr w:type="gramStart"/>
      <w:r w:rsidRPr="00C55872">
        <w:rPr>
          <w:rFonts w:ascii="Times New Roman" w:eastAsia="Times New Roman" w:hAnsi="Times New Roman"/>
          <w:b/>
          <w:sz w:val="24"/>
          <w:szCs w:val="24"/>
        </w:rPr>
        <w:t xml:space="preserve">Table </w:t>
      </w:r>
      <w:r w:rsidR="00C70CE2">
        <w:rPr>
          <w:rFonts w:ascii="Times New Roman" w:eastAsia="Times New Roman" w:hAnsi="Times New Roman"/>
          <w:b/>
          <w:sz w:val="24"/>
          <w:szCs w:val="24"/>
        </w:rPr>
        <w:t>4</w:t>
      </w:r>
      <w:r w:rsidRPr="00C55872">
        <w:rPr>
          <w:rFonts w:ascii="Times New Roman" w:eastAsia="Times New Roman" w:hAnsi="Times New Roman"/>
          <w:b/>
          <w:sz w:val="24"/>
          <w:szCs w:val="24"/>
        </w:rPr>
        <w:t>.</w:t>
      </w:r>
      <w:proofErr w:type="gramEnd"/>
      <w:r w:rsidRPr="00C55872">
        <w:rPr>
          <w:rFonts w:ascii="Times New Roman" w:eastAsia="Times New Roman" w:hAnsi="Times New Roman"/>
          <w:b/>
          <w:sz w:val="24"/>
          <w:szCs w:val="24"/>
        </w:rPr>
        <w:t xml:space="preserve">  Summary of </w:t>
      </w:r>
      <w:r w:rsidR="00086577">
        <w:rPr>
          <w:rFonts w:ascii="Times New Roman" w:eastAsia="Times New Roman" w:hAnsi="Times New Roman"/>
          <w:b/>
          <w:sz w:val="24"/>
          <w:szCs w:val="24"/>
        </w:rPr>
        <w:t xml:space="preserve">Change in Burden and Cost </w:t>
      </w:r>
      <w:r w:rsidRPr="00C55872">
        <w:rPr>
          <w:rFonts w:ascii="Times New Roman" w:eastAsia="Times New Roman" w:hAnsi="Times New Roman"/>
          <w:b/>
          <w:sz w:val="24"/>
          <w:szCs w:val="24"/>
        </w:rPr>
        <w:t>Associated with the Notice of Revision</w:t>
      </w:r>
    </w:p>
    <w:p w:rsidR="00A61C8C" w:rsidRDefault="00A61C8C" w:rsidP="008630DE">
      <w:pPr>
        <w:keepNext/>
        <w:spacing w:after="0" w:line="240" w:lineRule="auto"/>
      </w:pPr>
    </w:p>
    <w:tbl>
      <w:tblPr>
        <w:tblW w:w="11519" w:type="dxa"/>
        <w:tblInd w:w="-162" w:type="dxa"/>
        <w:tblLayout w:type="fixed"/>
        <w:tblLook w:val="04A0"/>
      </w:tblPr>
      <w:tblGrid>
        <w:gridCol w:w="1980"/>
        <w:gridCol w:w="1080"/>
        <w:gridCol w:w="1080"/>
        <w:gridCol w:w="1080"/>
        <w:gridCol w:w="990"/>
        <w:gridCol w:w="1080"/>
        <w:gridCol w:w="900"/>
        <w:gridCol w:w="900"/>
        <w:gridCol w:w="1080"/>
        <w:gridCol w:w="641"/>
        <w:gridCol w:w="236"/>
        <w:gridCol w:w="236"/>
        <w:gridCol w:w="236"/>
      </w:tblGrid>
      <w:tr w:rsidR="00CC61A3" w:rsidRPr="00CC61A3" w:rsidTr="00CC61A3">
        <w:trPr>
          <w:gridAfter w:val="4"/>
          <w:wAfter w:w="1349" w:type="dxa"/>
          <w:trHeight w:val="285"/>
        </w:trPr>
        <w:tc>
          <w:tcPr>
            <w:tcW w:w="1980" w:type="dxa"/>
            <w:vMerge w:val="restart"/>
            <w:tcBorders>
              <w:top w:val="single" w:sz="8" w:space="0" w:color="auto"/>
              <w:left w:val="single" w:sz="8" w:space="0" w:color="auto"/>
              <w:bottom w:val="single" w:sz="8" w:space="0" w:color="000000"/>
              <w:right w:val="single" w:sz="4" w:space="0" w:color="auto"/>
            </w:tcBorders>
            <w:shd w:val="clear" w:color="000000" w:fill="CCFFFF"/>
            <w:vAlign w:val="center"/>
            <w:hideMark/>
          </w:tcPr>
          <w:p w:rsidR="00CC61A3" w:rsidRPr="00CC61A3" w:rsidRDefault="00CC61A3" w:rsidP="00CC61A3">
            <w:pPr>
              <w:spacing w:after="0" w:line="240" w:lineRule="auto"/>
              <w:jc w:val="center"/>
              <w:rPr>
                <w:rFonts w:eastAsia="Times New Roman" w:cs="Calibri"/>
                <w:sz w:val="16"/>
                <w:szCs w:val="16"/>
              </w:rPr>
            </w:pPr>
            <w:bookmarkStart w:id="0" w:name="RANGE!E1:BB16"/>
            <w:r w:rsidRPr="00CC61A3">
              <w:rPr>
                <w:rFonts w:eastAsia="Times New Roman" w:cs="Calibri"/>
                <w:sz w:val="16"/>
                <w:szCs w:val="16"/>
              </w:rPr>
              <w:t>Source Category</w:t>
            </w:r>
            <w:bookmarkEnd w:id="0"/>
          </w:p>
        </w:tc>
        <w:tc>
          <w:tcPr>
            <w:tcW w:w="8190" w:type="dxa"/>
            <w:gridSpan w:val="8"/>
            <w:tcBorders>
              <w:top w:val="single" w:sz="8" w:space="0" w:color="auto"/>
              <w:left w:val="single" w:sz="4" w:space="0" w:color="auto"/>
              <w:bottom w:val="single" w:sz="8" w:space="0" w:color="auto"/>
              <w:right w:val="single" w:sz="4" w:space="0" w:color="auto"/>
            </w:tcBorders>
            <w:shd w:val="clear" w:color="000000" w:fill="CCFFFF"/>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Annual Average - 3 year ICR Period</w:t>
            </w:r>
          </w:p>
        </w:tc>
      </w:tr>
      <w:tr w:rsidR="00CC61A3" w:rsidRPr="00CC61A3" w:rsidTr="00CC61A3">
        <w:trPr>
          <w:gridAfter w:val="4"/>
          <w:wAfter w:w="1349" w:type="dxa"/>
          <w:trHeight w:val="915"/>
        </w:trPr>
        <w:tc>
          <w:tcPr>
            <w:tcW w:w="1980" w:type="dxa"/>
            <w:vMerge/>
            <w:tcBorders>
              <w:top w:val="single" w:sz="8" w:space="0" w:color="auto"/>
              <w:left w:val="single" w:sz="8" w:space="0" w:color="auto"/>
              <w:bottom w:val="single" w:sz="8" w:space="0" w:color="000000"/>
              <w:right w:val="single" w:sz="4" w:space="0" w:color="auto"/>
            </w:tcBorders>
            <w:vAlign w:val="center"/>
            <w:hideMark/>
          </w:tcPr>
          <w:p w:rsidR="00CC61A3" w:rsidRPr="00CC61A3" w:rsidRDefault="00CC61A3" w:rsidP="00CC61A3">
            <w:pPr>
              <w:spacing w:after="0" w:line="240" w:lineRule="auto"/>
              <w:rPr>
                <w:rFonts w:eastAsia="Times New Roman" w:cs="Calibri"/>
                <w:sz w:val="16"/>
                <w:szCs w:val="16"/>
              </w:rPr>
            </w:pPr>
          </w:p>
        </w:tc>
        <w:tc>
          <w:tcPr>
            <w:tcW w:w="1080" w:type="dxa"/>
            <w:tcBorders>
              <w:top w:val="nil"/>
              <w:left w:val="single" w:sz="4" w:space="0" w:color="auto"/>
              <w:bottom w:val="single" w:sz="8" w:space="0" w:color="auto"/>
              <w:right w:val="single" w:sz="4" w:space="0" w:color="auto"/>
            </w:tcBorders>
            <w:shd w:val="clear" w:color="000000" w:fill="CCFFFF"/>
            <w:vAlign w:val="center"/>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No. Respondents</w:t>
            </w:r>
          </w:p>
        </w:tc>
        <w:tc>
          <w:tcPr>
            <w:tcW w:w="1080" w:type="dxa"/>
            <w:tcBorders>
              <w:top w:val="nil"/>
              <w:left w:val="nil"/>
              <w:bottom w:val="single" w:sz="8" w:space="0" w:color="auto"/>
              <w:right w:val="single" w:sz="4" w:space="0" w:color="auto"/>
            </w:tcBorders>
            <w:shd w:val="clear" w:color="000000" w:fill="CCFFFF"/>
            <w:vAlign w:val="center"/>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Responses/</w:t>
            </w:r>
            <w:r w:rsidRPr="00CC61A3">
              <w:rPr>
                <w:rFonts w:eastAsia="Times New Roman" w:cs="Calibri"/>
                <w:sz w:val="16"/>
                <w:szCs w:val="16"/>
              </w:rPr>
              <w:br/>
              <w:t>Respondent</w:t>
            </w:r>
          </w:p>
        </w:tc>
        <w:tc>
          <w:tcPr>
            <w:tcW w:w="1080" w:type="dxa"/>
            <w:tcBorders>
              <w:top w:val="nil"/>
              <w:left w:val="nil"/>
              <w:bottom w:val="single" w:sz="8" w:space="0" w:color="auto"/>
              <w:right w:val="single" w:sz="4" w:space="0" w:color="auto"/>
            </w:tcBorders>
            <w:shd w:val="clear" w:color="000000" w:fill="CCFFFF"/>
            <w:vAlign w:val="center"/>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Total Responses</w:t>
            </w:r>
          </w:p>
        </w:tc>
        <w:tc>
          <w:tcPr>
            <w:tcW w:w="990" w:type="dxa"/>
            <w:tcBorders>
              <w:top w:val="nil"/>
              <w:left w:val="nil"/>
              <w:bottom w:val="single" w:sz="8" w:space="0" w:color="auto"/>
              <w:right w:val="nil"/>
            </w:tcBorders>
            <w:shd w:val="clear" w:color="000000" w:fill="CCFFFF"/>
            <w:vAlign w:val="center"/>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Total Burden (hrs)</w:t>
            </w:r>
          </w:p>
        </w:tc>
        <w:tc>
          <w:tcPr>
            <w:tcW w:w="1080" w:type="dxa"/>
            <w:tcBorders>
              <w:top w:val="nil"/>
              <w:left w:val="single" w:sz="4" w:space="0" w:color="auto"/>
              <w:bottom w:val="single" w:sz="8" w:space="0" w:color="auto"/>
              <w:right w:val="single" w:sz="4" w:space="0" w:color="auto"/>
            </w:tcBorders>
            <w:shd w:val="clear" w:color="000000" w:fill="CCFFFF"/>
            <w:vAlign w:val="center"/>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Labor Cost</w:t>
            </w:r>
            <w:r w:rsidRPr="00CC61A3">
              <w:rPr>
                <w:rFonts w:eastAsia="Times New Roman" w:cs="Calibri"/>
                <w:sz w:val="16"/>
                <w:szCs w:val="16"/>
              </w:rPr>
              <w:br/>
              <w:t>($)</w:t>
            </w:r>
          </w:p>
        </w:tc>
        <w:tc>
          <w:tcPr>
            <w:tcW w:w="900" w:type="dxa"/>
            <w:tcBorders>
              <w:top w:val="nil"/>
              <w:left w:val="nil"/>
              <w:bottom w:val="single" w:sz="8" w:space="0" w:color="auto"/>
              <w:right w:val="single" w:sz="4" w:space="0" w:color="auto"/>
            </w:tcBorders>
            <w:shd w:val="clear" w:color="000000" w:fill="CCFFFF"/>
            <w:vAlign w:val="center"/>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Capital Cost</w:t>
            </w:r>
            <w:r w:rsidRPr="00CC61A3">
              <w:rPr>
                <w:rFonts w:eastAsia="Times New Roman" w:cs="Calibri"/>
                <w:sz w:val="16"/>
                <w:szCs w:val="16"/>
              </w:rPr>
              <w:br/>
              <w:t>($)</w:t>
            </w:r>
          </w:p>
        </w:tc>
        <w:tc>
          <w:tcPr>
            <w:tcW w:w="900" w:type="dxa"/>
            <w:tcBorders>
              <w:top w:val="nil"/>
              <w:left w:val="nil"/>
              <w:bottom w:val="single" w:sz="8" w:space="0" w:color="auto"/>
              <w:right w:val="single" w:sz="4" w:space="0" w:color="auto"/>
            </w:tcBorders>
            <w:shd w:val="clear" w:color="000000" w:fill="CCFFFF"/>
            <w:vAlign w:val="center"/>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O&amp;M Cost</w:t>
            </w:r>
            <w:r w:rsidRPr="00CC61A3">
              <w:rPr>
                <w:rFonts w:eastAsia="Times New Roman" w:cs="Calibri"/>
                <w:sz w:val="16"/>
                <w:szCs w:val="16"/>
              </w:rPr>
              <w:br/>
              <w:t xml:space="preserve"> ($)</w:t>
            </w:r>
          </w:p>
        </w:tc>
        <w:tc>
          <w:tcPr>
            <w:tcW w:w="1080" w:type="dxa"/>
            <w:tcBorders>
              <w:top w:val="nil"/>
              <w:left w:val="nil"/>
              <w:bottom w:val="single" w:sz="8" w:space="0" w:color="auto"/>
              <w:right w:val="single" w:sz="8" w:space="0" w:color="auto"/>
            </w:tcBorders>
            <w:shd w:val="clear" w:color="000000" w:fill="CCFFFF"/>
            <w:vAlign w:val="center"/>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Total Cost</w:t>
            </w:r>
            <w:r w:rsidRPr="00CC61A3">
              <w:rPr>
                <w:rFonts w:eastAsia="Times New Roman" w:cs="Calibri"/>
                <w:sz w:val="16"/>
                <w:szCs w:val="16"/>
              </w:rPr>
              <w:br/>
              <w:t>($)</w:t>
            </w:r>
          </w:p>
        </w:tc>
      </w:tr>
      <w:tr w:rsidR="00CC61A3" w:rsidRPr="00CC61A3" w:rsidTr="00CC61A3">
        <w:trPr>
          <w:gridAfter w:val="4"/>
          <w:wAfter w:w="1349" w:type="dxa"/>
          <w:trHeight w:val="570"/>
        </w:trPr>
        <w:tc>
          <w:tcPr>
            <w:tcW w:w="1980" w:type="dxa"/>
            <w:tcBorders>
              <w:top w:val="nil"/>
              <w:left w:val="single" w:sz="8" w:space="0" w:color="auto"/>
              <w:bottom w:val="single" w:sz="4" w:space="0" w:color="auto"/>
              <w:right w:val="single" w:sz="4" w:space="0" w:color="auto"/>
            </w:tcBorders>
            <w:shd w:val="clear" w:color="auto" w:fill="auto"/>
            <w:vAlign w:val="bottom"/>
            <w:hideMark/>
          </w:tcPr>
          <w:p w:rsidR="00CC61A3" w:rsidRPr="00CC61A3" w:rsidRDefault="00CC61A3" w:rsidP="00CC61A3">
            <w:pPr>
              <w:spacing w:after="0" w:line="240" w:lineRule="auto"/>
              <w:rPr>
                <w:rFonts w:eastAsia="Times New Roman" w:cs="Calibri"/>
                <w:color w:val="000000"/>
                <w:sz w:val="16"/>
                <w:szCs w:val="16"/>
              </w:rPr>
            </w:pPr>
            <w:r w:rsidRPr="00CC61A3">
              <w:rPr>
                <w:rFonts w:eastAsia="Times New Roman" w:cs="Calibri"/>
                <w:color w:val="000000"/>
                <w:sz w:val="16"/>
                <w:szCs w:val="16"/>
              </w:rPr>
              <w:t>C. Stationary Combustion (general unspecified) (Total Difference)</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xml:space="preserve">                         35 </w:t>
            </w:r>
          </w:p>
        </w:tc>
        <w:tc>
          <w:tcPr>
            <w:tcW w:w="108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Varies</w:t>
            </w:r>
          </w:p>
        </w:tc>
        <w:tc>
          <w:tcPr>
            <w:tcW w:w="108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xml:space="preserve">     (39,193)</w:t>
            </w:r>
          </w:p>
        </w:tc>
        <w:tc>
          <w:tcPr>
            <w:tcW w:w="99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xml:space="preserve">          (7,736)</w:t>
            </w:r>
          </w:p>
        </w:tc>
        <w:tc>
          <w:tcPr>
            <w:tcW w:w="108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-$409,238</w:t>
            </w:r>
          </w:p>
        </w:tc>
        <w:tc>
          <w:tcPr>
            <w:tcW w:w="90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-$347,655</w:t>
            </w:r>
          </w:p>
        </w:tc>
        <w:tc>
          <w:tcPr>
            <w:tcW w:w="90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-$724,256</w:t>
            </w:r>
          </w:p>
        </w:tc>
        <w:tc>
          <w:tcPr>
            <w:tcW w:w="1080" w:type="dxa"/>
            <w:tcBorders>
              <w:top w:val="nil"/>
              <w:left w:val="nil"/>
              <w:bottom w:val="single" w:sz="4" w:space="0" w:color="auto"/>
              <w:right w:val="single" w:sz="8"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-$1,481,149</w:t>
            </w:r>
          </w:p>
        </w:tc>
      </w:tr>
      <w:tr w:rsidR="00CC61A3" w:rsidRPr="00CC61A3" w:rsidTr="00CC61A3">
        <w:trPr>
          <w:gridAfter w:val="4"/>
          <w:wAfter w:w="1349" w:type="dxa"/>
          <w:trHeight w:val="570"/>
        </w:trPr>
        <w:tc>
          <w:tcPr>
            <w:tcW w:w="1980" w:type="dxa"/>
            <w:tcBorders>
              <w:top w:val="nil"/>
              <w:left w:val="single" w:sz="8" w:space="0" w:color="auto"/>
              <w:bottom w:val="single" w:sz="4" w:space="0" w:color="auto"/>
              <w:right w:val="single" w:sz="4" w:space="0" w:color="auto"/>
            </w:tcBorders>
            <w:shd w:val="clear" w:color="auto" w:fill="auto"/>
            <w:vAlign w:val="bottom"/>
            <w:hideMark/>
          </w:tcPr>
          <w:p w:rsidR="00CC61A3" w:rsidRPr="00CC61A3" w:rsidRDefault="00CC61A3" w:rsidP="00CC61A3">
            <w:pPr>
              <w:spacing w:after="0" w:line="240" w:lineRule="auto"/>
              <w:rPr>
                <w:rFonts w:eastAsia="Times New Roman" w:cs="Calibri"/>
                <w:color w:val="000000"/>
                <w:sz w:val="16"/>
                <w:szCs w:val="16"/>
              </w:rPr>
            </w:pPr>
            <w:r w:rsidRPr="00CC61A3">
              <w:rPr>
                <w:rFonts w:eastAsia="Times New Roman" w:cs="Calibri"/>
                <w:color w:val="000000"/>
                <w:sz w:val="16"/>
                <w:szCs w:val="16"/>
              </w:rPr>
              <w:t>NN. Supplies of Nat Gas and Nat Gas Liquids (Difference)</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xml:space="preserve">                    (848)</w:t>
            </w:r>
          </w:p>
        </w:tc>
        <w:tc>
          <w:tcPr>
            <w:tcW w:w="108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Varies</w:t>
            </w:r>
          </w:p>
        </w:tc>
        <w:tc>
          <w:tcPr>
            <w:tcW w:w="108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xml:space="preserve">     (72,928)</w:t>
            </w:r>
          </w:p>
        </w:tc>
        <w:tc>
          <w:tcPr>
            <w:tcW w:w="99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xml:space="preserve">       (52,194)</w:t>
            </w:r>
          </w:p>
        </w:tc>
        <w:tc>
          <w:tcPr>
            <w:tcW w:w="108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-$2,927,013</w:t>
            </w:r>
          </w:p>
        </w:tc>
        <w:tc>
          <w:tcPr>
            <w:tcW w:w="90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$0</w:t>
            </w:r>
          </w:p>
        </w:tc>
        <w:tc>
          <w:tcPr>
            <w:tcW w:w="1080" w:type="dxa"/>
            <w:tcBorders>
              <w:top w:val="nil"/>
              <w:left w:val="nil"/>
              <w:bottom w:val="single" w:sz="4" w:space="0" w:color="auto"/>
              <w:right w:val="single" w:sz="8"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-$2,927,013</w:t>
            </w:r>
          </w:p>
        </w:tc>
      </w:tr>
      <w:tr w:rsidR="00CC61A3" w:rsidRPr="00CC61A3" w:rsidTr="00CC61A3">
        <w:trPr>
          <w:gridAfter w:val="4"/>
          <w:wAfter w:w="1349" w:type="dxa"/>
          <w:trHeight w:val="570"/>
        </w:trPr>
        <w:tc>
          <w:tcPr>
            <w:tcW w:w="1980" w:type="dxa"/>
            <w:tcBorders>
              <w:top w:val="nil"/>
              <w:left w:val="single" w:sz="8" w:space="0" w:color="auto"/>
              <w:bottom w:val="single" w:sz="4" w:space="0" w:color="auto"/>
              <w:right w:val="single" w:sz="4" w:space="0" w:color="auto"/>
            </w:tcBorders>
            <w:shd w:val="clear" w:color="auto" w:fill="auto"/>
            <w:vAlign w:val="bottom"/>
            <w:hideMark/>
          </w:tcPr>
          <w:p w:rsidR="00CC61A3" w:rsidRPr="00CC61A3" w:rsidRDefault="00CC61A3" w:rsidP="00CC61A3">
            <w:pPr>
              <w:spacing w:after="0" w:line="240" w:lineRule="auto"/>
              <w:rPr>
                <w:rFonts w:eastAsia="Times New Roman" w:cs="Calibri"/>
                <w:color w:val="000000"/>
                <w:sz w:val="16"/>
                <w:szCs w:val="16"/>
              </w:rPr>
            </w:pPr>
            <w:r w:rsidRPr="00CC61A3">
              <w:rPr>
                <w:rFonts w:eastAsia="Times New Roman" w:cs="Calibri"/>
                <w:color w:val="000000"/>
                <w:sz w:val="16"/>
                <w:szCs w:val="16"/>
              </w:rPr>
              <w:t>Subtotal for Reviewing Amendment Only</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xml:space="preserve">                  3,780 </w:t>
            </w:r>
          </w:p>
        </w:tc>
        <w:tc>
          <w:tcPr>
            <w:tcW w:w="108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xml:space="preserve">          3,780 </w:t>
            </w:r>
          </w:p>
        </w:tc>
        <w:tc>
          <w:tcPr>
            <w:tcW w:w="99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xml:space="preserve">         11,341 </w:t>
            </w:r>
          </w:p>
        </w:tc>
        <w:tc>
          <w:tcPr>
            <w:tcW w:w="108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$805,211</w:t>
            </w:r>
          </w:p>
        </w:tc>
        <w:tc>
          <w:tcPr>
            <w:tcW w:w="90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$0</w:t>
            </w:r>
          </w:p>
        </w:tc>
        <w:tc>
          <w:tcPr>
            <w:tcW w:w="1080" w:type="dxa"/>
            <w:tcBorders>
              <w:top w:val="nil"/>
              <w:left w:val="nil"/>
              <w:bottom w:val="single" w:sz="4" w:space="0" w:color="auto"/>
              <w:right w:val="single" w:sz="8" w:space="0" w:color="auto"/>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$805,211</w:t>
            </w:r>
          </w:p>
        </w:tc>
      </w:tr>
      <w:tr w:rsidR="00CC61A3" w:rsidRPr="00CC61A3" w:rsidTr="00CC61A3">
        <w:trPr>
          <w:gridAfter w:val="4"/>
          <w:wAfter w:w="1349" w:type="dxa"/>
          <w:trHeight w:val="180"/>
        </w:trPr>
        <w:tc>
          <w:tcPr>
            <w:tcW w:w="1980" w:type="dxa"/>
            <w:tcBorders>
              <w:top w:val="nil"/>
              <w:left w:val="nil"/>
              <w:bottom w:val="single" w:sz="8" w:space="0" w:color="auto"/>
              <w:right w:val="nil"/>
            </w:tcBorders>
            <w:shd w:val="clear" w:color="auto" w:fill="auto"/>
            <w:vAlign w:val="bottom"/>
            <w:hideMark/>
          </w:tcPr>
          <w:p w:rsidR="00CC61A3" w:rsidRPr="00CC61A3" w:rsidRDefault="00CC61A3" w:rsidP="00CC61A3">
            <w:pPr>
              <w:spacing w:after="0" w:line="240" w:lineRule="auto"/>
              <w:rPr>
                <w:rFonts w:eastAsia="Times New Roman" w:cs="Calibri"/>
                <w:color w:val="000000"/>
                <w:sz w:val="16"/>
                <w:szCs w:val="16"/>
              </w:rPr>
            </w:pPr>
            <w:r w:rsidRPr="00CC61A3">
              <w:rPr>
                <w:rFonts w:eastAsia="Times New Roman" w:cs="Calibri"/>
                <w:color w:val="000000"/>
                <w:sz w:val="16"/>
                <w:szCs w:val="16"/>
              </w:rPr>
              <w:t> </w:t>
            </w:r>
          </w:p>
        </w:tc>
        <w:tc>
          <w:tcPr>
            <w:tcW w:w="1080" w:type="dxa"/>
            <w:tcBorders>
              <w:top w:val="nil"/>
              <w:left w:val="nil"/>
              <w:bottom w:val="single" w:sz="8" w:space="0" w:color="auto"/>
              <w:right w:val="nil"/>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w:t>
            </w:r>
          </w:p>
        </w:tc>
        <w:tc>
          <w:tcPr>
            <w:tcW w:w="1080" w:type="dxa"/>
            <w:tcBorders>
              <w:top w:val="nil"/>
              <w:left w:val="nil"/>
              <w:bottom w:val="single" w:sz="8" w:space="0" w:color="auto"/>
              <w:right w:val="nil"/>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w:t>
            </w:r>
          </w:p>
        </w:tc>
        <w:tc>
          <w:tcPr>
            <w:tcW w:w="1080" w:type="dxa"/>
            <w:tcBorders>
              <w:top w:val="nil"/>
              <w:left w:val="nil"/>
              <w:bottom w:val="single" w:sz="8" w:space="0" w:color="auto"/>
              <w:right w:val="nil"/>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w:t>
            </w:r>
          </w:p>
        </w:tc>
        <w:tc>
          <w:tcPr>
            <w:tcW w:w="990" w:type="dxa"/>
            <w:tcBorders>
              <w:top w:val="nil"/>
              <w:left w:val="nil"/>
              <w:bottom w:val="single" w:sz="8" w:space="0" w:color="auto"/>
              <w:right w:val="nil"/>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w:t>
            </w:r>
          </w:p>
        </w:tc>
        <w:tc>
          <w:tcPr>
            <w:tcW w:w="1080" w:type="dxa"/>
            <w:tcBorders>
              <w:top w:val="nil"/>
              <w:left w:val="nil"/>
              <w:bottom w:val="single" w:sz="8" w:space="0" w:color="auto"/>
              <w:right w:val="nil"/>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w:t>
            </w:r>
          </w:p>
        </w:tc>
        <w:tc>
          <w:tcPr>
            <w:tcW w:w="900" w:type="dxa"/>
            <w:tcBorders>
              <w:top w:val="nil"/>
              <w:left w:val="nil"/>
              <w:bottom w:val="single" w:sz="8" w:space="0" w:color="auto"/>
              <w:right w:val="nil"/>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w:t>
            </w:r>
          </w:p>
        </w:tc>
        <w:tc>
          <w:tcPr>
            <w:tcW w:w="900" w:type="dxa"/>
            <w:tcBorders>
              <w:top w:val="nil"/>
              <w:left w:val="nil"/>
              <w:bottom w:val="single" w:sz="8" w:space="0" w:color="auto"/>
              <w:right w:val="nil"/>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w:t>
            </w:r>
          </w:p>
        </w:tc>
        <w:tc>
          <w:tcPr>
            <w:tcW w:w="1080" w:type="dxa"/>
            <w:tcBorders>
              <w:top w:val="nil"/>
              <w:left w:val="nil"/>
              <w:bottom w:val="single" w:sz="8" w:space="0" w:color="auto"/>
              <w:right w:val="nil"/>
            </w:tcBorders>
            <w:shd w:val="clear" w:color="auto" w:fill="auto"/>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w:t>
            </w:r>
          </w:p>
        </w:tc>
      </w:tr>
      <w:tr w:rsidR="00CC61A3" w:rsidRPr="00CC61A3" w:rsidTr="00CC61A3">
        <w:trPr>
          <w:gridAfter w:val="4"/>
          <w:wAfter w:w="1349" w:type="dxa"/>
          <w:trHeight w:val="570"/>
        </w:trPr>
        <w:tc>
          <w:tcPr>
            <w:tcW w:w="1980" w:type="dxa"/>
            <w:tcBorders>
              <w:top w:val="nil"/>
              <w:left w:val="single" w:sz="8" w:space="0" w:color="auto"/>
              <w:bottom w:val="single" w:sz="8" w:space="0" w:color="auto"/>
              <w:right w:val="single" w:sz="4" w:space="0" w:color="auto"/>
            </w:tcBorders>
            <w:shd w:val="clear" w:color="000000" w:fill="C0C0C0"/>
            <w:vAlign w:val="bottom"/>
            <w:hideMark/>
          </w:tcPr>
          <w:p w:rsidR="00CC61A3" w:rsidRPr="00CC61A3" w:rsidRDefault="00CC61A3" w:rsidP="00CC61A3">
            <w:pPr>
              <w:spacing w:after="0" w:line="240" w:lineRule="auto"/>
              <w:rPr>
                <w:rFonts w:eastAsia="Times New Roman" w:cs="Calibri"/>
                <w:color w:val="000000"/>
                <w:sz w:val="16"/>
                <w:szCs w:val="16"/>
              </w:rPr>
            </w:pPr>
            <w:r w:rsidRPr="00CC61A3">
              <w:rPr>
                <w:rFonts w:eastAsia="Times New Roman" w:cs="Calibri"/>
                <w:color w:val="000000"/>
                <w:sz w:val="16"/>
                <w:szCs w:val="16"/>
              </w:rPr>
              <w:t>TOTAL (Change in Burden)*</w:t>
            </w:r>
          </w:p>
        </w:tc>
        <w:tc>
          <w:tcPr>
            <w:tcW w:w="1080" w:type="dxa"/>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bdr w:val="single" w:sz="4" w:space="0" w:color="auto"/>
              </w:rPr>
              <w:t xml:space="preserve">                    </w:t>
            </w:r>
            <w:r w:rsidRPr="00CC61A3">
              <w:rPr>
                <w:rFonts w:eastAsia="Times New Roman" w:cs="Calibri"/>
                <w:sz w:val="16"/>
                <w:szCs w:val="16"/>
              </w:rPr>
              <w:t>(848)</w:t>
            </w:r>
          </w:p>
        </w:tc>
        <w:tc>
          <w:tcPr>
            <w:tcW w:w="1080" w:type="dxa"/>
            <w:tcBorders>
              <w:top w:val="single" w:sz="8" w:space="0" w:color="auto"/>
              <w:left w:val="nil"/>
              <w:bottom w:val="single" w:sz="8" w:space="0" w:color="auto"/>
              <w:right w:val="single" w:sz="4" w:space="0" w:color="auto"/>
            </w:tcBorders>
            <w:shd w:val="clear" w:color="000000" w:fill="C0C0C0"/>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Varies</w:t>
            </w:r>
          </w:p>
        </w:tc>
        <w:tc>
          <w:tcPr>
            <w:tcW w:w="1080" w:type="dxa"/>
            <w:tcBorders>
              <w:top w:val="nil"/>
              <w:left w:val="nil"/>
              <w:bottom w:val="single" w:sz="8" w:space="0" w:color="auto"/>
              <w:right w:val="single" w:sz="4" w:space="0" w:color="auto"/>
            </w:tcBorders>
            <w:shd w:val="clear" w:color="000000" w:fill="C0C0C0"/>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(108,340.3)</w:t>
            </w:r>
          </w:p>
        </w:tc>
        <w:tc>
          <w:tcPr>
            <w:tcW w:w="990" w:type="dxa"/>
            <w:tcBorders>
              <w:top w:val="nil"/>
              <w:left w:val="nil"/>
              <w:bottom w:val="single" w:sz="8" w:space="0" w:color="auto"/>
              <w:right w:val="single" w:sz="4" w:space="0" w:color="auto"/>
            </w:tcBorders>
            <w:shd w:val="clear" w:color="000000" w:fill="C0C0C0"/>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 xml:space="preserve">   (48,589.0)</w:t>
            </w:r>
          </w:p>
        </w:tc>
        <w:tc>
          <w:tcPr>
            <w:tcW w:w="1080" w:type="dxa"/>
            <w:tcBorders>
              <w:top w:val="nil"/>
              <w:left w:val="nil"/>
              <w:bottom w:val="single" w:sz="8" w:space="0" w:color="auto"/>
              <w:right w:val="single" w:sz="4" w:space="0" w:color="auto"/>
            </w:tcBorders>
            <w:shd w:val="clear" w:color="000000" w:fill="C0C0C0"/>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-$2,531,041</w:t>
            </w:r>
          </w:p>
        </w:tc>
        <w:tc>
          <w:tcPr>
            <w:tcW w:w="900" w:type="dxa"/>
            <w:tcBorders>
              <w:top w:val="nil"/>
              <w:left w:val="nil"/>
              <w:bottom w:val="single" w:sz="8" w:space="0" w:color="auto"/>
              <w:right w:val="single" w:sz="4" w:space="0" w:color="auto"/>
            </w:tcBorders>
            <w:shd w:val="clear" w:color="000000" w:fill="C0C0C0"/>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-$347,655</w:t>
            </w:r>
          </w:p>
        </w:tc>
        <w:tc>
          <w:tcPr>
            <w:tcW w:w="900" w:type="dxa"/>
            <w:tcBorders>
              <w:top w:val="nil"/>
              <w:left w:val="nil"/>
              <w:bottom w:val="single" w:sz="8" w:space="0" w:color="auto"/>
              <w:right w:val="single" w:sz="4" w:space="0" w:color="auto"/>
            </w:tcBorders>
            <w:shd w:val="clear" w:color="000000" w:fill="C0C0C0"/>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-$724,256</w:t>
            </w:r>
          </w:p>
        </w:tc>
        <w:tc>
          <w:tcPr>
            <w:tcW w:w="1080" w:type="dxa"/>
            <w:tcBorders>
              <w:top w:val="nil"/>
              <w:left w:val="nil"/>
              <w:bottom w:val="single" w:sz="8" w:space="0" w:color="auto"/>
              <w:right w:val="single" w:sz="8" w:space="0" w:color="auto"/>
            </w:tcBorders>
            <w:shd w:val="clear" w:color="000000" w:fill="C0C0C0"/>
            <w:noWrap/>
            <w:vAlign w:val="bottom"/>
            <w:hideMark/>
          </w:tcPr>
          <w:p w:rsidR="00CC61A3" w:rsidRPr="00CC61A3" w:rsidRDefault="00CC61A3" w:rsidP="00CC61A3">
            <w:pPr>
              <w:spacing w:after="0" w:line="240" w:lineRule="auto"/>
              <w:jc w:val="center"/>
              <w:rPr>
                <w:rFonts w:eastAsia="Times New Roman" w:cs="Calibri"/>
                <w:sz w:val="16"/>
                <w:szCs w:val="16"/>
              </w:rPr>
            </w:pPr>
            <w:r w:rsidRPr="00CC61A3">
              <w:rPr>
                <w:rFonts w:eastAsia="Times New Roman" w:cs="Calibri"/>
                <w:sz w:val="16"/>
                <w:szCs w:val="16"/>
              </w:rPr>
              <w:t>-$3,602,952</w:t>
            </w:r>
          </w:p>
        </w:tc>
      </w:tr>
      <w:tr w:rsidR="00CC61A3" w:rsidRPr="00CC61A3" w:rsidTr="00CC61A3">
        <w:trPr>
          <w:trHeight w:val="225"/>
        </w:trPr>
        <w:tc>
          <w:tcPr>
            <w:tcW w:w="10170" w:type="dxa"/>
            <w:gridSpan w:val="9"/>
            <w:tcBorders>
              <w:top w:val="nil"/>
              <w:left w:val="nil"/>
              <w:bottom w:val="nil"/>
              <w:right w:val="nil"/>
            </w:tcBorders>
            <w:shd w:val="clear" w:color="auto" w:fill="auto"/>
            <w:noWrap/>
            <w:vAlign w:val="bottom"/>
            <w:hideMark/>
          </w:tcPr>
          <w:p w:rsidR="00CC61A3" w:rsidRPr="00CC61A3" w:rsidRDefault="00CC61A3" w:rsidP="00CC61A3">
            <w:pPr>
              <w:spacing w:after="0" w:line="240" w:lineRule="auto"/>
              <w:rPr>
                <w:rFonts w:eastAsia="Times New Roman" w:cs="Calibri"/>
                <w:sz w:val="16"/>
                <w:szCs w:val="16"/>
              </w:rPr>
            </w:pPr>
            <w:r w:rsidRPr="00CC61A3">
              <w:rPr>
                <w:rFonts w:eastAsia="Times New Roman" w:cs="Calibri"/>
                <w:sz w:val="16"/>
                <w:szCs w:val="16"/>
              </w:rPr>
              <w:t>* Total number of respondents reflects the net change anticipated by these revisions.</w:t>
            </w:r>
          </w:p>
        </w:tc>
        <w:tc>
          <w:tcPr>
            <w:tcW w:w="641" w:type="dxa"/>
            <w:tcBorders>
              <w:top w:val="nil"/>
              <w:left w:val="nil"/>
              <w:bottom w:val="nil"/>
              <w:right w:val="nil"/>
            </w:tcBorders>
            <w:shd w:val="clear" w:color="auto" w:fill="auto"/>
            <w:noWrap/>
            <w:vAlign w:val="bottom"/>
            <w:hideMark/>
          </w:tcPr>
          <w:p w:rsidR="00CC61A3" w:rsidRPr="00CC61A3" w:rsidRDefault="00CC61A3" w:rsidP="00CC61A3">
            <w:pPr>
              <w:spacing w:after="0" w:line="240" w:lineRule="auto"/>
              <w:rPr>
                <w:rFonts w:eastAsia="Times New Roman" w:cs="Calibri"/>
                <w:sz w:val="16"/>
                <w:szCs w:val="16"/>
              </w:rPr>
            </w:pPr>
          </w:p>
        </w:tc>
        <w:tc>
          <w:tcPr>
            <w:tcW w:w="236" w:type="dxa"/>
            <w:tcBorders>
              <w:top w:val="nil"/>
              <w:left w:val="nil"/>
              <w:bottom w:val="nil"/>
              <w:right w:val="nil"/>
            </w:tcBorders>
            <w:shd w:val="clear" w:color="auto" w:fill="auto"/>
            <w:noWrap/>
            <w:vAlign w:val="bottom"/>
            <w:hideMark/>
          </w:tcPr>
          <w:p w:rsidR="00CC61A3" w:rsidRPr="00CC61A3" w:rsidRDefault="00CC61A3" w:rsidP="00CC61A3">
            <w:pPr>
              <w:spacing w:after="0" w:line="240" w:lineRule="auto"/>
              <w:rPr>
                <w:rFonts w:eastAsia="Times New Roman" w:cs="Calibri"/>
                <w:sz w:val="16"/>
                <w:szCs w:val="16"/>
              </w:rPr>
            </w:pPr>
          </w:p>
        </w:tc>
        <w:tc>
          <w:tcPr>
            <w:tcW w:w="236" w:type="dxa"/>
            <w:tcBorders>
              <w:top w:val="nil"/>
              <w:left w:val="nil"/>
              <w:bottom w:val="nil"/>
              <w:right w:val="nil"/>
            </w:tcBorders>
            <w:shd w:val="clear" w:color="auto" w:fill="auto"/>
            <w:noWrap/>
            <w:vAlign w:val="bottom"/>
            <w:hideMark/>
          </w:tcPr>
          <w:p w:rsidR="00CC61A3" w:rsidRPr="00CC61A3" w:rsidRDefault="00CC61A3" w:rsidP="00CC61A3">
            <w:pPr>
              <w:spacing w:after="0" w:line="240" w:lineRule="auto"/>
              <w:rPr>
                <w:rFonts w:eastAsia="Times New Roman" w:cs="Calibri"/>
                <w:sz w:val="16"/>
                <w:szCs w:val="16"/>
              </w:rPr>
            </w:pPr>
          </w:p>
        </w:tc>
        <w:tc>
          <w:tcPr>
            <w:tcW w:w="236" w:type="dxa"/>
            <w:tcBorders>
              <w:top w:val="nil"/>
              <w:left w:val="nil"/>
              <w:bottom w:val="nil"/>
              <w:right w:val="nil"/>
            </w:tcBorders>
            <w:shd w:val="clear" w:color="auto" w:fill="auto"/>
            <w:noWrap/>
            <w:vAlign w:val="bottom"/>
            <w:hideMark/>
          </w:tcPr>
          <w:p w:rsidR="00CC61A3" w:rsidRPr="00CC61A3" w:rsidRDefault="00CC61A3" w:rsidP="00CC61A3">
            <w:pPr>
              <w:spacing w:after="0" w:line="240" w:lineRule="auto"/>
              <w:rPr>
                <w:rFonts w:eastAsia="Times New Roman" w:cs="Calibri"/>
                <w:sz w:val="16"/>
                <w:szCs w:val="16"/>
              </w:rPr>
            </w:pPr>
          </w:p>
        </w:tc>
      </w:tr>
    </w:tbl>
    <w:p w:rsidR="00563A04" w:rsidRDefault="00563A04" w:rsidP="008630DE">
      <w:pPr>
        <w:keepNext/>
        <w:tabs>
          <w:tab w:val="right" w:pos="-259"/>
        </w:tabs>
        <w:spacing w:after="0" w:line="240" w:lineRule="auto"/>
        <w:outlineLvl w:val="2"/>
        <w:rPr>
          <w:rFonts w:ascii="Times New Roman" w:eastAsia="Times New Roman" w:hAnsi="Times New Roman"/>
          <w:b/>
          <w:iCs/>
          <w:sz w:val="24"/>
          <w:szCs w:val="24"/>
          <w:u w:val="single"/>
        </w:rPr>
      </w:pPr>
    </w:p>
    <w:p w:rsidR="00563A04" w:rsidRDefault="00563A04" w:rsidP="008630DE">
      <w:pPr>
        <w:keepNext/>
        <w:tabs>
          <w:tab w:val="right" w:pos="-259"/>
        </w:tabs>
        <w:spacing w:after="0" w:line="240" w:lineRule="auto"/>
        <w:outlineLvl w:val="2"/>
        <w:rPr>
          <w:rFonts w:ascii="Times New Roman" w:eastAsia="Times New Roman" w:hAnsi="Times New Roman"/>
          <w:b/>
          <w:iCs/>
          <w:sz w:val="24"/>
          <w:szCs w:val="24"/>
          <w:u w:val="single"/>
        </w:rPr>
      </w:pPr>
    </w:p>
    <w:p w:rsidR="00214DE3" w:rsidRPr="00BA0E03" w:rsidRDefault="00214DE3" w:rsidP="008630DE">
      <w:pPr>
        <w:keepNext/>
        <w:tabs>
          <w:tab w:val="right" w:pos="-259"/>
        </w:tabs>
        <w:spacing w:after="0" w:line="240" w:lineRule="auto"/>
        <w:outlineLvl w:val="2"/>
        <w:rPr>
          <w:rFonts w:ascii="Times New Roman" w:eastAsia="Times New Roman" w:hAnsi="Times New Roman"/>
          <w:b/>
          <w:iCs/>
          <w:sz w:val="24"/>
          <w:szCs w:val="24"/>
          <w:u w:val="single"/>
        </w:rPr>
      </w:pPr>
      <w:r w:rsidRPr="00BA0E03">
        <w:rPr>
          <w:rFonts w:ascii="Times New Roman" w:eastAsia="Times New Roman" w:hAnsi="Times New Roman"/>
          <w:b/>
          <w:iCs/>
          <w:sz w:val="24"/>
          <w:szCs w:val="24"/>
          <w:u w:val="single"/>
        </w:rPr>
        <w:t>Other Amendments in Notice of Revisions</w:t>
      </w:r>
    </w:p>
    <w:p w:rsidR="00214DE3" w:rsidRPr="00C55872" w:rsidRDefault="00214DE3" w:rsidP="00C55872">
      <w:pPr>
        <w:spacing w:after="0" w:line="240" w:lineRule="auto"/>
        <w:rPr>
          <w:rFonts w:ascii="Times New Roman" w:eastAsia="Times New Roman" w:hAnsi="Times New Roman"/>
          <w:sz w:val="24"/>
          <w:szCs w:val="24"/>
        </w:rPr>
      </w:pPr>
    </w:p>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xml:space="preserve">EPA is </w:t>
      </w:r>
      <w:r w:rsidR="00FE2AB2">
        <w:rPr>
          <w:rFonts w:ascii="Times New Roman" w:eastAsia="Times New Roman" w:hAnsi="Times New Roman"/>
          <w:sz w:val="24"/>
          <w:szCs w:val="24"/>
        </w:rPr>
        <w:t>revising</w:t>
      </w:r>
      <w:r w:rsidRPr="00C55872">
        <w:rPr>
          <w:rFonts w:ascii="Times New Roman" w:eastAsia="Times New Roman" w:hAnsi="Times New Roman"/>
          <w:sz w:val="24"/>
          <w:szCs w:val="24"/>
        </w:rPr>
        <w:t xml:space="preserve"> several other </w:t>
      </w:r>
      <w:r w:rsidR="00FE2AB2">
        <w:rPr>
          <w:rFonts w:ascii="Times New Roman" w:eastAsia="Times New Roman" w:hAnsi="Times New Roman"/>
          <w:sz w:val="24"/>
          <w:szCs w:val="24"/>
        </w:rPr>
        <w:t xml:space="preserve">provisions </w:t>
      </w:r>
      <w:r w:rsidRPr="00C55872">
        <w:rPr>
          <w:rFonts w:ascii="Times New Roman" w:eastAsia="Times New Roman" w:hAnsi="Times New Roman"/>
          <w:sz w:val="24"/>
          <w:szCs w:val="24"/>
        </w:rPr>
        <w:t>in Part 98.  EPA has estimated that on the whole, thes</w:t>
      </w:r>
      <w:r w:rsidR="00095B0C">
        <w:rPr>
          <w:rFonts w:ascii="Times New Roman" w:eastAsia="Times New Roman" w:hAnsi="Times New Roman"/>
          <w:sz w:val="24"/>
          <w:szCs w:val="24"/>
        </w:rPr>
        <w:t>e revisions do not</w:t>
      </w:r>
      <w:r w:rsidRPr="00C55872">
        <w:rPr>
          <w:rFonts w:ascii="Times New Roman" w:eastAsia="Times New Roman" w:hAnsi="Times New Roman"/>
          <w:sz w:val="24"/>
          <w:szCs w:val="24"/>
        </w:rPr>
        <w:t xml:space="preserve"> change the overall </w:t>
      </w:r>
      <w:r w:rsidR="00B55DD0">
        <w:rPr>
          <w:rFonts w:ascii="Times New Roman" w:eastAsia="Times New Roman" w:hAnsi="Times New Roman"/>
          <w:sz w:val="24"/>
          <w:szCs w:val="24"/>
        </w:rPr>
        <w:t xml:space="preserve">respondent burden </w:t>
      </w:r>
      <w:r w:rsidRPr="00C55872">
        <w:rPr>
          <w:rFonts w:ascii="Times New Roman" w:eastAsia="Times New Roman" w:hAnsi="Times New Roman"/>
          <w:sz w:val="24"/>
          <w:szCs w:val="24"/>
        </w:rPr>
        <w:t xml:space="preserve">of Part 98.  The other </w:t>
      </w:r>
      <w:r w:rsidR="00FE2AB2">
        <w:rPr>
          <w:rFonts w:ascii="Times New Roman" w:eastAsia="Times New Roman" w:hAnsi="Times New Roman"/>
          <w:sz w:val="24"/>
          <w:szCs w:val="24"/>
        </w:rPr>
        <w:t xml:space="preserve">revisions </w:t>
      </w:r>
      <w:r w:rsidRPr="00C55872">
        <w:rPr>
          <w:rFonts w:ascii="Times New Roman" w:eastAsia="Times New Roman" w:hAnsi="Times New Roman"/>
          <w:sz w:val="24"/>
          <w:szCs w:val="24"/>
        </w:rPr>
        <w:t>could be categorized as follows:</w:t>
      </w:r>
    </w:p>
    <w:p w:rsidR="00214DE3" w:rsidRPr="00C55872" w:rsidRDefault="00214DE3" w:rsidP="00C55872">
      <w:pPr>
        <w:spacing w:after="0" w:line="240" w:lineRule="auto"/>
        <w:rPr>
          <w:rFonts w:ascii="Times New Roman" w:eastAsia="Times New Roman" w:hAnsi="Times New Roman"/>
          <w:sz w:val="24"/>
          <w:szCs w:val="24"/>
        </w:rPr>
      </w:pPr>
    </w:p>
    <w:p w:rsidR="00214DE3" w:rsidRPr="00C55872" w:rsidRDefault="00FE2AB2" w:rsidP="00C55872">
      <w:pPr>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Revisions to provide</w:t>
      </w:r>
      <w:r w:rsidR="00214DE3" w:rsidRPr="00C55872">
        <w:rPr>
          <w:rFonts w:ascii="Times New Roman" w:eastAsia="Times New Roman" w:hAnsi="Times New Roman"/>
          <w:sz w:val="24"/>
          <w:szCs w:val="24"/>
        </w:rPr>
        <w:t xml:space="preserve"> additional flexibility for reporters based on questions raised during implementation.  </w:t>
      </w:r>
    </w:p>
    <w:p w:rsidR="00214DE3" w:rsidRPr="00C55872" w:rsidRDefault="00FE2AB2" w:rsidP="00C55872">
      <w:pPr>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Revisions that clarify</w:t>
      </w:r>
      <w:r w:rsidR="00214DE3" w:rsidRPr="00C55872">
        <w:rPr>
          <w:rFonts w:ascii="Times New Roman" w:eastAsia="Times New Roman" w:hAnsi="Times New Roman"/>
          <w:sz w:val="24"/>
          <w:szCs w:val="24"/>
        </w:rPr>
        <w:t xml:space="preserve"> existing data reporting requirements.</w:t>
      </w:r>
    </w:p>
    <w:p w:rsidR="00214DE3" w:rsidRPr="00C55872" w:rsidRDefault="00FE2AB2" w:rsidP="00C55872">
      <w:pPr>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Revisions that</w:t>
      </w:r>
      <w:r w:rsidR="00214DE3" w:rsidRPr="00C55872">
        <w:rPr>
          <w:rFonts w:ascii="Times New Roman" w:eastAsia="Times New Roman" w:hAnsi="Times New Roman"/>
          <w:sz w:val="24"/>
          <w:szCs w:val="24"/>
        </w:rPr>
        <w:t xml:space="preserve"> require facilities to report basic facility ID information that they already know. </w:t>
      </w:r>
    </w:p>
    <w:p w:rsidR="00214DE3" w:rsidRPr="00C55872" w:rsidRDefault="00FE2AB2" w:rsidP="00C55872">
      <w:pPr>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Revisions that </w:t>
      </w:r>
      <w:r w:rsidR="00214DE3" w:rsidRPr="00C55872">
        <w:rPr>
          <w:rFonts w:ascii="Times New Roman" w:eastAsia="Times New Roman" w:hAnsi="Times New Roman"/>
          <w:sz w:val="24"/>
          <w:szCs w:val="24"/>
        </w:rPr>
        <w:t xml:space="preserve">require reporters to report a data element for which there was a general recordkeeping requirement, but was not previously required to be reported.  </w:t>
      </w:r>
    </w:p>
    <w:p w:rsidR="00FE2AB2" w:rsidRDefault="00FE2AB2" w:rsidP="00C55872">
      <w:pPr>
        <w:numPr>
          <w:ilvl w:val="0"/>
          <w:numId w:val="2"/>
        </w:numPr>
        <w:spacing w:after="0" w:line="240" w:lineRule="auto"/>
        <w:rPr>
          <w:rFonts w:ascii="Times New Roman" w:eastAsia="Times New Roman" w:hAnsi="Times New Roman"/>
          <w:sz w:val="24"/>
          <w:szCs w:val="24"/>
        </w:rPr>
      </w:pPr>
      <w:r w:rsidRPr="00FE2AB2">
        <w:rPr>
          <w:rFonts w:ascii="Times New Roman" w:eastAsia="Times New Roman" w:hAnsi="Times New Roman"/>
          <w:sz w:val="24"/>
          <w:szCs w:val="24"/>
        </w:rPr>
        <w:t xml:space="preserve">Revisions that require reporting of the results of certain calculations in Part 98 for which calculation was previously required, but reporting was not.  </w:t>
      </w:r>
    </w:p>
    <w:p w:rsidR="00214DE3" w:rsidRPr="00FE2AB2" w:rsidRDefault="00214DE3" w:rsidP="00C55872">
      <w:pPr>
        <w:numPr>
          <w:ilvl w:val="0"/>
          <w:numId w:val="2"/>
        </w:numPr>
        <w:spacing w:after="0" w:line="240" w:lineRule="auto"/>
        <w:rPr>
          <w:rFonts w:ascii="Times New Roman" w:eastAsia="Times New Roman" w:hAnsi="Times New Roman"/>
          <w:sz w:val="24"/>
          <w:szCs w:val="24"/>
        </w:rPr>
      </w:pPr>
      <w:r w:rsidRPr="00FE2AB2">
        <w:rPr>
          <w:rFonts w:ascii="Times New Roman" w:eastAsia="Times New Roman" w:hAnsi="Times New Roman"/>
          <w:sz w:val="24"/>
          <w:szCs w:val="24"/>
        </w:rPr>
        <w:t xml:space="preserve">Renumbering of data reporting elements in most subparts. </w:t>
      </w:r>
    </w:p>
    <w:p w:rsidR="00214DE3" w:rsidRPr="00C55872" w:rsidRDefault="00214DE3" w:rsidP="00C55872">
      <w:pPr>
        <w:spacing w:after="0" w:line="240" w:lineRule="auto"/>
        <w:ind w:left="360"/>
        <w:rPr>
          <w:rFonts w:ascii="Times New Roman" w:eastAsia="Times New Roman" w:hAnsi="Times New Roman"/>
          <w:b/>
          <w:sz w:val="24"/>
          <w:szCs w:val="24"/>
        </w:rPr>
      </w:pPr>
    </w:p>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xml:space="preserve">See Appendix 1 for an elaboration on each of these changes and examples from the </w:t>
      </w:r>
      <w:r w:rsidR="00642A2C">
        <w:rPr>
          <w:rFonts w:ascii="Times New Roman" w:eastAsia="Times New Roman" w:hAnsi="Times New Roman"/>
          <w:sz w:val="24"/>
          <w:szCs w:val="24"/>
        </w:rPr>
        <w:t>revisions.</w:t>
      </w:r>
    </w:p>
    <w:p w:rsidR="00214DE3" w:rsidRPr="00BA0E03" w:rsidRDefault="00214DE3" w:rsidP="00C55872">
      <w:pPr>
        <w:keepNext/>
        <w:tabs>
          <w:tab w:val="center" w:pos="-1699"/>
          <w:tab w:val="left" w:pos="0"/>
        </w:tabs>
        <w:spacing w:after="0" w:line="240" w:lineRule="auto"/>
        <w:jc w:val="center"/>
        <w:outlineLvl w:val="0"/>
        <w:rPr>
          <w:rFonts w:ascii="Times New Roman" w:eastAsia="Times New Roman" w:hAnsi="Times New Roman"/>
          <w:b/>
          <w:kern w:val="28"/>
          <w:sz w:val="28"/>
          <w:szCs w:val="28"/>
        </w:rPr>
      </w:pPr>
      <w:r w:rsidRPr="00C55872">
        <w:rPr>
          <w:rFonts w:ascii="Times New Roman" w:eastAsia="Times New Roman" w:hAnsi="Times New Roman"/>
          <w:kern w:val="28"/>
          <w:sz w:val="24"/>
          <w:szCs w:val="24"/>
        </w:rPr>
        <w:br w:type="page"/>
      </w:r>
      <w:r w:rsidRPr="00BA0E03">
        <w:rPr>
          <w:rFonts w:ascii="Times New Roman" w:eastAsia="Times New Roman" w:hAnsi="Times New Roman"/>
          <w:b/>
          <w:kern w:val="28"/>
          <w:sz w:val="28"/>
          <w:szCs w:val="28"/>
        </w:rPr>
        <w:lastRenderedPageBreak/>
        <w:t xml:space="preserve">Appendix 1:  Categories of </w:t>
      </w:r>
      <w:r w:rsidR="00FE2AB2">
        <w:rPr>
          <w:rFonts w:ascii="Times New Roman" w:eastAsia="Times New Roman" w:hAnsi="Times New Roman"/>
          <w:b/>
          <w:kern w:val="28"/>
          <w:sz w:val="28"/>
          <w:szCs w:val="28"/>
        </w:rPr>
        <w:t>Revisions That Do Not Affect Burden</w:t>
      </w:r>
    </w:p>
    <w:p w:rsidR="00214DE3" w:rsidRPr="00C55872" w:rsidRDefault="00214DE3" w:rsidP="00C55872">
      <w:pPr>
        <w:spacing w:after="0" w:line="240" w:lineRule="auto"/>
        <w:rPr>
          <w:rFonts w:ascii="Times New Roman" w:eastAsia="Times New Roman" w:hAnsi="Times New Roman"/>
          <w:sz w:val="24"/>
          <w:szCs w:val="24"/>
        </w:rPr>
      </w:pPr>
    </w:p>
    <w:p w:rsidR="00214DE3" w:rsidRPr="00C55872" w:rsidRDefault="00214DE3" w:rsidP="00C55872">
      <w:pPr>
        <w:numPr>
          <w:ilvl w:val="0"/>
          <w:numId w:val="1"/>
        </w:numPr>
        <w:spacing w:after="0" w:line="240" w:lineRule="auto"/>
        <w:rPr>
          <w:rFonts w:ascii="Times New Roman" w:eastAsia="Times New Roman" w:hAnsi="Times New Roman"/>
          <w:sz w:val="24"/>
          <w:szCs w:val="24"/>
          <w:u w:val="single"/>
        </w:rPr>
      </w:pPr>
      <w:r w:rsidRPr="00C55872">
        <w:rPr>
          <w:rFonts w:ascii="Times New Roman" w:eastAsia="Times New Roman" w:hAnsi="Times New Roman"/>
          <w:b/>
          <w:sz w:val="24"/>
          <w:szCs w:val="24"/>
        </w:rPr>
        <w:t xml:space="preserve">Clarification of existing data reporting requirements:  </w:t>
      </w:r>
      <w:r w:rsidRPr="00C55872">
        <w:rPr>
          <w:rFonts w:ascii="Times New Roman" w:eastAsia="Times New Roman" w:hAnsi="Times New Roman"/>
          <w:sz w:val="24"/>
          <w:szCs w:val="24"/>
        </w:rPr>
        <w:t xml:space="preserve">There is currently a data reporting requirement in Part 98.  However, based on perceived confusion among reporters, EPA is providing additional clarity on what was intended. There is no change in burden from these </w:t>
      </w:r>
      <w:r w:rsidR="00642A2C">
        <w:rPr>
          <w:rFonts w:ascii="Times New Roman" w:eastAsia="Times New Roman" w:hAnsi="Times New Roman"/>
          <w:sz w:val="24"/>
          <w:szCs w:val="24"/>
        </w:rPr>
        <w:t>revisions</w:t>
      </w:r>
      <w:r w:rsidRPr="00C55872">
        <w:rPr>
          <w:rFonts w:ascii="Times New Roman" w:eastAsia="Times New Roman" w:hAnsi="Times New Roman"/>
          <w:sz w:val="24"/>
          <w:szCs w:val="24"/>
        </w:rPr>
        <w:t>.</w:t>
      </w:r>
    </w:p>
    <w:p w:rsidR="00214DE3" w:rsidRPr="00C55872" w:rsidRDefault="00214DE3" w:rsidP="00C55872">
      <w:pPr>
        <w:spacing w:after="0" w:line="240" w:lineRule="auto"/>
        <w:ind w:left="900"/>
        <w:rPr>
          <w:rFonts w:ascii="Times New Roman" w:eastAsia="Times New Roman" w:hAnsi="Times New Roman"/>
          <w:sz w:val="24"/>
          <w:szCs w:val="24"/>
          <w:u w:val="single"/>
        </w:rPr>
      </w:pPr>
    </w:p>
    <w:p w:rsidR="00214DE3" w:rsidRPr="00C55872" w:rsidRDefault="00214DE3" w:rsidP="00C55872">
      <w:pPr>
        <w:spacing w:after="0" w:line="240" w:lineRule="auto"/>
        <w:ind w:left="540"/>
        <w:rPr>
          <w:rFonts w:ascii="Times New Roman" w:eastAsia="Times New Roman" w:hAnsi="Times New Roman"/>
          <w:sz w:val="24"/>
          <w:szCs w:val="24"/>
          <w:u w:val="single"/>
        </w:rPr>
      </w:pPr>
      <w:r w:rsidRPr="00C55872">
        <w:rPr>
          <w:rFonts w:ascii="Times New Roman" w:eastAsia="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8"/>
        <w:gridCol w:w="4788"/>
      </w:tblGrid>
      <w:tr w:rsidR="00214DE3" w:rsidRPr="00C55872">
        <w:tc>
          <w:tcPr>
            <w:tcW w:w="4788" w:type="dxa"/>
            <w:shd w:val="clear" w:color="auto" w:fill="FFFF99"/>
          </w:tcPr>
          <w:p w:rsidR="00214DE3" w:rsidRPr="00C55872" w:rsidRDefault="00214DE3" w:rsidP="00C55872">
            <w:pPr>
              <w:spacing w:after="0" w:line="240" w:lineRule="auto"/>
              <w:jc w:val="center"/>
              <w:rPr>
                <w:rFonts w:ascii="Times New Roman" w:eastAsia="Times New Roman" w:hAnsi="Times New Roman"/>
                <w:b/>
                <w:sz w:val="24"/>
                <w:szCs w:val="24"/>
              </w:rPr>
            </w:pPr>
            <w:r w:rsidRPr="00C55872">
              <w:rPr>
                <w:rFonts w:ascii="Times New Roman" w:eastAsia="Times New Roman" w:hAnsi="Times New Roman"/>
                <w:b/>
                <w:sz w:val="24"/>
                <w:szCs w:val="24"/>
              </w:rPr>
              <w:t>Requirement</w:t>
            </w:r>
          </w:p>
        </w:tc>
        <w:tc>
          <w:tcPr>
            <w:tcW w:w="4788" w:type="dxa"/>
            <w:shd w:val="clear" w:color="auto" w:fill="FFFF99"/>
          </w:tcPr>
          <w:p w:rsidR="00214DE3" w:rsidRPr="00C55872" w:rsidRDefault="00214DE3" w:rsidP="00C55872">
            <w:pPr>
              <w:spacing w:after="0" w:line="240" w:lineRule="auto"/>
              <w:jc w:val="center"/>
              <w:rPr>
                <w:rFonts w:ascii="Times New Roman" w:eastAsia="Times New Roman" w:hAnsi="Times New Roman"/>
                <w:b/>
                <w:sz w:val="24"/>
                <w:szCs w:val="24"/>
              </w:rPr>
            </w:pPr>
            <w:r w:rsidRPr="00C55872">
              <w:rPr>
                <w:rFonts w:ascii="Times New Roman" w:eastAsia="Times New Roman" w:hAnsi="Times New Roman"/>
                <w:b/>
                <w:sz w:val="24"/>
                <w:szCs w:val="24"/>
              </w:rPr>
              <w:t>Change in Data Reporting Elements</w:t>
            </w:r>
          </w:p>
        </w:tc>
      </w:tr>
      <w:tr w:rsidR="00214DE3" w:rsidRPr="00C55872" w:rsidTr="00642A2C">
        <w:trPr>
          <w:cantSplit/>
        </w:trPr>
        <w:tc>
          <w:tcPr>
            <w:tcW w:w="4788" w:type="dxa"/>
          </w:tcPr>
          <w:p w:rsidR="00214DE3" w:rsidRPr="00C55872" w:rsidRDefault="00214DE3" w:rsidP="00C55872">
            <w:pPr>
              <w:spacing w:after="0" w:line="240" w:lineRule="auto"/>
              <w:rPr>
                <w:rFonts w:ascii="Times New Roman" w:eastAsia="Times New Roman" w:hAnsi="Times New Roman"/>
                <w:bCs/>
                <w:noProof/>
                <w:sz w:val="24"/>
                <w:szCs w:val="24"/>
              </w:rPr>
            </w:pPr>
            <w:r w:rsidRPr="00C55872">
              <w:rPr>
                <w:rFonts w:ascii="Times New Roman" w:eastAsia="Times New Roman" w:hAnsi="Times New Roman"/>
                <w:b/>
                <w:bCs/>
                <w:noProof/>
                <w:sz w:val="24"/>
                <w:szCs w:val="24"/>
              </w:rPr>
              <w:t xml:space="preserve">Subpart G: </w:t>
            </w:r>
            <w:r w:rsidRPr="00C55872">
              <w:rPr>
                <w:rFonts w:ascii="Times New Roman" w:eastAsia="Times New Roman" w:hAnsi="Times New Roman"/>
                <w:bCs/>
                <w:noProof/>
                <w:sz w:val="24"/>
                <w:szCs w:val="24"/>
              </w:rPr>
              <w:t>98.76(b)(6) requires reporters to report the sampling results of carbon content of petroleum coke as determined for QA/QC of supplier data.</w:t>
            </w:r>
          </w:p>
          <w:p w:rsidR="00214DE3" w:rsidRPr="00C55872" w:rsidRDefault="00214DE3" w:rsidP="00C55872">
            <w:pPr>
              <w:spacing w:after="0" w:line="240" w:lineRule="auto"/>
              <w:rPr>
                <w:rFonts w:ascii="Times New Roman" w:eastAsia="Times New Roman" w:hAnsi="Times New Roman"/>
                <w:sz w:val="24"/>
                <w:szCs w:val="24"/>
              </w:rPr>
            </w:pPr>
          </w:p>
        </w:tc>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xml:space="preserve">The data reporting element is amended to clarify that the reporting element applies to feedstock, this may be petroleum coke, but there are also other potential </w:t>
            </w:r>
            <w:proofErr w:type="spellStart"/>
            <w:r w:rsidRPr="00C55872">
              <w:rPr>
                <w:rFonts w:ascii="Times New Roman" w:eastAsia="Times New Roman" w:hAnsi="Times New Roman"/>
                <w:sz w:val="24"/>
                <w:szCs w:val="24"/>
              </w:rPr>
              <w:t>feedstocks</w:t>
            </w:r>
            <w:proofErr w:type="spellEnd"/>
            <w:r w:rsidRPr="00C55872">
              <w:rPr>
                <w:rFonts w:ascii="Times New Roman" w:eastAsia="Times New Roman" w:hAnsi="Times New Roman"/>
                <w:sz w:val="24"/>
                <w:szCs w:val="24"/>
              </w:rPr>
              <w:t xml:space="preserve">. </w:t>
            </w:r>
          </w:p>
        </w:tc>
      </w:tr>
      <w:tr w:rsidR="00214DE3" w:rsidRPr="00C55872" w:rsidTr="00642A2C">
        <w:trPr>
          <w:cantSplit/>
        </w:trPr>
        <w:tc>
          <w:tcPr>
            <w:tcW w:w="4788" w:type="dxa"/>
          </w:tcPr>
          <w:p w:rsidR="00214DE3" w:rsidRPr="00C55872" w:rsidRDefault="00214DE3" w:rsidP="00C55872">
            <w:pPr>
              <w:spacing w:after="0" w:line="240" w:lineRule="auto"/>
              <w:rPr>
                <w:rFonts w:ascii="Times New Roman" w:eastAsia="Times New Roman" w:hAnsi="Times New Roman"/>
                <w:bCs/>
                <w:noProof/>
                <w:sz w:val="24"/>
                <w:szCs w:val="24"/>
              </w:rPr>
            </w:pPr>
            <w:r w:rsidRPr="00C55872">
              <w:rPr>
                <w:rFonts w:ascii="Times New Roman" w:eastAsia="Times New Roman" w:hAnsi="Times New Roman"/>
                <w:b/>
                <w:bCs/>
                <w:noProof/>
                <w:sz w:val="24"/>
                <w:szCs w:val="24"/>
                <w:u w:val="single"/>
              </w:rPr>
              <w:t xml:space="preserve">Subpart C: </w:t>
            </w:r>
            <w:r w:rsidRPr="00C55872">
              <w:rPr>
                <w:rFonts w:ascii="Times New Roman" w:eastAsia="Times New Roman" w:hAnsi="Times New Roman"/>
                <w:bCs/>
                <w:noProof/>
                <w:sz w:val="24"/>
                <w:szCs w:val="24"/>
                <w:u w:val="single"/>
              </w:rPr>
              <w:t>98.36(d)(1) requires that f</w:t>
            </w:r>
            <w:r w:rsidRPr="00C55872">
              <w:rPr>
                <w:rFonts w:ascii="Times New Roman" w:eastAsia="Times New Roman" w:hAnsi="Times New Roman"/>
                <w:bCs/>
                <w:noProof/>
                <w:sz w:val="24"/>
                <w:szCs w:val="24"/>
              </w:rPr>
              <w:t>or stationary combustion units that either are subject to the Acid Rain Program or not in the Acid Rain Program but monitor and report CO</w:t>
            </w:r>
            <w:r w:rsidRPr="00C55872">
              <w:rPr>
                <w:rFonts w:ascii="Times New Roman" w:eastAsia="Times New Roman" w:hAnsi="Times New Roman"/>
                <w:bCs/>
                <w:noProof/>
                <w:sz w:val="24"/>
                <w:szCs w:val="24"/>
                <w:vertAlign w:val="subscript"/>
              </w:rPr>
              <w:t xml:space="preserve">2 </w:t>
            </w:r>
            <w:r w:rsidRPr="00C55872">
              <w:rPr>
                <w:rFonts w:ascii="Times New Roman" w:eastAsia="Times New Roman" w:hAnsi="Times New Roman"/>
                <w:bCs/>
                <w:noProof/>
                <w:sz w:val="24"/>
                <w:szCs w:val="24"/>
              </w:rPr>
              <w:t xml:space="preserve">mass emissions year-round according to 40 CFR part 75, reporters report certain unit level information. </w:t>
            </w:r>
          </w:p>
          <w:p w:rsidR="00214DE3" w:rsidRPr="00C55872" w:rsidRDefault="00214DE3" w:rsidP="00C55872">
            <w:pPr>
              <w:spacing w:after="0" w:line="240" w:lineRule="auto"/>
              <w:rPr>
                <w:rFonts w:ascii="Times New Roman" w:eastAsia="Times New Roman" w:hAnsi="Times New Roman"/>
                <w:b/>
                <w:sz w:val="24"/>
                <w:szCs w:val="24"/>
                <w:u w:val="single"/>
              </w:rPr>
            </w:pPr>
          </w:p>
        </w:tc>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xml:space="preserve">The data reporting element is amended to clarify that the reporting element applies to units subject to subpart D, which is a more simplified way of stating who the provision covers. </w:t>
            </w:r>
          </w:p>
        </w:tc>
      </w:tr>
    </w:tbl>
    <w:p w:rsidR="00214DE3" w:rsidRPr="00C55872" w:rsidRDefault="00214DE3" w:rsidP="00C55872">
      <w:pPr>
        <w:spacing w:after="0" w:line="240" w:lineRule="auto"/>
        <w:ind w:left="900"/>
        <w:rPr>
          <w:rFonts w:ascii="Times New Roman" w:eastAsia="Times New Roman" w:hAnsi="Times New Roman"/>
          <w:sz w:val="24"/>
          <w:szCs w:val="24"/>
          <w:u w:val="single"/>
        </w:rPr>
      </w:pPr>
    </w:p>
    <w:p w:rsidR="00214DE3" w:rsidRPr="00C55872" w:rsidRDefault="00214DE3" w:rsidP="00C55872">
      <w:pPr>
        <w:numPr>
          <w:ilvl w:val="0"/>
          <w:numId w:val="1"/>
        </w:numPr>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Proposed rule provides additional flexibility for reporters based on questions raised during implementation.</w:t>
      </w:r>
      <w:r w:rsidRPr="00C55872">
        <w:rPr>
          <w:rFonts w:ascii="Times New Roman" w:eastAsia="Times New Roman" w:hAnsi="Times New Roman"/>
          <w:sz w:val="24"/>
          <w:szCs w:val="24"/>
        </w:rPr>
        <w:t xml:space="preserve">   With the additional flexibility comes additional data reporting requirements, including identifying which approach the reporter is taking and any new data reporting elements associated with the new approach.  Because the new approach is an </w:t>
      </w:r>
      <w:r w:rsidRPr="00C55872">
        <w:rPr>
          <w:rFonts w:ascii="Times New Roman" w:eastAsia="Times New Roman" w:hAnsi="Times New Roman"/>
          <w:sz w:val="24"/>
          <w:szCs w:val="24"/>
          <w:u w:val="single"/>
        </w:rPr>
        <w:t>option</w:t>
      </w:r>
      <w:r w:rsidRPr="00C55872">
        <w:rPr>
          <w:rFonts w:ascii="Times New Roman" w:eastAsia="Times New Roman" w:hAnsi="Times New Roman"/>
          <w:sz w:val="24"/>
          <w:szCs w:val="24"/>
        </w:rPr>
        <w:t xml:space="preserve"> there is no increase in burden associated with implementing the option because reporters are not required to do so. </w:t>
      </w:r>
    </w:p>
    <w:p w:rsidR="00214DE3" w:rsidRPr="00C55872" w:rsidRDefault="00214DE3" w:rsidP="00C55872">
      <w:pPr>
        <w:spacing w:after="0" w:line="240" w:lineRule="auto"/>
        <w:rPr>
          <w:rFonts w:ascii="Times New Roman" w:eastAsia="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8"/>
        <w:gridCol w:w="4788"/>
      </w:tblGrid>
      <w:tr w:rsidR="00214DE3" w:rsidRPr="00C55872" w:rsidTr="00642A2C">
        <w:trPr>
          <w:trHeight w:val="602"/>
          <w:tblHeader/>
        </w:trPr>
        <w:tc>
          <w:tcPr>
            <w:tcW w:w="4788" w:type="dxa"/>
            <w:shd w:val="clear" w:color="auto" w:fill="FFFF99"/>
          </w:tcPr>
          <w:p w:rsidR="00214DE3" w:rsidRPr="00C55872" w:rsidRDefault="00214DE3" w:rsidP="00C55872">
            <w:pPr>
              <w:spacing w:after="0" w:line="240" w:lineRule="auto"/>
              <w:rPr>
                <w:rFonts w:ascii="Times New Roman" w:eastAsia="Times New Roman" w:hAnsi="Times New Roman"/>
                <w:b/>
                <w:sz w:val="24"/>
                <w:szCs w:val="24"/>
              </w:rPr>
            </w:pPr>
            <w:r w:rsidRPr="00C55872">
              <w:rPr>
                <w:rFonts w:ascii="Times New Roman" w:eastAsia="Times New Roman" w:hAnsi="Times New Roman"/>
                <w:b/>
                <w:sz w:val="24"/>
                <w:szCs w:val="24"/>
              </w:rPr>
              <w:t>Requirement</w:t>
            </w:r>
          </w:p>
        </w:tc>
        <w:tc>
          <w:tcPr>
            <w:tcW w:w="4788" w:type="dxa"/>
            <w:shd w:val="clear" w:color="auto" w:fill="FFFF99"/>
          </w:tcPr>
          <w:p w:rsidR="00214DE3" w:rsidRPr="00C55872" w:rsidRDefault="00214DE3" w:rsidP="00C55872">
            <w:pPr>
              <w:spacing w:after="0" w:line="240" w:lineRule="auto"/>
              <w:rPr>
                <w:rFonts w:ascii="Times New Roman" w:eastAsia="Times New Roman" w:hAnsi="Times New Roman"/>
                <w:b/>
                <w:sz w:val="24"/>
                <w:szCs w:val="24"/>
              </w:rPr>
            </w:pPr>
            <w:r w:rsidRPr="00C55872">
              <w:rPr>
                <w:rFonts w:ascii="Times New Roman" w:eastAsia="Times New Roman" w:hAnsi="Times New Roman"/>
                <w:b/>
                <w:sz w:val="24"/>
                <w:szCs w:val="24"/>
              </w:rPr>
              <w:t>Change in Data Reporting Elements</w:t>
            </w:r>
          </w:p>
        </w:tc>
      </w:tr>
      <w:tr w:rsidR="00214DE3" w:rsidRPr="00C55872" w:rsidTr="00642A2C">
        <w:trPr>
          <w:cantSplit/>
        </w:trPr>
        <w:tc>
          <w:tcPr>
            <w:tcW w:w="4788" w:type="dxa"/>
          </w:tcPr>
          <w:p w:rsidR="00214DE3" w:rsidRPr="00C55872" w:rsidRDefault="00214DE3" w:rsidP="00C55872">
            <w:pPr>
              <w:spacing w:after="0" w:line="240" w:lineRule="auto"/>
              <w:rPr>
                <w:rFonts w:ascii="Times New Roman" w:eastAsia="Times New Roman" w:hAnsi="Times New Roman"/>
                <w:b/>
                <w:sz w:val="24"/>
                <w:szCs w:val="24"/>
              </w:rPr>
            </w:pPr>
            <w:r w:rsidRPr="00C55872">
              <w:rPr>
                <w:rFonts w:ascii="Times New Roman" w:eastAsia="Times New Roman" w:hAnsi="Times New Roman"/>
                <w:b/>
                <w:sz w:val="24"/>
                <w:szCs w:val="24"/>
              </w:rPr>
              <w:t xml:space="preserve">Subpart C- </w:t>
            </w:r>
            <w:r w:rsidRPr="00C55872">
              <w:rPr>
                <w:rFonts w:ascii="Times New Roman" w:eastAsia="Times New Roman" w:hAnsi="Times New Roman"/>
                <w:sz w:val="24"/>
                <w:szCs w:val="24"/>
              </w:rPr>
              <w:t>98.36(e</w:t>
            </w:r>
            <w:proofErr w:type="gramStart"/>
            <w:r w:rsidRPr="00C55872">
              <w:rPr>
                <w:rFonts w:ascii="Times New Roman" w:eastAsia="Times New Roman" w:hAnsi="Times New Roman"/>
                <w:sz w:val="24"/>
                <w:szCs w:val="24"/>
              </w:rPr>
              <w:t>)(</w:t>
            </w:r>
            <w:proofErr w:type="gramEnd"/>
            <w:r w:rsidRPr="00C55872">
              <w:rPr>
                <w:rFonts w:ascii="Times New Roman" w:eastAsia="Times New Roman" w:hAnsi="Times New Roman"/>
                <w:sz w:val="24"/>
                <w:szCs w:val="24"/>
              </w:rPr>
              <w:t xml:space="preserve">2)- previous rule required facilities subject to  use default HHVs found in Table C-1. We propose to provide additional flexibility to use site-specific HHVs. </w:t>
            </w:r>
          </w:p>
        </w:tc>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xml:space="preserve">- </w:t>
            </w:r>
            <w:r w:rsidR="00127BD0" w:rsidRPr="00C55872">
              <w:rPr>
                <w:rFonts w:ascii="Times New Roman" w:eastAsia="Times New Roman" w:hAnsi="Times New Roman"/>
                <w:sz w:val="24"/>
                <w:szCs w:val="24"/>
              </w:rPr>
              <w:t>New</w:t>
            </w:r>
            <w:r w:rsidRPr="00C55872">
              <w:rPr>
                <w:rFonts w:ascii="Times New Roman" w:eastAsia="Times New Roman" w:hAnsi="Times New Roman"/>
                <w:sz w:val="24"/>
                <w:szCs w:val="24"/>
              </w:rPr>
              <w:t xml:space="preserve"> data reporting requirements to clarify that when you use a site-specific HHV, you must also report that HHV value. </w:t>
            </w:r>
          </w:p>
        </w:tc>
      </w:tr>
      <w:tr w:rsidR="00214DE3" w:rsidRPr="00C55872" w:rsidTr="00642A2C">
        <w:trPr>
          <w:cantSplit/>
        </w:trPr>
        <w:tc>
          <w:tcPr>
            <w:tcW w:w="4788" w:type="dxa"/>
          </w:tcPr>
          <w:p w:rsidR="00214DE3" w:rsidRPr="00C55872" w:rsidRDefault="00214DE3" w:rsidP="00C55872">
            <w:pPr>
              <w:spacing w:after="0" w:line="240" w:lineRule="auto"/>
              <w:rPr>
                <w:rFonts w:ascii="Times New Roman" w:eastAsia="Times New Roman" w:hAnsi="Times New Roman"/>
                <w:sz w:val="24"/>
                <w:szCs w:val="24"/>
                <w:u w:val="single"/>
              </w:rPr>
            </w:pPr>
            <w:r w:rsidRPr="00C55872">
              <w:rPr>
                <w:rFonts w:ascii="Times New Roman" w:eastAsia="Times New Roman" w:hAnsi="Times New Roman"/>
                <w:b/>
                <w:sz w:val="24"/>
                <w:szCs w:val="24"/>
              </w:rPr>
              <w:t xml:space="preserve">Subpart X- </w:t>
            </w:r>
            <w:r w:rsidRPr="00C55872">
              <w:rPr>
                <w:rFonts w:ascii="Times New Roman" w:eastAsia="Times New Roman" w:hAnsi="Times New Roman"/>
                <w:sz w:val="24"/>
                <w:szCs w:val="24"/>
              </w:rPr>
              <w:t>98.243(c) (5</w:t>
            </w:r>
            <w:proofErr w:type="gramStart"/>
            <w:r w:rsidRPr="00C55872">
              <w:rPr>
                <w:rFonts w:ascii="Times New Roman" w:eastAsia="Times New Roman" w:hAnsi="Times New Roman"/>
                <w:sz w:val="24"/>
                <w:szCs w:val="24"/>
              </w:rPr>
              <w:t>)(</w:t>
            </w:r>
            <w:proofErr w:type="spellStart"/>
            <w:proofErr w:type="gramEnd"/>
            <w:r w:rsidRPr="00C55872">
              <w:rPr>
                <w:rFonts w:ascii="Times New Roman" w:eastAsia="Times New Roman" w:hAnsi="Times New Roman"/>
                <w:sz w:val="24"/>
                <w:szCs w:val="24"/>
              </w:rPr>
              <w:t>i</w:t>
            </w:r>
            <w:proofErr w:type="spellEnd"/>
            <w:r w:rsidRPr="00C55872">
              <w:rPr>
                <w:rFonts w:ascii="Times New Roman" w:eastAsia="Times New Roman" w:hAnsi="Times New Roman"/>
                <w:sz w:val="24"/>
                <w:szCs w:val="24"/>
              </w:rPr>
              <w:t xml:space="preserve">) – add the option to use standard conditions for the molar volume conversion of either: 849.5 </w:t>
            </w:r>
            <w:proofErr w:type="spellStart"/>
            <w:r w:rsidRPr="00C55872">
              <w:rPr>
                <w:rFonts w:ascii="Times New Roman" w:eastAsia="Times New Roman" w:hAnsi="Times New Roman"/>
                <w:sz w:val="24"/>
                <w:szCs w:val="24"/>
              </w:rPr>
              <w:t>scf</w:t>
            </w:r>
            <w:proofErr w:type="spellEnd"/>
            <w:r w:rsidRPr="00C55872">
              <w:rPr>
                <w:rFonts w:ascii="Times New Roman" w:eastAsia="Times New Roman" w:hAnsi="Times New Roman"/>
                <w:sz w:val="24"/>
                <w:szCs w:val="24"/>
              </w:rPr>
              <w:t xml:space="preserve"> per kg-mole at 68 °F and 14.7 PSIA or 836.6 </w:t>
            </w:r>
            <w:proofErr w:type="spellStart"/>
            <w:r w:rsidRPr="00C55872">
              <w:rPr>
                <w:rFonts w:ascii="Times New Roman" w:eastAsia="Times New Roman" w:hAnsi="Times New Roman"/>
                <w:sz w:val="24"/>
                <w:szCs w:val="24"/>
              </w:rPr>
              <w:t>scf</w:t>
            </w:r>
            <w:proofErr w:type="spellEnd"/>
            <w:r w:rsidRPr="00C55872">
              <w:rPr>
                <w:rFonts w:ascii="Times New Roman" w:eastAsia="Times New Roman" w:hAnsi="Times New Roman"/>
                <w:sz w:val="24"/>
                <w:szCs w:val="24"/>
              </w:rPr>
              <w:t>/kg-mole at 60 °F and 14.7 PSIA).</w:t>
            </w:r>
          </w:p>
        </w:tc>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xml:space="preserve">- New data reporting element:  report standard temperature at which gaseous feedstock and products volumes used were determined. </w:t>
            </w:r>
          </w:p>
        </w:tc>
      </w:tr>
      <w:tr w:rsidR="00214DE3" w:rsidRPr="00C55872" w:rsidTr="00642A2C">
        <w:trPr>
          <w:cantSplit/>
        </w:trPr>
        <w:tc>
          <w:tcPr>
            <w:tcW w:w="4788" w:type="dxa"/>
          </w:tcPr>
          <w:p w:rsidR="00214DE3" w:rsidRPr="00C55872" w:rsidRDefault="00214DE3" w:rsidP="00C55872">
            <w:pPr>
              <w:tabs>
                <w:tab w:val="left" w:pos="0"/>
                <w:tab w:val="left" w:pos="1080"/>
              </w:tabs>
              <w:autoSpaceDE w:val="0"/>
              <w:autoSpaceDN w:val="0"/>
              <w:adjustRightInd w:val="0"/>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 xml:space="preserve">Subpart X- </w:t>
            </w:r>
            <w:r w:rsidRPr="00C55872">
              <w:rPr>
                <w:rFonts w:ascii="Times New Roman" w:eastAsia="Times New Roman" w:hAnsi="Times New Roman"/>
                <w:sz w:val="24"/>
                <w:szCs w:val="24"/>
              </w:rPr>
              <w:t>98.246(a</w:t>
            </w:r>
            <w:proofErr w:type="gramStart"/>
            <w:r w:rsidRPr="00C55872">
              <w:rPr>
                <w:rFonts w:ascii="Times New Roman" w:eastAsia="Times New Roman" w:hAnsi="Times New Roman"/>
                <w:sz w:val="24"/>
                <w:szCs w:val="24"/>
              </w:rPr>
              <w:t>)-</w:t>
            </w:r>
            <w:proofErr w:type="gramEnd"/>
            <w:r w:rsidRPr="00C55872">
              <w:rPr>
                <w:rFonts w:ascii="Times New Roman" w:eastAsia="Times New Roman" w:hAnsi="Times New Roman"/>
                <w:sz w:val="24"/>
                <w:szCs w:val="24"/>
              </w:rPr>
              <w:t xml:space="preserve"> allow use of alternative methods than those listed under limited circumstances.  The burden analysis estimated that they had to follow a method and indicate which method they used. </w:t>
            </w:r>
          </w:p>
        </w:tc>
        <w:tc>
          <w:tcPr>
            <w:tcW w:w="4788" w:type="dxa"/>
          </w:tcPr>
          <w:p w:rsidR="00214DE3" w:rsidRPr="00C55872" w:rsidRDefault="00127BD0" w:rsidP="00C55872">
            <w:pPr>
              <w:spacing w:after="0" w:line="240" w:lineRule="auto"/>
              <w:rPr>
                <w:rFonts w:ascii="Times New Roman" w:eastAsia="Times New Roman" w:hAnsi="Times New Roman"/>
                <w:noProof/>
                <w:sz w:val="24"/>
                <w:szCs w:val="24"/>
              </w:rPr>
            </w:pPr>
            <w:r w:rsidRPr="00C55872">
              <w:rPr>
                <w:rFonts w:ascii="Times New Roman" w:eastAsia="Times New Roman" w:hAnsi="Times New Roman"/>
                <w:noProof/>
                <w:sz w:val="24"/>
                <w:szCs w:val="24"/>
              </w:rPr>
              <w:t>- N</w:t>
            </w:r>
            <w:r w:rsidR="00214DE3" w:rsidRPr="00C55872">
              <w:rPr>
                <w:rFonts w:ascii="Times New Roman" w:eastAsia="Times New Roman" w:hAnsi="Times New Roman"/>
                <w:noProof/>
                <w:sz w:val="24"/>
                <w:szCs w:val="24"/>
              </w:rPr>
              <w:t xml:space="preserve">ew data reporting element to report/provide the: name or title of analystical method, copy of the method and explanation of why alternative is needed. </w:t>
            </w:r>
          </w:p>
        </w:tc>
      </w:tr>
      <w:tr w:rsidR="00214DE3" w:rsidRPr="00C55872" w:rsidTr="00642A2C">
        <w:trPr>
          <w:cantSplit/>
        </w:trPr>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lastRenderedPageBreak/>
              <w:t>Subpart Y</w:t>
            </w:r>
            <w:r w:rsidRPr="00C55872">
              <w:rPr>
                <w:rFonts w:ascii="Times New Roman" w:eastAsia="Times New Roman" w:hAnsi="Times New Roman"/>
                <w:sz w:val="24"/>
                <w:szCs w:val="24"/>
              </w:rPr>
              <w:t xml:space="preserve"> – 98.253(b</w:t>
            </w:r>
            <w:proofErr w:type="gramStart"/>
            <w:r w:rsidRPr="00C55872">
              <w:rPr>
                <w:rFonts w:ascii="Times New Roman" w:eastAsia="Times New Roman" w:hAnsi="Times New Roman"/>
                <w:sz w:val="24"/>
                <w:szCs w:val="24"/>
              </w:rPr>
              <w:t>)(</w:t>
            </w:r>
            <w:proofErr w:type="gramEnd"/>
            <w:r w:rsidRPr="00C55872">
              <w:rPr>
                <w:rFonts w:ascii="Times New Roman" w:eastAsia="Times New Roman" w:hAnsi="Times New Roman"/>
                <w:sz w:val="24"/>
                <w:szCs w:val="24"/>
              </w:rPr>
              <w:t xml:space="preserve">1)(ii)(A) – add   the option to calculate </w:t>
            </w:r>
            <w:r w:rsidR="00642A2C" w:rsidRPr="002D39B0">
              <w:rPr>
                <w:rFonts w:ascii="Times New Roman" w:eastAsia="Times New Roman" w:hAnsi="Times New Roman"/>
                <w:sz w:val="24"/>
                <w:szCs w:val="24"/>
              </w:rPr>
              <w:t>CO</w:t>
            </w:r>
            <w:r w:rsidR="00642A2C" w:rsidRPr="00642A2C">
              <w:rPr>
                <w:rFonts w:ascii="Times New Roman" w:eastAsia="Times New Roman" w:hAnsi="Times New Roman"/>
                <w:sz w:val="24"/>
                <w:szCs w:val="24"/>
                <w:vertAlign w:val="subscript"/>
              </w:rPr>
              <w:t>2</w:t>
            </w:r>
            <w:r w:rsidRPr="00C55872">
              <w:rPr>
                <w:rFonts w:ascii="Times New Roman" w:eastAsia="Times New Roman" w:hAnsi="Times New Roman"/>
                <w:sz w:val="24"/>
                <w:szCs w:val="24"/>
              </w:rPr>
              <w:t xml:space="preserve"> emissions from flares using a different equation.</w:t>
            </w:r>
          </w:p>
        </w:tc>
        <w:tc>
          <w:tcPr>
            <w:tcW w:w="4788" w:type="dxa"/>
          </w:tcPr>
          <w:p w:rsidR="00214DE3" w:rsidRPr="00C55872" w:rsidRDefault="00214DE3" w:rsidP="00C55872">
            <w:pPr>
              <w:spacing w:after="0" w:line="240" w:lineRule="auto"/>
              <w:rPr>
                <w:rFonts w:ascii="Times New Roman" w:eastAsia="Times New Roman" w:hAnsi="Times New Roman"/>
                <w:sz w:val="24"/>
                <w:szCs w:val="24"/>
                <w:u w:val="single"/>
              </w:rPr>
            </w:pPr>
            <w:r w:rsidRPr="00C55872">
              <w:rPr>
                <w:rFonts w:ascii="Times New Roman" w:eastAsia="Times New Roman" w:hAnsi="Times New Roman"/>
                <w:sz w:val="24"/>
                <w:szCs w:val="24"/>
              </w:rPr>
              <w:t>- New data reporting elements: the i</w:t>
            </w:r>
            <w:r w:rsidR="00127BD0" w:rsidRPr="00C55872">
              <w:rPr>
                <w:rFonts w:ascii="Times New Roman" w:eastAsia="Times New Roman" w:hAnsi="Times New Roman"/>
                <w:sz w:val="24"/>
                <w:szCs w:val="24"/>
              </w:rPr>
              <w:t xml:space="preserve">nputs to the new equation (e.g., </w:t>
            </w:r>
            <w:r w:rsidRPr="00C55872">
              <w:rPr>
                <w:rFonts w:ascii="Times New Roman" w:eastAsia="Times New Roman" w:hAnsi="Times New Roman"/>
                <w:sz w:val="24"/>
                <w:szCs w:val="24"/>
              </w:rPr>
              <w:t>the number of carbon containing compounds other than CO</w:t>
            </w:r>
            <w:r w:rsidRPr="00C55872">
              <w:rPr>
                <w:rFonts w:ascii="Times New Roman" w:eastAsia="Times New Roman" w:hAnsi="Times New Roman"/>
                <w:sz w:val="24"/>
                <w:szCs w:val="24"/>
                <w:vertAlign w:val="subscript"/>
              </w:rPr>
              <w:t>2</w:t>
            </w:r>
            <w:r w:rsidRPr="00C55872">
              <w:rPr>
                <w:rFonts w:ascii="Times New Roman" w:eastAsia="Times New Roman" w:hAnsi="Times New Roman"/>
                <w:sz w:val="24"/>
                <w:szCs w:val="24"/>
              </w:rPr>
              <w:t xml:space="preserve"> in the flare gas stream)</w:t>
            </w:r>
          </w:p>
        </w:tc>
      </w:tr>
      <w:tr w:rsidR="00214DE3" w:rsidRPr="00C55872" w:rsidTr="00642A2C">
        <w:trPr>
          <w:cantSplit/>
        </w:trPr>
        <w:tc>
          <w:tcPr>
            <w:tcW w:w="4788" w:type="dxa"/>
          </w:tcPr>
          <w:p w:rsidR="00214DE3" w:rsidRPr="00642A2C"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Subpart Y</w:t>
            </w:r>
            <w:r w:rsidRPr="00C55872">
              <w:rPr>
                <w:rFonts w:ascii="Times New Roman" w:eastAsia="Times New Roman" w:hAnsi="Times New Roman"/>
                <w:sz w:val="24"/>
                <w:szCs w:val="24"/>
              </w:rPr>
              <w:t>: 98.253(c</w:t>
            </w:r>
            <w:proofErr w:type="gramStart"/>
            <w:r w:rsidRPr="00C55872">
              <w:rPr>
                <w:rFonts w:ascii="Times New Roman" w:eastAsia="Times New Roman" w:hAnsi="Times New Roman"/>
                <w:sz w:val="24"/>
                <w:szCs w:val="24"/>
              </w:rPr>
              <w:t>)(</w:t>
            </w:r>
            <w:proofErr w:type="gramEnd"/>
            <w:r w:rsidRPr="00C55872">
              <w:rPr>
                <w:rFonts w:ascii="Times New Roman" w:eastAsia="Times New Roman" w:hAnsi="Times New Roman"/>
                <w:sz w:val="24"/>
                <w:szCs w:val="24"/>
              </w:rPr>
              <w:t>2)(ii) – add an alternative option to calculate the exhaust flow rate of the fluid catalytic cracking unit regenerator.  The new option allows the calculation to be performed using a nitrogen balance rather than an inert balance.</w:t>
            </w:r>
          </w:p>
        </w:tc>
        <w:tc>
          <w:tcPr>
            <w:tcW w:w="4788" w:type="dxa"/>
          </w:tcPr>
          <w:p w:rsidR="00214DE3" w:rsidRPr="00C55872" w:rsidRDefault="00214DE3" w:rsidP="00C55872">
            <w:pPr>
              <w:spacing w:after="0" w:line="240" w:lineRule="auto"/>
              <w:rPr>
                <w:rFonts w:ascii="Times New Roman" w:eastAsia="Times New Roman" w:hAnsi="Times New Roman"/>
                <w:bCs/>
                <w:sz w:val="24"/>
                <w:szCs w:val="24"/>
              </w:rPr>
            </w:pPr>
            <w:r w:rsidRPr="00C55872">
              <w:rPr>
                <w:rFonts w:ascii="Times New Roman" w:eastAsia="Times New Roman" w:hAnsi="Times New Roman"/>
                <w:sz w:val="24"/>
                <w:szCs w:val="24"/>
              </w:rPr>
              <w:t xml:space="preserve">New data reporting elements: the inputs to the new equation (e.g., </w:t>
            </w:r>
            <w:r w:rsidRPr="00C55872">
              <w:rPr>
                <w:rFonts w:ascii="Times New Roman" w:eastAsia="Times New Roman" w:hAnsi="Times New Roman"/>
                <w:bCs/>
                <w:sz w:val="24"/>
                <w:szCs w:val="24"/>
              </w:rPr>
              <w:t>Annual average flow rate of inlet air, Annual average flow rate of oxygen-enriched air)</w:t>
            </w:r>
          </w:p>
          <w:p w:rsidR="00214DE3" w:rsidRPr="00C55872" w:rsidRDefault="00214DE3" w:rsidP="00C55872">
            <w:pPr>
              <w:spacing w:after="0" w:line="240" w:lineRule="auto"/>
              <w:rPr>
                <w:rFonts w:ascii="Times New Roman" w:eastAsia="Times New Roman" w:hAnsi="Times New Roman"/>
                <w:sz w:val="24"/>
                <w:szCs w:val="24"/>
              </w:rPr>
            </w:pPr>
          </w:p>
        </w:tc>
      </w:tr>
      <w:tr w:rsidR="00214DE3" w:rsidRPr="00C55872" w:rsidTr="00642A2C">
        <w:trPr>
          <w:cantSplit/>
        </w:trPr>
        <w:tc>
          <w:tcPr>
            <w:tcW w:w="4788" w:type="dxa"/>
          </w:tcPr>
          <w:p w:rsidR="00214DE3" w:rsidRPr="00C55872" w:rsidRDefault="00214DE3" w:rsidP="00642A2C">
            <w:pPr>
              <w:tabs>
                <w:tab w:val="left" w:pos="0"/>
                <w:tab w:val="left" w:pos="1080"/>
              </w:tabs>
              <w:autoSpaceDE w:val="0"/>
              <w:autoSpaceDN w:val="0"/>
              <w:adjustRightInd w:val="0"/>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 xml:space="preserve">Subpart PP- </w:t>
            </w:r>
            <w:r w:rsidRPr="00C55872">
              <w:rPr>
                <w:rFonts w:ascii="Times New Roman" w:eastAsia="Times New Roman" w:hAnsi="Times New Roman"/>
                <w:sz w:val="24"/>
                <w:szCs w:val="24"/>
              </w:rPr>
              <w:t xml:space="preserve">40 C.F.R. § 98.423(b)- add an option where </w:t>
            </w:r>
            <w:r w:rsidR="00642A2C" w:rsidRPr="002D39B0">
              <w:rPr>
                <w:rFonts w:ascii="Times New Roman" w:eastAsia="Times New Roman" w:hAnsi="Times New Roman"/>
                <w:sz w:val="24"/>
                <w:szCs w:val="24"/>
              </w:rPr>
              <w:t>CO</w:t>
            </w:r>
            <w:r w:rsidR="00642A2C" w:rsidRPr="00642A2C">
              <w:rPr>
                <w:rFonts w:ascii="Times New Roman" w:eastAsia="Times New Roman" w:hAnsi="Times New Roman"/>
                <w:sz w:val="24"/>
                <w:szCs w:val="24"/>
                <w:vertAlign w:val="subscript"/>
              </w:rPr>
              <w:t>2</w:t>
            </w:r>
            <w:r w:rsidRPr="00C55872">
              <w:rPr>
                <w:rFonts w:ascii="Times New Roman" w:eastAsia="Times New Roman" w:hAnsi="Times New Roman"/>
                <w:sz w:val="24"/>
                <w:szCs w:val="24"/>
              </w:rPr>
              <w:t xml:space="preserve"> is supplied in containers, that the reporter can use weigh bills, scales or load cells as an alternative to the flow meters. </w:t>
            </w:r>
          </w:p>
        </w:tc>
        <w:tc>
          <w:tcPr>
            <w:tcW w:w="4788" w:type="dxa"/>
          </w:tcPr>
          <w:p w:rsidR="00214DE3" w:rsidRPr="00C55872" w:rsidRDefault="00214DE3" w:rsidP="00642A2C">
            <w:pPr>
              <w:spacing w:after="0" w:line="240" w:lineRule="auto"/>
              <w:rPr>
                <w:rFonts w:ascii="Times New Roman" w:eastAsia="Times New Roman" w:hAnsi="Times New Roman"/>
                <w:sz w:val="24"/>
                <w:szCs w:val="24"/>
              </w:rPr>
            </w:pPr>
            <w:r w:rsidRPr="00C55872">
              <w:rPr>
                <w:rFonts w:ascii="Times New Roman" w:eastAsia="Times New Roman" w:hAnsi="Times New Roman"/>
                <w:noProof/>
                <w:sz w:val="24"/>
                <w:szCs w:val="24"/>
              </w:rPr>
              <w:t xml:space="preserve">- Clarify existing reporting requirement- clarify that data could be reported from the flow meter or the mass of </w:t>
            </w:r>
            <w:r w:rsidR="00642A2C" w:rsidRPr="002D39B0">
              <w:rPr>
                <w:rFonts w:ascii="Times New Roman" w:eastAsia="Times New Roman" w:hAnsi="Times New Roman"/>
                <w:sz w:val="24"/>
                <w:szCs w:val="24"/>
              </w:rPr>
              <w:t>CO</w:t>
            </w:r>
            <w:r w:rsidR="00642A2C" w:rsidRPr="00642A2C">
              <w:rPr>
                <w:rFonts w:ascii="Times New Roman" w:eastAsia="Times New Roman" w:hAnsi="Times New Roman"/>
                <w:sz w:val="24"/>
                <w:szCs w:val="24"/>
                <w:vertAlign w:val="subscript"/>
              </w:rPr>
              <w:t>2</w:t>
            </w:r>
            <w:r w:rsidRPr="00C55872">
              <w:rPr>
                <w:rFonts w:ascii="Times New Roman" w:eastAsia="Times New Roman" w:hAnsi="Times New Roman"/>
                <w:noProof/>
                <w:sz w:val="24"/>
                <w:szCs w:val="24"/>
              </w:rPr>
              <w:t xml:space="preserve"> from CO</w:t>
            </w:r>
            <w:r w:rsidRPr="00C55872">
              <w:rPr>
                <w:rFonts w:ascii="Times New Roman" w:eastAsia="Times New Roman" w:hAnsi="Times New Roman"/>
                <w:noProof/>
                <w:sz w:val="24"/>
                <w:szCs w:val="24"/>
                <w:vertAlign w:val="subscript"/>
              </w:rPr>
              <w:t>2</w:t>
            </w:r>
            <w:r w:rsidRPr="00C55872">
              <w:rPr>
                <w:rFonts w:ascii="Times New Roman" w:eastAsia="Times New Roman" w:hAnsi="Times New Roman"/>
                <w:noProof/>
                <w:sz w:val="24"/>
                <w:szCs w:val="24"/>
              </w:rPr>
              <w:t xml:space="preserve"> streams that deliver CO</w:t>
            </w:r>
            <w:r w:rsidRPr="00C55872">
              <w:rPr>
                <w:rFonts w:ascii="Times New Roman" w:eastAsia="Times New Roman" w:hAnsi="Times New Roman"/>
                <w:noProof/>
                <w:sz w:val="24"/>
                <w:szCs w:val="24"/>
                <w:vertAlign w:val="subscript"/>
              </w:rPr>
              <w:t>2</w:t>
            </w:r>
            <w:r w:rsidRPr="00C55872">
              <w:rPr>
                <w:rFonts w:ascii="Times New Roman" w:eastAsia="Times New Roman" w:hAnsi="Times New Roman"/>
                <w:noProof/>
                <w:sz w:val="24"/>
                <w:szCs w:val="24"/>
              </w:rPr>
              <w:t xml:space="preserve"> to containers.</w:t>
            </w:r>
          </w:p>
        </w:tc>
      </w:tr>
    </w:tbl>
    <w:p w:rsidR="00214DE3" w:rsidRPr="00C55872" w:rsidRDefault="00214DE3" w:rsidP="00C55872">
      <w:pPr>
        <w:spacing w:after="0" w:line="240" w:lineRule="auto"/>
        <w:rPr>
          <w:rFonts w:ascii="Times New Roman" w:eastAsia="Times New Roman" w:hAnsi="Times New Roman"/>
          <w:sz w:val="24"/>
          <w:szCs w:val="24"/>
        </w:rPr>
      </w:pPr>
    </w:p>
    <w:p w:rsidR="00214DE3" w:rsidRPr="00C55872" w:rsidRDefault="00214DE3" w:rsidP="00C55872">
      <w:pPr>
        <w:spacing w:after="0" w:line="240" w:lineRule="auto"/>
        <w:rPr>
          <w:rFonts w:ascii="Times New Roman" w:eastAsia="Times New Roman" w:hAnsi="Times New Roman"/>
          <w:sz w:val="24"/>
          <w:szCs w:val="24"/>
        </w:rPr>
      </w:pPr>
    </w:p>
    <w:p w:rsidR="00FE2AB2" w:rsidRPr="00C55872" w:rsidRDefault="00FE2AB2" w:rsidP="00FE2AB2">
      <w:pPr>
        <w:numPr>
          <w:ilvl w:val="0"/>
          <w:numId w:val="1"/>
        </w:numPr>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Proposed rule provides additional flexibility for reporters based on questions raised during implementation.</w:t>
      </w:r>
      <w:r w:rsidRPr="00C55872">
        <w:rPr>
          <w:rFonts w:ascii="Times New Roman" w:eastAsia="Times New Roman" w:hAnsi="Times New Roman"/>
          <w:sz w:val="24"/>
          <w:szCs w:val="24"/>
        </w:rPr>
        <w:t xml:space="preserve">   With the additional flexibility comes additional data reporting requirements, including identifying which approach the reporter is taking and any new data reporting elements associated with the new approach.  Because the new approach is an </w:t>
      </w:r>
      <w:r w:rsidRPr="00C55872">
        <w:rPr>
          <w:rFonts w:ascii="Times New Roman" w:eastAsia="Times New Roman" w:hAnsi="Times New Roman"/>
          <w:sz w:val="24"/>
          <w:szCs w:val="24"/>
          <w:u w:val="single"/>
        </w:rPr>
        <w:t>option</w:t>
      </w:r>
      <w:r w:rsidRPr="00C55872">
        <w:rPr>
          <w:rFonts w:ascii="Times New Roman" w:eastAsia="Times New Roman" w:hAnsi="Times New Roman"/>
          <w:sz w:val="24"/>
          <w:szCs w:val="24"/>
        </w:rPr>
        <w:t xml:space="preserve"> there is no increase in burden associated with implementing the option because reporters are not required to do so. </w:t>
      </w:r>
    </w:p>
    <w:p w:rsidR="00214DE3" w:rsidRPr="00C55872" w:rsidRDefault="00214DE3" w:rsidP="00FE2AB2">
      <w:pPr>
        <w:spacing w:after="0" w:line="240" w:lineRule="auto"/>
        <w:rPr>
          <w:rFonts w:ascii="Times New Roman" w:eastAsia="Times New Roman" w:hAnsi="Times New Roman"/>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8"/>
        <w:gridCol w:w="4788"/>
      </w:tblGrid>
      <w:tr w:rsidR="00214DE3" w:rsidRPr="00C55872">
        <w:tc>
          <w:tcPr>
            <w:tcW w:w="4788" w:type="dxa"/>
            <w:shd w:val="clear" w:color="auto" w:fill="FFFF99"/>
          </w:tcPr>
          <w:p w:rsidR="00214DE3" w:rsidRPr="00C55872" w:rsidRDefault="00214DE3" w:rsidP="00C55872">
            <w:pPr>
              <w:spacing w:after="0" w:line="240" w:lineRule="auto"/>
              <w:jc w:val="center"/>
              <w:rPr>
                <w:rFonts w:ascii="Times New Roman" w:eastAsia="Times New Roman" w:hAnsi="Times New Roman"/>
                <w:b/>
                <w:sz w:val="24"/>
                <w:szCs w:val="24"/>
              </w:rPr>
            </w:pPr>
            <w:r w:rsidRPr="00C55872">
              <w:rPr>
                <w:rFonts w:ascii="Times New Roman" w:eastAsia="Times New Roman" w:hAnsi="Times New Roman"/>
                <w:b/>
                <w:sz w:val="24"/>
                <w:szCs w:val="24"/>
              </w:rPr>
              <w:t>Requirement</w:t>
            </w:r>
          </w:p>
        </w:tc>
        <w:tc>
          <w:tcPr>
            <w:tcW w:w="4788" w:type="dxa"/>
            <w:shd w:val="clear" w:color="auto" w:fill="FFFF99"/>
          </w:tcPr>
          <w:p w:rsidR="00214DE3" w:rsidRPr="00C55872" w:rsidRDefault="00214DE3" w:rsidP="00C55872">
            <w:pPr>
              <w:spacing w:after="0" w:line="240" w:lineRule="auto"/>
              <w:jc w:val="center"/>
              <w:rPr>
                <w:rFonts w:ascii="Times New Roman" w:eastAsia="Times New Roman" w:hAnsi="Times New Roman"/>
                <w:b/>
                <w:sz w:val="24"/>
                <w:szCs w:val="24"/>
              </w:rPr>
            </w:pPr>
            <w:r w:rsidRPr="00C55872">
              <w:rPr>
                <w:rFonts w:ascii="Times New Roman" w:eastAsia="Times New Roman" w:hAnsi="Times New Roman"/>
                <w:b/>
                <w:sz w:val="24"/>
                <w:szCs w:val="24"/>
              </w:rPr>
              <w:t>Change in Data Reporting Elements</w:t>
            </w:r>
          </w:p>
        </w:tc>
      </w:tr>
      <w:tr w:rsidR="00214DE3" w:rsidRPr="00C55872" w:rsidTr="00642A2C">
        <w:trPr>
          <w:cantSplit/>
        </w:trPr>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Subpart A-</w:t>
            </w:r>
            <w:r w:rsidRPr="00C55872">
              <w:rPr>
                <w:rFonts w:ascii="Times New Roman" w:eastAsia="Times New Roman" w:hAnsi="Times New Roman"/>
                <w:sz w:val="24"/>
                <w:szCs w:val="24"/>
              </w:rPr>
              <w:t xml:space="preserve"> Ask for basic information on facility, organization or entity reporting. </w:t>
            </w:r>
          </w:p>
        </w:tc>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xml:space="preserve">- </w:t>
            </w:r>
            <w:r w:rsidR="00127BD0" w:rsidRPr="00C55872">
              <w:rPr>
                <w:rFonts w:ascii="Times New Roman" w:eastAsia="Times New Roman" w:hAnsi="Times New Roman"/>
                <w:sz w:val="24"/>
                <w:szCs w:val="24"/>
              </w:rPr>
              <w:t>A</w:t>
            </w:r>
            <w:r w:rsidRPr="00C55872">
              <w:rPr>
                <w:rFonts w:ascii="Times New Roman" w:eastAsia="Times New Roman" w:hAnsi="Times New Roman"/>
                <w:sz w:val="24"/>
                <w:szCs w:val="24"/>
              </w:rPr>
              <w:t xml:space="preserve">dd general reporting requirements on </w:t>
            </w:r>
          </w:p>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1.  Facility or supplier ID</w:t>
            </w:r>
          </w:p>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2.  Organizational name (company affiliation/employer) for the designated representative</w:t>
            </w:r>
          </w:p>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3. Organizational name (company affiliation/employer) for the alternative designated representative</w:t>
            </w:r>
          </w:p>
        </w:tc>
      </w:tr>
      <w:tr w:rsidR="00214DE3" w:rsidRPr="00C55872" w:rsidTr="00642A2C">
        <w:trPr>
          <w:cantSplit/>
        </w:trPr>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 xml:space="preserve">Subpart C- </w:t>
            </w:r>
            <w:r w:rsidRPr="00C55872">
              <w:rPr>
                <w:rFonts w:ascii="Times New Roman" w:eastAsia="Times New Roman" w:hAnsi="Times New Roman"/>
                <w:sz w:val="24"/>
                <w:szCs w:val="24"/>
              </w:rPr>
              <w:t xml:space="preserve">Ask for unit ID information based on information already available in other programs. </w:t>
            </w:r>
          </w:p>
        </w:tc>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1. Add Acid Rain Program Indicator</w:t>
            </w:r>
          </w:p>
        </w:tc>
      </w:tr>
      <w:tr w:rsidR="00214DE3" w:rsidRPr="00C55872" w:rsidTr="00642A2C">
        <w:trPr>
          <w:cantSplit/>
        </w:trPr>
        <w:tc>
          <w:tcPr>
            <w:tcW w:w="4788" w:type="dxa"/>
          </w:tcPr>
          <w:p w:rsidR="00214DE3" w:rsidRPr="00C55872" w:rsidRDefault="00214DE3" w:rsidP="00C55872">
            <w:pPr>
              <w:spacing w:after="0" w:line="240" w:lineRule="auto"/>
              <w:rPr>
                <w:rFonts w:ascii="Times New Roman" w:eastAsia="Times New Roman" w:hAnsi="Times New Roman"/>
                <w:color w:val="000000"/>
                <w:sz w:val="24"/>
                <w:szCs w:val="24"/>
              </w:rPr>
            </w:pPr>
            <w:r w:rsidRPr="00C55872">
              <w:rPr>
                <w:rFonts w:ascii="Times New Roman" w:eastAsia="Times New Roman" w:hAnsi="Times New Roman"/>
                <w:b/>
                <w:color w:val="000000"/>
                <w:sz w:val="24"/>
                <w:szCs w:val="24"/>
              </w:rPr>
              <w:t xml:space="preserve">Subpart X- </w:t>
            </w:r>
            <w:r w:rsidRPr="00C55872">
              <w:rPr>
                <w:rFonts w:ascii="Times New Roman" w:eastAsia="Times New Roman" w:hAnsi="Times New Roman"/>
                <w:color w:val="000000"/>
                <w:sz w:val="24"/>
                <w:szCs w:val="24"/>
              </w:rPr>
              <w:t>Ask for basic facility information</w:t>
            </w:r>
          </w:p>
        </w:tc>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Type of Petrochemical Produced</w:t>
            </w:r>
          </w:p>
        </w:tc>
      </w:tr>
      <w:tr w:rsidR="00214DE3" w:rsidRPr="00C55872" w:rsidTr="00642A2C">
        <w:trPr>
          <w:cantSplit/>
        </w:trPr>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 xml:space="preserve">Subpart Y- </w:t>
            </w:r>
            <w:r w:rsidRPr="00C55872">
              <w:rPr>
                <w:rFonts w:ascii="Times New Roman" w:eastAsia="Times New Roman" w:hAnsi="Times New Roman"/>
                <w:sz w:val="24"/>
                <w:szCs w:val="24"/>
              </w:rPr>
              <w:t>Asking for information on the type of sulfur recovery plant (e.g., non-Claus sulfur recovery)</w:t>
            </w:r>
          </w:p>
        </w:tc>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xml:space="preserve">Description of the type of sulfur recovery plant. </w:t>
            </w:r>
          </w:p>
        </w:tc>
      </w:tr>
      <w:tr w:rsidR="00214DE3" w:rsidRPr="00C55872" w:rsidTr="00642A2C">
        <w:trPr>
          <w:cantSplit/>
        </w:trPr>
        <w:tc>
          <w:tcPr>
            <w:tcW w:w="4788" w:type="dxa"/>
          </w:tcPr>
          <w:p w:rsidR="00214DE3" w:rsidRPr="00C55872" w:rsidRDefault="00214DE3" w:rsidP="00C55872">
            <w:pPr>
              <w:spacing w:after="0" w:line="240" w:lineRule="auto"/>
              <w:rPr>
                <w:rFonts w:ascii="Times New Roman" w:eastAsia="Times New Roman" w:hAnsi="Times New Roman"/>
                <w:b/>
                <w:sz w:val="24"/>
                <w:szCs w:val="24"/>
              </w:rPr>
            </w:pPr>
            <w:r w:rsidRPr="00C55872">
              <w:rPr>
                <w:rFonts w:ascii="Times New Roman" w:eastAsia="Times New Roman" w:hAnsi="Times New Roman"/>
                <w:b/>
                <w:sz w:val="24"/>
                <w:szCs w:val="24"/>
              </w:rPr>
              <w:t>Subpart Y: Asking which of two options were chosen</w:t>
            </w:r>
          </w:p>
        </w:tc>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1.  Asking whether daily or weekly measurement periods were used</w:t>
            </w:r>
          </w:p>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2.  Asking which method was used to calculate emissions</w:t>
            </w:r>
          </w:p>
        </w:tc>
      </w:tr>
    </w:tbl>
    <w:p w:rsidR="00214DE3" w:rsidRPr="00C55872" w:rsidRDefault="00214DE3" w:rsidP="00C55872">
      <w:pPr>
        <w:spacing w:after="0" w:line="240" w:lineRule="auto"/>
        <w:rPr>
          <w:rFonts w:ascii="Times New Roman" w:eastAsia="Times New Roman" w:hAnsi="Times New Roman"/>
          <w:sz w:val="24"/>
          <w:szCs w:val="24"/>
          <w:u w:val="single"/>
        </w:rPr>
      </w:pPr>
      <w:r w:rsidRPr="00C55872">
        <w:rPr>
          <w:rFonts w:ascii="Times New Roman" w:eastAsia="Times New Roman" w:hAnsi="Times New Roman"/>
          <w:sz w:val="24"/>
          <w:szCs w:val="24"/>
        </w:rPr>
        <w:t xml:space="preserve"> </w:t>
      </w:r>
    </w:p>
    <w:p w:rsidR="00214DE3" w:rsidRPr="00C55872" w:rsidRDefault="00214DE3" w:rsidP="00FE2AB2">
      <w:pPr>
        <w:numPr>
          <w:ilvl w:val="0"/>
          <w:numId w:val="1"/>
        </w:numPr>
        <w:spacing w:after="0" w:line="240" w:lineRule="auto"/>
        <w:rPr>
          <w:rFonts w:ascii="Times New Roman" w:eastAsia="Times New Roman" w:hAnsi="Times New Roman"/>
          <w:sz w:val="24"/>
          <w:szCs w:val="24"/>
          <w:u w:val="single"/>
        </w:rPr>
      </w:pPr>
      <w:r w:rsidRPr="00C55872">
        <w:rPr>
          <w:rFonts w:ascii="Times New Roman" w:eastAsia="Times New Roman" w:hAnsi="Times New Roman"/>
          <w:b/>
          <w:sz w:val="24"/>
          <w:szCs w:val="24"/>
        </w:rPr>
        <w:lastRenderedPageBreak/>
        <w:t xml:space="preserve">Require reporters to report a new data element for which there was a general recordkeeping requirement, but not listed in the respective subparts.  </w:t>
      </w:r>
      <w:r w:rsidRPr="00C55872">
        <w:rPr>
          <w:rFonts w:ascii="Times New Roman" w:eastAsia="Times New Roman" w:hAnsi="Times New Roman"/>
          <w:sz w:val="24"/>
          <w:szCs w:val="24"/>
        </w:rPr>
        <w:t xml:space="preserve">These are new reporting requirements, but not new data collection efforts.    The burden associated with collecting the data was accounted for in the ICR.  The facilities would also have been required to retain the data as a record under the requirements of the specific subpart, or under the general recordkeeping requirements under 98.3(g). The revisions would now just require them to report.  </w:t>
      </w:r>
    </w:p>
    <w:p w:rsidR="00214DE3" w:rsidRPr="00C55872" w:rsidRDefault="00214DE3" w:rsidP="00C55872">
      <w:pPr>
        <w:spacing w:after="0" w:line="240" w:lineRule="auto"/>
        <w:rPr>
          <w:rFonts w:ascii="Times New Roman" w:eastAsia="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8"/>
        <w:gridCol w:w="4788"/>
      </w:tblGrid>
      <w:tr w:rsidR="00214DE3" w:rsidRPr="00C55872">
        <w:tc>
          <w:tcPr>
            <w:tcW w:w="4788" w:type="dxa"/>
            <w:shd w:val="clear" w:color="auto" w:fill="FFFF99"/>
          </w:tcPr>
          <w:p w:rsidR="00214DE3" w:rsidRPr="00C55872" w:rsidRDefault="00214DE3" w:rsidP="00C55872">
            <w:pPr>
              <w:spacing w:after="0" w:line="240" w:lineRule="auto"/>
              <w:jc w:val="center"/>
              <w:rPr>
                <w:rFonts w:ascii="Times New Roman" w:eastAsia="Times New Roman" w:hAnsi="Times New Roman"/>
                <w:b/>
                <w:sz w:val="24"/>
                <w:szCs w:val="24"/>
              </w:rPr>
            </w:pPr>
            <w:r w:rsidRPr="00C55872">
              <w:rPr>
                <w:rFonts w:ascii="Times New Roman" w:eastAsia="Times New Roman" w:hAnsi="Times New Roman"/>
                <w:b/>
                <w:sz w:val="24"/>
                <w:szCs w:val="24"/>
              </w:rPr>
              <w:t>Requirement</w:t>
            </w:r>
          </w:p>
        </w:tc>
        <w:tc>
          <w:tcPr>
            <w:tcW w:w="4788" w:type="dxa"/>
            <w:shd w:val="clear" w:color="auto" w:fill="FFFF99"/>
          </w:tcPr>
          <w:p w:rsidR="00214DE3" w:rsidRPr="00C55872" w:rsidRDefault="00214DE3" w:rsidP="00C55872">
            <w:pPr>
              <w:spacing w:after="0" w:line="240" w:lineRule="auto"/>
              <w:jc w:val="center"/>
              <w:rPr>
                <w:rFonts w:ascii="Times New Roman" w:eastAsia="Times New Roman" w:hAnsi="Times New Roman"/>
                <w:b/>
                <w:sz w:val="24"/>
                <w:szCs w:val="24"/>
              </w:rPr>
            </w:pPr>
            <w:r w:rsidRPr="00C55872">
              <w:rPr>
                <w:rFonts w:ascii="Times New Roman" w:eastAsia="Times New Roman" w:hAnsi="Times New Roman"/>
                <w:b/>
                <w:sz w:val="24"/>
                <w:szCs w:val="24"/>
              </w:rPr>
              <w:t>Change in Data Reporting Elements</w:t>
            </w:r>
          </w:p>
        </w:tc>
      </w:tr>
      <w:tr w:rsidR="00214DE3" w:rsidRPr="00C55872">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 xml:space="preserve">Subpart C- </w:t>
            </w:r>
            <w:r w:rsidRPr="00C55872">
              <w:rPr>
                <w:rFonts w:ascii="Times New Roman" w:eastAsia="Times New Roman" w:hAnsi="Times New Roman"/>
                <w:sz w:val="24"/>
                <w:szCs w:val="24"/>
              </w:rPr>
              <w:t>Requirement to add “methodology start date and end date”.   Rule is clear under 98.3(e) you needed to provide a written explanation of why a change in methodology was required. We felt it necessary, for the purposes of verification, to make clear that this description of</w:t>
            </w:r>
            <w:r w:rsidRPr="00C55872">
              <w:rPr>
                <w:rFonts w:ascii="Times New Roman" w:eastAsia="Times New Roman" w:hAnsi="Times New Roman"/>
                <w:i/>
                <w:sz w:val="24"/>
                <w:szCs w:val="24"/>
              </w:rPr>
              <w:t xml:space="preserve"> why</w:t>
            </w:r>
            <w:r w:rsidRPr="00C55872">
              <w:rPr>
                <w:rFonts w:ascii="Times New Roman" w:eastAsia="Times New Roman" w:hAnsi="Times New Roman"/>
                <w:sz w:val="24"/>
                <w:szCs w:val="24"/>
              </w:rPr>
              <w:t xml:space="preserve">, should include </w:t>
            </w:r>
            <w:r w:rsidRPr="00C55872">
              <w:rPr>
                <w:rFonts w:ascii="Times New Roman" w:eastAsia="Times New Roman" w:hAnsi="Times New Roman"/>
                <w:i/>
                <w:sz w:val="24"/>
                <w:szCs w:val="24"/>
              </w:rPr>
              <w:t>when</w:t>
            </w:r>
            <w:r w:rsidRPr="00C55872">
              <w:rPr>
                <w:rFonts w:ascii="Times New Roman" w:eastAsia="Times New Roman" w:hAnsi="Times New Roman"/>
                <w:sz w:val="24"/>
                <w:szCs w:val="24"/>
              </w:rPr>
              <w:t xml:space="preserve"> the change actually takes place. </w:t>
            </w:r>
          </w:p>
        </w:tc>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Add “methodology start date” and “methodology end date”</w:t>
            </w:r>
          </w:p>
        </w:tc>
      </w:tr>
      <w:tr w:rsidR="00214DE3" w:rsidRPr="00C55872">
        <w:tc>
          <w:tcPr>
            <w:tcW w:w="4788" w:type="dxa"/>
          </w:tcPr>
          <w:p w:rsidR="00214DE3" w:rsidRPr="00C55872" w:rsidRDefault="00214DE3" w:rsidP="00C55872">
            <w:pPr>
              <w:spacing w:after="0" w:line="240" w:lineRule="auto"/>
              <w:rPr>
                <w:rFonts w:ascii="Times New Roman" w:eastAsia="Times New Roman" w:hAnsi="Times New Roman"/>
                <w:sz w:val="24"/>
                <w:szCs w:val="24"/>
                <w:u w:val="single"/>
              </w:rPr>
            </w:pPr>
            <w:r w:rsidRPr="00C55872">
              <w:rPr>
                <w:rFonts w:ascii="Times New Roman" w:eastAsia="Times New Roman" w:hAnsi="Times New Roman"/>
                <w:b/>
                <w:sz w:val="24"/>
                <w:szCs w:val="24"/>
              </w:rPr>
              <w:t xml:space="preserve">Subpart X.  </w:t>
            </w:r>
            <w:r w:rsidRPr="00C55872">
              <w:rPr>
                <w:rFonts w:ascii="Times New Roman" w:eastAsia="Times New Roman" w:hAnsi="Times New Roman"/>
                <w:sz w:val="24"/>
                <w:szCs w:val="24"/>
              </w:rPr>
              <w:t>Identify petrochemical unit ID- 98.3(g) (1) would have required the facility to report “a list of all units, operations, processes, and activities for which GHG emissions were calculated”</w:t>
            </w:r>
          </w:p>
        </w:tc>
        <w:tc>
          <w:tcPr>
            <w:tcW w:w="47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Add “Unit ID”</w:t>
            </w:r>
          </w:p>
        </w:tc>
      </w:tr>
    </w:tbl>
    <w:p w:rsidR="00214DE3" w:rsidRPr="00C55872" w:rsidRDefault="00214DE3" w:rsidP="00C55872">
      <w:pPr>
        <w:spacing w:after="0" w:line="240" w:lineRule="auto"/>
        <w:rPr>
          <w:rFonts w:ascii="Times New Roman" w:eastAsia="Times New Roman" w:hAnsi="Times New Roman"/>
          <w:sz w:val="24"/>
          <w:szCs w:val="24"/>
          <w:u w:val="single"/>
        </w:rPr>
      </w:pPr>
    </w:p>
    <w:p w:rsidR="00214DE3" w:rsidRPr="00C55872" w:rsidRDefault="00214DE3" w:rsidP="00C55872">
      <w:pPr>
        <w:spacing w:after="0" w:line="240" w:lineRule="auto"/>
        <w:rPr>
          <w:rFonts w:ascii="Times New Roman" w:eastAsia="Times New Roman" w:hAnsi="Times New Roman"/>
          <w:b/>
          <w:sz w:val="24"/>
          <w:szCs w:val="24"/>
        </w:rPr>
      </w:pPr>
      <w:r w:rsidRPr="00C55872">
        <w:rPr>
          <w:rFonts w:ascii="Times New Roman" w:eastAsia="Times New Roman" w:hAnsi="Times New Roman"/>
          <w:b/>
          <w:sz w:val="24"/>
          <w:szCs w:val="24"/>
        </w:rPr>
        <w:br w:type="page"/>
      </w:r>
    </w:p>
    <w:p w:rsidR="00214DE3" w:rsidRPr="00C55872" w:rsidRDefault="00DD7420" w:rsidP="00FE2AB2">
      <w:pPr>
        <w:numPr>
          <w:ilvl w:val="0"/>
          <w:numId w:val="1"/>
        </w:numPr>
        <w:spacing w:after="0" w:line="240" w:lineRule="auto"/>
        <w:rPr>
          <w:rFonts w:ascii="Times New Roman" w:eastAsia="Times New Roman" w:hAnsi="Times New Roman"/>
          <w:sz w:val="24"/>
          <w:szCs w:val="24"/>
        </w:rPr>
      </w:pPr>
      <w:r w:rsidRPr="00DD7420">
        <w:rPr>
          <w:rFonts w:ascii="Times New Roman" w:eastAsia="Times New Roman" w:hAnsi="Times New Roman"/>
          <w:b/>
          <w:sz w:val="24"/>
          <w:szCs w:val="24"/>
        </w:rPr>
        <w:t xml:space="preserve">Revisions that require reporting of the results of certain calculations in Part 98 for which calculation was previously required, but reporting was not.  </w:t>
      </w:r>
      <w:r w:rsidR="00214DE3" w:rsidRPr="00C55872">
        <w:rPr>
          <w:rFonts w:ascii="Times New Roman" w:eastAsia="Times New Roman" w:hAnsi="Times New Roman"/>
          <w:sz w:val="24"/>
          <w:szCs w:val="24"/>
        </w:rPr>
        <w:t xml:space="preserve">These are new reporting requirements, but not new data collection efforts.   The burden associated with collecting the data was accounted for in the ICR.  The facilities would also have been required to retain the data as a record under the requirements of the specific subpart, or under the general recordkeeping requirements under 98.3(g). The revisions would now just require them to report.  </w:t>
      </w:r>
    </w:p>
    <w:p w:rsidR="00214DE3" w:rsidRPr="00C55872" w:rsidRDefault="00214DE3" w:rsidP="00C55872">
      <w:pPr>
        <w:spacing w:after="0" w:line="240" w:lineRule="auto"/>
        <w:rPr>
          <w:rFonts w:ascii="Times New Roman" w:eastAsia="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88"/>
        <w:gridCol w:w="3888"/>
      </w:tblGrid>
      <w:tr w:rsidR="00214DE3" w:rsidRPr="00C55872">
        <w:tc>
          <w:tcPr>
            <w:tcW w:w="5688" w:type="dxa"/>
            <w:shd w:val="clear" w:color="auto" w:fill="FFFF99"/>
          </w:tcPr>
          <w:p w:rsidR="00214DE3" w:rsidRPr="00C55872" w:rsidRDefault="00214DE3" w:rsidP="00C55872">
            <w:pPr>
              <w:spacing w:after="0" w:line="240" w:lineRule="auto"/>
              <w:jc w:val="center"/>
              <w:rPr>
                <w:rFonts w:ascii="Times New Roman" w:eastAsia="Times New Roman" w:hAnsi="Times New Roman"/>
                <w:b/>
                <w:sz w:val="24"/>
                <w:szCs w:val="24"/>
              </w:rPr>
            </w:pPr>
            <w:r w:rsidRPr="00C55872">
              <w:rPr>
                <w:rFonts w:ascii="Times New Roman" w:eastAsia="Times New Roman" w:hAnsi="Times New Roman"/>
                <w:b/>
                <w:sz w:val="24"/>
                <w:szCs w:val="24"/>
              </w:rPr>
              <w:t>Requirement</w:t>
            </w:r>
          </w:p>
        </w:tc>
        <w:tc>
          <w:tcPr>
            <w:tcW w:w="3888" w:type="dxa"/>
            <w:shd w:val="clear" w:color="auto" w:fill="FFFF99"/>
          </w:tcPr>
          <w:p w:rsidR="00214DE3" w:rsidRPr="00C55872" w:rsidRDefault="00214DE3" w:rsidP="00C55872">
            <w:pPr>
              <w:spacing w:after="0" w:line="240" w:lineRule="auto"/>
              <w:jc w:val="center"/>
              <w:rPr>
                <w:rFonts w:ascii="Times New Roman" w:eastAsia="Times New Roman" w:hAnsi="Times New Roman"/>
                <w:b/>
                <w:sz w:val="24"/>
                <w:szCs w:val="24"/>
              </w:rPr>
            </w:pPr>
            <w:r w:rsidRPr="00C55872">
              <w:rPr>
                <w:rFonts w:ascii="Times New Roman" w:eastAsia="Times New Roman" w:hAnsi="Times New Roman"/>
                <w:b/>
                <w:sz w:val="24"/>
                <w:szCs w:val="24"/>
              </w:rPr>
              <w:t>Change in Data Reporting Elements</w:t>
            </w:r>
          </w:p>
        </w:tc>
      </w:tr>
      <w:tr w:rsidR="00214DE3" w:rsidRPr="00C55872">
        <w:tc>
          <w:tcPr>
            <w:tcW w:w="56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 xml:space="preserve">Subpart C- </w:t>
            </w:r>
            <w:r w:rsidRPr="00C55872">
              <w:rPr>
                <w:rFonts w:ascii="Times New Roman" w:eastAsia="Times New Roman" w:hAnsi="Times New Roman"/>
                <w:sz w:val="24"/>
                <w:szCs w:val="24"/>
              </w:rPr>
              <w:t>had to calculate the total heat input, by fuel, when implementing equation C-10 in the final rule.  The heat input was not required to be reported. Although note that data would have been required to be retained under 98.3(g</w:t>
            </w:r>
            <w:proofErr w:type="gramStart"/>
            <w:r w:rsidRPr="00C55872">
              <w:rPr>
                <w:rFonts w:ascii="Times New Roman" w:eastAsia="Times New Roman" w:hAnsi="Times New Roman"/>
                <w:sz w:val="24"/>
                <w:szCs w:val="24"/>
              </w:rPr>
              <w:t>)(</w:t>
            </w:r>
            <w:proofErr w:type="gramEnd"/>
            <w:r w:rsidRPr="00C55872">
              <w:rPr>
                <w:rFonts w:ascii="Times New Roman" w:eastAsia="Times New Roman" w:hAnsi="Times New Roman"/>
                <w:sz w:val="24"/>
                <w:szCs w:val="24"/>
              </w:rPr>
              <w:t xml:space="preserve">2).  This proposal now requires them to report heat input. </w:t>
            </w:r>
          </w:p>
        </w:tc>
        <w:tc>
          <w:tcPr>
            <w:tcW w:w="38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- 98.36(d</w:t>
            </w:r>
            <w:proofErr w:type="gramStart"/>
            <w:r w:rsidRPr="00C55872">
              <w:rPr>
                <w:rFonts w:ascii="Times New Roman" w:eastAsia="Times New Roman" w:hAnsi="Times New Roman"/>
                <w:sz w:val="24"/>
                <w:szCs w:val="24"/>
              </w:rPr>
              <w:t>)(</w:t>
            </w:r>
            <w:proofErr w:type="gramEnd"/>
            <w:r w:rsidRPr="00C55872">
              <w:rPr>
                <w:rFonts w:ascii="Times New Roman" w:eastAsia="Times New Roman" w:hAnsi="Times New Roman"/>
                <w:sz w:val="24"/>
                <w:szCs w:val="24"/>
              </w:rPr>
              <w:t xml:space="preserve">1)- add data reporting requirement for “The total heat input from each fuel listed in Table C-2 that was combusted during the year, expressed in </w:t>
            </w:r>
            <w:proofErr w:type="spellStart"/>
            <w:r w:rsidRPr="00C55872">
              <w:rPr>
                <w:rFonts w:ascii="Times New Roman" w:eastAsia="Times New Roman" w:hAnsi="Times New Roman"/>
                <w:sz w:val="24"/>
                <w:szCs w:val="24"/>
              </w:rPr>
              <w:t>MMBtu</w:t>
            </w:r>
            <w:proofErr w:type="spellEnd"/>
            <w:r w:rsidRPr="00C55872">
              <w:rPr>
                <w:rFonts w:ascii="Times New Roman" w:eastAsia="Times New Roman" w:hAnsi="Times New Roman"/>
                <w:sz w:val="24"/>
                <w:szCs w:val="24"/>
              </w:rPr>
              <w:t>.”</w:t>
            </w:r>
          </w:p>
        </w:tc>
      </w:tr>
      <w:tr w:rsidR="00214DE3" w:rsidRPr="00C55872">
        <w:tc>
          <w:tcPr>
            <w:tcW w:w="56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 xml:space="preserve">Subpart C- </w:t>
            </w:r>
            <w:r w:rsidRPr="00C55872">
              <w:rPr>
                <w:rFonts w:ascii="Times New Roman" w:eastAsia="Times New Roman" w:hAnsi="Times New Roman"/>
                <w:sz w:val="24"/>
                <w:szCs w:val="24"/>
              </w:rPr>
              <w:t>New proposal to report the number of units served by the common pipe.  Before reporters had to report data on the common pipe, including the ID numbers of the units and the maximum rated heat capacity of each unit, but they didn’t actually have to report the number of units.  Not a new data collection effort.</w:t>
            </w:r>
          </w:p>
        </w:tc>
        <w:tc>
          <w:tcPr>
            <w:tcW w:w="38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xml:space="preserve">- Number of units served by the common pipe.  </w:t>
            </w:r>
          </w:p>
        </w:tc>
      </w:tr>
      <w:tr w:rsidR="00214DE3" w:rsidRPr="00C55872">
        <w:tc>
          <w:tcPr>
            <w:tcW w:w="5688" w:type="dxa"/>
          </w:tcPr>
          <w:p w:rsidR="00214DE3" w:rsidRPr="00C55872" w:rsidRDefault="00214DE3" w:rsidP="00C55872">
            <w:pPr>
              <w:spacing w:after="0" w:line="240" w:lineRule="auto"/>
              <w:rPr>
                <w:rFonts w:ascii="Times New Roman" w:eastAsia="Times New Roman" w:hAnsi="Times New Roman"/>
                <w:sz w:val="24"/>
                <w:szCs w:val="24"/>
                <w:u w:val="single"/>
              </w:rPr>
            </w:pPr>
            <w:r w:rsidRPr="00C55872">
              <w:rPr>
                <w:rFonts w:ascii="Times New Roman" w:eastAsia="Times New Roman" w:hAnsi="Times New Roman"/>
                <w:b/>
                <w:sz w:val="24"/>
                <w:szCs w:val="24"/>
              </w:rPr>
              <w:t xml:space="preserve">Subpart Y- </w:t>
            </w:r>
            <w:r w:rsidRPr="00C55872">
              <w:rPr>
                <w:rFonts w:ascii="Times New Roman" w:eastAsia="Times New Roman" w:hAnsi="Times New Roman"/>
                <w:sz w:val="24"/>
                <w:szCs w:val="24"/>
              </w:rPr>
              <w:t xml:space="preserve">Had to report whether you use a measured value, a unit-specific emission factor or a default, and you had to report several pieces of information about the unit-specific emission factor, if applicable.  We inadvertently left out the requirement to report the unit-specific emission factor itself.  We are now not proposing to change the calculation methods, but now have to report the data element.  Note that they would have had to retain this emission factor as a recordkeeping requirement per 98.3(2). </w:t>
            </w:r>
          </w:p>
        </w:tc>
        <w:tc>
          <w:tcPr>
            <w:tcW w:w="3888" w:type="dxa"/>
          </w:tcPr>
          <w:p w:rsidR="00214DE3" w:rsidRPr="00C55872" w:rsidRDefault="00214DE3" w:rsidP="00C55872">
            <w:pPr>
              <w:spacing w:after="0" w:line="240" w:lineRule="auto"/>
              <w:rPr>
                <w:rFonts w:ascii="Times New Roman" w:eastAsia="Times New Roman" w:hAnsi="Times New Roman"/>
                <w:sz w:val="24"/>
                <w:szCs w:val="24"/>
              </w:rPr>
            </w:pPr>
            <w:r w:rsidRPr="00C55872">
              <w:rPr>
                <w:rFonts w:ascii="Times New Roman" w:eastAsia="Times New Roman" w:hAnsi="Times New Roman"/>
                <w:sz w:val="24"/>
                <w:szCs w:val="24"/>
              </w:rPr>
              <w:t>- 98.256- add data reporting elements for unit specific emission factors for CH</w:t>
            </w:r>
            <w:r w:rsidRPr="00642A2C">
              <w:rPr>
                <w:rFonts w:ascii="Times New Roman" w:eastAsia="Times New Roman" w:hAnsi="Times New Roman"/>
                <w:sz w:val="24"/>
                <w:szCs w:val="24"/>
                <w:vertAlign w:val="subscript"/>
              </w:rPr>
              <w:t>4</w:t>
            </w:r>
            <w:r w:rsidRPr="00C55872">
              <w:rPr>
                <w:rFonts w:ascii="Times New Roman" w:eastAsia="Times New Roman" w:hAnsi="Times New Roman"/>
                <w:sz w:val="24"/>
                <w:szCs w:val="24"/>
              </w:rPr>
              <w:t xml:space="preserve"> and N</w:t>
            </w:r>
            <w:r w:rsidRPr="00642A2C">
              <w:rPr>
                <w:rFonts w:ascii="Times New Roman" w:eastAsia="Times New Roman" w:hAnsi="Times New Roman"/>
                <w:sz w:val="24"/>
                <w:szCs w:val="24"/>
                <w:vertAlign w:val="subscript"/>
              </w:rPr>
              <w:t>2</w:t>
            </w:r>
            <w:r w:rsidRPr="00C55872">
              <w:rPr>
                <w:rFonts w:ascii="Times New Roman" w:eastAsia="Times New Roman" w:hAnsi="Times New Roman"/>
                <w:sz w:val="24"/>
                <w:szCs w:val="24"/>
              </w:rPr>
              <w:t xml:space="preserve">O. </w:t>
            </w:r>
          </w:p>
        </w:tc>
      </w:tr>
    </w:tbl>
    <w:p w:rsidR="00214DE3" w:rsidRPr="00C55872" w:rsidRDefault="00214DE3" w:rsidP="00C55872">
      <w:pPr>
        <w:spacing w:after="0" w:line="240" w:lineRule="auto"/>
        <w:rPr>
          <w:rFonts w:ascii="Times New Roman" w:eastAsia="Times New Roman" w:hAnsi="Times New Roman"/>
          <w:sz w:val="24"/>
          <w:szCs w:val="24"/>
        </w:rPr>
      </w:pPr>
    </w:p>
    <w:p w:rsidR="00214DE3" w:rsidRPr="00C55872" w:rsidRDefault="00214DE3" w:rsidP="00C55872">
      <w:pPr>
        <w:spacing w:after="0" w:line="240" w:lineRule="auto"/>
        <w:rPr>
          <w:rFonts w:ascii="Times New Roman" w:eastAsia="Times New Roman" w:hAnsi="Times New Roman"/>
          <w:b/>
          <w:sz w:val="24"/>
          <w:szCs w:val="24"/>
        </w:rPr>
      </w:pPr>
      <w:r w:rsidRPr="00C55872">
        <w:rPr>
          <w:rFonts w:ascii="Times New Roman" w:eastAsia="Times New Roman" w:hAnsi="Times New Roman"/>
          <w:b/>
          <w:sz w:val="24"/>
          <w:szCs w:val="24"/>
        </w:rPr>
        <w:br w:type="page"/>
      </w:r>
    </w:p>
    <w:p w:rsidR="00214DE3" w:rsidRPr="00C55872" w:rsidRDefault="00214DE3" w:rsidP="00C55872">
      <w:pPr>
        <w:spacing w:after="0" w:line="240" w:lineRule="auto"/>
        <w:rPr>
          <w:rFonts w:ascii="Times New Roman" w:eastAsia="Times New Roman" w:hAnsi="Times New Roman"/>
          <w:b/>
          <w:sz w:val="24"/>
          <w:szCs w:val="24"/>
        </w:rPr>
      </w:pPr>
      <w:r w:rsidRPr="00C55872">
        <w:rPr>
          <w:rFonts w:ascii="Times New Roman" w:eastAsia="Times New Roman" w:hAnsi="Times New Roman"/>
          <w:b/>
          <w:sz w:val="24"/>
          <w:szCs w:val="24"/>
        </w:rPr>
        <w:t xml:space="preserve">6.  Other </w:t>
      </w:r>
    </w:p>
    <w:p w:rsidR="00214DE3" w:rsidRPr="00C55872" w:rsidRDefault="00214DE3" w:rsidP="00C55872">
      <w:pPr>
        <w:spacing w:after="0" w:line="240" w:lineRule="auto"/>
        <w:rPr>
          <w:rFonts w:ascii="Times New Roman" w:eastAsia="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8"/>
        <w:gridCol w:w="4788"/>
      </w:tblGrid>
      <w:tr w:rsidR="00214DE3" w:rsidRPr="00C55872">
        <w:tc>
          <w:tcPr>
            <w:tcW w:w="4788" w:type="dxa"/>
            <w:shd w:val="clear" w:color="auto" w:fill="FFFF99"/>
          </w:tcPr>
          <w:p w:rsidR="00214DE3" w:rsidRPr="00C55872" w:rsidRDefault="00214DE3" w:rsidP="00C55872">
            <w:pPr>
              <w:tabs>
                <w:tab w:val="left" w:pos="0"/>
                <w:tab w:val="left" w:pos="1080"/>
              </w:tabs>
              <w:autoSpaceDE w:val="0"/>
              <w:autoSpaceDN w:val="0"/>
              <w:adjustRightInd w:val="0"/>
              <w:spacing w:after="0" w:line="240" w:lineRule="auto"/>
              <w:jc w:val="center"/>
              <w:rPr>
                <w:rFonts w:ascii="Times New Roman" w:eastAsia="Times New Roman" w:hAnsi="Times New Roman"/>
                <w:b/>
                <w:sz w:val="24"/>
                <w:szCs w:val="24"/>
              </w:rPr>
            </w:pPr>
            <w:r w:rsidRPr="00C55872">
              <w:rPr>
                <w:rFonts w:ascii="Times New Roman" w:eastAsia="Times New Roman" w:hAnsi="Times New Roman"/>
                <w:b/>
                <w:sz w:val="24"/>
                <w:szCs w:val="24"/>
              </w:rPr>
              <w:t>Requirement</w:t>
            </w:r>
          </w:p>
        </w:tc>
        <w:tc>
          <w:tcPr>
            <w:tcW w:w="4788" w:type="dxa"/>
            <w:shd w:val="clear" w:color="auto" w:fill="FFFF99"/>
          </w:tcPr>
          <w:p w:rsidR="00214DE3" w:rsidRPr="00C55872" w:rsidRDefault="00214DE3" w:rsidP="00C55872">
            <w:pPr>
              <w:spacing w:after="0" w:line="240" w:lineRule="auto"/>
              <w:jc w:val="center"/>
              <w:rPr>
                <w:rFonts w:ascii="Times New Roman" w:eastAsia="Times New Roman" w:hAnsi="Times New Roman"/>
                <w:b/>
                <w:noProof/>
                <w:sz w:val="24"/>
                <w:szCs w:val="24"/>
              </w:rPr>
            </w:pPr>
            <w:r w:rsidRPr="00C55872">
              <w:rPr>
                <w:rFonts w:ascii="Times New Roman" w:eastAsia="Times New Roman" w:hAnsi="Times New Roman"/>
                <w:b/>
                <w:noProof/>
                <w:sz w:val="24"/>
                <w:szCs w:val="24"/>
              </w:rPr>
              <w:t>Change in Data Reporting Elements</w:t>
            </w:r>
          </w:p>
        </w:tc>
      </w:tr>
      <w:tr w:rsidR="00214DE3" w:rsidRPr="00C55872">
        <w:tc>
          <w:tcPr>
            <w:tcW w:w="4788" w:type="dxa"/>
          </w:tcPr>
          <w:p w:rsidR="00214DE3" w:rsidRPr="00C55872" w:rsidRDefault="00214DE3" w:rsidP="00C55872">
            <w:pPr>
              <w:tabs>
                <w:tab w:val="left" w:pos="0"/>
                <w:tab w:val="left" w:pos="1080"/>
              </w:tabs>
              <w:autoSpaceDE w:val="0"/>
              <w:autoSpaceDN w:val="0"/>
              <w:adjustRightInd w:val="0"/>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 xml:space="preserve">Subpart G:  </w:t>
            </w:r>
            <w:r w:rsidRPr="00C55872">
              <w:rPr>
                <w:rFonts w:ascii="Times New Roman" w:eastAsia="Times New Roman" w:hAnsi="Times New Roman"/>
                <w:sz w:val="24"/>
                <w:szCs w:val="24"/>
              </w:rPr>
              <w:t>Industry felt it was important to add a reporting element on the quantity of CO</w:t>
            </w:r>
            <w:r w:rsidRPr="00C55872">
              <w:rPr>
                <w:rFonts w:ascii="Times New Roman" w:eastAsia="Times New Roman" w:hAnsi="Times New Roman"/>
                <w:sz w:val="24"/>
                <w:szCs w:val="24"/>
                <w:vertAlign w:val="subscript"/>
              </w:rPr>
              <w:t>2</w:t>
            </w:r>
            <w:r w:rsidRPr="00C55872">
              <w:rPr>
                <w:rFonts w:ascii="Times New Roman" w:eastAsia="Times New Roman" w:hAnsi="Times New Roman"/>
                <w:sz w:val="24"/>
                <w:szCs w:val="24"/>
              </w:rPr>
              <w:t xml:space="preserve"> supplied for onsite urea production, and the method use to quantify that </w:t>
            </w:r>
            <w:r w:rsidR="00642A2C" w:rsidRPr="002D39B0">
              <w:rPr>
                <w:rFonts w:ascii="Times New Roman" w:eastAsia="Times New Roman" w:hAnsi="Times New Roman"/>
                <w:sz w:val="24"/>
                <w:szCs w:val="24"/>
              </w:rPr>
              <w:t>CO</w:t>
            </w:r>
            <w:r w:rsidR="00642A2C" w:rsidRPr="00642A2C">
              <w:rPr>
                <w:rFonts w:ascii="Times New Roman" w:eastAsia="Times New Roman" w:hAnsi="Times New Roman"/>
                <w:sz w:val="24"/>
                <w:szCs w:val="24"/>
                <w:vertAlign w:val="subscript"/>
              </w:rPr>
              <w:t>2</w:t>
            </w:r>
            <w:r w:rsidRPr="00C55872">
              <w:rPr>
                <w:rFonts w:ascii="Times New Roman" w:eastAsia="Times New Roman" w:hAnsi="Times New Roman"/>
                <w:sz w:val="24"/>
                <w:szCs w:val="24"/>
              </w:rPr>
              <w:t xml:space="preserve">.  This information is readily available from onsite process information needed for urea </w:t>
            </w:r>
            <w:proofErr w:type="gramStart"/>
            <w:r w:rsidRPr="00C55872">
              <w:rPr>
                <w:rFonts w:ascii="Times New Roman" w:eastAsia="Times New Roman" w:hAnsi="Times New Roman"/>
                <w:sz w:val="24"/>
                <w:szCs w:val="24"/>
              </w:rPr>
              <w:t>production,</w:t>
            </w:r>
            <w:proofErr w:type="gramEnd"/>
            <w:r w:rsidRPr="00C55872">
              <w:rPr>
                <w:rFonts w:ascii="Times New Roman" w:eastAsia="Times New Roman" w:hAnsi="Times New Roman"/>
                <w:sz w:val="24"/>
                <w:szCs w:val="24"/>
              </w:rPr>
              <w:t xml:space="preserve"> no data collection methods are required. </w:t>
            </w:r>
          </w:p>
        </w:tc>
        <w:tc>
          <w:tcPr>
            <w:tcW w:w="4788" w:type="dxa"/>
          </w:tcPr>
          <w:p w:rsidR="00214DE3" w:rsidRPr="00C55872" w:rsidRDefault="00642A2C" w:rsidP="00C55872">
            <w:pPr>
              <w:spacing w:after="0" w:line="240" w:lineRule="auto"/>
              <w:rPr>
                <w:rFonts w:ascii="Times New Roman" w:eastAsia="Times New Roman" w:hAnsi="Times New Roman"/>
                <w:noProof/>
                <w:sz w:val="24"/>
                <w:szCs w:val="24"/>
              </w:rPr>
            </w:pPr>
            <w:r w:rsidRPr="002D39B0">
              <w:rPr>
                <w:rFonts w:ascii="Times New Roman" w:eastAsia="Times New Roman" w:hAnsi="Times New Roman"/>
                <w:sz w:val="24"/>
                <w:szCs w:val="24"/>
              </w:rPr>
              <w:t>CO</w:t>
            </w:r>
            <w:r w:rsidRPr="00642A2C">
              <w:rPr>
                <w:rFonts w:ascii="Times New Roman" w:eastAsia="Times New Roman" w:hAnsi="Times New Roman"/>
                <w:sz w:val="24"/>
                <w:szCs w:val="24"/>
                <w:vertAlign w:val="subscript"/>
              </w:rPr>
              <w:t>2</w:t>
            </w:r>
            <w:r w:rsidR="00214DE3" w:rsidRPr="00C55872">
              <w:rPr>
                <w:rFonts w:ascii="Times New Roman" w:eastAsia="Times New Roman" w:hAnsi="Times New Roman"/>
                <w:noProof/>
                <w:sz w:val="24"/>
                <w:szCs w:val="24"/>
              </w:rPr>
              <w:t xml:space="preserve"> from the steam reforming of a hydrocarbon or the gasification of solid and liquid raw material at the ammonia manufacturing process unit used to produce urea and the method used to determine the </w:t>
            </w:r>
            <w:r w:rsidRPr="002D39B0">
              <w:rPr>
                <w:rFonts w:ascii="Times New Roman" w:eastAsia="Times New Roman" w:hAnsi="Times New Roman"/>
                <w:sz w:val="24"/>
                <w:szCs w:val="24"/>
              </w:rPr>
              <w:t>CO</w:t>
            </w:r>
            <w:r w:rsidRPr="00642A2C">
              <w:rPr>
                <w:rFonts w:ascii="Times New Roman" w:eastAsia="Times New Roman" w:hAnsi="Times New Roman"/>
                <w:sz w:val="24"/>
                <w:szCs w:val="24"/>
                <w:vertAlign w:val="subscript"/>
              </w:rPr>
              <w:t>2</w:t>
            </w:r>
            <w:r w:rsidR="00214DE3" w:rsidRPr="00C55872">
              <w:rPr>
                <w:rFonts w:ascii="Times New Roman" w:eastAsia="Times New Roman" w:hAnsi="Times New Roman"/>
                <w:noProof/>
                <w:sz w:val="24"/>
                <w:szCs w:val="24"/>
              </w:rPr>
              <w:t xml:space="preserve"> consumed in urea production.</w:t>
            </w:r>
          </w:p>
        </w:tc>
      </w:tr>
      <w:tr w:rsidR="00214DE3" w:rsidRPr="00C55872">
        <w:tc>
          <w:tcPr>
            <w:tcW w:w="4788" w:type="dxa"/>
          </w:tcPr>
          <w:p w:rsidR="00214DE3" w:rsidRPr="00C55872" w:rsidRDefault="00214DE3" w:rsidP="00C55872">
            <w:pPr>
              <w:tabs>
                <w:tab w:val="left" w:pos="0"/>
                <w:tab w:val="left" w:pos="1080"/>
              </w:tabs>
              <w:autoSpaceDE w:val="0"/>
              <w:autoSpaceDN w:val="0"/>
              <w:adjustRightInd w:val="0"/>
              <w:spacing w:after="0" w:line="240" w:lineRule="auto"/>
              <w:rPr>
                <w:rFonts w:ascii="Times New Roman" w:eastAsia="Times New Roman" w:hAnsi="Times New Roman"/>
                <w:sz w:val="24"/>
                <w:szCs w:val="24"/>
              </w:rPr>
            </w:pPr>
            <w:r w:rsidRPr="00C55872">
              <w:rPr>
                <w:rFonts w:ascii="Times New Roman" w:eastAsia="Times New Roman" w:hAnsi="Times New Roman"/>
                <w:b/>
                <w:sz w:val="24"/>
                <w:szCs w:val="24"/>
              </w:rPr>
              <w:t xml:space="preserve">Subpart OO- </w:t>
            </w:r>
            <w:r w:rsidRPr="00C55872">
              <w:rPr>
                <w:rFonts w:ascii="Times New Roman" w:eastAsia="Times New Roman" w:hAnsi="Times New Roman"/>
                <w:sz w:val="24"/>
                <w:szCs w:val="24"/>
              </w:rPr>
              <w:t xml:space="preserve">Have to submit a one time report that describes the concentration of each fluorinated GHG constituent in each fluorinated GHG product. </w:t>
            </w:r>
          </w:p>
        </w:tc>
        <w:tc>
          <w:tcPr>
            <w:tcW w:w="4788" w:type="dxa"/>
          </w:tcPr>
          <w:p w:rsidR="00214DE3" w:rsidRPr="00C55872" w:rsidRDefault="00214DE3" w:rsidP="00C55872">
            <w:pPr>
              <w:spacing w:after="0" w:line="240" w:lineRule="auto"/>
              <w:rPr>
                <w:rFonts w:ascii="Times New Roman" w:eastAsia="Times New Roman" w:hAnsi="Times New Roman"/>
                <w:noProof/>
                <w:sz w:val="24"/>
                <w:szCs w:val="24"/>
              </w:rPr>
            </w:pPr>
          </w:p>
        </w:tc>
      </w:tr>
    </w:tbl>
    <w:p w:rsidR="00214DE3" w:rsidRPr="00C55872" w:rsidRDefault="00214DE3" w:rsidP="00C55872">
      <w:pPr>
        <w:spacing w:after="0" w:line="240" w:lineRule="auto"/>
        <w:rPr>
          <w:rFonts w:ascii="Times New Roman" w:eastAsia="Times New Roman" w:hAnsi="Times New Roman"/>
          <w:b/>
          <w:sz w:val="24"/>
          <w:szCs w:val="24"/>
        </w:rPr>
      </w:pPr>
    </w:p>
    <w:p w:rsidR="00214DE3" w:rsidRPr="00C55872" w:rsidRDefault="00214DE3" w:rsidP="00C55872">
      <w:pPr>
        <w:spacing w:after="0" w:line="240" w:lineRule="auto"/>
        <w:ind w:left="180"/>
        <w:rPr>
          <w:rFonts w:ascii="Times New Roman" w:eastAsia="Times New Roman" w:hAnsi="Times New Roman"/>
          <w:b/>
          <w:sz w:val="24"/>
          <w:szCs w:val="24"/>
        </w:rPr>
      </w:pPr>
    </w:p>
    <w:p w:rsidR="00214DE3" w:rsidRPr="00C55872" w:rsidRDefault="00214DE3" w:rsidP="00FE2AB2">
      <w:pPr>
        <w:numPr>
          <w:ilvl w:val="0"/>
          <w:numId w:val="1"/>
        </w:numPr>
        <w:spacing w:after="0" w:line="240" w:lineRule="auto"/>
        <w:rPr>
          <w:rFonts w:ascii="Times New Roman" w:eastAsia="Times New Roman" w:hAnsi="Times New Roman"/>
          <w:b/>
          <w:sz w:val="24"/>
          <w:szCs w:val="24"/>
        </w:rPr>
      </w:pPr>
      <w:r w:rsidRPr="00C55872">
        <w:rPr>
          <w:rFonts w:ascii="Times New Roman" w:eastAsia="Times New Roman" w:hAnsi="Times New Roman"/>
          <w:b/>
          <w:sz w:val="24"/>
          <w:szCs w:val="24"/>
        </w:rPr>
        <w:t xml:space="preserve">Propose to delete reporting requirements in most subparts- </w:t>
      </w:r>
      <w:r w:rsidRPr="00C55872">
        <w:rPr>
          <w:rFonts w:ascii="Times New Roman" w:eastAsia="Times New Roman" w:hAnsi="Times New Roman"/>
          <w:sz w:val="24"/>
          <w:szCs w:val="24"/>
        </w:rPr>
        <w:t>(Stationary Combustion, Electricity Generation, Ammonia Production, Nitric Acid Production, Petrochemical Production, Petroleum Refining, Suppliers of Industrial Gases)</w:t>
      </w:r>
    </w:p>
    <w:p w:rsidR="00214DE3" w:rsidRPr="00C55872" w:rsidRDefault="00214DE3" w:rsidP="00C55872">
      <w:pPr>
        <w:spacing w:after="0" w:line="240" w:lineRule="auto"/>
        <w:ind w:left="180"/>
        <w:rPr>
          <w:rFonts w:ascii="Times New Roman" w:eastAsia="Times New Roman" w:hAnsi="Times New Roman"/>
          <w:b/>
          <w:sz w:val="24"/>
          <w:szCs w:val="24"/>
        </w:rPr>
      </w:pPr>
    </w:p>
    <w:p w:rsidR="00214DE3" w:rsidRPr="00C55872" w:rsidRDefault="00214DE3" w:rsidP="00FE2AB2">
      <w:pPr>
        <w:numPr>
          <w:ilvl w:val="0"/>
          <w:numId w:val="1"/>
        </w:numPr>
        <w:spacing w:after="0" w:line="240" w:lineRule="auto"/>
        <w:rPr>
          <w:rFonts w:ascii="Times New Roman" w:eastAsia="Times New Roman" w:hAnsi="Times New Roman"/>
          <w:b/>
          <w:sz w:val="24"/>
          <w:szCs w:val="24"/>
        </w:rPr>
      </w:pPr>
      <w:r w:rsidRPr="00C55872">
        <w:rPr>
          <w:rFonts w:ascii="Times New Roman" w:eastAsia="Times New Roman" w:hAnsi="Times New Roman"/>
          <w:b/>
          <w:sz w:val="24"/>
          <w:szCs w:val="24"/>
        </w:rPr>
        <w:t xml:space="preserve">Renumbering in most subparts of data reporting elements- </w:t>
      </w:r>
      <w:r w:rsidRPr="00C55872">
        <w:rPr>
          <w:rFonts w:ascii="Times New Roman" w:eastAsia="Times New Roman" w:hAnsi="Times New Roman"/>
          <w:sz w:val="24"/>
          <w:szCs w:val="24"/>
        </w:rPr>
        <w:t xml:space="preserve">resulting from the additions/deletions described above. </w:t>
      </w:r>
    </w:p>
    <w:p w:rsidR="00214DE3" w:rsidRPr="00C55872" w:rsidRDefault="00214DE3" w:rsidP="00C55872">
      <w:pPr>
        <w:spacing w:after="0" w:line="240" w:lineRule="auto"/>
        <w:rPr>
          <w:rFonts w:ascii="Times New Roman" w:eastAsia="Times New Roman" w:hAnsi="Times New Roman"/>
          <w:sz w:val="24"/>
          <w:szCs w:val="24"/>
        </w:rPr>
      </w:pPr>
    </w:p>
    <w:p w:rsidR="00BC1F74" w:rsidRPr="00C55872" w:rsidRDefault="00BC1F74" w:rsidP="00C55872">
      <w:pPr>
        <w:spacing w:after="0" w:line="240" w:lineRule="auto"/>
        <w:rPr>
          <w:rFonts w:ascii="Times New Roman" w:hAnsi="Times New Roman"/>
          <w:sz w:val="24"/>
          <w:szCs w:val="24"/>
        </w:rPr>
      </w:pPr>
    </w:p>
    <w:sectPr w:rsidR="00BC1F74" w:rsidRPr="00C55872" w:rsidSect="00095B0C">
      <w:footerReference w:type="first" r:id="rId12"/>
      <w:endnotePr>
        <w:numFmt w:val="decimal"/>
      </w:endnotePr>
      <w:pgSz w:w="12240" w:h="15840" w:code="1"/>
      <w:pgMar w:top="1440" w:right="1440" w:bottom="1440" w:left="1440" w:header="864" w:footer="432"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BF5" w:rsidRDefault="002E0BF5" w:rsidP="00214DE3">
      <w:pPr>
        <w:spacing w:after="0" w:line="240" w:lineRule="auto"/>
      </w:pPr>
      <w:r>
        <w:separator/>
      </w:r>
    </w:p>
  </w:endnote>
  <w:endnote w:type="continuationSeparator" w:id="0">
    <w:p w:rsidR="002E0BF5" w:rsidRDefault="002E0BF5" w:rsidP="00214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2C" w:rsidRDefault="00642A2C">
    <w:pPr>
      <w:spacing w:line="240" w:lineRule="exact"/>
    </w:pPr>
  </w:p>
  <w:p w:rsidR="00642A2C" w:rsidRPr="000323F8" w:rsidRDefault="00642A2C" w:rsidP="00C923A6">
    <w:pPr>
      <w:tabs>
        <w:tab w:val="right" w:pos="9540"/>
      </w:tabs>
      <w:rPr>
        <w:rFonts w:ascii="Verdana" w:hAnsi="Verdana"/>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BF5" w:rsidRDefault="002E0BF5" w:rsidP="00214DE3">
      <w:pPr>
        <w:spacing w:after="0" w:line="240" w:lineRule="auto"/>
      </w:pPr>
      <w:r>
        <w:separator/>
      </w:r>
    </w:p>
  </w:footnote>
  <w:footnote w:type="continuationSeparator" w:id="0">
    <w:p w:rsidR="002E0BF5" w:rsidRDefault="002E0BF5" w:rsidP="00214D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B32F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0467A56"/>
    <w:multiLevelType w:val="hybridMultilevel"/>
    <w:tmpl w:val="81C85E48"/>
    <w:lvl w:ilvl="0" w:tplc="1E9EEFAC">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
    <w:nsid w:val="59D3461A"/>
    <w:multiLevelType w:val="hybridMultilevel"/>
    <w:tmpl w:val="5888B66A"/>
    <w:lvl w:ilvl="0" w:tplc="FB8CF812">
      <w:start w:val="3"/>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
    <w:nsid w:val="653146BD"/>
    <w:multiLevelType w:val="hybridMultilevel"/>
    <w:tmpl w:val="E6AE5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4DE3"/>
    <w:rsid w:val="00062298"/>
    <w:rsid w:val="000800D7"/>
    <w:rsid w:val="00084524"/>
    <w:rsid w:val="00086577"/>
    <w:rsid w:val="00095B0C"/>
    <w:rsid w:val="000E65E9"/>
    <w:rsid w:val="00127BD0"/>
    <w:rsid w:val="001B4E52"/>
    <w:rsid w:val="00202F3E"/>
    <w:rsid w:val="00212CC1"/>
    <w:rsid w:val="00214DE3"/>
    <w:rsid w:val="00273425"/>
    <w:rsid w:val="002977A5"/>
    <w:rsid w:val="002A70D9"/>
    <w:rsid w:val="002D39B0"/>
    <w:rsid w:val="002E0BF5"/>
    <w:rsid w:val="002F49C2"/>
    <w:rsid w:val="00483E7B"/>
    <w:rsid w:val="00484CBD"/>
    <w:rsid w:val="00491A8F"/>
    <w:rsid w:val="004A2E18"/>
    <w:rsid w:val="004C2B52"/>
    <w:rsid w:val="004E4EB5"/>
    <w:rsid w:val="004F6C43"/>
    <w:rsid w:val="00506DA4"/>
    <w:rsid w:val="00563A04"/>
    <w:rsid w:val="0058335A"/>
    <w:rsid w:val="00591802"/>
    <w:rsid w:val="00597643"/>
    <w:rsid w:val="005A10A2"/>
    <w:rsid w:val="005A230E"/>
    <w:rsid w:val="005A5DC2"/>
    <w:rsid w:val="005D1D23"/>
    <w:rsid w:val="005E36F8"/>
    <w:rsid w:val="00632AB4"/>
    <w:rsid w:val="00642A2C"/>
    <w:rsid w:val="00711490"/>
    <w:rsid w:val="007135B5"/>
    <w:rsid w:val="00713DAE"/>
    <w:rsid w:val="00735571"/>
    <w:rsid w:val="007679EE"/>
    <w:rsid w:val="007B6A24"/>
    <w:rsid w:val="007C3A32"/>
    <w:rsid w:val="007E7D83"/>
    <w:rsid w:val="007F57C1"/>
    <w:rsid w:val="00804DF8"/>
    <w:rsid w:val="008148AB"/>
    <w:rsid w:val="00827F1E"/>
    <w:rsid w:val="00831282"/>
    <w:rsid w:val="008630DE"/>
    <w:rsid w:val="00863C22"/>
    <w:rsid w:val="008F6E3D"/>
    <w:rsid w:val="009A177E"/>
    <w:rsid w:val="009A2E3D"/>
    <w:rsid w:val="009C14F2"/>
    <w:rsid w:val="009D27C2"/>
    <w:rsid w:val="009D519D"/>
    <w:rsid w:val="009D655D"/>
    <w:rsid w:val="009E0568"/>
    <w:rsid w:val="00A61C8C"/>
    <w:rsid w:val="00A81436"/>
    <w:rsid w:val="00A96BF2"/>
    <w:rsid w:val="00AA74DB"/>
    <w:rsid w:val="00B45757"/>
    <w:rsid w:val="00B55DD0"/>
    <w:rsid w:val="00B93EEB"/>
    <w:rsid w:val="00B978BE"/>
    <w:rsid w:val="00BA0E03"/>
    <w:rsid w:val="00BC1F74"/>
    <w:rsid w:val="00C12888"/>
    <w:rsid w:val="00C51B35"/>
    <w:rsid w:val="00C55872"/>
    <w:rsid w:val="00C70CE2"/>
    <w:rsid w:val="00C828D9"/>
    <w:rsid w:val="00C923A6"/>
    <w:rsid w:val="00CC61A3"/>
    <w:rsid w:val="00D00376"/>
    <w:rsid w:val="00D00963"/>
    <w:rsid w:val="00D05A76"/>
    <w:rsid w:val="00D22DFA"/>
    <w:rsid w:val="00D712C1"/>
    <w:rsid w:val="00D832F2"/>
    <w:rsid w:val="00DB1690"/>
    <w:rsid w:val="00DD7420"/>
    <w:rsid w:val="00E43B37"/>
    <w:rsid w:val="00E47C2D"/>
    <w:rsid w:val="00E66A63"/>
    <w:rsid w:val="00E717D9"/>
    <w:rsid w:val="00F15F20"/>
    <w:rsid w:val="00F265DD"/>
    <w:rsid w:val="00F94E75"/>
    <w:rsid w:val="00FD2C94"/>
    <w:rsid w:val="00FE2A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128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4DE3"/>
    <w:pPr>
      <w:spacing w:after="0" w:line="240" w:lineRule="auto"/>
    </w:pPr>
    <w:rPr>
      <w:sz w:val="20"/>
      <w:szCs w:val="20"/>
      <w:lang/>
    </w:rPr>
  </w:style>
  <w:style w:type="character" w:customStyle="1" w:styleId="FootnoteTextChar">
    <w:name w:val="Footnote Text Char"/>
    <w:link w:val="FootnoteText"/>
    <w:uiPriority w:val="99"/>
    <w:semiHidden/>
    <w:rsid w:val="00214DE3"/>
    <w:rPr>
      <w:sz w:val="20"/>
      <w:szCs w:val="20"/>
    </w:rPr>
  </w:style>
  <w:style w:type="character" w:styleId="FootnoteReference">
    <w:name w:val="footnote reference"/>
    <w:uiPriority w:val="99"/>
    <w:semiHidden/>
    <w:rsid w:val="00214DE3"/>
    <w:rPr>
      <w:rFonts w:cs="Times New Roman"/>
      <w:position w:val="6"/>
      <w:sz w:val="16"/>
      <w:szCs w:val="16"/>
    </w:rPr>
  </w:style>
  <w:style w:type="character" w:styleId="Hyperlink">
    <w:name w:val="Hyperlink"/>
    <w:uiPriority w:val="99"/>
    <w:rsid w:val="00214DE3"/>
    <w:rPr>
      <w:rFonts w:cs="Times New Roman"/>
      <w:color w:val="0000FF"/>
      <w:u w:val="single"/>
    </w:rPr>
  </w:style>
  <w:style w:type="paragraph" w:customStyle="1" w:styleId="Heading">
    <w:name w:val="Heading"/>
    <w:basedOn w:val="Normal"/>
    <w:qFormat/>
    <w:rsid w:val="00804DF8"/>
    <w:pPr>
      <w:spacing w:before="240" w:after="240" w:line="240" w:lineRule="auto"/>
      <w:ind w:left="1440" w:hanging="1440"/>
    </w:pPr>
    <w:rPr>
      <w:rFonts w:ascii="Times New Roman" w:eastAsia="Times New Roman" w:hAnsi="Times New Roman"/>
      <w:sz w:val="24"/>
      <w:szCs w:val="24"/>
    </w:rPr>
  </w:style>
  <w:style w:type="paragraph" w:customStyle="1" w:styleId="bodytext">
    <w:name w:val="body text"/>
    <w:aliases w:val="bt,body tx,indent,flush"/>
    <w:basedOn w:val="Normal"/>
    <w:uiPriority w:val="99"/>
    <w:rsid w:val="00C923A6"/>
    <w:pPr>
      <w:spacing w:after="160" w:line="320" w:lineRule="exact"/>
    </w:pPr>
    <w:rPr>
      <w:rFonts w:ascii="Times New Roman" w:eastAsia="Times New Roman" w:hAnsi="Times New Roman"/>
      <w:sz w:val="24"/>
    </w:rPr>
  </w:style>
  <w:style w:type="character" w:styleId="FollowedHyperlink">
    <w:name w:val="FollowedHyperlink"/>
    <w:uiPriority w:val="99"/>
    <w:semiHidden/>
    <w:unhideWhenUsed/>
    <w:rsid w:val="00B978BE"/>
    <w:rPr>
      <w:color w:val="800080"/>
      <w:u w:val="single"/>
    </w:rPr>
  </w:style>
  <w:style w:type="paragraph" w:styleId="Header">
    <w:name w:val="header"/>
    <w:basedOn w:val="Normal"/>
    <w:link w:val="HeaderChar"/>
    <w:uiPriority w:val="99"/>
    <w:semiHidden/>
    <w:unhideWhenUsed/>
    <w:rsid w:val="00AA74DB"/>
    <w:pPr>
      <w:tabs>
        <w:tab w:val="center" w:pos="4680"/>
        <w:tab w:val="right" w:pos="9360"/>
      </w:tabs>
    </w:pPr>
    <w:rPr>
      <w:lang/>
    </w:rPr>
  </w:style>
  <w:style w:type="character" w:customStyle="1" w:styleId="HeaderChar">
    <w:name w:val="Header Char"/>
    <w:link w:val="Header"/>
    <w:uiPriority w:val="99"/>
    <w:semiHidden/>
    <w:rsid w:val="00AA74DB"/>
    <w:rPr>
      <w:sz w:val="22"/>
      <w:szCs w:val="22"/>
    </w:rPr>
  </w:style>
  <w:style w:type="paragraph" w:styleId="Footer">
    <w:name w:val="footer"/>
    <w:basedOn w:val="Normal"/>
    <w:link w:val="FooterChar"/>
    <w:uiPriority w:val="99"/>
    <w:semiHidden/>
    <w:unhideWhenUsed/>
    <w:rsid w:val="00AA74DB"/>
    <w:pPr>
      <w:tabs>
        <w:tab w:val="center" w:pos="4680"/>
        <w:tab w:val="right" w:pos="9360"/>
      </w:tabs>
    </w:pPr>
    <w:rPr>
      <w:lang/>
    </w:rPr>
  </w:style>
  <w:style w:type="character" w:customStyle="1" w:styleId="FooterChar">
    <w:name w:val="Footer Char"/>
    <w:link w:val="Footer"/>
    <w:uiPriority w:val="99"/>
    <w:semiHidden/>
    <w:rsid w:val="00AA74DB"/>
    <w:rPr>
      <w:sz w:val="22"/>
      <w:szCs w:val="22"/>
    </w:rPr>
  </w:style>
  <w:style w:type="paragraph" w:styleId="BalloonText">
    <w:name w:val="Balloon Text"/>
    <w:basedOn w:val="Normal"/>
    <w:link w:val="BalloonTextChar"/>
    <w:rsid w:val="00FE2AB2"/>
    <w:pPr>
      <w:spacing w:after="0" w:line="240" w:lineRule="auto"/>
    </w:pPr>
    <w:rPr>
      <w:rFonts w:ascii="Tahoma" w:hAnsi="Tahoma"/>
      <w:sz w:val="16"/>
      <w:szCs w:val="16"/>
      <w:lang/>
    </w:rPr>
  </w:style>
  <w:style w:type="character" w:customStyle="1" w:styleId="BalloonTextChar">
    <w:name w:val="Balloon Text Char"/>
    <w:link w:val="BalloonText"/>
    <w:rsid w:val="00FE2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45105">
      <w:bodyDiv w:val="1"/>
      <w:marLeft w:val="0"/>
      <w:marRight w:val="0"/>
      <w:marTop w:val="0"/>
      <w:marBottom w:val="0"/>
      <w:divBdr>
        <w:top w:val="none" w:sz="0" w:space="0" w:color="auto"/>
        <w:left w:val="none" w:sz="0" w:space="0" w:color="auto"/>
        <w:bottom w:val="none" w:sz="0" w:space="0" w:color="auto"/>
        <w:right w:val="none" w:sz="0" w:space="0" w:color="auto"/>
      </w:divBdr>
    </w:div>
    <w:div w:id="44724001">
      <w:bodyDiv w:val="1"/>
      <w:marLeft w:val="0"/>
      <w:marRight w:val="0"/>
      <w:marTop w:val="0"/>
      <w:marBottom w:val="0"/>
      <w:divBdr>
        <w:top w:val="none" w:sz="0" w:space="0" w:color="auto"/>
        <w:left w:val="none" w:sz="0" w:space="0" w:color="auto"/>
        <w:bottom w:val="none" w:sz="0" w:space="0" w:color="auto"/>
        <w:right w:val="none" w:sz="0" w:space="0" w:color="auto"/>
      </w:divBdr>
    </w:div>
    <w:div w:id="45102967">
      <w:bodyDiv w:val="1"/>
      <w:marLeft w:val="0"/>
      <w:marRight w:val="0"/>
      <w:marTop w:val="0"/>
      <w:marBottom w:val="0"/>
      <w:divBdr>
        <w:top w:val="none" w:sz="0" w:space="0" w:color="auto"/>
        <w:left w:val="none" w:sz="0" w:space="0" w:color="auto"/>
        <w:bottom w:val="none" w:sz="0" w:space="0" w:color="auto"/>
        <w:right w:val="none" w:sz="0" w:space="0" w:color="auto"/>
      </w:divBdr>
    </w:div>
    <w:div w:id="106316727">
      <w:bodyDiv w:val="1"/>
      <w:marLeft w:val="0"/>
      <w:marRight w:val="0"/>
      <w:marTop w:val="0"/>
      <w:marBottom w:val="0"/>
      <w:divBdr>
        <w:top w:val="none" w:sz="0" w:space="0" w:color="auto"/>
        <w:left w:val="none" w:sz="0" w:space="0" w:color="auto"/>
        <w:bottom w:val="none" w:sz="0" w:space="0" w:color="auto"/>
        <w:right w:val="none" w:sz="0" w:space="0" w:color="auto"/>
      </w:divBdr>
    </w:div>
    <w:div w:id="142040815">
      <w:bodyDiv w:val="1"/>
      <w:marLeft w:val="0"/>
      <w:marRight w:val="0"/>
      <w:marTop w:val="0"/>
      <w:marBottom w:val="0"/>
      <w:divBdr>
        <w:top w:val="none" w:sz="0" w:space="0" w:color="auto"/>
        <w:left w:val="none" w:sz="0" w:space="0" w:color="auto"/>
        <w:bottom w:val="none" w:sz="0" w:space="0" w:color="auto"/>
        <w:right w:val="none" w:sz="0" w:space="0" w:color="auto"/>
      </w:divBdr>
    </w:div>
    <w:div w:id="270284123">
      <w:bodyDiv w:val="1"/>
      <w:marLeft w:val="0"/>
      <w:marRight w:val="0"/>
      <w:marTop w:val="0"/>
      <w:marBottom w:val="0"/>
      <w:divBdr>
        <w:top w:val="none" w:sz="0" w:space="0" w:color="auto"/>
        <w:left w:val="none" w:sz="0" w:space="0" w:color="auto"/>
        <w:bottom w:val="none" w:sz="0" w:space="0" w:color="auto"/>
        <w:right w:val="none" w:sz="0" w:space="0" w:color="auto"/>
      </w:divBdr>
    </w:div>
    <w:div w:id="294143942">
      <w:bodyDiv w:val="1"/>
      <w:marLeft w:val="0"/>
      <w:marRight w:val="0"/>
      <w:marTop w:val="0"/>
      <w:marBottom w:val="0"/>
      <w:divBdr>
        <w:top w:val="none" w:sz="0" w:space="0" w:color="auto"/>
        <w:left w:val="none" w:sz="0" w:space="0" w:color="auto"/>
        <w:bottom w:val="none" w:sz="0" w:space="0" w:color="auto"/>
        <w:right w:val="none" w:sz="0" w:space="0" w:color="auto"/>
      </w:divBdr>
    </w:div>
    <w:div w:id="355235931">
      <w:bodyDiv w:val="1"/>
      <w:marLeft w:val="0"/>
      <w:marRight w:val="0"/>
      <w:marTop w:val="0"/>
      <w:marBottom w:val="0"/>
      <w:divBdr>
        <w:top w:val="none" w:sz="0" w:space="0" w:color="auto"/>
        <w:left w:val="none" w:sz="0" w:space="0" w:color="auto"/>
        <w:bottom w:val="none" w:sz="0" w:space="0" w:color="auto"/>
        <w:right w:val="none" w:sz="0" w:space="0" w:color="auto"/>
      </w:divBdr>
    </w:div>
    <w:div w:id="418792073">
      <w:bodyDiv w:val="1"/>
      <w:marLeft w:val="0"/>
      <w:marRight w:val="0"/>
      <w:marTop w:val="0"/>
      <w:marBottom w:val="0"/>
      <w:divBdr>
        <w:top w:val="none" w:sz="0" w:space="0" w:color="auto"/>
        <w:left w:val="none" w:sz="0" w:space="0" w:color="auto"/>
        <w:bottom w:val="none" w:sz="0" w:space="0" w:color="auto"/>
        <w:right w:val="none" w:sz="0" w:space="0" w:color="auto"/>
      </w:divBdr>
    </w:div>
    <w:div w:id="491260384">
      <w:bodyDiv w:val="1"/>
      <w:marLeft w:val="0"/>
      <w:marRight w:val="0"/>
      <w:marTop w:val="0"/>
      <w:marBottom w:val="0"/>
      <w:divBdr>
        <w:top w:val="none" w:sz="0" w:space="0" w:color="auto"/>
        <w:left w:val="none" w:sz="0" w:space="0" w:color="auto"/>
        <w:bottom w:val="none" w:sz="0" w:space="0" w:color="auto"/>
        <w:right w:val="none" w:sz="0" w:space="0" w:color="auto"/>
      </w:divBdr>
    </w:div>
    <w:div w:id="510802757">
      <w:bodyDiv w:val="1"/>
      <w:marLeft w:val="0"/>
      <w:marRight w:val="0"/>
      <w:marTop w:val="0"/>
      <w:marBottom w:val="0"/>
      <w:divBdr>
        <w:top w:val="none" w:sz="0" w:space="0" w:color="auto"/>
        <w:left w:val="none" w:sz="0" w:space="0" w:color="auto"/>
        <w:bottom w:val="none" w:sz="0" w:space="0" w:color="auto"/>
        <w:right w:val="none" w:sz="0" w:space="0" w:color="auto"/>
      </w:divBdr>
    </w:div>
    <w:div w:id="531185564">
      <w:bodyDiv w:val="1"/>
      <w:marLeft w:val="0"/>
      <w:marRight w:val="0"/>
      <w:marTop w:val="0"/>
      <w:marBottom w:val="0"/>
      <w:divBdr>
        <w:top w:val="none" w:sz="0" w:space="0" w:color="auto"/>
        <w:left w:val="none" w:sz="0" w:space="0" w:color="auto"/>
        <w:bottom w:val="none" w:sz="0" w:space="0" w:color="auto"/>
        <w:right w:val="none" w:sz="0" w:space="0" w:color="auto"/>
      </w:divBdr>
    </w:div>
    <w:div w:id="539703316">
      <w:bodyDiv w:val="1"/>
      <w:marLeft w:val="0"/>
      <w:marRight w:val="0"/>
      <w:marTop w:val="0"/>
      <w:marBottom w:val="0"/>
      <w:divBdr>
        <w:top w:val="none" w:sz="0" w:space="0" w:color="auto"/>
        <w:left w:val="none" w:sz="0" w:space="0" w:color="auto"/>
        <w:bottom w:val="none" w:sz="0" w:space="0" w:color="auto"/>
        <w:right w:val="none" w:sz="0" w:space="0" w:color="auto"/>
      </w:divBdr>
    </w:div>
    <w:div w:id="589892978">
      <w:bodyDiv w:val="1"/>
      <w:marLeft w:val="0"/>
      <w:marRight w:val="0"/>
      <w:marTop w:val="0"/>
      <w:marBottom w:val="0"/>
      <w:divBdr>
        <w:top w:val="none" w:sz="0" w:space="0" w:color="auto"/>
        <w:left w:val="none" w:sz="0" w:space="0" w:color="auto"/>
        <w:bottom w:val="none" w:sz="0" w:space="0" w:color="auto"/>
        <w:right w:val="none" w:sz="0" w:space="0" w:color="auto"/>
      </w:divBdr>
    </w:div>
    <w:div w:id="591932546">
      <w:bodyDiv w:val="1"/>
      <w:marLeft w:val="0"/>
      <w:marRight w:val="0"/>
      <w:marTop w:val="0"/>
      <w:marBottom w:val="0"/>
      <w:divBdr>
        <w:top w:val="none" w:sz="0" w:space="0" w:color="auto"/>
        <w:left w:val="none" w:sz="0" w:space="0" w:color="auto"/>
        <w:bottom w:val="none" w:sz="0" w:space="0" w:color="auto"/>
        <w:right w:val="none" w:sz="0" w:space="0" w:color="auto"/>
      </w:divBdr>
    </w:div>
    <w:div w:id="600913174">
      <w:bodyDiv w:val="1"/>
      <w:marLeft w:val="0"/>
      <w:marRight w:val="0"/>
      <w:marTop w:val="0"/>
      <w:marBottom w:val="0"/>
      <w:divBdr>
        <w:top w:val="none" w:sz="0" w:space="0" w:color="auto"/>
        <w:left w:val="none" w:sz="0" w:space="0" w:color="auto"/>
        <w:bottom w:val="none" w:sz="0" w:space="0" w:color="auto"/>
        <w:right w:val="none" w:sz="0" w:space="0" w:color="auto"/>
      </w:divBdr>
    </w:div>
    <w:div w:id="754127635">
      <w:bodyDiv w:val="1"/>
      <w:marLeft w:val="0"/>
      <w:marRight w:val="0"/>
      <w:marTop w:val="0"/>
      <w:marBottom w:val="0"/>
      <w:divBdr>
        <w:top w:val="none" w:sz="0" w:space="0" w:color="auto"/>
        <w:left w:val="none" w:sz="0" w:space="0" w:color="auto"/>
        <w:bottom w:val="none" w:sz="0" w:space="0" w:color="auto"/>
        <w:right w:val="none" w:sz="0" w:space="0" w:color="auto"/>
      </w:divBdr>
    </w:div>
    <w:div w:id="762067248">
      <w:bodyDiv w:val="1"/>
      <w:marLeft w:val="0"/>
      <w:marRight w:val="0"/>
      <w:marTop w:val="0"/>
      <w:marBottom w:val="0"/>
      <w:divBdr>
        <w:top w:val="none" w:sz="0" w:space="0" w:color="auto"/>
        <w:left w:val="none" w:sz="0" w:space="0" w:color="auto"/>
        <w:bottom w:val="none" w:sz="0" w:space="0" w:color="auto"/>
        <w:right w:val="none" w:sz="0" w:space="0" w:color="auto"/>
      </w:divBdr>
    </w:div>
    <w:div w:id="779253456">
      <w:bodyDiv w:val="1"/>
      <w:marLeft w:val="0"/>
      <w:marRight w:val="0"/>
      <w:marTop w:val="0"/>
      <w:marBottom w:val="0"/>
      <w:divBdr>
        <w:top w:val="none" w:sz="0" w:space="0" w:color="auto"/>
        <w:left w:val="none" w:sz="0" w:space="0" w:color="auto"/>
        <w:bottom w:val="none" w:sz="0" w:space="0" w:color="auto"/>
        <w:right w:val="none" w:sz="0" w:space="0" w:color="auto"/>
      </w:divBdr>
    </w:div>
    <w:div w:id="821316512">
      <w:bodyDiv w:val="1"/>
      <w:marLeft w:val="0"/>
      <w:marRight w:val="0"/>
      <w:marTop w:val="0"/>
      <w:marBottom w:val="0"/>
      <w:divBdr>
        <w:top w:val="none" w:sz="0" w:space="0" w:color="auto"/>
        <w:left w:val="none" w:sz="0" w:space="0" w:color="auto"/>
        <w:bottom w:val="none" w:sz="0" w:space="0" w:color="auto"/>
        <w:right w:val="none" w:sz="0" w:space="0" w:color="auto"/>
      </w:divBdr>
    </w:div>
    <w:div w:id="830411329">
      <w:bodyDiv w:val="1"/>
      <w:marLeft w:val="0"/>
      <w:marRight w:val="0"/>
      <w:marTop w:val="0"/>
      <w:marBottom w:val="0"/>
      <w:divBdr>
        <w:top w:val="none" w:sz="0" w:space="0" w:color="auto"/>
        <w:left w:val="none" w:sz="0" w:space="0" w:color="auto"/>
        <w:bottom w:val="none" w:sz="0" w:space="0" w:color="auto"/>
        <w:right w:val="none" w:sz="0" w:space="0" w:color="auto"/>
      </w:divBdr>
    </w:div>
    <w:div w:id="831943165">
      <w:bodyDiv w:val="1"/>
      <w:marLeft w:val="0"/>
      <w:marRight w:val="0"/>
      <w:marTop w:val="0"/>
      <w:marBottom w:val="0"/>
      <w:divBdr>
        <w:top w:val="none" w:sz="0" w:space="0" w:color="auto"/>
        <w:left w:val="none" w:sz="0" w:space="0" w:color="auto"/>
        <w:bottom w:val="none" w:sz="0" w:space="0" w:color="auto"/>
        <w:right w:val="none" w:sz="0" w:space="0" w:color="auto"/>
      </w:divBdr>
    </w:div>
    <w:div w:id="939096662">
      <w:bodyDiv w:val="1"/>
      <w:marLeft w:val="0"/>
      <w:marRight w:val="0"/>
      <w:marTop w:val="0"/>
      <w:marBottom w:val="0"/>
      <w:divBdr>
        <w:top w:val="none" w:sz="0" w:space="0" w:color="auto"/>
        <w:left w:val="none" w:sz="0" w:space="0" w:color="auto"/>
        <w:bottom w:val="none" w:sz="0" w:space="0" w:color="auto"/>
        <w:right w:val="none" w:sz="0" w:space="0" w:color="auto"/>
      </w:divBdr>
    </w:div>
    <w:div w:id="977102294">
      <w:bodyDiv w:val="1"/>
      <w:marLeft w:val="0"/>
      <w:marRight w:val="0"/>
      <w:marTop w:val="0"/>
      <w:marBottom w:val="0"/>
      <w:divBdr>
        <w:top w:val="none" w:sz="0" w:space="0" w:color="auto"/>
        <w:left w:val="none" w:sz="0" w:space="0" w:color="auto"/>
        <w:bottom w:val="none" w:sz="0" w:space="0" w:color="auto"/>
        <w:right w:val="none" w:sz="0" w:space="0" w:color="auto"/>
      </w:divBdr>
    </w:div>
    <w:div w:id="1018772395">
      <w:bodyDiv w:val="1"/>
      <w:marLeft w:val="0"/>
      <w:marRight w:val="0"/>
      <w:marTop w:val="0"/>
      <w:marBottom w:val="0"/>
      <w:divBdr>
        <w:top w:val="none" w:sz="0" w:space="0" w:color="auto"/>
        <w:left w:val="none" w:sz="0" w:space="0" w:color="auto"/>
        <w:bottom w:val="none" w:sz="0" w:space="0" w:color="auto"/>
        <w:right w:val="none" w:sz="0" w:space="0" w:color="auto"/>
      </w:divBdr>
    </w:div>
    <w:div w:id="1059017197">
      <w:bodyDiv w:val="1"/>
      <w:marLeft w:val="0"/>
      <w:marRight w:val="0"/>
      <w:marTop w:val="0"/>
      <w:marBottom w:val="0"/>
      <w:divBdr>
        <w:top w:val="none" w:sz="0" w:space="0" w:color="auto"/>
        <w:left w:val="none" w:sz="0" w:space="0" w:color="auto"/>
        <w:bottom w:val="none" w:sz="0" w:space="0" w:color="auto"/>
        <w:right w:val="none" w:sz="0" w:space="0" w:color="auto"/>
      </w:divBdr>
    </w:div>
    <w:div w:id="1083453954">
      <w:bodyDiv w:val="1"/>
      <w:marLeft w:val="0"/>
      <w:marRight w:val="0"/>
      <w:marTop w:val="0"/>
      <w:marBottom w:val="0"/>
      <w:divBdr>
        <w:top w:val="none" w:sz="0" w:space="0" w:color="auto"/>
        <w:left w:val="none" w:sz="0" w:space="0" w:color="auto"/>
        <w:bottom w:val="none" w:sz="0" w:space="0" w:color="auto"/>
        <w:right w:val="none" w:sz="0" w:space="0" w:color="auto"/>
      </w:divBdr>
    </w:div>
    <w:div w:id="1092436976">
      <w:bodyDiv w:val="1"/>
      <w:marLeft w:val="0"/>
      <w:marRight w:val="0"/>
      <w:marTop w:val="0"/>
      <w:marBottom w:val="0"/>
      <w:divBdr>
        <w:top w:val="none" w:sz="0" w:space="0" w:color="auto"/>
        <w:left w:val="none" w:sz="0" w:space="0" w:color="auto"/>
        <w:bottom w:val="none" w:sz="0" w:space="0" w:color="auto"/>
        <w:right w:val="none" w:sz="0" w:space="0" w:color="auto"/>
      </w:divBdr>
    </w:div>
    <w:div w:id="1106727842">
      <w:bodyDiv w:val="1"/>
      <w:marLeft w:val="0"/>
      <w:marRight w:val="0"/>
      <w:marTop w:val="0"/>
      <w:marBottom w:val="0"/>
      <w:divBdr>
        <w:top w:val="none" w:sz="0" w:space="0" w:color="auto"/>
        <w:left w:val="none" w:sz="0" w:space="0" w:color="auto"/>
        <w:bottom w:val="none" w:sz="0" w:space="0" w:color="auto"/>
        <w:right w:val="none" w:sz="0" w:space="0" w:color="auto"/>
      </w:divBdr>
    </w:div>
    <w:div w:id="1115172659">
      <w:bodyDiv w:val="1"/>
      <w:marLeft w:val="0"/>
      <w:marRight w:val="0"/>
      <w:marTop w:val="0"/>
      <w:marBottom w:val="0"/>
      <w:divBdr>
        <w:top w:val="none" w:sz="0" w:space="0" w:color="auto"/>
        <w:left w:val="none" w:sz="0" w:space="0" w:color="auto"/>
        <w:bottom w:val="none" w:sz="0" w:space="0" w:color="auto"/>
        <w:right w:val="none" w:sz="0" w:space="0" w:color="auto"/>
      </w:divBdr>
    </w:div>
    <w:div w:id="1119256518">
      <w:bodyDiv w:val="1"/>
      <w:marLeft w:val="0"/>
      <w:marRight w:val="0"/>
      <w:marTop w:val="0"/>
      <w:marBottom w:val="0"/>
      <w:divBdr>
        <w:top w:val="none" w:sz="0" w:space="0" w:color="auto"/>
        <w:left w:val="none" w:sz="0" w:space="0" w:color="auto"/>
        <w:bottom w:val="none" w:sz="0" w:space="0" w:color="auto"/>
        <w:right w:val="none" w:sz="0" w:space="0" w:color="auto"/>
      </w:divBdr>
    </w:div>
    <w:div w:id="1181050512">
      <w:bodyDiv w:val="1"/>
      <w:marLeft w:val="0"/>
      <w:marRight w:val="0"/>
      <w:marTop w:val="0"/>
      <w:marBottom w:val="0"/>
      <w:divBdr>
        <w:top w:val="none" w:sz="0" w:space="0" w:color="auto"/>
        <w:left w:val="none" w:sz="0" w:space="0" w:color="auto"/>
        <w:bottom w:val="none" w:sz="0" w:space="0" w:color="auto"/>
        <w:right w:val="none" w:sz="0" w:space="0" w:color="auto"/>
      </w:divBdr>
    </w:div>
    <w:div w:id="1194418303">
      <w:bodyDiv w:val="1"/>
      <w:marLeft w:val="0"/>
      <w:marRight w:val="0"/>
      <w:marTop w:val="0"/>
      <w:marBottom w:val="0"/>
      <w:divBdr>
        <w:top w:val="none" w:sz="0" w:space="0" w:color="auto"/>
        <w:left w:val="none" w:sz="0" w:space="0" w:color="auto"/>
        <w:bottom w:val="none" w:sz="0" w:space="0" w:color="auto"/>
        <w:right w:val="none" w:sz="0" w:space="0" w:color="auto"/>
      </w:divBdr>
    </w:div>
    <w:div w:id="1262107160">
      <w:bodyDiv w:val="1"/>
      <w:marLeft w:val="0"/>
      <w:marRight w:val="0"/>
      <w:marTop w:val="0"/>
      <w:marBottom w:val="0"/>
      <w:divBdr>
        <w:top w:val="none" w:sz="0" w:space="0" w:color="auto"/>
        <w:left w:val="none" w:sz="0" w:space="0" w:color="auto"/>
        <w:bottom w:val="none" w:sz="0" w:space="0" w:color="auto"/>
        <w:right w:val="none" w:sz="0" w:space="0" w:color="auto"/>
      </w:divBdr>
    </w:div>
    <w:div w:id="1266307292">
      <w:bodyDiv w:val="1"/>
      <w:marLeft w:val="0"/>
      <w:marRight w:val="0"/>
      <w:marTop w:val="0"/>
      <w:marBottom w:val="0"/>
      <w:divBdr>
        <w:top w:val="none" w:sz="0" w:space="0" w:color="auto"/>
        <w:left w:val="none" w:sz="0" w:space="0" w:color="auto"/>
        <w:bottom w:val="none" w:sz="0" w:space="0" w:color="auto"/>
        <w:right w:val="none" w:sz="0" w:space="0" w:color="auto"/>
      </w:divBdr>
    </w:div>
    <w:div w:id="1334524547">
      <w:bodyDiv w:val="1"/>
      <w:marLeft w:val="0"/>
      <w:marRight w:val="0"/>
      <w:marTop w:val="0"/>
      <w:marBottom w:val="0"/>
      <w:divBdr>
        <w:top w:val="none" w:sz="0" w:space="0" w:color="auto"/>
        <w:left w:val="none" w:sz="0" w:space="0" w:color="auto"/>
        <w:bottom w:val="none" w:sz="0" w:space="0" w:color="auto"/>
        <w:right w:val="none" w:sz="0" w:space="0" w:color="auto"/>
      </w:divBdr>
    </w:div>
    <w:div w:id="1382049532">
      <w:bodyDiv w:val="1"/>
      <w:marLeft w:val="0"/>
      <w:marRight w:val="0"/>
      <w:marTop w:val="0"/>
      <w:marBottom w:val="0"/>
      <w:divBdr>
        <w:top w:val="none" w:sz="0" w:space="0" w:color="auto"/>
        <w:left w:val="none" w:sz="0" w:space="0" w:color="auto"/>
        <w:bottom w:val="none" w:sz="0" w:space="0" w:color="auto"/>
        <w:right w:val="none" w:sz="0" w:space="0" w:color="auto"/>
      </w:divBdr>
    </w:div>
    <w:div w:id="1395548604">
      <w:bodyDiv w:val="1"/>
      <w:marLeft w:val="0"/>
      <w:marRight w:val="0"/>
      <w:marTop w:val="0"/>
      <w:marBottom w:val="0"/>
      <w:divBdr>
        <w:top w:val="none" w:sz="0" w:space="0" w:color="auto"/>
        <w:left w:val="none" w:sz="0" w:space="0" w:color="auto"/>
        <w:bottom w:val="none" w:sz="0" w:space="0" w:color="auto"/>
        <w:right w:val="none" w:sz="0" w:space="0" w:color="auto"/>
      </w:divBdr>
    </w:div>
    <w:div w:id="1420978863">
      <w:bodyDiv w:val="1"/>
      <w:marLeft w:val="0"/>
      <w:marRight w:val="0"/>
      <w:marTop w:val="0"/>
      <w:marBottom w:val="0"/>
      <w:divBdr>
        <w:top w:val="none" w:sz="0" w:space="0" w:color="auto"/>
        <w:left w:val="none" w:sz="0" w:space="0" w:color="auto"/>
        <w:bottom w:val="none" w:sz="0" w:space="0" w:color="auto"/>
        <w:right w:val="none" w:sz="0" w:space="0" w:color="auto"/>
      </w:divBdr>
    </w:div>
    <w:div w:id="1452237095">
      <w:bodyDiv w:val="1"/>
      <w:marLeft w:val="0"/>
      <w:marRight w:val="0"/>
      <w:marTop w:val="0"/>
      <w:marBottom w:val="0"/>
      <w:divBdr>
        <w:top w:val="none" w:sz="0" w:space="0" w:color="auto"/>
        <w:left w:val="none" w:sz="0" w:space="0" w:color="auto"/>
        <w:bottom w:val="none" w:sz="0" w:space="0" w:color="auto"/>
        <w:right w:val="none" w:sz="0" w:space="0" w:color="auto"/>
      </w:divBdr>
    </w:div>
    <w:div w:id="1459178502">
      <w:bodyDiv w:val="1"/>
      <w:marLeft w:val="0"/>
      <w:marRight w:val="0"/>
      <w:marTop w:val="0"/>
      <w:marBottom w:val="0"/>
      <w:divBdr>
        <w:top w:val="none" w:sz="0" w:space="0" w:color="auto"/>
        <w:left w:val="none" w:sz="0" w:space="0" w:color="auto"/>
        <w:bottom w:val="none" w:sz="0" w:space="0" w:color="auto"/>
        <w:right w:val="none" w:sz="0" w:space="0" w:color="auto"/>
      </w:divBdr>
    </w:div>
    <w:div w:id="1461074809">
      <w:bodyDiv w:val="1"/>
      <w:marLeft w:val="0"/>
      <w:marRight w:val="0"/>
      <w:marTop w:val="0"/>
      <w:marBottom w:val="0"/>
      <w:divBdr>
        <w:top w:val="none" w:sz="0" w:space="0" w:color="auto"/>
        <w:left w:val="none" w:sz="0" w:space="0" w:color="auto"/>
        <w:bottom w:val="none" w:sz="0" w:space="0" w:color="auto"/>
        <w:right w:val="none" w:sz="0" w:space="0" w:color="auto"/>
      </w:divBdr>
    </w:div>
    <w:div w:id="1477642084">
      <w:bodyDiv w:val="1"/>
      <w:marLeft w:val="0"/>
      <w:marRight w:val="0"/>
      <w:marTop w:val="0"/>
      <w:marBottom w:val="0"/>
      <w:divBdr>
        <w:top w:val="none" w:sz="0" w:space="0" w:color="auto"/>
        <w:left w:val="none" w:sz="0" w:space="0" w:color="auto"/>
        <w:bottom w:val="none" w:sz="0" w:space="0" w:color="auto"/>
        <w:right w:val="none" w:sz="0" w:space="0" w:color="auto"/>
      </w:divBdr>
    </w:div>
    <w:div w:id="1492327186">
      <w:bodyDiv w:val="1"/>
      <w:marLeft w:val="0"/>
      <w:marRight w:val="0"/>
      <w:marTop w:val="0"/>
      <w:marBottom w:val="0"/>
      <w:divBdr>
        <w:top w:val="none" w:sz="0" w:space="0" w:color="auto"/>
        <w:left w:val="none" w:sz="0" w:space="0" w:color="auto"/>
        <w:bottom w:val="none" w:sz="0" w:space="0" w:color="auto"/>
        <w:right w:val="none" w:sz="0" w:space="0" w:color="auto"/>
      </w:divBdr>
    </w:div>
    <w:div w:id="1493369794">
      <w:bodyDiv w:val="1"/>
      <w:marLeft w:val="0"/>
      <w:marRight w:val="0"/>
      <w:marTop w:val="0"/>
      <w:marBottom w:val="0"/>
      <w:divBdr>
        <w:top w:val="none" w:sz="0" w:space="0" w:color="auto"/>
        <w:left w:val="none" w:sz="0" w:space="0" w:color="auto"/>
        <w:bottom w:val="none" w:sz="0" w:space="0" w:color="auto"/>
        <w:right w:val="none" w:sz="0" w:space="0" w:color="auto"/>
      </w:divBdr>
    </w:div>
    <w:div w:id="1514341291">
      <w:bodyDiv w:val="1"/>
      <w:marLeft w:val="0"/>
      <w:marRight w:val="0"/>
      <w:marTop w:val="0"/>
      <w:marBottom w:val="0"/>
      <w:divBdr>
        <w:top w:val="none" w:sz="0" w:space="0" w:color="auto"/>
        <w:left w:val="none" w:sz="0" w:space="0" w:color="auto"/>
        <w:bottom w:val="none" w:sz="0" w:space="0" w:color="auto"/>
        <w:right w:val="none" w:sz="0" w:space="0" w:color="auto"/>
      </w:divBdr>
    </w:div>
    <w:div w:id="1617327132">
      <w:bodyDiv w:val="1"/>
      <w:marLeft w:val="0"/>
      <w:marRight w:val="0"/>
      <w:marTop w:val="0"/>
      <w:marBottom w:val="0"/>
      <w:divBdr>
        <w:top w:val="none" w:sz="0" w:space="0" w:color="auto"/>
        <w:left w:val="none" w:sz="0" w:space="0" w:color="auto"/>
        <w:bottom w:val="none" w:sz="0" w:space="0" w:color="auto"/>
        <w:right w:val="none" w:sz="0" w:space="0" w:color="auto"/>
      </w:divBdr>
    </w:div>
    <w:div w:id="1618179656">
      <w:bodyDiv w:val="1"/>
      <w:marLeft w:val="0"/>
      <w:marRight w:val="0"/>
      <w:marTop w:val="0"/>
      <w:marBottom w:val="0"/>
      <w:divBdr>
        <w:top w:val="none" w:sz="0" w:space="0" w:color="auto"/>
        <w:left w:val="none" w:sz="0" w:space="0" w:color="auto"/>
        <w:bottom w:val="none" w:sz="0" w:space="0" w:color="auto"/>
        <w:right w:val="none" w:sz="0" w:space="0" w:color="auto"/>
      </w:divBdr>
    </w:div>
    <w:div w:id="1629431884">
      <w:bodyDiv w:val="1"/>
      <w:marLeft w:val="0"/>
      <w:marRight w:val="0"/>
      <w:marTop w:val="0"/>
      <w:marBottom w:val="0"/>
      <w:divBdr>
        <w:top w:val="none" w:sz="0" w:space="0" w:color="auto"/>
        <w:left w:val="none" w:sz="0" w:space="0" w:color="auto"/>
        <w:bottom w:val="none" w:sz="0" w:space="0" w:color="auto"/>
        <w:right w:val="none" w:sz="0" w:space="0" w:color="auto"/>
      </w:divBdr>
    </w:div>
    <w:div w:id="1658807287">
      <w:bodyDiv w:val="1"/>
      <w:marLeft w:val="0"/>
      <w:marRight w:val="0"/>
      <w:marTop w:val="0"/>
      <w:marBottom w:val="0"/>
      <w:divBdr>
        <w:top w:val="none" w:sz="0" w:space="0" w:color="auto"/>
        <w:left w:val="none" w:sz="0" w:space="0" w:color="auto"/>
        <w:bottom w:val="none" w:sz="0" w:space="0" w:color="auto"/>
        <w:right w:val="none" w:sz="0" w:space="0" w:color="auto"/>
      </w:divBdr>
    </w:div>
    <w:div w:id="1660689418">
      <w:bodyDiv w:val="1"/>
      <w:marLeft w:val="0"/>
      <w:marRight w:val="0"/>
      <w:marTop w:val="0"/>
      <w:marBottom w:val="0"/>
      <w:divBdr>
        <w:top w:val="none" w:sz="0" w:space="0" w:color="auto"/>
        <w:left w:val="none" w:sz="0" w:space="0" w:color="auto"/>
        <w:bottom w:val="none" w:sz="0" w:space="0" w:color="auto"/>
        <w:right w:val="none" w:sz="0" w:space="0" w:color="auto"/>
      </w:divBdr>
    </w:div>
    <w:div w:id="1696887493">
      <w:bodyDiv w:val="1"/>
      <w:marLeft w:val="0"/>
      <w:marRight w:val="0"/>
      <w:marTop w:val="0"/>
      <w:marBottom w:val="0"/>
      <w:divBdr>
        <w:top w:val="none" w:sz="0" w:space="0" w:color="auto"/>
        <w:left w:val="none" w:sz="0" w:space="0" w:color="auto"/>
        <w:bottom w:val="none" w:sz="0" w:space="0" w:color="auto"/>
        <w:right w:val="none" w:sz="0" w:space="0" w:color="auto"/>
      </w:divBdr>
    </w:div>
    <w:div w:id="1769961787">
      <w:bodyDiv w:val="1"/>
      <w:marLeft w:val="0"/>
      <w:marRight w:val="0"/>
      <w:marTop w:val="0"/>
      <w:marBottom w:val="0"/>
      <w:divBdr>
        <w:top w:val="none" w:sz="0" w:space="0" w:color="auto"/>
        <w:left w:val="none" w:sz="0" w:space="0" w:color="auto"/>
        <w:bottom w:val="none" w:sz="0" w:space="0" w:color="auto"/>
        <w:right w:val="none" w:sz="0" w:space="0" w:color="auto"/>
      </w:divBdr>
    </w:div>
    <w:div w:id="1771706301">
      <w:bodyDiv w:val="1"/>
      <w:marLeft w:val="0"/>
      <w:marRight w:val="0"/>
      <w:marTop w:val="0"/>
      <w:marBottom w:val="0"/>
      <w:divBdr>
        <w:top w:val="none" w:sz="0" w:space="0" w:color="auto"/>
        <w:left w:val="none" w:sz="0" w:space="0" w:color="auto"/>
        <w:bottom w:val="none" w:sz="0" w:space="0" w:color="auto"/>
        <w:right w:val="none" w:sz="0" w:space="0" w:color="auto"/>
      </w:divBdr>
    </w:div>
    <w:div w:id="1822186081">
      <w:bodyDiv w:val="1"/>
      <w:marLeft w:val="0"/>
      <w:marRight w:val="0"/>
      <w:marTop w:val="0"/>
      <w:marBottom w:val="0"/>
      <w:divBdr>
        <w:top w:val="none" w:sz="0" w:space="0" w:color="auto"/>
        <w:left w:val="none" w:sz="0" w:space="0" w:color="auto"/>
        <w:bottom w:val="none" w:sz="0" w:space="0" w:color="auto"/>
        <w:right w:val="none" w:sz="0" w:space="0" w:color="auto"/>
      </w:divBdr>
    </w:div>
    <w:div w:id="1834947069">
      <w:bodyDiv w:val="1"/>
      <w:marLeft w:val="0"/>
      <w:marRight w:val="0"/>
      <w:marTop w:val="0"/>
      <w:marBottom w:val="0"/>
      <w:divBdr>
        <w:top w:val="none" w:sz="0" w:space="0" w:color="auto"/>
        <w:left w:val="none" w:sz="0" w:space="0" w:color="auto"/>
        <w:bottom w:val="none" w:sz="0" w:space="0" w:color="auto"/>
        <w:right w:val="none" w:sz="0" w:space="0" w:color="auto"/>
      </w:divBdr>
    </w:div>
    <w:div w:id="1901939446">
      <w:bodyDiv w:val="1"/>
      <w:marLeft w:val="0"/>
      <w:marRight w:val="0"/>
      <w:marTop w:val="0"/>
      <w:marBottom w:val="0"/>
      <w:divBdr>
        <w:top w:val="none" w:sz="0" w:space="0" w:color="auto"/>
        <w:left w:val="none" w:sz="0" w:space="0" w:color="auto"/>
        <w:bottom w:val="none" w:sz="0" w:space="0" w:color="auto"/>
        <w:right w:val="none" w:sz="0" w:space="0" w:color="auto"/>
      </w:divBdr>
    </w:div>
    <w:div w:id="1926718185">
      <w:bodyDiv w:val="1"/>
      <w:marLeft w:val="0"/>
      <w:marRight w:val="0"/>
      <w:marTop w:val="0"/>
      <w:marBottom w:val="0"/>
      <w:divBdr>
        <w:top w:val="none" w:sz="0" w:space="0" w:color="auto"/>
        <w:left w:val="none" w:sz="0" w:space="0" w:color="auto"/>
        <w:bottom w:val="none" w:sz="0" w:space="0" w:color="auto"/>
        <w:right w:val="none" w:sz="0" w:space="0" w:color="auto"/>
      </w:divBdr>
    </w:div>
    <w:div w:id="1935477288">
      <w:bodyDiv w:val="1"/>
      <w:marLeft w:val="0"/>
      <w:marRight w:val="0"/>
      <w:marTop w:val="0"/>
      <w:marBottom w:val="0"/>
      <w:divBdr>
        <w:top w:val="none" w:sz="0" w:space="0" w:color="auto"/>
        <w:left w:val="none" w:sz="0" w:space="0" w:color="auto"/>
        <w:bottom w:val="none" w:sz="0" w:space="0" w:color="auto"/>
        <w:right w:val="none" w:sz="0" w:space="0" w:color="auto"/>
      </w:divBdr>
    </w:div>
    <w:div w:id="1954172894">
      <w:bodyDiv w:val="1"/>
      <w:marLeft w:val="0"/>
      <w:marRight w:val="0"/>
      <w:marTop w:val="0"/>
      <w:marBottom w:val="0"/>
      <w:divBdr>
        <w:top w:val="none" w:sz="0" w:space="0" w:color="auto"/>
        <w:left w:val="none" w:sz="0" w:space="0" w:color="auto"/>
        <w:bottom w:val="none" w:sz="0" w:space="0" w:color="auto"/>
        <w:right w:val="none" w:sz="0" w:space="0" w:color="auto"/>
      </w:divBdr>
    </w:div>
    <w:div w:id="1969243719">
      <w:bodyDiv w:val="1"/>
      <w:marLeft w:val="0"/>
      <w:marRight w:val="0"/>
      <w:marTop w:val="0"/>
      <w:marBottom w:val="0"/>
      <w:divBdr>
        <w:top w:val="none" w:sz="0" w:space="0" w:color="auto"/>
        <w:left w:val="none" w:sz="0" w:space="0" w:color="auto"/>
        <w:bottom w:val="none" w:sz="0" w:space="0" w:color="auto"/>
        <w:right w:val="none" w:sz="0" w:space="0" w:color="auto"/>
      </w:divBdr>
    </w:div>
    <w:div w:id="1990867971">
      <w:bodyDiv w:val="1"/>
      <w:marLeft w:val="0"/>
      <w:marRight w:val="0"/>
      <w:marTop w:val="0"/>
      <w:marBottom w:val="0"/>
      <w:divBdr>
        <w:top w:val="none" w:sz="0" w:space="0" w:color="auto"/>
        <w:left w:val="none" w:sz="0" w:space="0" w:color="auto"/>
        <w:bottom w:val="none" w:sz="0" w:space="0" w:color="auto"/>
        <w:right w:val="none" w:sz="0" w:space="0" w:color="auto"/>
      </w:divBdr>
    </w:div>
    <w:div w:id="1995404726">
      <w:bodyDiv w:val="1"/>
      <w:marLeft w:val="0"/>
      <w:marRight w:val="0"/>
      <w:marTop w:val="0"/>
      <w:marBottom w:val="0"/>
      <w:divBdr>
        <w:top w:val="none" w:sz="0" w:space="0" w:color="auto"/>
        <w:left w:val="none" w:sz="0" w:space="0" w:color="auto"/>
        <w:bottom w:val="none" w:sz="0" w:space="0" w:color="auto"/>
        <w:right w:val="none" w:sz="0" w:space="0" w:color="auto"/>
      </w:divBdr>
    </w:div>
    <w:div w:id="2019381179">
      <w:bodyDiv w:val="1"/>
      <w:marLeft w:val="0"/>
      <w:marRight w:val="0"/>
      <w:marTop w:val="0"/>
      <w:marBottom w:val="0"/>
      <w:divBdr>
        <w:top w:val="none" w:sz="0" w:space="0" w:color="auto"/>
        <w:left w:val="none" w:sz="0" w:space="0" w:color="auto"/>
        <w:bottom w:val="none" w:sz="0" w:space="0" w:color="auto"/>
        <w:right w:val="none" w:sz="0" w:space="0" w:color="auto"/>
      </w:divBdr>
    </w:div>
    <w:div w:id="2103447582">
      <w:bodyDiv w:val="1"/>
      <w:marLeft w:val="0"/>
      <w:marRight w:val="0"/>
      <w:marTop w:val="0"/>
      <w:marBottom w:val="0"/>
      <w:divBdr>
        <w:top w:val="none" w:sz="0" w:space="0" w:color="auto"/>
        <w:left w:val="none" w:sz="0" w:space="0" w:color="auto"/>
        <w:bottom w:val="none" w:sz="0" w:space="0" w:color="auto"/>
        <w:right w:val="none" w:sz="0" w:space="0" w:color="auto"/>
      </w:divBdr>
    </w:div>
    <w:div w:id="2108118340">
      <w:bodyDiv w:val="1"/>
      <w:marLeft w:val="0"/>
      <w:marRight w:val="0"/>
      <w:marTop w:val="0"/>
      <w:marBottom w:val="0"/>
      <w:divBdr>
        <w:top w:val="none" w:sz="0" w:space="0" w:color="auto"/>
        <w:left w:val="none" w:sz="0" w:space="0" w:color="auto"/>
        <w:bottom w:val="none" w:sz="0" w:space="0" w:color="auto"/>
        <w:right w:val="none" w:sz="0" w:space="0" w:color="auto"/>
      </w:divBdr>
    </w:div>
    <w:div w:id="2146656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Ellman</dc:creator>
  <cp:keywords/>
  <cp:lastModifiedBy>EPA</cp:lastModifiedBy>
  <cp:revision>2</cp:revision>
  <cp:lastPrinted>2010-12-03T19:05:00Z</cp:lastPrinted>
  <dcterms:created xsi:type="dcterms:W3CDTF">2010-12-15T15:03:00Z</dcterms:created>
  <dcterms:modified xsi:type="dcterms:W3CDTF">2010-12-15T15:03:00Z</dcterms:modified>
</cp:coreProperties>
</file>