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71" w:rsidRPr="005C4D4F" w:rsidRDefault="004E7B71" w:rsidP="004E7B71">
      <w:pPr>
        <w:jc w:val="center"/>
        <w:rPr>
          <w:b/>
          <w:sz w:val="32"/>
          <w:szCs w:val="32"/>
          <w:u w:val="single"/>
        </w:rPr>
      </w:pPr>
      <w:r w:rsidRPr="005C4D4F">
        <w:rPr>
          <w:b/>
          <w:sz w:val="32"/>
          <w:szCs w:val="32"/>
          <w:u w:val="single"/>
        </w:rPr>
        <w:t>Changes to Collection OMB No. 1660-00</w:t>
      </w:r>
      <w:r>
        <w:rPr>
          <w:b/>
          <w:sz w:val="32"/>
          <w:szCs w:val="32"/>
          <w:u w:val="single"/>
        </w:rPr>
        <w:t>72</w:t>
      </w:r>
    </w:p>
    <w:p w:rsidR="004E7B71" w:rsidRPr="005D5E3F" w:rsidRDefault="004E7B71" w:rsidP="004E7B71">
      <w:pPr>
        <w:jc w:val="center"/>
        <w:rPr>
          <w:b/>
          <w:sz w:val="28"/>
          <w:szCs w:val="28"/>
        </w:rPr>
      </w:pPr>
    </w:p>
    <w:p w:rsidR="004E7B71" w:rsidRPr="005D5E3F" w:rsidRDefault="004E7B71" w:rsidP="004E7B71">
      <w:r w:rsidRPr="005D5E3F">
        <w:t>The following questions have been updated since the last OMB Approval:</w:t>
      </w:r>
    </w:p>
    <w:p w:rsidR="004E7B71" w:rsidRDefault="004E7B71" w:rsidP="004E7B71">
      <w:pPr>
        <w:rPr>
          <w:sz w:val="22"/>
          <w:szCs w:val="22"/>
        </w:rPr>
      </w:pPr>
    </w:p>
    <w:p w:rsidR="00AE3AFB" w:rsidRDefault="00AE3AFB" w:rsidP="00AE3AFB"/>
    <w:p w:rsidR="00AE3AFB" w:rsidRDefault="00405CB2" w:rsidP="00AE3AFB">
      <w:pPr>
        <w:rPr>
          <w:b/>
          <w:bCs/>
        </w:rPr>
      </w:pPr>
      <w:r>
        <w:rPr>
          <w:b/>
          <w:bCs/>
        </w:rPr>
        <w:fldChar w:fldCharType="begin"/>
      </w:r>
      <w:r w:rsidR="00AE3AFB">
        <w:rPr>
          <w:b/>
          <w:bCs/>
        </w:rPr>
        <w:instrText>ADVANCE \R 0.95</w:instrText>
      </w:r>
      <w:r>
        <w:rPr>
          <w:b/>
          <w:bCs/>
        </w:rPr>
        <w:fldChar w:fldCharType="end"/>
      </w:r>
      <w:r w:rsidR="00AE3AFB">
        <w:rPr>
          <w:b/>
          <w:bCs/>
        </w:rPr>
        <w:t xml:space="preserve">3.  Describe whether, and to what extent, the collection of information involves the use of automated, electronic, mechanical, or other technological collection techniques or other forms of information technology, e.g., permitting </w:t>
      </w:r>
      <w:r w:rsidR="00AE3AFB">
        <w:rPr>
          <w:b/>
          <w:bCs/>
        </w:rPr>
        <w:tab/>
        <w:t xml:space="preserve">electronic submission of responses, and the basis for the decision for adopting this means of collection.  Also describe any consideration of using information technology to reduce burden. </w:t>
      </w:r>
    </w:p>
    <w:p w:rsidR="00AE3AFB" w:rsidRDefault="00AE3AFB" w:rsidP="00AE3AFB">
      <w:pPr>
        <w:rPr>
          <w:b/>
          <w:bCs/>
        </w:rPr>
      </w:pPr>
    </w:p>
    <w:p w:rsidR="00AE3AFB" w:rsidRDefault="00AE3AFB" w:rsidP="00AE3AFB">
      <w:pPr>
        <w:pStyle w:val="BodyText"/>
        <w:shd w:val="clear" w:color="auto" w:fill="auto"/>
        <w:rPr>
          <w:sz w:val="24"/>
        </w:rPr>
      </w:pPr>
      <w:r>
        <w:rPr>
          <w:sz w:val="24"/>
        </w:rPr>
        <w:t xml:space="preserve">Currently all grant applications for the PDM, RFC, SRL, and FMA programs are submitted via e-Grants.  The use of the e-Grants system by respondents allows for 100% of the information required to be submitted electronically.  The individual FEMA Forms can be accessed at </w:t>
      </w:r>
      <w:hyperlink r:id="rId4" w:history="1">
        <w:r>
          <w:rPr>
            <w:rStyle w:val="Hyperlink"/>
            <w:sz w:val="24"/>
          </w:rPr>
          <w:t>http://www.fema.gov/help/forms.shtm</w:t>
        </w:r>
      </w:hyperlink>
      <w:r>
        <w:rPr>
          <w:sz w:val="24"/>
        </w:rPr>
        <w:t xml:space="preserve">.  </w:t>
      </w:r>
    </w:p>
    <w:p w:rsidR="00AE3AFB" w:rsidRDefault="00AE3AFB" w:rsidP="00AE3AFB">
      <w:pPr>
        <w:pStyle w:val="BodyText"/>
        <w:shd w:val="clear" w:color="auto" w:fill="auto"/>
        <w:rPr>
          <w:sz w:val="24"/>
        </w:rPr>
      </w:pPr>
    </w:p>
    <w:p w:rsidR="00AE3AFB" w:rsidRPr="004F2D91" w:rsidRDefault="00AE3AFB" w:rsidP="00AE3AFB">
      <w:pPr>
        <w:pStyle w:val="BodyText"/>
        <w:shd w:val="clear" w:color="auto" w:fill="auto"/>
        <w:rPr>
          <w:sz w:val="24"/>
        </w:rPr>
      </w:pPr>
      <w:r>
        <w:rPr>
          <w:sz w:val="24"/>
        </w:rPr>
        <w:t>Respondents can</w:t>
      </w:r>
      <w:r>
        <w:rPr>
          <w:color w:val="1F497D"/>
          <w:sz w:val="24"/>
        </w:rPr>
        <w:t xml:space="preserve"> </w:t>
      </w:r>
      <w:r>
        <w:rPr>
          <w:sz w:val="24"/>
        </w:rPr>
        <w:t>access e-Grants</w:t>
      </w:r>
      <w:r>
        <w:rPr>
          <w:color w:val="1F497D"/>
          <w:sz w:val="24"/>
        </w:rPr>
        <w:t xml:space="preserve"> </w:t>
      </w:r>
      <w:r>
        <w:rPr>
          <w:sz w:val="24"/>
        </w:rPr>
        <w:t xml:space="preserve">through the Website </w:t>
      </w:r>
      <w:hyperlink r:id="rId5" w:history="1">
        <w:r>
          <w:rPr>
            <w:rStyle w:val="Hyperlink"/>
            <w:sz w:val="24"/>
          </w:rPr>
          <w:t>https://portal.fema.gov/famsVuWeb/home</w:t>
        </w:r>
      </w:hyperlink>
      <w:r>
        <w:rPr>
          <w:sz w:val="24"/>
        </w:rPr>
        <w:t>.  New users may access the e</w:t>
      </w:r>
      <w:r>
        <w:rPr>
          <w:color w:val="1F497D"/>
          <w:sz w:val="24"/>
        </w:rPr>
        <w:t>-</w:t>
      </w:r>
      <w:r>
        <w:rPr>
          <w:sz w:val="24"/>
        </w:rPr>
        <w:t>Grants system by selecting the new user</w:t>
      </w:r>
      <w:r>
        <w:rPr>
          <w:color w:val="FF0000"/>
          <w:sz w:val="24"/>
        </w:rPr>
        <w:t xml:space="preserve"> </w:t>
      </w:r>
      <w:r>
        <w:rPr>
          <w:sz w:val="24"/>
        </w:rPr>
        <w:t>button and then entering in the</w:t>
      </w:r>
      <w:r>
        <w:rPr>
          <w:color w:val="1F497D"/>
          <w:sz w:val="24"/>
        </w:rPr>
        <w:t xml:space="preserve"> </w:t>
      </w:r>
      <w:r>
        <w:rPr>
          <w:sz w:val="24"/>
        </w:rPr>
        <w:t>required information in order to be approved for a user name and password. Step-by-step directions to receive a user name and password for the e-Grants system</w:t>
      </w:r>
      <w:r>
        <w:rPr>
          <w:color w:val="1F497D"/>
          <w:sz w:val="24"/>
        </w:rPr>
        <w:t xml:space="preserve"> </w:t>
      </w:r>
      <w:r>
        <w:rPr>
          <w:sz w:val="24"/>
        </w:rPr>
        <w:t>is</w:t>
      </w:r>
      <w:r>
        <w:rPr>
          <w:color w:val="1F497D"/>
          <w:sz w:val="24"/>
        </w:rPr>
        <w:t xml:space="preserve"> </w:t>
      </w:r>
      <w:r>
        <w:rPr>
          <w:sz w:val="24"/>
        </w:rPr>
        <w:t xml:space="preserve">located on page 12 of the Grant Applicants Quick Reference Guide located on the FEMA.gov website at the following link: </w:t>
      </w:r>
      <w:hyperlink r:id="rId6" w:history="1">
        <w:r>
          <w:rPr>
            <w:rStyle w:val="Hyperlink"/>
            <w:rFonts w:ascii="Calibri" w:hAnsi="Calibri"/>
            <w:sz w:val="22"/>
            <w:szCs w:val="22"/>
          </w:rPr>
          <w:t>http://www.fema.gov/library/viewRecord.do?id=3266</w:t>
        </w:r>
      </w:hyperlink>
      <w:r>
        <w:rPr>
          <w:rFonts w:ascii="Calibri" w:hAnsi="Calibri"/>
          <w:color w:val="1F497D"/>
          <w:sz w:val="22"/>
          <w:szCs w:val="22"/>
        </w:rPr>
        <w:t>.</w:t>
      </w:r>
    </w:p>
    <w:p w:rsidR="00AE3AFB" w:rsidRDefault="00405CB2" w:rsidP="00AE3AFB">
      <w:pPr>
        <w:keepNext/>
      </w:pPr>
      <w:r>
        <w:fldChar w:fldCharType="begin"/>
      </w:r>
      <w:r w:rsidR="00AE3AFB">
        <w:instrText>ADVANCE \R 0.95</w:instrText>
      </w:r>
      <w:r>
        <w:fldChar w:fldCharType="end"/>
      </w:r>
    </w:p>
    <w:p w:rsidR="00AE3AFB" w:rsidRDefault="00AE3AFB" w:rsidP="00AE3AFB">
      <w:pPr>
        <w:rPr>
          <w:b/>
          <w:bCs/>
        </w:rPr>
      </w:pPr>
      <w:r>
        <w:rPr>
          <w:b/>
          <w:bCs/>
        </w:rPr>
        <w:t>12.  Provide estimates of the hour burden of the collection of information.  The statement should:</w:t>
      </w:r>
    </w:p>
    <w:p w:rsidR="00AE3AFB" w:rsidRDefault="00405CB2" w:rsidP="00AE3AFB">
      <w:pPr>
        <w:rPr>
          <w:b/>
          <w:bCs/>
          <w:color w:val="FF0000"/>
        </w:rPr>
      </w:pPr>
      <w:r>
        <w:rPr>
          <w:b/>
          <w:bCs/>
        </w:rPr>
        <w:fldChar w:fldCharType="begin"/>
      </w:r>
      <w:r w:rsidR="00AE3AFB">
        <w:rPr>
          <w:b/>
          <w:bCs/>
        </w:rPr>
        <w:instrText>ADVANCE \R 0.95</w:instrText>
      </w:r>
      <w:r>
        <w:rPr>
          <w:b/>
          <w:bCs/>
        </w:rPr>
        <w:fldChar w:fldCharType="end"/>
      </w:r>
      <w:r w:rsidR="00AE3AFB">
        <w:rPr>
          <w:b/>
          <w:bCs/>
        </w:rPr>
        <w:t xml:space="preserve">                                             </w:t>
      </w:r>
    </w:p>
    <w:p w:rsidR="00AE3AFB" w:rsidRDefault="00405CB2" w:rsidP="00AE3AFB">
      <w:pPr>
        <w:rPr>
          <w:b/>
          <w:bCs/>
        </w:rPr>
      </w:pPr>
      <w:r>
        <w:rPr>
          <w:b/>
          <w:bCs/>
        </w:rPr>
        <w:fldChar w:fldCharType="begin"/>
      </w:r>
      <w:r w:rsidR="00AE3AFB">
        <w:rPr>
          <w:b/>
          <w:bCs/>
        </w:rPr>
        <w:instrText>ADVANCE \R 0.95</w:instrText>
      </w:r>
      <w:r>
        <w:rPr>
          <w:b/>
          <w:bCs/>
        </w:rPr>
        <w:fldChar w:fldCharType="end"/>
      </w:r>
      <w:r w:rsidR="00AE3AFB">
        <w:rPr>
          <w:b/>
          <w:bCs/>
        </w:rPr>
        <w:tab/>
      </w:r>
      <w:proofErr w:type="gramStart"/>
      <w:r w:rsidR="00AE3AFB">
        <w:rPr>
          <w:b/>
          <w:bCs/>
        </w:rPr>
        <w:t>a.  Indicate</w:t>
      </w:r>
      <w:proofErr w:type="gramEnd"/>
      <w:r w:rsidR="00AE3AFB">
        <w:rPr>
          <w:b/>
          <w:bCs/>
        </w:rPr>
        <w:t xml:space="preserve"> the number of respondents, frequency of response, annual hour burden, and an explanation of how the burden was estimated for each collection instrument (separately list each instrument and describe information as requested).  Unless</w:t>
      </w:r>
      <w:r w:rsidR="00AE3AFB">
        <w:rPr>
          <w:b/>
          <w:bCs/>
        </w:rPr>
        <w:tab/>
        <w:t>directed to do so, agencies should not conduct special surveys to obtain information on which to base hour burden estimates.  Consultation with a sample (fewer than 10) of potential respondents is desired.  If the hour</w:t>
      </w:r>
      <w:r w:rsidR="00AE3AFB">
        <w:rPr>
          <w:b/>
          <w:bCs/>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E3AFB" w:rsidRDefault="00AE3AFB" w:rsidP="00AE3AFB">
      <w:pPr>
        <w:rPr>
          <w:b/>
          <w:bCs/>
        </w:rPr>
      </w:pPr>
    </w:p>
    <w:p w:rsidR="00AE3AFB" w:rsidRDefault="00AE3AFB" w:rsidP="00AE3AFB">
      <w:r w:rsidRPr="00D97D6D">
        <w:rPr>
          <w:bCs/>
        </w:rPr>
        <w:t xml:space="preserve">The total </w:t>
      </w:r>
      <w:r>
        <w:rPr>
          <w:bCs/>
        </w:rPr>
        <w:t xml:space="preserve">number of respondents for all 4 programs is 56. Each of the programs uses the </w:t>
      </w:r>
      <w:r>
        <w:t xml:space="preserve">Benefit-Cost Determination, Environmental Review, and Project Narrative – Sub-grant Application. The </w:t>
      </w:r>
      <w:r w:rsidRPr="004B1DE3">
        <w:rPr>
          <w:b/>
        </w:rPr>
        <w:t>FMA</w:t>
      </w:r>
      <w:r>
        <w:t xml:space="preserve"> has a total of 448 responses and the total annual burden hour for this program is 4,088. The </w:t>
      </w:r>
      <w:r w:rsidRPr="004B1DE3">
        <w:rPr>
          <w:b/>
        </w:rPr>
        <w:t>RFC</w:t>
      </w:r>
      <w:r>
        <w:t xml:space="preserve"> has a total of 224 responses and the total annual burden hour for this program is 2,044. The </w:t>
      </w:r>
      <w:r w:rsidRPr="004B1DE3">
        <w:rPr>
          <w:b/>
        </w:rPr>
        <w:t>SRL</w:t>
      </w:r>
      <w:r>
        <w:t xml:space="preserve"> has a total of 1,232 responses and the total annual burden hour for this program is 10,276. The </w:t>
      </w:r>
      <w:r w:rsidRPr="004B1DE3">
        <w:rPr>
          <w:b/>
        </w:rPr>
        <w:t>PDM</w:t>
      </w:r>
      <w:r>
        <w:t xml:space="preserve"> has a total of 3,360 responses and the total annual burden hour for this program is 27,440.</w:t>
      </w:r>
    </w:p>
    <w:p w:rsidR="00AE3AFB" w:rsidRPr="00D97D6D" w:rsidRDefault="00AE3AFB" w:rsidP="00AE3AFB">
      <w:pPr>
        <w:rPr>
          <w:bCs/>
        </w:rPr>
      </w:pPr>
      <w:r>
        <w:rPr>
          <w:bCs/>
        </w:rPr>
        <w:t xml:space="preserve"> </w:t>
      </w:r>
    </w:p>
    <w:p w:rsidR="00AE3AFB" w:rsidRDefault="00AE3AFB" w:rsidP="00AE3AFB">
      <w:r>
        <w:lastRenderedPageBreak/>
        <w:t>The total for the Benefit-Cost Determination, it is estimated that 56 State Urban and Regional Planners will complete the form in support of the grant requests made.  It is estimated that each response will require 5 hours to complete and will be completed 1,680 times a year among the 4 grant programs.  The total annual hour burden for this information collection activity will be 56 x 30 = 1,680 x 5 hours = 8,400 hours.</w:t>
      </w:r>
    </w:p>
    <w:p w:rsidR="00AE3AFB" w:rsidRDefault="00AE3AFB" w:rsidP="00AE3AFB"/>
    <w:p w:rsidR="00AE3AFB" w:rsidRDefault="00AE3AFB" w:rsidP="00AE3AFB">
      <w:r>
        <w:t>The total for the Environmental Review, it is estimated that 56 State Urban and Regional Planners will complete the form in support of the grant requests made.  It is estimated that each response will require 7.5 hours to complete and will be completed 1,680 times a year among the 4 grant programs.  The total annual hour burden for this information collection activity will be 56 x 30 = 1,680 x 7.5 hours = 12,600 hours.</w:t>
      </w:r>
    </w:p>
    <w:p w:rsidR="00AE3AFB" w:rsidRDefault="00AE3AFB" w:rsidP="00AE3AFB"/>
    <w:p w:rsidR="00AE3AFB" w:rsidRDefault="00AE3AFB" w:rsidP="00AE3AFB">
      <w:r>
        <w:t>The total for the Project Narrative – Sub-grant Application, it is estimated that 56 State Urban and Regional Planners will complete the form in support of the grant requests made.  It is estimated that each response will require 5 hours to complete and will be completed 1,904 times a year among the 4 grant program.  The total annual hour burden for this information collection activity will be 56 x 34 = 1,904 x 12 hours = 22,848 hours.</w:t>
      </w:r>
    </w:p>
    <w:p w:rsidR="00AE3AFB" w:rsidRDefault="00AE3AFB" w:rsidP="00AE3AFB"/>
    <w:p w:rsidR="00AE3AFB" w:rsidRDefault="00405CB2" w:rsidP="00AE3AFB">
      <w:pPr>
        <w:rPr>
          <w:b/>
          <w:bCs/>
        </w:rPr>
      </w:pPr>
      <w:r>
        <w:fldChar w:fldCharType="begin"/>
      </w:r>
      <w:r w:rsidR="00AE3AFB">
        <w:instrText>ADVANCE \R 0.95</w:instrText>
      </w:r>
      <w:r>
        <w:fldChar w:fldCharType="end"/>
      </w:r>
      <w:r w:rsidR="00AE3AFB">
        <w:tab/>
      </w:r>
      <w:r w:rsidR="00AE3AFB">
        <w:rPr>
          <w:b/>
          <w:bCs/>
        </w:rPr>
        <w:t>b.  If this request for approval covers more than one form, provide separate hour burden estimates for each form and aggregate the hour burdens in Item 13 of OMB Form 83-I.</w:t>
      </w:r>
    </w:p>
    <w:p w:rsidR="00AE3AFB" w:rsidRDefault="00AE3AFB" w:rsidP="00AE3AFB">
      <w:pPr>
        <w:pStyle w:val="BodyText"/>
        <w:shd w:val="clear" w:color="auto" w:fill="auto"/>
        <w:rPr>
          <w:sz w:val="24"/>
        </w:rPr>
      </w:pPr>
    </w:p>
    <w:p w:rsidR="00AE3AFB" w:rsidRDefault="00AE3AFB" w:rsidP="00AE3AFB">
      <w:pPr>
        <w:rPr>
          <w:b/>
          <w:bCs/>
        </w:rPr>
      </w:pPr>
      <w:r>
        <w:rPr>
          <w:b/>
          <w:bCs/>
        </w:rPr>
        <w:tab/>
      </w:r>
      <w:proofErr w:type="gramStart"/>
      <w:r>
        <w:rPr>
          <w:b/>
          <w:bCs/>
        </w:rPr>
        <w:t>c.  Provide</w:t>
      </w:r>
      <w:proofErr w:type="gramEnd"/>
      <w:r>
        <w:rPr>
          <w:b/>
          <w:bCs/>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AE3AFB" w:rsidRDefault="00AE3AFB" w:rsidP="00AE3AFB">
      <w:pPr>
        <w:rPr>
          <w:b/>
          <w:bCs/>
        </w:rPr>
      </w:pPr>
    </w:p>
    <w:tbl>
      <w:tblPr>
        <w:tblW w:w="9860" w:type="dxa"/>
        <w:jc w:val="center"/>
        <w:tblInd w:w="93" w:type="dxa"/>
        <w:tblLook w:val="04A0"/>
      </w:tblPr>
      <w:tblGrid>
        <w:gridCol w:w="1257"/>
        <w:gridCol w:w="1417"/>
        <w:gridCol w:w="946"/>
        <w:gridCol w:w="946"/>
        <w:gridCol w:w="1177"/>
        <w:gridCol w:w="1077"/>
        <w:gridCol w:w="921"/>
        <w:gridCol w:w="861"/>
        <w:gridCol w:w="1258"/>
      </w:tblGrid>
      <w:tr w:rsidR="00AE3AFB" w:rsidRPr="002723B8" w:rsidTr="001766EC">
        <w:trPr>
          <w:trHeight w:val="315"/>
          <w:jc w:val="center"/>
        </w:trPr>
        <w:tc>
          <w:tcPr>
            <w:tcW w:w="986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Estimated Annualized Burden Hours and Costs</w:t>
            </w:r>
          </w:p>
        </w:tc>
      </w:tr>
      <w:tr w:rsidR="00AE3AFB" w:rsidRPr="002723B8" w:rsidTr="001766EC">
        <w:trPr>
          <w:trHeight w:val="1230"/>
          <w:jc w:val="center"/>
        </w:trPr>
        <w:tc>
          <w:tcPr>
            <w:tcW w:w="1257" w:type="dxa"/>
            <w:tcBorders>
              <w:top w:val="nil"/>
              <w:left w:val="single" w:sz="8" w:space="0" w:color="auto"/>
              <w:bottom w:val="single" w:sz="8" w:space="0" w:color="auto"/>
              <w:right w:val="single" w:sz="8" w:space="0" w:color="auto"/>
            </w:tcBorders>
            <w:shd w:val="clear" w:color="000000" w:fill="C0C0C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Type of Respondent</w:t>
            </w:r>
          </w:p>
        </w:tc>
        <w:tc>
          <w:tcPr>
            <w:tcW w:w="1417" w:type="dxa"/>
            <w:tcBorders>
              <w:top w:val="nil"/>
              <w:left w:val="nil"/>
              <w:bottom w:val="single" w:sz="8" w:space="0" w:color="auto"/>
              <w:right w:val="single" w:sz="8" w:space="0" w:color="auto"/>
            </w:tcBorders>
            <w:shd w:val="clear" w:color="000000" w:fill="C0C0C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Form Name / Form Number</w:t>
            </w:r>
          </w:p>
        </w:tc>
        <w:tc>
          <w:tcPr>
            <w:tcW w:w="946" w:type="dxa"/>
            <w:tcBorders>
              <w:top w:val="nil"/>
              <w:left w:val="nil"/>
              <w:bottom w:val="single" w:sz="8" w:space="0" w:color="auto"/>
              <w:right w:val="single" w:sz="8" w:space="0" w:color="auto"/>
            </w:tcBorders>
            <w:shd w:val="clear" w:color="000000" w:fill="C0C0C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 xml:space="preserve">No. of </w:t>
            </w:r>
            <w:proofErr w:type="spellStart"/>
            <w:r w:rsidRPr="002723B8">
              <w:rPr>
                <w:rFonts w:ascii="Arial" w:hAnsi="Arial" w:cs="Arial"/>
                <w:b/>
                <w:bCs/>
                <w:color w:val="000000"/>
                <w:sz w:val="18"/>
                <w:szCs w:val="18"/>
              </w:rPr>
              <w:t>Respon</w:t>
            </w:r>
            <w:proofErr w:type="spellEnd"/>
            <w:r w:rsidRPr="002723B8">
              <w:rPr>
                <w:rFonts w:ascii="Arial" w:hAnsi="Arial" w:cs="Arial"/>
                <w:b/>
                <w:bCs/>
                <w:color w:val="000000"/>
                <w:sz w:val="18"/>
                <w:szCs w:val="18"/>
              </w:rPr>
              <w:t>-dents</w:t>
            </w:r>
          </w:p>
        </w:tc>
        <w:tc>
          <w:tcPr>
            <w:tcW w:w="946" w:type="dxa"/>
            <w:tcBorders>
              <w:top w:val="nil"/>
              <w:left w:val="nil"/>
              <w:bottom w:val="single" w:sz="8" w:space="0" w:color="auto"/>
              <w:right w:val="single" w:sz="8" w:space="0" w:color="auto"/>
            </w:tcBorders>
            <w:shd w:val="clear" w:color="000000" w:fill="C0C0C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 xml:space="preserve">No. of </w:t>
            </w:r>
            <w:proofErr w:type="spellStart"/>
            <w:r w:rsidRPr="002723B8">
              <w:rPr>
                <w:rFonts w:ascii="Arial" w:hAnsi="Arial" w:cs="Arial"/>
                <w:b/>
                <w:bCs/>
                <w:color w:val="000000"/>
                <w:sz w:val="18"/>
                <w:szCs w:val="18"/>
              </w:rPr>
              <w:t>Respon-ses</w:t>
            </w:r>
            <w:proofErr w:type="spellEnd"/>
            <w:r w:rsidRPr="002723B8">
              <w:rPr>
                <w:rFonts w:ascii="Arial" w:hAnsi="Arial" w:cs="Arial"/>
                <w:b/>
                <w:bCs/>
                <w:color w:val="000000"/>
                <w:sz w:val="18"/>
                <w:szCs w:val="18"/>
              </w:rPr>
              <w:t xml:space="preserve"> per </w:t>
            </w:r>
            <w:proofErr w:type="spellStart"/>
            <w:r w:rsidRPr="002723B8">
              <w:rPr>
                <w:rFonts w:ascii="Arial" w:hAnsi="Arial" w:cs="Arial"/>
                <w:b/>
                <w:bCs/>
                <w:color w:val="000000"/>
                <w:sz w:val="18"/>
                <w:szCs w:val="18"/>
              </w:rPr>
              <w:t>Respon</w:t>
            </w:r>
            <w:proofErr w:type="spellEnd"/>
            <w:r w:rsidRPr="002723B8">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C0C0C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Avg. Burden per Response (in hours)</w:t>
            </w:r>
          </w:p>
        </w:tc>
        <w:tc>
          <w:tcPr>
            <w:tcW w:w="921" w:type="dxa"/>
            <w:tcBorders>
              <w:top w:val="nil"/>
              <w:left w:val="nil"/>
              <w:bottom w:val="single" w:sz="8" w:space="0" w:color="auto"/>
              <w:right w:val="single" w:sz="8" w:space="0" w:color="auto"/>
            </w:tcBorders>
            <w:shd w:val="clear" w:color="000000" w:fill="C0C0C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Total Annual Burden (in hours)</w:t>
            </w:r>
          </w:p>
        </w:tc>
        <w:tc>
          <w:tcPr>
            <w:tcW w:w="861" w:type="dxa"/>
            <w:tcBorders>
              <w:top w:val="nil"/>
              <w:left w:val="nil"/>
              <w:bottom w:val="single" w:sz="8" w:space="0" w:color="auto"/>
              <w:right w:val="single" w:sz="8" w:space="0" w:color="auto"/>
            </w:tcBorders>
            <w:shd w:val="clear" w:color="000000" w:fill="C0C0C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Avg. Hourly Wage Rate</w:t>
            </w:r>
          </w:p>
        </w:tc>
        <w:tc>
          <w:tcPr>
            <w:tcW w:w="1258" w:type="dxa"/>
            <w:tcBorders>
              <w:top w:val="nil"/>
              <w:left w:val="nil"/>
              <w:bottom w:val="single" w:sz="8" w:space="0" w:color="auto"/>
              <w:right w:val="single" w:sz="8" w:space="0" w:color="auto"/>
            </w:tcBorders>
            <w:shd w:val="clear" w:color="000000" w:fill="C0C0C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Total Annual Respondent Cost</w:t>
            </w:r>
          </w:p>
        </w:tc>
      </w:tr>
      <w:tr w:rsidR="00AE3AFB" w:rsidRPr="002723B8" w:rsidTr="001766E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 FMA</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p>
        </w:tc>
        <w:tc>
          <w:tcPr>
            <w:tcW w:w="921"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p>
        </w:tc>
        <w:tc>
          <w:tcPr>
            <w:tcW w:w="861"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p>
        </w:tc>
        <w:tc>
          <w:tcPr>
            <w:tcW w:w="1258"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p>
        </w:tc>
      </w:tr>
      <w:tr w:rsidR="00AE3AFB" w:rsidRPr="002723B8" w:rsidTr="001766EC">
        <w:trPr>
          <w:trHeight w:val="75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Benefit-Cost Determination</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56</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2</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112</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5</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560</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$24,382 </w:t>
            </w:r>
          </w:p>
        </w:tc>
      </w:tr>
      <w:tr w:rsidR="00AE3AFB" w:rsidRPr="002723B8" w:rsidTr="001766EC">
        <w:trPr>
          <w:trHeight w:val="75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Environmental Review</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56</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2</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112</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7.5</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840</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$36,574 </w:t>
            </w:r>
          </w:p>
        </w:tc>
      </w:tr>
      <w:tr w:rsidR="00AE3AFB" w:rsidRPr="002723B8" w:rsidTr="001766EC">
        <w:trPr>
          <w:trHeight w:val="99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Project Narrative-Sub-grant Application</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56</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4</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224</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12</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2688</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$117,036 </w:t>
            </w:r>
          </w:p>
        </w:tc>
      </w:tr>
      <w:tr w:rsidR="00AE3AFB" w:rsidRPr="002723B8" w:rsidTr="001766E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r w:rsidRPr="002723B8">
              <w:rPr>
                <w:rFonts w:ascii="Arial" w:hAnsi="Arial" w:cs="Arial"/>
                <w:b/>
                <w:bCs/>
                <w:color w:val="000000"/>
                <w:sz w:val="18"/>
                <w:szCs w:val="18"/>
              </w:rPr>
              <w:t>Subtotal</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 56</w:t>
            </w:r>
          </w:p>
        </w:tc>
        <w:tc>
          <w:tcPr>
            <w:tcW w:w="946" w:type="dxa"/>
            <w:tcBorders>
              <w:top w:val="nil"/>
              <w:left w:val="nil"/>
              <w:bottom w:val="single" w:sz="8" w:space="0" w:color="auto"/>
              <w:right w:val="single" w:sz="8" w:space="0" w:color="auto"/>
            </w:tcBorders>
            <w:shd w:val="clear" w:color="000000" w:fill="00000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 </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 4</w:t>
            </w:r>
            <w:r>
              <w:rPr>
                <w:rFonts w:ascii="Arial" w:hAnsi="Arial" w:cs="Arial"/>
                <w:b/>
                <w:bCs/>
                <w:color w:val="000000"/>
                <w:sz w:val="18"/>
                <w:szCs w:val="18"/>
              </w:rPr>
              <w:t>4</w:t>
            </w:r>
            <w:r w:rsidRPr="002723B8">
              <w:rPr>
                <w:rFonts w:ascii="Arial" w:hAnsi="Arial" w:cs="Arial"/>
                <w:b/>
                <w:bCs/>
                <w:color w:val="000000"/>
                <w:sz w:val="18"/>
                <w:szCs w:val="18"/>
              </w:rPr>
              <w:t>8</w:t>
            </w:r>
          </w:p>
        </w:tc>
        <w:tc>
          <w:tcPr>
            <w:tcW w:w="1077" w:type="dxa"/>
            <w:tcBorders>
              <w:top w:val="nil"/>
              <w:left w:val="nil"/>
              <w:bottom w:val="single" w:sz="8" w:space="0" w:color="auto"/>
              <w:right w:val="single" w:sz="8" w:space="0" w:color="auto"/>
            </w:tcBorders>
            <w:shd w:val="clear" w:color="000000" w:fill="000000"/>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 </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4,088</w:t>
            </w:r>
          </w:p>
        </w:tc>
        <w:tc>
          <w:tcPr>
            <w:tcW w:w="861" w:type="dxa"/>
            <w:tcBorders>
              <w:top w:val="nil"/>
              <w:left w:val="nil"/>
              <w:bottom w:val="single" w:sz="8" w:space="0" w:color="auto"/>
              <w:right w:val="single" w:sz="8" w:space="0" w:color="auto"/>
            </w:tcBorders>
            <w:shd w:val="clear" w:color="000000" w:fill="000000"/>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xml:space="preserve">$177,992 </w:t>
            </w:r>
          </w:p>
        </w:tc>
      </w:tr>
      <w:tr w:rsidR="00AE3AFB" w:rsidRPr="002723B8" w:rsidTr="001766E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lastRenderedPageBreak/>
              <w:t> </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RFC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w:t>
            </w:r>
          </w:p>
        </w:tc>
      </w:tr>
      <w:tr w:rsidR="00AE3AFB" w:rsidRPr="002723B8" w:rsidTr="001766EC">
        <w:trPr>
          <w:trHeight w:val="75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Benefit-Cost Determination</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56 </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5 </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280</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$12,191 </w:t>
            </w:r>
          </w:p>
        </w:tc>
      </w:tr>
      <w:tr w:rsidR="00AE3AFB" w:rsidRPr="002723B8" w:rsidTr="001766EC">
        <w:trPr>
          <w:trHeight w:val="75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Environmental Review</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56 </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7.5 </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420</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$18,287 </w:t>
            </w:r>
          </w:p>
        </w:tc>
      </w:tr>
      <w:tr w:rsidR="00AE3AFB" w:rsidRPr="002723B8" w:rsidTr="001766EC">
        <w:trPr>
          <w:trHeight w:val="99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Project Narrative-Sub-grant Application</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2</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112</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12</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1344</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$58,518 </w:t>
            </w:r>
          </w:p>
        </w:tc>
      </w:tr>
      <w:tr w:rsidR="00AE3AFB" w:rsidRPr="002723B8" w:rsidTr="001766E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Subtotal</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56</w:t>
            </w:r>
          </w:p>
        </w:tc>
        <w:tc>
          <w:tcPr>
            <w:tcW w:w="946" w:type="dxa"/>
            <w:tcBorders>
              <w:top w:val="nil"/>
              <w:left w:val="nil"/>
              <w:bottom w:val="single" w:sz="8" w:space="0" w:color="auto"/>
              <w:right w:val="single" w:sz="8" w:space="0" w:color="auto"/>
            </w:tcBorders>
            <w:shd w:val="clear" w:color="000000" w:fill="000000"/>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224</w:t>
            </w:r>
          </w:p>
        </w:tc>
        <w:tc>
          <w:tcPr>
            <w:tcW w:w="1077" w:type="dxa"/>
            <w:tcBorders>
              <w:top w:val="nil"/>
              <w:left w:val="nil"/>
              <w:bottom w:val="single" w:sz="8" w:space="0" w:color="auto"/>
              <w:right w:val="single" w:sz="8" w:space="0" w:color="auto"/>
            </w:tcBorders>
            <w:shd w:val="clear" w:color="000000" w:fill="000000"/>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2,044</w:t>
            </w:r>
          </w:p>
        </w:tc>
        <w:tc>
          <w:tcPr>
            <w:tcW w:w="861" w:type="dxa"/>
            <w:tcBorders>
              <w:top w:val="nil"/>
              <w:left w:val="nil"/>
              <w:bottom w:val="single" w:sz="8" w:space="0" w:color="auto"/>
              <w:right w:val="single" w:sz="8" w:space="0" w:color="auto"/>
            </w:tcBorders>
            <w:shd w:val="clear" w:color="000000" w:fill="000000"/>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xml:space="preserve">$88,996 </w:t>
            </w:r>
          </w:p>
        </w:tc>
      </w:tr>
      <w:tr w:rsidR="00AE3AFB" w:rsidRPr="002723B8" w:rsidTr="001766E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SRL</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Calibri" w:hAnsi="Calibri"/>
                <w:color w:val="000000"/>
              </w:rPr>
            </w:pPr>
            <w:r>
              <w:rPr>
                <w:rFonts w:ascii="Calibri" w:hAnsi="Calibri"/>
                <w:color w:val="000000"/>
                <w:sz w:val="22"/>
                <w:szCs w:val="22"/>
              </w:rPr>
              <w:t> </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w:t>
            </w:r>
          </w:p>
        </w:tc>
      </w:tr>
      <w:tr w:rsidR="00AE3AFB" w:rsidRPr="002723B8" w:rsidTr="001766EC">
        <w:trPr>
          <w:trHeight w:val="75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Benefit-Cost Determination</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7</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392</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1960</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$85,338 </w:t>
            </w:r>
          </w:p>
        </w:tc>
      </w:tr>
      <w:tr w:rsidR="00AE3AFB" w:rsidRPr="002723B8" w:rsidTr="001766EC">
        <w:trPr>
          <w:trHeight w:val="75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Environmental Review</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7</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392</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7.5</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2940</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$128,008 </w:t>
            </w:r>
          </w:p>
        </w:tc>
      </w:tr>
      <w:tr w:rsidR="00AE3AFB" w:rsidRPr="002723B8" w:rsidTr="001766EC">
        <w:trPr>
          <w:trHeight w:val="99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Project Narrative-Sub-grant Application</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8</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448</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12</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5376</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$234,071 </w:t>
            </w:r>
          </w:p>
        </w:tc>
      </w:tr>
      <w:tr w:rsidR="00AE3AFB" w:rsidRPr="002723B8" w:rsidTr="001766E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Subtotal</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56</w:t>
            </w:r>
          </w:p>
        </w:tc>
        <w:tc>
          <w:tcPr>
            <w:tcW w:w="946" w:type="dxa"/>
            <w:tcBorders>
              <w:top w:val="nil"/>
              <w:left w:val="nil"/>
              <w:bottom w:val="single" w:sz="8" w:space="0" w:color="auto"/>
              <w:right w:val="single" w:sz="8" w:space="0" w:color="auto"/>
            </w:tcBorders>
            <w:shd w:val="clear" w:color="000000" w:fill="000000"/>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1,232</w:t>
            </w:r>
          </w:p>
        </w:tc>
        <w:tc>
          <w:tcPr>
            <w:tcW w:w="1077" w:type="dxa"/>
            <w:tcBorders>
              <w:top w:val="nil"/>
              <w:left w:val="nil"/>
              <w:bottom w:val="single" w:sz="8" w:space="0" w:color="auto"/>
              <w:right w:val="single" w:sz="8" w:space="0" w:color="auto"/>
            </w:tcBorders>
            <w:shd w:val="clear" w:color="000000" w:fill="000000"/>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10,276</w:t>
            </w:r>
          </w:p>
        </w:tc>
        <w:tc>
          <w:tcPr>
            <w:tcW w:w="861" w:type="dxa"/>
            <w:tcBorders>
              <w:top w:val="nil"/>
              <w:left w:val="nil"/>
              <w:bottom w:val="single" w:sz="8" w:space="0" w:color="auto"/>
              <w:right w:val="single" w:sz="8" w:space="0" w:color="auto"/>
            </w:tcBorders>
            <w:shd w:val="clear" w:color="000000" w:fill="000000"/>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xml:space="preserve">$447,417 </w:t>
            </w:r>
          </w:p>
        </w:tc>
      </w:tr>
      <w:tr w:rsidR="00AE3AFB" w:rsidRPr="002723B8" w:rsidTr="001766E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PDM</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Calibri" w:hAnsi="Calibri"/>
                <w:color w:val="000000"/>
              </w:rPr>
            </w:pPr>
            <w:r>
              <w:rPr>
                <w:rFonts w:ascii="Calibri" w:hAnsi="Calibri"/>
                <w:color w:val="000000"/>
                <w:sz w:val="22"/>
                <w:szCs w:val="22"/>
              </w:rPr>
              <w:t> </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w:t>
            </w:r>
          </w:p>
        </w:tc>
      </w:tr>
      <w:tr w:rsidR="00AE3AFB" w:rsidRPr="002723B8" w:rsidTr="001766EC">
        <w:trPr>
          <w:trHeight w:val="75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Benefit-Cost Determination</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20</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1,120</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5600</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$243,824 </w:t>
            </w:r>
          </w:p>
        </w:tc>
      </w:tr>
      <w:tr w:rsidR="00AE3AFB" w:rsidRPr="002723B8" w:rsidTr="001766EC">
        <w:trPr>
          <w:trHeight w:val="75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Environmental Review</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20</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1,120</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7.5</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8400</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$365,736 </w:t>
            </w:r>
          </w:p>
        </w:tc>
      </w:tr>
      <w:tr w:rsidR="00AE3AFB" w:rsidRPr="002723B8" w:rsidTr="001766EC">
        <w:trPr>
          <w:trHeight w:val="990"/>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Project Narrative-Sub-grant Application</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56</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20</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1,120</w:t>
            </w:r>
          </w:p>
        </w:tc>
        <w:tc>
          <w:tcPr>
            <w:tcW w:w="10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12</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13,440</w:t>
            </w:r>
          </w:p>
        </w:tc>
        <w:tc>
          <w:tcPr>
            <w:tcW w:w="86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$585,178 </w:t>
            </w:r>
          </w:p>
        </w:tc>
      </w:tr>
      <w:tr w:rsidR="00AE3AFB" w:rsidRPr="002723B8" w:rsidTr="001766E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Pr>
                <w:rFonts w:ascii="Arial" w:hAnsi="Arial" w:cs="Arial"/>
                <w:b/>
                <w:bCs/>
                <w:color w:val="000000"/>
                <w:sz w:val="18"/>
                <w:szCs w:val="18"/>
              </w:rPr>
              <w:t>T</w:t>
            </w:r>
            <w:r w:rsidRPr="002723B8">
              <w:rPr>
                <w:rFonts w:ascii="Arial" w:hAnsi="Arial" w:cs="Arial"/>
                <w:b/>
                <w:bCs/>
                <w:color w:val="000000"/>
                <w:sz w:val="18"/>
                <w:szCs w:val="18"/>
              </w:rPr>
              <w:t>otal</w:t>
            </w:r>
          </w:p>
        </w:tc>
        <w:tc>
          <w:tcPr>
            <w:tcW w:w="141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946"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56</w:t>
            </w:r>
          </w:p>
        </w:tc>
        <w:tc>
          <w:tcPr>
            <w:tcW w:w="946" w:type="dxa"/>
            <w:tcBorders>
              <w:top w:val="nil"/>
              <w:left w:val="nil"/>
              <w:bottom w:val="single" w:sz="8" w:space="0" w:color="auto"/>
              <w:right w:val="single" w:sz="8" w:space="0" w:color="auto"/>
            </w:tcBorders>
            <w:shd w:val="clear" w:color="000000" w:fill="000000"/>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1177" w:type="dxa"/>
            <w:tcBorders>
              <w:top w:val="nil"/>
              <w:left w:val="nil"/>
              <w:bottom w:val="single" w:sz="8" w:space="0" w:color="auto"/>
              <w:right w:val="single" w:sz="8" w:space="0" w:color="auto"/>
            </w:tcBorders>
            <w:shd w:val="clear" w:color="auto" w:fill="auto"/>
            <w:vAlign w:val="bottom"/>
            <w:hideMark/>
          </w:tcPr>
          <w:p w:rsidR="00AE3AFB" w:rsidRPr="002723B8" w:rsidRDefault="00AE3AFB" w:rsidP="001766EC">
            <w:pPr>
              <w:jc w:val="center"/>
              <w:rPr>
                <w:rFonts w:ascii="Arial" w:hAnsi="Arial" w:cs="Arial"/>
                <w:b/>
                <w:bCs/>
                <w:color w:val="000000"/>
                <w:sz w:val="18"/>
                <w:szCs w:val="18"/>
              </w:rPr>
            </w:pPr>
            <w:r w:rsidRPr="002723B8">
              <w:rPr>
                <w:rFonts w:ascii="Arial" w:hAnsi="Arial" w:cs="Arial"/>
                <w:b/>
                <w:bCs/>
                <w:color w:val="000000"/>
                <w:sz w:val="18"/>
                <w:szCs w:val="18"/>
              </w:rPr>
              <w:t>3,360</w:t>
            </w:r>
          </w:p>
        </w:tc>
        <w:tc>
          <w:tcPr>
            <w:tcW w:w="1077" w:type="dxa"/>
            <w:tcBorders>
              <w:top w:val="nil"/>
              <w:left w:val="nil"/>
              <w:bottom w:val="single" w:sz="8" w:space="0" w:color="auto"/>
              <w:right w:val="single" w:sz="8" w:space="0" w:color="auto"/>
            </w:tcBorders>
            <w:shd w:val="clear" w:color="000000" w:fill="000000"/>
            <w:vAlign w:val="bottom"/>
            <w:hideMark/>
          </w:tcPr>
          <w:p w:rsidR="00AE3AFB" w:rsidRPr="002723B8" w:rsidRDefault="00AE3AFB" w:rsidP="001766EC">
            <w:pPr>
              <w:jc w:val="center"/>
              <w:rPr>
                <w:rFonts w:ascii="Calibri" w:hAnsi="Calibri"/>
                <w:color w:val="000000"/>
              </w:rPr>
            </w:pPr>
            <w:r w:rsidRPr="002723B8">
              <w:rPr>
                <w:rFonts w:ascii="Calibri" w:hAnsi="Calibri"/>
                <w:color w:val="000000"/>
                <w:sz w:val="22"/>
                <w:szCs w:val="22"/>
              </w:rPr>
              <w:t> </w:t>
            </w:r>
          </w:p>
        </w:tc>
        <w:tc>
          <w:tcPr>
            <w:tcW w:w="921"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27,440</w:t>
            </w:r>
          </w:p>
        </w:tc>
        <w:tc>
          <w:tcPr>
            <w:tcW w:w="861" w:type="dxa"/>
            <w:tcBorders>
              <w:top w:val="nil"/>
              <w:left w:val="nil"/>
              <w:bottom w:val="single" w:sz="8" w:space="0" w:color="auto"/>
              <w:right w:val="single" w:sz="8" w:space="0" w:color="auto"/>
            </w:tcBorders>
            <w:shd w:val="clear" w:color="000000" w:fill="000000"/>
            <w:vAlign w:val="bottom"/>
            <w:hideMark/>
          </w:tcPr>
          <w:p w:rsidR="00AE3AFB" w:rsidRDefault="00AE3AFB" w:rsidP="001766EC">
            <w:pPr>
              <w:jc w:val="center"/>
              <w:rPr>
                <w:rFonts w:ascii="Calibri" w:hAnsi="Calibri"/>
                <w:color w:val="000000"/>
              </w:rPr>
            </w:pPr>
            <w:r>
              <w:rPr>
                <w:rFonts w:ascii="Calibri" w:hAnsi="Calibri"/>
                <w:color w:val="000000"/>
                <w:sz w:val="22"/>
                <w:szCs w:val="22"/>
              </w:rPr>
              <w:t> </w:t>
            </w:r>
          </w:p>
        </w:tc>
        <w:tc>
          <w:tcPr>
            <w:tcW w:w="1258" w:type="dxa"/>
            <w:tcBorders>
              <w:top w:val="nil"/>
              <w:left w:val="nil"/>
              <w:bottom w:val="single" w:sz="8" w:space="0" w:color="auto"/>
              <w:right w:val="single" w:sz="8" w:space="0" w:color="auto"/>
            </w:tcBorders>
            <w:shd w:val="clear" w:color="auto" w:fill="auto"/>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xml:space="preserve">$1,194,738 </w:t>
            </w:r>
          </w:p>
        </w:tc>
      </w:tr>
    </w:tbl>
    <w:p w:rsidR="00AE3AFB" w:rsidRDefault="00AE3AFB" w:rsidP="00AE3AFB">
      <w:pPr>
        <w:tabs>
          <w:tab w:val="left" w:pos="-720"/>
        </w:tabs>
        <w:suppressAutoHyphens/>
        <w:ind w:left="720"/>
        <w:rPr>
          <w:sz w:val="16"/>
          <w:szCs w:val="16"/>
        </w:rPr>
      </w:pPr>
      <w:r w:rsidRPr="00D97D6D">
        <w:rPr>
          <w:b/>
          <w:sz w:val="16"/>
          <w:szCs w:val="16"/>
        </w:rPr>
        <w:t>Note:</w:t>
      </w:r>
      <w:r w:rsidRPr="009B69D3">
        <w:rPr>
          <w:sz w:val="16"/>
          <w:szCs w:val="16"/>
        </w:rPr>
        <w:t xml:space="preserve"> The “Avg. Hourly Wage Rate” for each respondent includes a 1.4 multiplier to reflect a fully-loaded wage rate.</w:t>
      </w:r>
    </w:p>
    <w:p w:rsidR="00AE3AFB" w:rsidRDefault="00AE3AFB" w:rsidP="00AE3AFB">
      <w:pPr>
        <w:tabs>
          <w:tab w:val="left" w:pos="-720"/>
        </w:tabs>
        <w:suppressAutoHyphens/>
      </w:pPr>
    </w:p>
    <w:p w:rsidR="00AE3AFB" w:rsidRPr="00A21D22" w:rsidRDefault="00AE3AFB" w:rsidP="00AE3AFB">
      <w:pPr>
        <w:tabs>
          <w:tab w:val="left" w:pos="-720"/>
        </w:tabs>
        <w:suppressAutoHyphens/>
        <w:rPr>
          <w:b/>
        </w:rPr>
      </w:pPr>
      <w:r w:rsidRPr="00A21D22">
        <w:rPr>
          <w:b/>
        </w:rPr>
        <w:t>Instruction for Wage-rate category multiplier:  Take each</w:t>
      </w:r>
      <w:r>
        <w:rPr>
          <w:b/>
        </w:rPr>
        <w:t xml:space="preserve"> non-loaded</w:t>
      </w:r>
      <w:r w:rsidRPr="00A21D22">
        <w:rPr>
          <w:b/>
        </w:rPr>
        <w:t xml:space="preserve"> “Avg. Hourly Wage Rate”</w:t>
      </w:r>
      <w:r>
        <w:rPr>
          <w:b/>
        </w:rPr>
        <w:t xml:space="preserve"> from the BLS website table</w:t>
      </w:r>
      <w:r w:rsidRPr="00A21D22">
        <w:rPr>
          <w:b/>
        </w:rPr>
        <w:t xml:space="preserve"> and multiply that number by 1.4.  For example, a non-loaded </w:t>
      </w:r>
      <w:r>
        <w:rPr>
          <w:b/>
        </w:rPr>
        <w:t xml:space="preserve">BLS table </w:t>
      </w:r>
      <w:r w:rsidRPr="00A21D22">
        <w:rPr>
          <w:b/>
        </w:rPr>
        <w:t>wage rate of $42.51 would be multiplied by 1.4</w:t>
      </w:r>
      <w:r>
        <w:rPr>
          <w:b/>
        </w:rPr>
        <w:t>,</w:t>
      </w:r>
      <w:r w:rsidRPr="00A21D22">
        <w:rPr>
          <w:b/>
        </w:rPr>
        <w:t xml:space="preserve"> and the entry for the “Avg. Hourly Wage Rate” would be $59.51</w:t>
      </w:r>
      <w:r>
        <w:rPr>
          <w:b/>
        </w:rPr>
        <w:t>.</w:t>
      </w:r>
    </w:p>
    <w:p w:rsidR="00AE3AFB" w:rsidRDefault="00AE3AFB" w:rsidP="00AE3AFB">
      <w:pPr>
        <w:tabs>
          <w:tab w:val="left" w:pos="-720"/>
        </w:tabs>
        <w:suppressAutoHyphens/>
      </w:pPr>
    </w:p>
    <w:p w:rsidR="00AE3AFB" w:rsidRDefault="00AE3AFB" w:rsidP="00AE3AFB">
      <w:pPr>
        <w:tabs>
          <w:tab w:val="left" w:pos="-720"/>
        </w:tabs>
        <w:suppressAutoHyphens/>
      </w:pPr>
      <w:r>
        <w:t>According to the U.S. Department of Labor, Bureau of Labor Statistics website (</w:t>
      </w:r>
      <w:hyperlink r:id="rId7" w:history="1">
        <w:r w:rsidRPr="00140445">
          <w:rPr>
            <w:rStyle w:val="Hyperlink"/>
          </w:rPr>
          <w:t>www.bls.gov</w:t>
        </w:r>
      </w:hyperlink>
      <w:r>
        <w:t xml:space="preserve">) the wage </w:t>
      </w:r>
      <w:r w:rsidRPr="002723B8">
        <w:t>rate category for State Urban and Regional</w:t>
      </w:r>
      <w:r>
        <w:t xml:space="preserve"> Planners is estimated to be ($31.</w:t>
      </w:r>
      <w:r w:rsidRPr="002723B8">
        <w:t>1</w:t>
      </w:r>
      <w:r>
        <w:t>0</w:t>
      </w:r>
      <w:r w:rsidRPr="002723B8">
        <w:t xml:space="preserve"> x 1.4 =) $</w:t>
      </w:r>
      <w:r>
        <w:t>43.54</w:t>
      </w:r>
      <w:r w:rsidRPr="002723B8">
        <w:t xml:space="preserve"> per hour including the wage rate multiplier, therefore, the estimated burden hour cost to respondents State Urban And Regional Planners is estimated to $</w:t>
      </w:r>
      <w:r>
        <w:t>1,909,143.00</w:t>
      </w:r>
      <w:r w:rsidRPr="002723B8">
        <w:t xml:space="preserve"> annually.</w:t>
      </w:r>
    </w:p>
    <w:p w:rsidR="00AE3AFB" w:rsidRDefault="00AE3AFB" w:rsidP="00AE3AFB">
      <w:pPr>
        <w:rPr>
          <w:b/>
          <w:bCs/>
        </w:rPr>
      </w:pPr>
    </w:p>
    <w:tbl>
      <w:tblPr>
        <w:tblW w:w="9860" w:type="dxa"/>
        <w:jc w:val="center"/>
        <w:tblInd w:w="93" w:type="dxa"/>
        <w:tblLook w:val="04A0"/>
      </w:tblPr>
      <w:tblGrid>
        <w:gridCol w:w="1257"/>
        <w:gridCol w:w="1417"/>
        <w:gridCol w:w="946"/>
        <w:gridCol w:w="946"/>
        <w:gridCol w:w="1177"/>
        <w:gridCol w:w="1077"/>
        <w:gridCol w:w="921"/>
        <w:gridCol w:w="861"/>
        <w:gridCol w:w="1258"/>
      </w:tblGrid>
      <w:tr w:rsidR="00AE3AFB" w:rsidTr="001766EC">
        <w:trPr>
          <w:trHeight w:val="315"/>
          <w:jc w:val="center"/>
        </w:trPr>
        <w:tc>
          <w:tcPr>
            <w:tcW w:w="9860" w:type="dxa"/>
            <w:gridSpan w:val="9"/>
            <w:tcBorders>
              <w:top w:val="single" w:sz="8" w:space="0" w:color="auto"/>
              <w:left w:val="single" w:sz="8" w:space="0" w:color="auto"/>
              <w:bottom w:val="single" w:sz="8" w:space="0" w:color="auto"/>
              <w:right w:val="single" w:sz="8" w:space="0" w:color="000000"/>
            </w:tcBorders>
            <w:noWrap/>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lastRenderedPageBreak/>
              <w:t>Estimated Annualized Burden Hours and Costs</w:t>
            </w:r>
          </w:p>
        </w:tc>
      </w:tr>
      <w:tr w:rsidR="00AE3AFB" w:rsidTr="001766EC">
        <w:trPr>
          <w:trHeight w:val="1230"/>
          <w:jc w:val="center"/>
        </w:trPr>
        <w:tc>
          <w:tcPr>
            <w:tcW w:w="1257" w:type="dxa"/>
            <w:tcBorders>
              <w:top w:val="nil"/>
              <w:left w:val="single" w:sz="8" w:space="0" w:color="auto"/>
              <w:bottom w:val="single" w:sz="8" w:space="0" w:color="auto"/>
              <w:right w:val="single" w:sz="8" w:space="0" w:color="auto"/>
            </w:tcBorders>
            <w:shd w:val="clear" w:color="auto" w:fill="C0C0C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Type of Respondent</w:t>
            </w:r>
          </w:p>
        </w:tc>
        <w:tc>
          <w:tcPr>
            <w:tcW w:w="1417" w:type="dxa"/>
            <w:tcBorders>
              <w:top w:val="nil"/>
              <w:left w:val="nil"/>
              <w:bottom w:val="single" w:sz="8" w:space="0" w:color="auto"/>
              <w:right w:val="single" w:sz="8" w:space="0" w:color="auto"/>
            </w:tcBorders>
            <w:shd w:val="clear" w:color="auto" w:fill="C0C0C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Form Name / Form Number</w:t>
            </w:r>
          </w:p>
        </w:tc>
        <w:tc>
          <w:tcPr>
            <w:tcW w:w="946" w:type="dxa"/>
            <w:tcBorders>
              <w:top w:val="nil"/>
              <w:left w:val="nil"/>
              <w:bottom w:val="single" w:sz="8" w:space="0" w:color="auto"/>
              <w:right w:val="single" w:sz="8" w:space="0" w:color="auto"/>
            </w:tcBorders>
            <w:shd w:val="clear" w:color="auto" w:fill="C0C0C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xml:space="preserve">No. of </w:t>
            </w:r>
            <w:proofErr w:type="spellStart"/>
            <w:r>
              <w:rPr>
                <w:rFonts w:ascii="Arial" w:hAnsi="Arial" w:cs="Arial"/>
                <w:b/>
                <w:bCs/>
                <w:color w:val="000000"/>
                <w:sz w:val="18"/>
                <w:szCs w:val="18"/>
              </w:rPr>
              <w:t>Respon</w:t>
            </w:r>
            <w:proofErr w:type="spellEnd"/>
            <w:r>
              <w:rPr>
                <w:rFonts w:ascii="Arial" w:hAnsi="Arial" w:cs="Arial"/>
                <w:b/>
                <w:bCs/>
                <w:color w:val="000000"/>
                <w:sz w:val="18"/>
                <w:szCs w:val="18"/>
              </w:rPr>
              <w:t>-dents</w:t>
            </w:r>
          </w:p>
        </w:tc>
        <w:tc>
          <w:tcPr>
            <w:tcW w:w="946" w:type="dxa"/>
            <w:tcBorders>
              <w:top w:val="nil"/>
              <w:left w:val="nil"/>
              <w:bottom w:val="single" w:sz="8" w:space="0" w:color="auto"/>
              <w:right w:val="single" w:sz="8" w:space="0" w:color="auto"/>
            </w:tcBorders>
            <w:shd w:val="clear" w:color="auto" w:fill="C0C0C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xml:space="preserve">No. of </w:t>
            </w:r>
            <w:proofErr w:type="spellStart"/>
            <w:r>
              <w:rPr>
                <w:rFonts w:ascii="Arial" w:hAnsi="Arial" w:cs="Arial"/>
                <w:b/>
                <w:bCs/>
                <w:color w:val="000000"/>
                <w:sz w:val="18"/>
                <w:szCs w:val="18"/>
              </w:rPr>
              <w:t>Respon-ses</w:t>
            </w:r>
            <w:proofErr w:type="spellEnd"/>
            <w:r>
              <w:rPr>
                <w:rFonts w:ascii="Arial" w:hAnsi="Arial" w:cs="Arial"/>
                <w:b/>
                <w:bCs/>
                <w:color w:val="000000"/>
                <w:sz w:val="18"/>
                <w:szCs w:val="18"/>
              </w:rPr>
              <w:t xml:space="preserve"> per </w:t>
            </w:r>
            <w:proofErr w:type="spellStart"/>
            <w:r>
              <w:rPr>
                <w:rFonts w:ascii="Arial" w:hAnsi="Arial" w:cs="Arial"/>
                <w:b/>
                <w:bCs/>
                <w:color w:val="000000"/>
                <w:sz w:val="18"/>
                <w:szCs w:val="18"/>
              </w:rPr>
              <w:t>Respon</w:t>
            </w:r>
            <w:proofErr w:type="spellEnd"/>
            <w:r>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auto" w:fill="C0C0C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C0C0C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Avg. Burden per Response (in hours)</w:t>
            </w:r>
          </w:p>
        </w:tc>
        <w:tc>
          <w:tcPr>
            <w:tcW w:w="921" w:type="dxa"/>
            <w:tcBorders>
              <w:top w:val="nil"/>
              <w:left w:val="nil"/>
              <w:bottom w:val="single" w:sz="8" w:space="0" w:color="auto"/>
              <w:right w:val="single" w:sz="8" w:space="0" w:color="auto"/>
            </w:tcBorders>
            <w:shd w:val="clear" w:color="auto" w:fill="C0C0C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Total Annual Burden (in hours)</w:t>
            </w:r>
          </w:p>
        </w:tc>
        <w:tc>
          <w:tcPr>
            <w:tcW w:w="861" w:type="dxa"/>
            <w:tcBorders>
              <w:top w:val="nil"/>
              <w:left w:val="nil"/>
              <w:bottom w:val="single" w:sz="8" w:space="0" w:color="auto"/>
              <w:right w:val="single" w:sz="8" w:space="0" w:color="auto"/>
            </w:tcBorders>
            <w:shd w:val="clear" w:color="auto" w:fill="C0C0C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Avg. Hourly Wage Rate</w:t>
            </w:r>
          </w:p>
        </w:tc>
        <w:tc>
          <w:tcPr>
            <w:tcW w:w="1258" w:type="dxa"/>
            <w:tcBorders>
              <w:top w:val="nil"/>
              <w:left w:val="nil"/>
              <w:bottom w:val="single" w:sz="8" w:space="0" w:color="auto"/>
              <w:right w:val="single" w:sz="8" w:space="0" w:color="auto"/>
            </w:tcBorders>
            <w:shd w:val="clear" w:color="auto" w:fill="C0C0C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Total Annual Respondent Cost</w:t>
            </w:r>
          </w:p>
        </w:tc>
      </w:tr>
      <w:tr w:rsidR="00AE3AFB" w:rsidTr="001766EC">
        <w:trPr>
          <w:trHeight w:val="750"/>
          <w:jc w:val="center"/>
        </w:trPr>
        <w:tc>
          <w:tcPr>
            <w:tcW w:w="1257" w:type="dxa"/>
            <w:tcBorders>
              <w:top w:val="nil"/>
              <w:left w:val="single" w:sz="8" w:space="0" w:color="auto"/>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Benefit-Cost Determination</w:t>
            </w:r>
          </w:p>
        </w:tc>
        <w:tc>
          <w:tcPr>
            <w:tcW w:w="946"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56</w:t>
            </w:r>
          </w:p>
        </w:tc>
        <w:tc>
          <w:tcPr>
            <w:tcW w:w="946"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30</w:t>
            </w:r>
          </w:p>
        </w:tc>
        <w:tc>
          <w:tcPr>
            <w:tcW w:w="1177"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1,680</w:t>
            </w:r>
          </w:p>
        </w:tc>
        <w:tc>
          <w:tcPr>
            <w:tcW w:w="1077"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5 hours</w:t>
            </w:r>
          </w:p>
        </w:tc>
        <w:tc>
          <w:tcPr>
            <w:tcW w:w="921"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8,400</w:t>
            </w:r>
          </w:p>
        </w:tc>
        <w:tc>
          <w:tcPr>
            <w:tcW w:w="861"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$365,735 </w:t>
            </w:r>
          </w:p>
        </w:tc>
      </w:tr>
      <w:tr w:rsidR="00AE3AFB" w:rsidTr="001766EC">
        <w:trPr>
          <w:trHeight w:val="750"/>
          <w:jc w:val="center"/>
        </w:trPr>
        <w:tc>
          <w:tcPr>
            <w:tcW w:w="1257" w:type="dxa"/>
            <w:tcBorders>
              <w:top w:val="nil"/>
              <w:left w:val="single" w:sz="8" w:space="0" w:color="auto"/>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Environmental Review</w:t>
            </w:r>
          </w:p>
        </w:tc>
        <w:tc>
          <w:tcPr>
            <w:tcW w:w="946"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56</w:t>
            </w:r>
          </w:p>
        </w:tc>
        <w:tc>
          <w:tcPr>
            <w:tcW w:w="946"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30</w:t>
            </w:r>
          </w:p>
        </w:tc>
        <w:tc>
          <w:tcPr>
            <w:tcW w:w="1177"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1,680</w:t>
            </w:r>
          </w:p>
        </w:tc>
        <w:tc>
          <w:tcPr>
            <w:tcW w:w="1077"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7.5 hours</w:t>
            </w:r>
          </w:p>
        </w:tc>
        <w:tc>
          <w:tcPr>
            <w:tcW w:w="921"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12,600</w:t>
            </w:r>
          </w:p>
        </w:tc>
        <w:tc>
          <w:tcPr>
            <w:tcW w:w="861"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$548,605 </w:t>
            </w:r>
          </w:p>
        </w:tc>
      </w:tr>
      <w:tr w:rsidR="00AE3AFB" w:rsidTr="001766EC">
        <w:trPr>
          <w:trHeight w:val="750"/>
          <w:jc w:val="center"/>
        </w:trPr>
        <w:tc>
          <w:tcPr>
            <w:tcW w:w="1257" w:type="dxa"/>
            <w:tcBorders>
              <w:top w:val="nil"/>
              <w:left w:val="single" w:sz="8" w:space="0" w:color="auto"/>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State, local or Tribal Government</w:t>
            </w:r>
          </w:p>
        </w:tc>
        <w:tc>
          <w:tcPr>
            <w:tcW w:w="1417"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Project Narrative-Sub-grant Application</w:t>
            </w:r>
          </w:p>
        </w:tc>
        <w:tc>
          <w:tcPr>
            <w:tcW w:w="946"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56</w:t>
            </w:r>
          </w:p>
        </w:tc>
        <w:tc>
          <w:tcPr>
            <w:tcW w:w="946"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34</w:t>
            </w:r>
          </w:p>
        </w:tc>
        <w:tc>
          <w:tcPr>
            <w:tcW w:w="1177"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1,904</w:t>
            </w:r>
          </w:p>
        </w:tc>
        <w:tc>
          <w:tcPr>
            <w:tcW w:w="1077"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12 hours</w:t>
            </w:r>
          </w:p>
        </w:tc>
        <w:tc>
          <w:tcPr>
            <w:tcW w:w="921"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22,848</w:t>
            </w:r>
          </w:p>
        </w:tc>
        <w:tc>
          <w:tcPr>
            <w:tcW w:w="861"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 xml:space="preserve">$43.54 </w:t>
            </w:r>
          </w:p>
        </w:tc>
        <w:tc>
          <w:tcPr>
            <w:tcW w:w="1258"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color w:val="000000"/>
                <w:sz w:val="18"/>
                <w:szCs w:val="18"/>
              </w:rPr>
            </w:pPr>
            <w:r>
              <w:rPr>
                <w:rFonts w:ascii="Arial" w:hAnsi="Arial" w:cs="Arial"/>
                <w:color w:val="000000"/>
                <w:sz w:val="18"/>
                <w:szCs w:val="18"/>
              </w:rPr>
              <w:t>$994,803</w:t>
            </w:r>
          </w:p>
        </w:tc>
      </w:tr>
      <w:tr w:rsidR="00AE3AFB" w:rsidTr="001766EC">
        <w:trPr>
          <w:trHeight w:val="315"/>
          <w:jc w:val="center"/>
        </w:trPr>
        <w:tc>
          <w:tcPr>
            <w:tcW w:w="1257" w:type="dxa"/>
            <w:tcBorders>
              <w:top w:val="nil"/>
              <w:left w:val="single" w:sz="8" w:space="0" w:color="auto"/>
              <w:bottom w:val="single" w:sz="8" w:space="0" w:color="auto"/>
              <w:right w:val="single" w:sz="8" w:space="0" w:color="auto"/>
            </w:tcBorders>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Total</w:t>
            </w:r>
          </w:p>
        </w:tc>
        <w:tc>
          <w:tcPr>
            <w:tcW w:w="1417" w:type="dxa"/>
            <w:tcBorders>
              <w:top w:val="nil"/>
              <w:left w:val="nil"/>
              <w:bottom w:val="single" w:sz="8" w:space="0" w:color="auto"/>
              <w:right w:val="single" w:sz="8" w:space="0" w:color="auto"/>
            </w:tcBorders>
            <w:shd w:val="clear" w:color="auto" w:fill="00000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w:t>
            </w:r>
          </w:p>
        </w:tc>
        <w:tc>
          <w:tcPr>
            <w:tcW w:w="946"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56</w:t>
            </w:r>
          </w:p>
        </w:tc>
        <w:tc>
          <w:tcPr>
            <w:tcW w:w="946" w:type="dxa"/>
            <w:tcBorders>
              <w:top w:val="nil"/>
              <w:left w:val="nil"/>
              <w:bottom w:val="single" w:sz="8" w:space="0" w:color="auto"/>
              <w:right w:val="single" w:sz="8" w:space="0" w:color="auto"/>
            </w:tcBorders>
            <w:shd w:val="clear" w:color="auto" w:fill="00000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w:t>
            </w:r>
          </w:p>
        </w:tc>
        <w:tc>
          <w:tcPr>
            <w:tcW w:w="1177" w:type="dxa"/>
            <w:tcBorders>
              <w:top w:val="nil"/>
              <w:left w:val="nil"/>
              <w:bottom w:val="single" w:sz="8" w:space="0" w:color="auto"/>
              <w:right w:val="single" w:sz="8" w:space="0" w:color="auto"/>
            </w:tcBorders>
            <w:shd w:val="clear" w:color="auto" w:fill="FFFFFF"/>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5,264</w:t>
            </w:r>
          </w:p>
        </w:tc>
        <w:tc>
          <w:tcPr>
            <w:tcW w:w="1077" w:type="dxa"/>
            <w:tcBorders>
              <w:top w:val="nil"/>
              <w:left w:val="nil"/>
              <w:bottom w:val="single" w:sz="8" w:space="0" w:color="auto"/>
              <w:right w:val="single" w:sz="8" w:space="0" w:color="auto"/>
            </w:tcBorders>
            <w:shd w:val="clear" w:color="auto" w:fill="00000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w:t>
            </w:r>
          </w:p>
        </w:tc>
        <w:tc>
          <w:tcPr>
            <w:tcW w:w="921"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43,848</w:t>
            </w:r>
          </w:p>
        </w:tc>
        <w:tc>
          <w:tcPr>
            <w:tcW w:w="861" w:type="dxa"/>
            <w:tcBorders>
              <w:top w:val="nil"/>
              <w:left w:val="nil"/>
              <w:bottom w:val="single" w:sz="8" w:space="0" w:color="auto"/>
              <w:right w:val="single" w:sz="8" w:space="0" w:color="auto"/>
            </w:tcBorders>
            <w:shd w:val="clear" w:color="auto" w:fill="000000"/>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w:t>
            </w:r>
          </w:p>
        </w:tc>
        <w:tc>
          <w:tcPr>
            <w:tcW w:w="1258" w:type="dxa"/>
            <w:tcBorders>
              <w:top w:val="nil"/>
              <w:left w:val="nil"/>
              <w:bottom w:val="single" w:sz="8" w:space="0" w:color="auto"/>
              <w:right w:val="single" w:sz="8" w:space="0" w:color="auto"/>
            </w:tcBorders>
            <w:vAlign w:val="bottom"/>
            <w:hideMark/>
          </w:tcPr>
          <w:p w:rsidR="00AE3AFB" w:rsidRDefault="00AE3AFB" w:rsidP="001766EC">
            <w:pPr>
              <w:jc w:val="center"/>
              <w:rPr>
                <w:rFonts w:ascii="Arial" w:hAnsi="Arial" w:cs="Arial"/>
                <w:b/>
                <w:bCs/>
                <w:color w:val="000000"/>
                <w:sz w:val="18"/>
                <w:szCs w:val="18"/>
              </w:rPr>
            </w:pPr>
            <w:r>
              <w:rPr>
                <w:rFonts w:ascii="Arial" w:hAnsi="Arial" w:cs="Arial"/>
                <w:b/>
                <w:bCs/>
                <w:color w:val="000000"/>
                <w:sz w:val="18"/>
                <w:szCs w:val="18"/>
              </w:rPr>
              <w:t xml:space="preserve">$1,909,143 </w:t>
            </w:r>
          </w:p>
        </w:tc>
      </w:tr>
    </w:tbl>
    <w:p w:rsidR="00AE3AFB" w:rsidRDefault="0057426D" w:rsidP="0057426D">
      <w:pPr>
        <w:tabs>
          <w:tab w:val="left" w:pos="-720"/>
        </w:tabs>
        <w:suppressAutoHyphens/>
        <w:ind w:left="720"/>
        <w:rPr>
          <w:b/>
          <w:bCs/>
        </w:rPr>
      </w:pPr>
      <w:r w:rsidRPr="00D97D6D">
        <w:rPr>
          <w:b/>
          <w:sz w:val="16"/>
          <w:szCs w:val="16"/>
        </w:rPr>
        <w:t>Note:</w:t>
      </w:r>
      <w:r w:rsidRPr="009B69D3">
        <w:rPr>
          <w:sz w:val="16"/>
          <w:szCs w:val="16"/>
        </w:rPr>
        <w:t xml:space="preserve"> The “Avg. Hourly Wage Rate” for each respondent includes a 1.4 multiplier to reflect a fully-loaded wage rate.</w:t>
      </w:r>
    </w:p>
    <w:p w:rsidR="0057426D" w:rsidRDefault="0057426D" w:rsidP="00AE3AFB">
      <w:pPr>
        <w:rPr>
          <w:b/>
          <w:bCs/>
        </w:rPr>
      </w:pPr>
    </w:p>
    <w:p w:rsidR="00AE3AFB" w:rsidRDefault="00AE3AFB" w:rsidP="00AE3AFB">
      <w:pPr>
        <w:rPr>
          <w:b/>
          <w:bCs/>
        </w:rPr>
      </w:pPr>
      <w:r>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AE3AFB" w:rsidRDefault="00405CB2" w:rsidP="00AE3AFB">
      <w:pPr>
        <w:rPr>
          <w:sz w:val="26"/>
        </w:rPr>
      </w:pPr>
      <w:r>
        <w:rPr>
          <w:sz w:val="26"/>
        </w:rPr>
        <w:fldChar w:fldCharType="begin"/>
      </w:r>
      <w:r w:rsidR="00AE3AFB">
        <w:rPr>
          <w:sz w:val="26"/>
        </w:rPr>
        <w:instrText>ADVANCE \R 0.95</w:instrText>
      </w:r>
      <w:r>
        <w:rPr>
          <w:sz w:val="26"/>
        </w:rPr>
        <w:fldChar w:fldCharType="end"/>
      </w:r>
    </w:p>
    <w:p w:rsidR="00AE3AFB" w:rsidRDefault="00AE3AFB" w:rsidP="00AE3AFB">
      <w:r w:rsidRPr="00AF3880">
        <w:t xml:space="preserve">The total cost to FEMA is </w:t>
      </w:r>
      <w:r w:rsidRPr="00AF3880">
        <w:rPr>
          <w:bCs/>
        </w:rPr>
        <w:t>$6,240,801.20</w:t>
      </w:r>
      <w:r w:rsidRPr="00AF3880">
        <w:t xml:space="preserve">.  Approximately 26 staff members with an estimated grade level of GS-13 review and make determinations for these grant programs.  </w:t>
      </w:r>
    </w:p>
    <w:p w:rsidR="00AE3AFB" w:rsidRDefault="00AE3AFB" w:rsidP="00AE3AFB"/>
    <w:p w:rsidR="00AE3AFB" w:rsidRDefault="00AE3AFB" w:rsidP="00AE3AFB">
      <w:pPr>
        <w:tabs>
          <w:tab w:val="left" w:pos="360"/>
        </w:tabs>
        <w:jc w:val="center"/>
        <w:rPr>
          <w:b/>
          <w:bCs/>
        </w:rPr>
      </w:pPr>
      <w:r w:rsidRPr="00877531">
        <w:rPr>
          <w:b/>
          <w:bCs/>
        </w:rPr>
        <w:t>Annual Cost to the Federal Government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66"/>
        <w:gridCol w:w="1812"/>
      </w:tblGrid>
      <w:tr w:rsidR="00AE3AFB" w:rsidRPr="00E85166" w:rsidTr="001766EC">
        <w:trPr>
          <w:trHeight w:val="70"/>
        </w:trPr>
        <w:tc>
          <w:tcPr>
            <w:tcW w:w="7566" w:type="dxa"/>
            <w:shd w:val="clear" w:color="auto" w:fill="D9D9D9"/>
            <w:noWrap/>
            <w:vAlign w:val="center"/>
          </w:tcPr>
          <w:p w:rsidR="00AE3AFB" w:rsidRPr="00E85166" w:rsidRDefault="00AE3AFB" w:rsidP="001766EC">
            <w:pPr>
              <w:jc w:val="center"/>
              <w:rPr>
                <w:rFonts w:ascii="Arial" w:hAnsi="Arial" w:cs="Arial"/>
                <w:b/>
                <w:bCs/>
                <w:sz w:val="20"/>
                <w:szCs w:val="20"/>
              </w:rPr>
            </w:pPr>
            <w:r w:rsidRPr="00E85166">
              <w:rPr>
                <w:rFonts w:ascii="Arial" w:hAnsi="Arial" w:cs="Arial"/>
                <w:b/>
                <w:bCs/>
                <w:sz w:val="20"/>
                <w:szCs w:val="20"/>
              </w:rPr>
              <w:t>Item</w:t>
            </w:r>
          </w:p>
        </w:tc>
        <w:tc>
          <w:tcPr>
            <w:tcW w:w="1812" w:type="dxa"/>
            <w:shd w:val="clear" w:color="auto" w:fill="D9D9D9"/>
            <w:noWrap/>
          </w:tcPr>
          <w:p w:rsidR="00AE3AFB" w:rsidRPr="00E85166" w:rsidRDefault="00AE3AFB" w:rsidP="001766EC">
            <w:pPr>
              <w:jc w:val="center"/>
              <w:rPr>
                <w:rFonts w:ascii="Arial" w:hAnsi="Arial" w:cs="Arial"/>
                <w:b/>
                <w:bCs/>
                <w:sz w:val="20"/>
                <w:szCs w:val="20"/>
              </w:rPr>
            </w:pPr>
            <w:r w:rsidRPr="00E85166">
              <w:rPr>
                <w:rFonts w:ascii="Arial" w:hAnsi="Arial" w:cs="Arial"/>
                <w:b/>
                <w:bCs/>
                <w:sz w:val="20"/>
                <w:szCs w:val="20"/>
              </w:rPr>
              <w:t>Cost ($)</w:t>
            </w:r>
          </w:p>
        </w:tc>
      </w:tr>
      <w:tr w:rsidR="00AE3AFB" w:rsidRPr="00E85166" w:rsidTr="001766EC">
        <w:trPr>
          <w:trHeight w:val="495"/>
        </w:trPr>
        <w:tc>
          <w:tcPr>
            <w:tcW w:w="7566" w:type="dxa"/>
          </w:tcPr>
          <w:p w:rsidR="00AE3AFB" w:rsidRDefault="00AE3AFB" w:rsidP="001766EC">
            <w:pPr>
              <w:rPr>
                <w:b/>
                <w:sz w:val="18"/>
                <w:szCs w:val="18"/>
              </w:rPr>
            </w:pPr>
            <w:r w:rsidRPr="00D951D4">
              <w:t xml:space="preserve">Contract Costs </w:t>
            </w:r>
            <w:r w:rsidRPr="00E85166">
              <w:rPr>
                <w:b/>
                <w:sz w:val="18"/>
                <w:szCs w:val="18"/>
              </w:rPr>
              <w:t>[Describe]</w:t>
            </w:r>
            <w:r>
              <w:t xml:space="preserve"> </w:t>
            </w:r>
            <w:r w:rsidRPr="002212DD">
              <w:rPr>
                <w:b/>
                <w:bCs/>
                <w:sz w:val="18"/>
                <w:szCs w:val="18"/>
              </w:rPr>
              <w:t xml:space="preserve">FEMA contracts the maintenance and enhancements to the </w:t>
            </w:r>
            <w:proofErr w:type="spellStart"/>
            <w:r w:rsidRPr="002212DD">
              <w:rPr>
                <w:b/>
                <w:bCs/>
                <w:sz w:val="18"/>
                <w:szCs w:val="18"/>
              </w:rPr>
              <w:t>eGrant</w:t>
            </w:r>
            <w:proofErr w:type="spellEnd"/>
            <w:r w:rsidRPr="002212DD">
              <w:rPr>
                <w:b/>
                <w:bCs/>
                <w:sz w:val="18"/>
                <w:szCs w:val="18"/>
              </w:rPr>
              <w:t xml:space="preserve"> data collection. </w:t>
            </w:r>
            <w:r w:rsidRPr="00C67A7F">
              <w:rPr>
                <w:b/>
                <w:bCs/>
                <w:sz w:val="18"/>
                <w:szCs w:val="18"/>
              </w:rPr>
              <w:t>The annual cost of this maintenance contract</w:t>
            </w:r>
            <w:r>
              <w:rPr>
                <w:b/>
                <w:bCs/>
                <w:sz w:val="18"/>
                <w:szCs w:val="18"/>
              </w:rPr>
              <w:t xml:space="preserve"> with IBM, Inc.</w:t>
            </w:r>
            <w:r w:rsidRPr="00C67A7F">
              <w:rPr>
                <w:b/>
                <w:bCs/>
                <w:sz w:val="18"/>
                <w:szCs w:val="18"/>
              </w:rPr>
              <w:t xml:space="preserve"> is $3,000,000.00 for the </w:t>
            </w:r>
            <w:r w:rsidRPr="00C67A7F">
              <w:rPr>
                <w:b/>
                <w:sz w:val="18"/>
                <w:szCs w:val="18"/>
              </w:rPr>
              <w:t xml:space="preserve">sustainment/maintenance of the </w:t>
            </w:r>
            <w:proofErr w:type="spellStart"/>
            <w:r w:rsidRPr="00C67A7F">
              <w:rPr>
                <w:b/>
                <w:sz w:val="18"/>
                <w:szCs w:val="18"/>
              </w:rPr>
              <w:t>eGrants</w:t>
            </w:r>
            <w:proofErr w:type="spellEnd"/>
            <w:r w:rsidRPr="00C67A7F">
              <w:rPr>
                <w:b/>
                <w:sz w:val="18"/>
                <w:szCs w:val="18"/>
              </w:rPr>
              <w:t xml:space="preserve"> system.</w:t>
            </w:r>
          </w:p>
          <w:p w:rsidR="00AE3AFB" w:rsidRPr="00D951D4" w:rsidRDefault="00AE3AFB" w:rsidP="001766EC">
            <w:r>
              <w:rPr>
                <w:b/>
                <w:sz w:val="18"/>
                <w:szCs w:val="18"/>
              </w:rPr>
              <w:t xml:space="preserve">Total cost: </w:t>
            </w:r>
            <w:r w:rsidRPr="00C67A7F">
              <w:rPr>
                <w:b/>
                <w:bCs/>
                <w:sz w:val="18"/>
                <w:szCs w:val="18"/>
              </w:rPr>
              <w:t>$3,000,000.00</w:t>
            </w:r>
          </w:p>
        </w:tc>
        <w:tc>
          <w:tcPr>
            <w:tcW w:w="1812" w:type="dxa"/>
          </w:tcPr>
          <w:p w:rsidR="00AE3AFB" w:rsidRPr="002212DD" w:rsidRDefault="00AE3AFB" w:rsidP="001766EC">
            <w:pPr>
              <w:rPr>
                <w:rFonts w:ascii="Arial" w:hAnsi="Arial" w:cs="Arial"/>
                <w:sz w:val="20"/>
                <w:szCs w:val="20"/>
              </w:rPr>
            </w:pPr>
            <w:r w:rsidRPr="002212DD">
              <w:rPr>
                <w:rFonts w:ascii="Arial" w:hAnsi="Arial" w:cs="Arial"/>
                <w:sz w:val="20"/>
                <w:szCs w:val="20"/>
              </w:rPr>
              <w:t> </w:t>
            </w:r>
            <w:r>
              <w:rPr>
                <w:b/>
                <w:bCs/>
                <w:sz w:val="20"/>
                <w:szCs w:val="20"/>
              </w:rPr>
              <w:t>$3</w:t>
            </w:r>
            <w:r w:rsidRPr="002212DD">
              <w:rPr>
                <w:b/>
                <w:bCs/>
                <w:sz w:val="20"/>
                <w:szCs w:val="20"/>
              </w:rPr>
              <w:t>,000,000.00</w:t>
            </w:r>
          </w:p>
        </w:tc>
      </w:tr>
      <w:tr w:rsidR="00AE3AFB" w:rsidRPr="00E85166" w:rsidTr="001766EC">
        <w:trPr>
          <w:trHeight w:val="510"/>
        </w:trPr>
        <w:tc>
          <w:tcPr>
            <w:tcW w:w="7566" w:type="dxa"/>
          </w:tcPr>
          <w:p w:rsidR="00AE3AFB" w:rsidRPr="00D951D4" w:rsidRDefault="00AE3AFB" w:rsidP="001766EC">
            <w:r w:rsidRPr="00D951D4">
              <w:t>Staff Salaries</w:t>
            </w:r>
            <w:r>
              <w:t>*</w:t>
            </w:r>
            <w:r w:rsidRPr="00D951D4">
              <w:t xml:space="preserve"> </w:t>
            </w:r>
            <w:r w:rsidRPr="00E85166">
              <w:rPr>
                <w:b/>
                <w:bCs/>
                <w:sz w:val="18"/>
                <w:szCs w:val="18"/>
              </w:rPr>
              <w:t>[</w:t>
            </w:r>
            <w:r>
              <w:rPr>
                <w:b/>
                <w:bCs/>
                <w:sz w:val="18"/>
                <w:szCs w:val="18"/>
              </w:rPr>
              <w:t xml:space="preserve">26 </w:t>
            </w:r>
            <w:r w:rsidRPr="00E85166">
              <w:rPr>
                <w:b/>
                <w:bCs/>
                <w:sz w:val="18"/>
                <w:szCs w:val="18"/>
              </w:rPr>
              <w:t>GS</w:t>
            </w:r>
            <w:r>
              <w:rPr>
                <w:b/>
                <w:bCs/>
                <w:sz w:val="18"/>
                <w:szCs w:val="18"/>
              </w:rPr>
              <w:t>-13</w:t>
            </w:r>
            <w:r w:rsidRPr="00E85166">
              <w:rPr>
                <w:b/>
                <w:bCs/>
                <w:sz w:val="18"/>
                <w:szCs w:val="18"/>
              </w:rPr>
              <w:t>, step</w:t>
            </w:r>
            <w:r>
              <w:rPr>
                <w:b/>
                <w:bCs/>
                <w:sz w:val="18"/>
                <w:szCs w:val="18"/>
              </w:rPr>
              <w:t xml:space="preserve"> 1</w:t>
            </w:r>
            <w:r w:rsidRPr="00E85166">
              <w:rPr>
                <w:b/>
                <w:bCs/>
                <w:sz w:val="18"/>
                <w:szCs w:val="18"/>
              </w:rPr>
              <w:t xml:space="preserve"> employees spending approximately</w:t>
            </w:r>
            <w:r>
              <w:rPr>
                <w:b/>
                <w:bCs/>
                <w:sz w:val="18"/>
                <w:szCs w:val="18"/>
              </w:rPr>
              <w:t xml:space="preserve"> 100</w:t>
            </w:r>
            <w:r w:rsidRPr="00E85166">
              <w:rPr>
                <w:b/>
                <w:bCs/>
                <w:sz w:val="18"/>
                <w:szCs w:val="18"/>
              </w:rPr>
              <w:t xml:space="preserve">% of </w:t>
            </w:r>
            <w:r>
              <w:rPr>
                <w:b/>
                <w:bCs/>
                <w:sz w:val="18"/>
                <w:szCs w:val="18"/>
              </w:rPr>
              <w:t xml:space="preserve">their </w:t>
            </w:r>
            <w:r w:rsidRPr="00E85166">
              <w:rPr>
                <w:b/>
                <w:bCs/>
                <w:sz w:val="18"/>
                <w:szCs w:val="18"/>
              </w:rPr>
              <w:t xml:space="preserve">time annually </w:t>
            </w:r>
            <w:r w:rsidRPr="001B14C6">
              <w:rPr>
                <w:b/>
                <w:bCs/>
                <w:sz w:val="18"/>
                <w:szCs w:val="18"/>
              </w:rPr>
              <w:t>reviewing and making determinations for the grant programs</w:t>
            </w:r>
            <w:r w:rsidRPr="00E85166">
              <w:rPr>
                <w:b/>
                <w:bCs/>
                <w:sz w:val="18"/>
                <w:szCs w:val="18"/>
              </w:rPr>
              <w:t>]</w:t>
            </w:r>
            <w:r>
              <w:rPr>
                <w:b/>
                <w:bCs/>
                <w:sz w:val="18"/>
                <w:szCs w:val="18"/>
              </w:rPr>
              <w:t>. 26 x $89,033.00 =  $2,314,858.00 x 1.4 = $3,240,801.20</w:t>
            </w:r>
          </w:p>
        </w:tc>
        <w:tc>
          <w:tcPr>
            <w:tcW w:w="1812" w:type="dxa"/>
            <w:noWrap/>
          </w:tcPr>
          <w:p w:rsidR="00AE3AFB" w:rsidRPr="002212DD" w:rsidRDefault="00AE3AFB" w:rsidP="001766EC">
            <w:pPr>
              <w:rPr>
                <w:rFonts w:ascii="Arial" w:hAnsi="Arial" w:cs="Arial"/>
                <w:sz w:val="20"/>
                <w:szCs w:val="20"/>
              </w:rPr>
            </w:pPr>
            <w:r w:rsidRPr="002212DD">
              <w:rPr>
                <w:rFonts w:ascii="Arial" w:hAnsi="Arial" w:cs="Arial"/>
                <w:sz w:val="20"/>
                <w:szCs w:val="20"/>
              </w:rPr>
              <w:t> </w:t>
            </w:r>
            <w:r w:rsidRPr="002212DD">
              <w:rPr>
                <w:b/>
                <w:bCs/>
                <w:sz w:val="20"/>
                <w:szCs w:val="20"/>
              </w:rPr>
              <w:t>$3,240,801.20</w:t>
            </w:r>
          </w:p>
        </w:tc>
      </w:tr>
      <w:tr w:rsidR="00AE3AFB" w:rsidRPr="00E85166" w:rsidTr="001766EC">
        <w:trPr>
          <w:trHeight w:val="270"/>
        </w:trPr>
        <w:tc>
          <w:tcPr>
            <w:tcW w:w="7566" w:type="dxa"/>
            <w:noWrap/>
          </w:tcPr>
          <w:p w:rsidR="00AE3AFB" w:rsidRPr="00D951D4" w:rsidRDefault="00AE3AFB" w:rsidP="001766EC">
            <w:r w:rsidRPr="00D951D4">
              <w:t>Facilities</w:t>
            </w:r>
            <w:r>
              <w:t xml:space="preserve"> </w:t>
            </w:r>
            <w:r w:rsidRPr="00E85166">
              <w:rPr>
                <w:b/>
                <w:sz w:val="18"/>
                <w:szCs w:val="18"/>
              </w:rPr>
              <w:t xml:space="preserve">[cost for renting, overhead, </w:t>
            </w:r>
            <w:proofErr w:type="spellStart"/>
            <w:r w:rsidRPr="00E85166">
              <w:rPr>
                <w:b/>
                <w:sz w:val="18"/>
                <w:szCs w:val="18"/>
              </w:rPr>
              <w:t>ect</w:t>
            </w:r>
            <w:proofErr w:type="spellEnd"/>
            <w:r w:rsidRPr="00E85166">
              <w:rPr>
                <w:b/>
                <w:sz w:val="18"/>
                <w:szCs w:val="18"/>
              </w:rPr>
              <w:t>. for data collection activity]</w:t>
            </w:r>
          </w:p>
        </w:tc>
        <w:tc>
          <w:tcPr>
            <w:tcW w:w="1812" w:type="dxa"/>
            <w:noWrap/>
          </w:tcPr>
          <w:p w:rsidR="00AE3AFB" w:rsidRPr="00E85166" w:rsidRDefault="00AE3AFB" w:rsidP="001766EC">
            <w:pPr>
              <w:rPr>
                <w:rFonts w:ascii="Arial" w:hAnsi="Arial" w:cs="Arial"/>
                <w:sz w:val="20"/>
                <w:szCs w:val="20"/>
              </w:rPr>
            </w:pPr>
            <w:r w:rsidRPr="00E85166">
              <w:rPr>
                <w:rFonts w:ascii="Arial" w:hAnsi="Arial" w:cs="Arial"/>
                <w:sz w:val="20"/>
                <w:szCs w:val="20"/>
              </w:rPr>
              <w:t> </w:t>
            </w:r>
          </w:p>
        </w:tc>
      </w:tr>
      <w:tr w:rsidR="00AE3AFB" w:rsidRPr="00E85166" w:rsidTr="001766EC">
        <w:trPr>
          <w:trHeight w:val="240"/>
        </w:trPr>
        <w:tc>
          <w:tcPr>
            <w:tcW w:w="7566" w:type="dxa"/>
            <w:noWrap/>
          </w:tcPr>
          <w:p w:rsidR="00AE3AFB" w:rsidRPr="00D951D4" w:rsidRDefault="00AE3AFB" w:rsidP="001766EC">
            <w:r w:rsidRPr="00D951D4">
              <w:t>Computer Hardware and Software</w:t>
            </w:r>
            <w:r>
              <w:t xml:space="preserve"> </w:t>
            </w:r>
            <w:r w:rsidRPr="00E85166">
              <w:rPr>
                <w:b/>
                <w:sz w:val="18"/>
                <w:szCs w:val="18"/>
              </w:rPr>
              <w:t>[cost of equipment annual lifecycle]</w:t>
            </w:r>
          </w:p>
        </w:tc>
        <w:tc>
          <w:tcPr>
            <w:tcW w:w="1812" w:type="dxa"/>
            <w:noWrap/>
          </w:tcPr>
          <w:p w:rsidR="00AE3AFB" w:rsidRPr="00E85166" w:rsidRDefault="00AE3AFB" w:rsidP="001766EC">
            <w:pPr>
              <w:rPr>
                <w:rFonts w:ascii="Arial" w:hAnsi="Arial" w:cs="Arial"/>
                <w:sz w:val="20"/>
                <w:szCs w:val="20"/>
              </w:rPr>
            </w:pPr>
            <w:r w:rsidRPr="00E85166">
              <w:rPr>
                <w:rFonts w:ascii="Arial" w:hAnsi="Arial" w:cs="Arial"/>
                <w:sz w:val="20"/>
                <w:szCs w:val="20"/>
              </w:rPr>
              <w:t> </w:t>
            </w:r>
          </w:p>
        </w:tc>
      </w:tr>
      <w:tr w:rsidR="00AE3AFB" w:rsidRPr="00E85166" w:rsidTr="001766EC">
        <w:trPr>
          <w:trHeight w:val="255"/>
        </w:trPr>
        <w:tc>
          <w:tcPr>
            <w:tcW w:w="7566" w:type="dxa"/>
            <w:noWrap/>
          </w:tcPr>
          <w:p w:rsidR="00AE3AFB" w:rsidRPr="00D951D4" w:rsidRDefault="00AE3AFB" w:rsidP="001766EC">
            <w:r w:rsidRPr="00D951D4">
              <w:t>Equipment Maintenance</w:t>
            </w:r>
            <w:r>
              <w:t xml:space="preserve"> </w:t>
            </w:r>
            <w:r w:rsidRPr="00E85166">
              <w:rPr>
                <w:b/>
                <w:sz w:val="18"/>
                <w:szCs w:val="18"/>
              </w:rPr>
              <w:t>[cost of annual maintenance/service agreements for equipment]</w:t>
            </w:r>
          </w:p>
        </w:tc>
        <w:tc>
          <w:tcPr>
            <w:tcW w:w="1812" w:type="dxa"/>
            <w:noWrap/>
          </w:tcPr>
          <w:p w:rsidR="00AE3AFB" w:rsidRPr="00E85166" w:rsidRDefault="00AE3AFB" w:rsidP="001766EC">
            <w:pPr>
              <w:rPr>
                <w:rFonts w:ascii="Arial" w:hAnsi="Arial" w:cs="Arial"/>
                <w:sz w:val="20"/>
                <w:szCs w:val="20"/>
              </w:rPr>
            </w:pPr>
            <w:r w:rsidRPr="00E85166">
              <w:rPr>
                <w:rFonts w:ascii="Arial" w:hAnsi="Arial" w:cs="Arial"/>
                <w:sz w:val="20"/>
                <w:szCs w:val="20"/>
              </w:rPr>
              <w:t> </w:t>
            </w:r>
          </w:p>
        </w:tc>
      </w:tr>
      <w:tr w:rsidR="00AE3AFB" w:rsidRPr="00E85166" w:rsidTr="001766EC">
        <w:trPr>
          <w:trHeight w:val="255"/>
        </w:trPr>
        <w:tc>
          <w:tcPr>
            <w:tcW w:w="7566" w:type="dxa"/>
            <w:noWrap/>
          </w:tcPr>
          <w:p w:rsidR="00AE3AFB" w:rsidRPr="00D951D4" w:rsidRDefault="00AE3AFB" w:rsidP="001766EC">
            <w:r w:rsidRPr="00D951D4">
              <w:t xml:space="preserve">Travel </w:t>
            </w:r>
          </w:p>
        </w:tc>
        <w:tc>
          <w:tcPr>
            <w:tcW w:w="1812" w:type="dxa"/>
            <w:noWrap/>
          </w:tcPr>
          <w:p w:rsidR="00AE3AFB" w:rsidRPr="00E85166" w:rsidRDefault="00AE3AFB" w:rsidP="001766EC">
            <w:pPr>
              <w:rPr>
                <w:rFonts w:ascii="Arial" w:hAnsi="Arial" w:cs="Arial"/>
                <w:sz w:val="20"/>
                <w:szCs w:val="20"/>
              </w:rPr>
            </w:pPr>
            <w:r w:rsidRPr="00E85166">
              <w:rPr>
                <w:rFonts w:ascii="Arial" w:hAnsi="Arial" w:cs="Arial"/>
                <w:sz w:val="20"/>
                <w:szCs w:val="20"/>
              </w:rPr>
              <w:t> </w:t>
            </w:r>
          </w:p>
        </w:tc>
      </w:tr>
      <w:tr w:rsidR="00AE3AFB" w:rsidRPr="00E85166" w:rsidTr="001766EC">
        <w:trPr>
          <w:trHeight w:val="255"/>
        </w:trPr>
        <w:tc>
          <w:tcPr>
            <w:tcW w:w="7566" w:type="dxa"/>
            <w:noWrap/>
          </w:tcPr>
          <w:p w:rsidR="00AE3AFB" w:rsidRPr="00D951D4" w:rsidRDefault="00AE3AFB" w:rsidP="001766EC">
            <w:r w:rsidRPr="00D951D4">
              <w:t xml:space="preserve">Printing </w:t>
            </w:r>
            <w:r w:rsidRPr="00E85166">
              <w:rPr>
                <w:b/>
                <w:sz w:val="18"/>
                <w:szCs w:val="18"/>
              </w:rPr>
              <w:t>[number of data collection instruments annually]</w:t>
            </w:r>
          </w:p>
        </w:tc>
        <w:tc>
          <w:tcPr>
            <w:tcW w:w="1812" w:type="dxa"/>
            <w:noWrap/>
          </w:tcPr>
          <w:p w:rsidR="00AE3AFB" w:rsidRPr="00E85166" w:rsidRDefault="00AE3AFB" w:rsidP="001766EC">
            <w:pPr>
              <w:rPr>
                <w:rFonts w:ascii="Arial" w:hAnsi="Arial" w:cs="Arial"/>
                <w:sz w:val="20"/>
                <w:szCs w:val="20"/>
              </w:rPr>
            </w:pPr>
            <w:r w:rsidRPr="00E85166">
              <w:rPr>
                <w:rFonts w:ascii="Arial" w:hAnsi="Arial" w:cs="Arial"/>
                <w:sz w:val="20"/>
                <w:szCs w:val="20"/>
              </w:rPr>
              <w:t> </w:t>
            </w:r>
          </w:p>
        </w:tc>
      </w:tr>
      <w:tr w:rsidR="00AE3AFB" w:rsidRPr="00E85166" w:rsidTr="001766EC">
        <w:trPr>
          <w:trHeight w:val="255"/>
        </w:trPr>
        <w:tc>
          <w:tcPr>
            <w:tcW w:w="7566" w:type="dxa"/>
            <w:noWrap/>
          </w:tcPr>
          <w:p w:rsidR="00AE3AFB" w:rsidRPr="00E85166" w:rsidRDefault="00AE3AFB" w:rsidP="001766EC">
            <w:pPr>
              <w:rPr>
                <w:rFonts w:ascii="Arial" w:hAnsi="Arial" w:cs="Arial"/>
                <w:sz w:val="20"/>
                <w:szCs w:val="20"/>
              </w:rPr>
            </w:pPr>
            <w:r w:rsidRPr="00E85166">
              <w:rPr>
                <w:rFonts w:ascii="Arial" w:hAnsi="Arial" w:cs="Arial"/>
                <w:sz w:val="20"/>
                <w:szCs w:val="20"/>
              </w:rPr>
              <w:t xml:space="preserve">Postage </w:t>
            </w:r>
            <w:r w:rsidRPr="00E85166">
              <w:rPr>
                <w:rFonts w:ascii="Arial" w:hAnsi="Arial" w:cs="Arial"/>
                <w:b/>
                <w:sz w:val="18"/>
                <w:szCs w:val="18"/>
              </w:rPr>
              <w:t>[annual number of data collection instruments x postage]</w:t>
            </w:r>
          </w:p>
        </w:tc>
        <w:tc>
          <w:tcPr>
            <w:tcW w:w="1812" w:type="dxa"/>
            <w:noWrap/>
          </w:tcPr>
          <w:p w:rsidR="00AE3AFB" w:rsidRPr="00E85166" w:rsidRDefault="00AE3AFB" w:rsidP="001766EC">
            <w:pPr>
              <w:rPr>
                <w:rFonts w:ascii="Arial" w:hAnsi="Arial" w:cs="Arial"/>
                <w:sz w:val="20"/>
                <w:szCs w:val="20"/>
              </w:rPr>
            </w:pPr>
            <w:r w:rsidRPr="00E85166">
              <w:rPr>
                <w:rFonts w:ascii="Arial" w:hAnsi="Arial" w:cs="Arial"/>
                <w:sz w:val="20"/>
                <w:szCs w:val="20"/>
              </w:rPr>
              <w:t> </w:t>
            </w:r>
          </w:p>
        </w:tc>
      </w:tr>
      <w:tr w:rsidR="00AE3AFB" w:rsidRPr="00E85166" w:rsidTr="001766EC">
        <w:trPr>
          <w:trHeight w:val="255"/>
        </w:trPr>
        <w:tc>
          <w:tcPr>
            <w:tcW w:w="7566" w:type="dxa"/>
            <w:noWrap/>
          </w:tcPr>
          <w:p w:rsidR="00AE3AFB" w:rsidRPr="00E85166" w:rsidRDefault="00AE3AFB" w:rsidP="001766EC">
            <w:pPr>
              <w:rPr>
                <w:rFonts w:ascii="Arial" w:hAnsi="Arial" w:cs="Arial"/>
                <w:sz w:val="20"/>
                <w:szCs w:val="20"/>
              </w:rPr>
            </w:pPr>
            <w:r w:rsidRPr="00E85166">
              <w:rPr>
                <w:rFonts w:ascii="Arial" w:hAnsi="Arial" w:cs="Arial"/>
                <w:sz w:val="20"/>
                <w:szCs w:val="20"/>
              </w:rPr>
              <w:t>Other</w:t>
            </w:r>
          </w:p>
        </w:tc>
        <w:tc>
          <w:tcPr>
            <w:tcW w:w="1812" w:type="dxa"/>
            <w:noWrap/>
          </w:tcPr>
          <w:p w:rsidR="00AE3AFB" w:rsidRPr="00E85166" w:rsidRDefault="00AE3AFB" w:rsidP="001766EC">
            <w:pPr>
              <w:rPr>
                <w:rFonts w:ascii="Arial" w:hAnsi="Arial" w:cs="Arial"/>
                <w:sz w:val="20"/>
                <w:szCs w:val="20"/>
              </w:rPr>
            </w:pPr>
            <w:r w:rsidRPr="00E85166">
              <w:rPr>
                <w:rFonts w:ascii="Arial" w:hAnsi="Arial" w:cs="Arial"/>
                <w:sz w:val="20"/>
                <w:szCs w:val="20"/>
              </w:rPr>
              <w:t> </w:t>
            </w:r>
          </w:p>
        </w:tc>
      </w:tr>
      <w:tr w:rsidR="00AE3AFB" w:rsidRPr="00E85166" w:rsidTr="001766EC">
        <w:trPr>
          <w:trHeight w:val="270"/>
        </w:trPr>
        <w:tc>
          <w:tcPr>
            <w:tcW w:w="7566" w:type="dxa"/>
            <w:noWrap/>
          </w:tcPr>
          <w:p w:rsidR="00AE3AFB" w:rsidRPr="00E85166" w:rsidRDefault="00AE3AFB" w:rsidP="001766EC">
            <w:pPr>
              <w:rPr>
                <w:rFonts w:ascii="Arial" w:hAnsi="Arial" w:cs="Arial"/>
                <w:b/>
                <w:bCs/>
                <w:sz w:val="20"/>
                <w:szCs w:val="20"/>
              </w:rPr>
            </w:pPr>
            <w:r w:rsidRPr="00E85166">
              <w:rPr>
                <w:rFonts w:ascii="Arial" w:hAnsi="Arial" w:cs="Arial"/>
                <w:b/>
                <w:bCs/>
                <w:sz w:val="20"/>
                <w:szCs w:val="20"/>
              </w:rPr>
              <w:t>Total</w:t>
            </w:r>
          </w:p>
        </w:tc>
        <w:tc>
          <w:tcPr>
            <w:tcW w:w="1812" w:type="dxa"/>
            <w:noWrap/>
          </w:tcPr>
          <w:p w:rsidR="00AE3AFB" w:rsidRPr="00C247E5" w:rsidRDefault="00AE3AFB" w:rsidP="001766EC">
            <w:pPr>
              <w:rPr>
                <w:b/>
                <w:bCs/>
                <w:sz w:val="20"/>
                <w:szCs w:val="20"/>
              </w:rPr>
            </w:pPr>
            <w:r w:rsidRPr="00C247E5">
              <w:rPr>
                <w:b/>
                <w:bCs/>
                <w:sz w:val="20"/>
                <w:szCs w:val="20"/>
              </w:rPr>
              <w:t>$</w:t>
            </w:r>
            <w:r>
              <w:rPr>
                <w:b/>
                <w:bCs/>
                <w:sz w:val="20"/>
                <w:szCs w:val="20"/>
              </w:rPr>
              <w:t>6,240,801</w:t>
            </w:r>
            <w:r w:rsidRPr="00C247E5">
              <w:rPr>
                <w:b/>
                <w:bCs/>
                <w:sz w:val="20"/>
                <w:szCs w:val="20"/>
              </w:rPr>
              <w:t>.</w:t>
            </w:r>
            <w:r>
              <w:rPr>
                <w:b/>
                <w:bCs/>
                <w:sz w:val="20"/>
                <w:szCs w:val="20"/>
              </w:rPr>
              <w:t>2</w:t>
            </w:r>
            <w:r w:rsidRPr="00C247E5">
              <w:rPr>
                <w:b/>
                <w:bCs/>
                <w:sz w:val="20"/>
                <w:szCs w:val="20"/>
              </w:rPr>
              <w:t>0</w:t>
            </w:r>
          </w:p>
        </w:tc>
      </w:tr>
    </w:tbl>
    <w:p w:rsidR="00AE3AFB" w:rsidRDefault="00AE3AFB" w:rsidP="00AE3AFB">
      <w:pPr>
        <w:tabs>
          <w:tab w:val="left" w:pos="-720"/>
        </w:tabs>
        <w:suppressAutoHyphens/>
        <w:rPr>
          <w:sz w:val="16"/>
          <w:szCs w:val="16"/>
        </w:rPr>
      </w:pPr>
      <w:r w:rsidRPr="009B69D3">
        <w:rPr>
          <w:sz w:val="16"/>
          <w:szCs w:val="16"/>
        </w:rPr>
        <w:t xml:space="preserve">* </w:t>
      </w:r>
      <w:r w:rsidRPr="00430168">
        <w:rPr>
          <w:b/>
          <w:sz w:val="16"/>
          <w:szCs w:val="16"/>
        </w:rPr>
        <w:t>Note</w:t>
      </w:r>
      <w:r w:rsidRPr="009B69D3">
        <w:rPr>
          <w:sz w:val="16"/>
          <w:szCs w:val="16"/>
        </w:rPr>
        <w:t>: The “</w:t>
      </w:r>
      <w:r>
        <w:rPr>
          <w:sz w:val="16"/>
          <w:szCs w:val="16"/>
        </w:rPr>
        <w:t>Salary</w:t>
      </w:r>
      <w:r w:rsidRPr="009B69D3">
        <w:rPr>
          <w:sz w:val="16"/>
          <w:szCs w:val="16"/>
        </w:rPr>
        <w:t xml:space="preserve"> Rate” includes a 1.4 multiplier to reflect a fully-loaded wage rate.</w:t>
      </w:r>
    </w:p>
    <w:p w:rsidR="00AE3AFB" w:rsidRDefault="00AE3AFB" w:rsidP="00AE3AFB">
      <w:pPr>
        <w:tabs>
          <w:tab w:val="left" w:pos="-720"/>
        </w:tabs>
        <w:suppressAutoHyphens/>
        <w:rPr>
          <w:sz w:val="16"/>
          <w:szCs w:val="16"/>
        </w:rPr>
      </w:pPr>
    </w:p>
    <w:p w:rsidR="00AE3AFB" w:rsidRDefault="00AE3AFB" w:rsidP="00AE3AFB">
      <w:pPr>
        <w:tabs>
          <w:tab w:val="left" w:pos="-720"/>
        </w:tabs>
        <w:suppressAutoHyphens/>
        <w:rPr>
          <w:sz w:val="16"/>
          <w:szCs w:val="16"/>
        </w:rPr>
      </w:pPr>
    </w:p>
    <w:p w:rsidR="00430168" w:rsidRDefault="00430168" w:rsidP="00AE3AFB">
      <w:pPr>
        <w:tabs>
          <w:tab w:val="left" w:pos="-720"/>
        </w:tabs>
        <w:suppressAutoHyphens/>
        <w:rPr>
          <w:sz w:val="16"/>
          <w:szCs w:val="16"/>
        </w:rPr>
      </w:pPr>
    </w:p>
    <w:p w:rsidR="00972A95" w:rsidRDefault="00972A95" w:rsidP="00AE3AFB">
      <w:pPr>
        <w:tabs>
          <w:tab w:val="left" w:pos="-720"/>
        </w:tabs>
        <w:suppressAutoHyphens/>
        <w:rPr>
          <w:sz w:val="16"/>
          <w:szCs w:val="16"/>
        </w:rPr>
      </w:pPr>
    </w:p>
    <w:p w:rsidR="00AE3AFB" w:rsidRDefault="00405CB2" w:rsidP="00AE3AFB">
      <w:pPr>
        <w:rPr>
          <w:b/>
        </w:rPr>
      </w:pPr>
      <w:r>
        <w:lastRenderedPageBreak/>
        <w:fldChar w:fldCharType="begin"/>
      </w:r>
      <w:r w:rsidR="00AE3AFB">
        <w:instrText>ADVANCE \R 0.95</w:instrText>
      </w:r>
      <w:r>
        <w:fldChar w:fldCharType="end"/>
      </w:r>
      <w:r>
        <w:fldChar w:fldCharType="begin"/>
      </w:r>
      <w:r w:rsidR="00AE3AFB">
        <w:instrText>ADVANCE \R 0.95</w:instrText>
      </w:r>
      <w:r>
        <w:fldChar w:fldCharType="end"/>
      </w:r>
      <w:r w:rsidR="00AE3AFB">
        <w:t xml:space="preserve">     </w:t>
      </w:r>
      <w:r w:rsidR="00AE3AFB" w:rsidRPr="00974EA8">
        <w:rPr>
          <w:b/>
        </w:rPr>
        <w:t xml:space="preserve">15.  Explain the reasons for any program changes or adjustments reported in Items 13 or 14 of the OMB Form 83-I in a narrative form.  Present the </w:t>
      </w:r>
      <w:r w:rsidR="00AE3AFB">
        <w:rPr>
          <w:b/>
        </w:rPr>
        <w:t xml:space="preserve">itemized </w:t>
      </w:r>
      <w:r w:rsidR="00AE3AFB" w:rsidRPr="00974EA8">
        <w:rPr>
          <w:b/>
        </w:rPr>
        <w:t xml:space="preserve">changes in </w:t>
      </w:r>
      <w:proofErr w:type="spellStart"/>
      <w:r w:rsidR="00AE3AFB" w:rsidRPr="00974EA8">
        <w:rPr>
          <w:b/>
        </w:rPr>
        <w:t>hour</w:t>
      </w:r>
      <w:proofErr w:type="spellEnd"/>
      <w:r w:rsidR="00AE3AFB" w:rsidRPr="00974EA8">
        <w:rPr>
          <w:b/>
        </w:rPr>
        <w:t xml:space="preserve"> burden and cost burden according to program changes or adjustments in </w:t>
      </w:r>
      <w:r w:rsidR="00AE3AFB">
        <w:rPr>
          <w:b/>
        </w:rPr>
        <w:t>T</w:t>
      </w:r>
      <w:r w:rsidR="00AE3AFB" w:rsidRPr="00974EA8">
        <w:rPr>
          <w:b/>
        </w:rPr>
        <w:t>able 5.  Denote a program increase as a positive number, and a progra</w:t>
      </w:r>
      <w:r w:rsidR="00AE3AFB">
        <w:rPr>
          <w:b/>
        </w:rPr>
        <w:t>m decrease as a negative number</w:t>
      </w:r>
      <w:r w:rsidR="00AE3AFB" w:rsidRPr="00974EA8">
        <w:rPr>
          <w:b/>
        </w:rPr>
        <w:t xml:space="preserve">.  </w:t>
      </w:r>
    </w:p>
    <w:p w:rsidR="00AE3AFB" w:rsidRPr="003B1C2C" w:rsidRDefault="00AE3AFB" w:rsidP="00AE3AFB">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AE3AFB" w:rsidRPr="003B1C2C" w:rsidRDefault="00AE3AFB" w:rsidP="00AE3AFB">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AE3AFB" w:rsidRDefault="00AE3AFB" w:rsidP="00AE3AFB">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E3AFB" w:rsidRDefault="00AE3AFB" w:rsidP="00AE3AFB">
      <w:pPr>
        <w:rPr>
          <w:bCs/>
        </w:rPr>
      </w:pPr>
      <w:r w:rsidRPr="00543ED5">
        <w:rPr>
          <w:b/>
          <w:bCs/>
          <w:i/>
        </w:rPr>
        <w:t xml:space="preserve">Explain: </w:t>
      </w:r>
      <w:r w:rsidRPr="00543ED5">
        <w:rPr>
          <w:bCs/>
        </w:rPr>
        <w:t>There are no changes to the annual hour burden</w:t>
      </w:r>
      <w:r>
        <w:rPr>
          <w:bCs/>
        </w:rPr>
        <w:t xml:space="preserve"> and there has been no change to the information being collected</w:t>
      </w:r>
      <w:r w:rsidRPr="00543ED5">
        <w:rPr>
          <w:bCs/>
        </w:rPr>
        <w:t>.</w:t>
      </w:r>
    </w:p>
    <w:p w:rsidR="00AE3AFB" w:rsidRDefault="00AE3AFB" w:rsidP="00AE3AFB">
      <w:pPr>
        <w:rPr>
          <w:bCs/>
        </w:rPr>
      </w:pPr>
    </w:p>
    <w:p w:rsidR="00AE3AFB" w:rsidRDefault="00AE3AFB" w:rsidP="00AE3AFB">
      <w:pPr>
        <w:rPr>
          <w:bCs/>
        </w:rPr>
      </w:pPr>
    </w:p>
    <w:p w:rsidR="00AE3AFB" w:rsidRDefault="00AE3AFB" w:rsidP="00AE3AFB">
      <w:pPr>
        <w:rPr>
          <w:b/>
          <w:bCs/>
          <w:i/>
        </w:rPr>
      </w:pPr>
    </w:p>
    <w:tbl>
      <w:tblPr>
        <w:tblW w:w="10360" w:type="dxa"/>
        <w:jc w:val="center"/>
        <w:tblInd w:w="93" w:type="dxa"/>
        <w:tblLook w:val="0000"/>
      </w:tblPr>
      <w:tblGrid>
        <w:gridCol w:w="2224"/>
        <w:gridCol w:w="1240"/>
        <w:gridCol w:w="960"/>
        <w:gridCol w:w="1260"/>
        <w:gridCol w:w="1468"/>
        <w:gridCol w:w="1468"/>
        <w:gridCol w:w="1740"/>
      </w:tblGrid>
      <w:tr w:rsidR="00AE3AFB" w:rsidTr="001766EC">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AE3AFB" w:rsidRDefault="00AE3AFB" w:rsidP="001766EC">
            <w:pPr>
              <w:jc w:val="center"/>
              <w:rPr>
                <w:b/>
                <w:bCs/>
                <w:sz w:val="18"/>
                <w:szCs w:val="18"/>
              </w:rPr>
            </w:pPr>
            <w:r>
              <w:rPr>
                <w:b/>
                <w:bCs/>
                <w:sz w:val="18"/>
                <w:szCs w:val="18"/>
              </w:rPr>
              <w:t>Itemized Changes in Annual Cost Burden</w:t>
            </w:r>
          </w:p>
        </w:tc>
      </w:tr>
      <w:tr w:rsidR="00AE3AFB" w:rsidTr="001766EC">
        <w:trPr>
          <w:trHeight w:val="1215"/>
          <w:jc w:val="center"/>
        </w:trPr>
        <w:tc>
          <w:tcPr>
            <w:tcW w:w="2292" w:type="dxa"/>
            <w:tcBorders>
              <w:top w:val="nil"/>
              <w:left w:val="single" w:sz="8" w:space="0" w:color="auto"/>
              <w:bottom w:val="single" w:sz="8" w:space="0" w:color="auto"/>
              <w:right w:val="single" w:sz="8" w:space="0" w:color="auto"/>
            </w:tcBorders>
            <w:shd w:val="clear" w:color="auto" w:fill="C0C0C0"/>
            <w:vAlign w:val="bottom"/>
          </w:tcPr>
          <w:p w:rsidR="00AE3AFB" w:rsidRDefault="00AE3AFB" w:rsidP="001766EC">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AE3AFB" w:rsidRDefault="00AE3AFB" w:rsidP="001766EC">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AE3AFB" w:rsidRDefault="00AE3AFB" w:rsidP="001766EC">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AE3AFB" w:rsidRDefault="00AE3AFB" w:rsidP="001766EC">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AE3AFB" w:rsidRDefault="00AE3AFB" w:rsidP="001766EC">
            <w:pPr>
              <w:jc w:val="center"/>
              <w:rPr>
                <w:b/>
                <w:bCs/>
                <w:sz w:val="18"/>
                <w:szCs w:val="18"/>
              </w:rPr>
            </w:pPr>
            <w:r>
              <w:rPr>
                <w:b/>
                <w:bCs/>
                <w:sz w:val="18"/>
                <w:szCs w:val="18"/>
              </w:rPr>
              <w:t>Adjustment (cost currently on OMB Inventory)</w:t>
            </w:r>
          </w:p>
        </w:tc>
        <w:tc>
          <w:tcPr>
            <w:tcW w:w="1468" w:type="dxa"/>
            <w:tcBorders>
              <w:top w:val="nil"/>
              <w:left w:val="nil"/>
              <w:bottom w:val="single" w:sz="8" w:space="0" w:color="auto"/>
              <w:right w:val="single" w:sz="8" w:space="0" w:color="auto"/>
            </w:tcBorders>
            <w:shd w:val="clear" w:color="auto" w:fill="C0C0C0"/>
            <w:vAlign w:val="bottom"/>
          </w:tcPr>
          <w:p w:rsidR="00AE3AFB" w:rsidRDefault="00AE3AFB" w:rsidP="001766EC">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AE3AFB" w:rsidRDefault="00AE3AFB" w:rsidP="001766EC">
            <w:pPr>
              <w:jc w:val="center"/>
              <w:rPr>
                <w:b/>
                <w:bCs/>
                <w:sz w:val="18"/>
                <w:szCs w:val="18"/>
              </w:rPr>
            </w:pPr>
            <w:r>
              <w:rPr>
                <w:b/>
                <w:bCs/>
                <w:sz w:val="18"/>
                <w:szCs w:val="18"/>
              </w:rPr>
              <w:t>Difference</w:t>
            </w:r>
          </w:p>
        </w:tc>
      </w:tr>
      <w:tr w:rsidR="00AE3AFB" w:rsidTr="001766EC">
        <w:trPr>
          <w:trHeight w:val="270"/>
          <w:jc w:val="center"/>
        </w:trPr>
        <w:tc>
          <w:tcPr>
            <w:tcW w:w="2292" w:type="dxa"/>
            <w:tcBorders>
              <w:top w:val="nil"/>
              <w:left w:val="single" w:sz="8" w:space="0" w:color="auto"/>
              <w:bottom w:val="single" w:sz="8" w:space="0" w:color="auto"/>
              <w:right w:val="single" w:sz="8" w:space="0" w:color="auto"/>
            </w:tcBorders>
            <w:shd w:val="clear" w:color="auto" w:fill="auto"/>
            <w:vAlign w:val="bottom"/>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Benefit-Cost Determination</w:t>
            </w:r>
          </w:p>
        </w:tc>
        <w:tc>
          <w:tcPr>
            <w:tcW w:w="124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AE3AFB" w:rsidRDefault="00AE3AFB" w:rsidP="001766EC">
            <w:pPr>
              <w:rPr>
                <w:rFonts w:ascii="Arial" w:hAnsi="Arial" w:cs="Arial"/>
                <w:sz w:val="18"/>
                <w:szCs w:val="18"/>
              </w:rPr>
            </w:pPr>
            <w:r>
              <w:rPr>
                <w:rFonts w:ascii="Arial" w:hAnsi="Arial" w:cs="Arial"/>
                <w:sz w:val="18"/>
                <w:szCs w:val="18"/>
              </w:rPr>
              <w:t xml:space="preserve">    $222,852</w:t>
            </w:r>
          </w:p>
        </w:tc>
        <w:tc>
          <w:tcPr>
            <w:tcW w:w="1468"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$365,735</w:t>
            </w:r>
          </w:p>
        </w:tc>
        <w:tc>
          <w:tcPr>
            <w:tcW w:w="174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+$142,883</w:t>
            </w:r>
          </w:p>
        </w:tc>
      </w:tr>
      <w:tr w:rsidR="00AE3AFB" w:rsidTr="001766EC">
        <w:trPr>
          <w:trHeight w:val="270"/>
          <w:jc w:val="center"/>
        </w:trPr>
        <w:tc>
          <w:tcPr>
            <w:tcW w:w="2292" w:type="dxa"/>
            <w:tcBorders>
              <w:top w:val="nil"/>
              <w:left w:val="single" w:sz="8" w:space="0" w:color="auto"/>
              <w:bottom w:val="single" w:sz="8" w:space="0" w:color="auto"/>
              <w:right w:val="single" w:sz="8" w:space="0" w:color="auto"/>
            </w:tcBorders>
            <w:shd w:val="clear" w:color="auto" w:fill="auto"/>
            <w:vAlign w:val="bottom"/>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Environmental Review</w:t>
            </w:r>
          </w:p>
        </w:tc>
        <w:tc>
          <w:tcPr>
            <w:tcW w:w="124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AE3AFB" w:rsidRDefault="00AE3AFB" w:rsidP="001766EC">
            <w:pPr>
              <w:rPr>
                <w:rFonts w:ascii="Arial" w:hAnsi="Arial" w:cs="Arial"/>
                <w:sz w:val="18"/>
                <w:szCs w:val="18"/>
              </w:rPr>
            </w:pPr>
            <w:r>
              <w:rPr>
                <w:rFonts w:ascii="Arial" w:hAnsi="Arial" w:cs="Arial"/>
                <w:sz w:val="18"/>
                <w:szCs w:val="18"/>
              </w:rPr>
              <w:t xml:space="preserve">    $334,278 </w:t>
            </w:r>
          </w:p>
        </w:tc>
        <w:tc>
          <w:tcPr>
            <w:tcW w:w="1468"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$548,605 </w:t>
            </w:r>
          </w:p>
        </w:tc>
        <w:tc>
          <w:tcPr>
            <w:tcW w:w="174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+$214,327 </w:t>
            </w:r>
          </w:p>
        </w:tc>
      </w:tr>
      <w:tr w:rsidR="00AE3AFB" w:rsidTr="001766EC">
        <w:trPr>
          <w:trHeight w:val="270"/>
          <w:jc w:val="center"/>
        </w:trPr>
        <w:tc>
          <w:tcPr>
            <w:tcW w:w="2292" w:type="dxa"/>
            <w:tcBorders>
              <w:top w:val="nil"/>
              <w:left w:val="single" w:sz="8" w:space="0" w:color="auto"/>
              <w:bottom w:val="single" w:sz="8" w:space="0" w:color="auto"/>
              <w:right w:val="single" w:sz="8" w:space="0" w:color="auto"/>
            </w:tcBorders>
            <w:shd w:val="clear" w:color="auto" w:fill="auto"/>
            <w:vAlign w:val="bottom"/>
          </w:tcPr>
          <w:p w:rsidR="00AE3AFB" w:rsidRPr="002723B8" w:rsidRDefault="00AE3AFB" w:rsidP="001766EC">
            <w:pPr>
              <w:jc w:val="center"/>
              <w:rPr>
                <w:rFonts w:ascii="Arial" w:hAnsi="Arial" w:cs="Arial"/>
                <w:color w:val="000000"/>
                <w:sz w:val="18"/>
                <w:szCs w:val="18"/>
              </w:rPr>
            </w:pPr>
            <w:r w:rsidRPr="002723B8">
              <w:rPr>
                <w:rFonts w:ascii="Arial" w:hAnsi="Arial" w:cs="Arial"/>
                <w:color w:val="000000"/>
                <w:sz w:val="18"/>
                <w:szCs w:val="18"/>
              </w:rPr>
              <w:t> Project Narrative-Sub-grant Application</w:t>
            </w:r>
          </w:p>
        </w:tc>
        <w:tc>
          <w:tcPr>
            <w:tcW w:w="124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 $606,157.40</w:t>
            </w:r>
          </w:p>
        </w:tc>
        <w:tc>
          <w:tcPr>
            <w:tcW w:w="1468"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$994,803 </w:t>
            </w:r>
          </w:p>
        </w:tc>
        <w:tc>
          <w:tcPr>
            <w:tcW w:w="1740" w:type="dxa"/>
            <w:tcBorders>
              <w:top w:val="nil"/>
              <w:left w:val="nil"/>
              <w:bottom w:val="single" w:sz="8" w:space="0" w:color="auto"/>
              <w:right w:val="single" w:sz="8" w:space="0" w:color="auto"/>
            </w:tcBorders>
            <w:shd w:val="clear" w:color="auto" w:fill="auto"/>
            <w:noWrap/>
            <w:vAlign w:val="bottom"/>
          </w:tcPr>
          <w:p w:rsidR="00AE3AFB" w:rsidRDefault="00AE3AFB" w:rsidP="001766EC">
            <w:pPr>
              <w:jc w:val="center"/>
              <w:rPr>
                <w:rFonts w:ascii="Arial" w:hAnsi="Arial" w:cs="Arial"/>
                <w:sz w:val="18"/>
                <w:szCs w:val="18"/>
              </w:rPr>
            </w:pPr>
            <w:r>
              <w:rPr>
                <w:rFonts w:ascii="Arial" w:hAnsi="Arial" w:cs="Arial"/>
                <w:sz w:val="18"/>
                <w:szCs w:val="18"/>
              </w:rPr>
              <w:t> +$388,645.60</w:t>
            </w:r>
          </w:p>
        </w:tc>
      </w:tr>
      <w:tr w:rsidR="00AE3AFB" w:rsidTr="001766EC">
        <w:trPr>
          <w:trHeight w:val="270"/>
          <w:jc w:val="center"/>
        </w:trPr>
        <w:tc>
          <w:tcPr>
            <w:tcW w:w="2292" w:type="dxa"/>
            <w:tcBorders>
              <w:top w:val="nil"/>
              <w:left w:val="single" w:sz="8" w:space="0" w:color="auto"/>
              <w:bottom w:val="single" w:sz="8" w:space="0" w:color="auto"/>
              <w:right w:val="single" w:sz="8" w:space="0" w:color="auto"/>
            </w:tcBorders>
            <w:shd w:val="clear" w:color="auto" w:fill="auto"/>
            <w:vAlign w:val="bottom"/>
          </w:tcPr>
          <w:p w:rsidR="00AE3AFB" w:rsidRPr="00AC4850" w:rsidRDefault="00AE3AFB" w:rsidP="001766EC">
            <w:pPr>
              <w:jc w:val="center"/>
              <w:rPr>
                <w:b/>
                <w:bCs/>
                <w:sz w:val="18"/>
                <w:szCs w:val="18"/>
              </w:rPr>
            </w:pPr>
            <w:r w:rsidRPr="00AC4850">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AE3AFB" w:rsidRPr="00AC4850" w:rsidRDefault="00AE3AFB" w:rsidP="001766EC">
            <w:pPr>
              <w:jc w:val="center"/>
              <w:rPr>
                <w:rFonts w:ascii="Arial" w:hAnsi="Arial" w:cs="Arial"/>
                <w:b/>
                <w:sz w:val="18"/>
                <w:szCs w:val="18"/>
              </w:rPr>
            </w:pPr>
            <w:r w:rsidRPr="00AC4850">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AE3AFB" w:rsidRPr="00AC4850" w:rsidRDefault="00AE3AFB" w:rsidP="001766EC">
            <w:pPr>
              <w:jc w:val="center"/>
              <w:rPr>
                <w:rFonts w:ascii="Arial" w:hAnsi="Arial" w:cs="Arial"/>
                <w:b/>
                <w:sz w:val="18"/>
                <w:szCs w:val="18"/>
              </w:rPr>
            </w:pPr>
            <w:r w:rsidRPr="00AC4850">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AE3AFB" w:rsidRPr="00AC4850" w:rsidRDefault="00AE3AFB" w:rsidP="001766EC">
            <w:pPr>
              <w:jc w:val="center"/>
              <w:rPr>
                <w:rFonts w:ascii="Arial" w:hAnsi="Arial" w:cs="Arial"/>
                <w:b/>
                <w:sz w:val="18"/>
                <w:szCs w:val="18"/>
              </w:rPr>
            </w:pPr>
            <w:r w:rsidRPr="00AC4850">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AE3AFB" w:rsidRPr="00AC4850" w:rsidRDefault="00AE3AFB" w:rsidP="001766EC">
            <w:pPr>
              <w:jc w:val="center"/>
              <w:rPr>
                <w:rFonts w:ascii="Arial" w:hAnsi="Arial" w:cs="Arial"/>
                <w:b/>
                <w:sz w:val="18"/>
                <w:szCs w:val="18"/>
              </w:rPr>
            </w:pPr>
            <w:r w:rsidRPr="00AC4850">
              <w:rPr>
                <w:rFonts w:ascii="Arial" w:hAnsi="Arial" w:cs="Arial"/>
                <w:b/>
                <w:sz w:val="18"/>
                <w:szCs w:val="18"/>
              </w:rPr>
              <w:t>$1,163,287.40  </w:t>
            </w:r>
          </w:p>
        </w:tc>
        <w:tc>
          <w:tcPr>
            <w:tcW w:w="1468" w:type="dxa"/>
            <w:tcBorders>
              <w:top w:val="nil"/>
              <w:left w:val="nil"/>
              <w:bottom w:val="single" w:sz="8" w:space="0" w:color="auto"/>
              <w:right w:val="single" w:sz="8" w:space="0" w:color="auto"/>
            </w:tcBorders>
            <w:shd w:val="clear" w:color="auto" w:fill="auto"/>
            <w:noWrap/>
            <w:vAlign w:val="bottom"/>
          </w:tcPr>
          <w:p w:rsidR="00AE3AFB" w:rsidRPr="00AC4850" w:rsidRDefault="00AE3AFB" w:rsidP="001766EC">
            <w:pPr>
              <w:jc w:val="center"/>
              <w:rPr>
                <w:rFonts w:ascii="Arial" w:hAnsi="Arial" w:cs="Arial"/>
                <w:b/>
                <w:sz w:val="18"/>
                <w:szCs w:val="18"/>
              </w:rPr>
            </w:pPr>
            <w:r w:rsidRPr="00AC4850">
              <w:rPr>
                <w:rFonts w:ascii="Arial" w:hAnsi="Arial" w:cs="Arial"/>
                <w:b/>
                <w:sz w:val="18"/>
                <w:szCs w:val="18"/>
              </w:rPr>
              <w:t>$</w:t>
            </w:r>
            <w:r>
              <w:rPr>
                <w:rFonts w:ascii="Arial" w:hAnsi="Arial" w:cs="Arial"/>
                <w:b/>
                <w:sz w:val="18"/>
                <w:szCs w:val="18"/>
              </w:rPr>
              <w:t>1,909,143.00</w:t>
            </w:r>
            <w:r w:rsidRPr="00AC4850">
              <w:rPr>
                <w:rFonts w:ascii="Arial" w:hAnsi="Arial" w:cs="Arial"/>
                <w:b/>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AE3AFB" w:rsidRPr="00AC4850" w:rsidRDefault="00AE3AFB" w:rsidP="001766EC">
            <w:pPr>
              <w:jc w:val="center"/>
              <w:rPr>
                <w:rFonts w:ascii="Arial" w:hAnsi="Arial" w:cs="Arial"/>
                <w:b/>
                <w:sz w:val="18"/>
                <w:szCs w:val="18"/>
              </w:rPr>
            </w:pPr>
            <w:r w:rsidRPr="00AC4850">
              <w:rPr>
                <w:rFonts w:ascii="Arial" w:hAnsi="Arial" w:cs="Arial"/>
                <w:b/>
                <w:sz w:val="18"/>
                <w:szCs w:val="18"/>
              </w:rPr>
              <w:t> </w:t>
            </w:r>
            <w:r>
              <w:rPr>
                <w:rFonts w:ascii="Arial" w:hAnsi="Arial" w:cs="Arial"/>
                <w:b/>
                <w:sz w:val="18"/>
                <w:szCs w:val="18"/>
              </w:rPr>
              <w:t>+</w:t>
            </w:r>
            <w:r w:rsidRPr="00AC4850">
              <w:rPr>
                <w:rFonts w:ascii="Arial" w:hAnsi="Arial" w:cs="Arial"/>
                <w:b/>
                <w:sz w:val="18"/>
                <w:szCs w:val="18"/>
              </w:rPr>
              <w:t>$</w:t>
            </w:r>
            <w:r>
              <w:rPr>
                <w:rFonts w:ascii="Arial" w:hAnsi="Arial" w:cs="Arial"/>
                <w:b/>
                <w:sz w:val="18"/>
                <w:szCs w:val="18"/>
              </w:rPr>
              <w:t>745,855.60</w:t>
            </w:r>
          </w:p>
        </w:tc>
      </w:tr>
    </w:tbl>
    <w:p w:rsidR="00AE3AFB" w:rsidRDefault="00AE3AFB" w:rsidP="00AE3AFB">
      <w:pPr>
        <w:rPr>
          <w:b/>
          <w:bCs/>
          <w:i/>
        </w:rPr>
      </w:pPr>
    </w:p>
    <w:p w:rsidR="00AE3AFB" w:rsidRDefault="00AE3AFB" w:rsidP="00AE3AFB">
      <w:pPr>
        <w:rPr>
          <w:bCs/>
          <w:i/>
        </w:rPr>
      </w:pPr>
      <w:r w:rsidRPr="00543ED5">
        <w:rPr>
          <w:b/>
          <w:bCs/>
          <w:i/>
        </w:rPr>
        <w:t>Explain:</w:t>
      </w:r>
      <w:r w:rsidRPr="00543ED5">
        <w:rPr>
          <w:bCs/>
          <w:i/>
        </w:rPr>
        <w:t xml:space="preserve"> </w:t>
      </w:r>
    </w:p>
    <w:p w:rsidR="00AE3AFB" w:rsidRDefault="00AE3AFB" w:rsidP="00AE3AFB">
      <w:pPr>
        <w:rPr>
          <w:bCs/>
          <w:i/>
        </w:rPr>
      </w:pPr>
    </w:p>
    <w:p w:rsidR="00AE3AFB" w:rsidRPr="003650EE" w:rsidRDefault="00AE3AFB" w:rsidP="00AE3AFB">
      <w:pPr>
        <w:rPr>
          <w:b/>
          <w:bCs/>
        </w:rPr>
      </w:pPr>
      <w:r>
        <w:rPr>
          <w:bCs/>
        </w:rPr>
        <w:t>The adjustment increase in the annual cost burden results from the application of the 1.4 multiplier to the wages.</w:t>
      </w:r>
    </w:p>
    <w:p w:rsidR="005C42F7" w:rsidRDefault="00972A95"/>
    <w:sectPr w:rsidR="005C42F7" w:rsidSect="003D70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B71"/>
    <w:rsid w:val="003D704A"/>
    <w:rsid w:val="00405CB2"/>
    <w:rsid w:val="00430168"/>
    <w:rsid w:val="004E7B71"/>
    <w:rsid w:val="0057426D"/>
    <w:rsid w:val="00972A95"/>
    <w:rsid w:val="00AE3AFB"/>
    <w:rsid w:val="00BB43F8"/>
    <w:rsid w:val="00F77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AFB"/>
    <w:rPr>
      <w:color w:val="0000FF"/>
      <w:u w:val="single"/>
    </w:rPr>
  </w:style>
  <w:style w:type="paragraph" w:styleId="BodyText">
    <w:name w:val="Body Text"/>
    <w:basedOn w:val="Normal"/>
    <w:link w:val="BodyTextChar"/>
    <w:rsid w:val="00AE3AFB"/>
    <w:pPr>
      <w:shd w:val="pct25" w:color="auto" w:fill="FFFFFF"/>
      <w:tabs>
        <w:tab w:val="left" w:pos="-720"/>
      </w:tabs>
      <w:suppressAutoHyphens/>
    </w:pPr>
    <w:rPr>
      <w:sz w:val="26"/>
    </w:rPr>
  </w:style>
  <w:style w:type="character" w:customStyle="1" w:styleId="BodyTextChar">
    <w:name w:val="Body Text Char"/>
    <w:basedOn w:val="DefaultParagraphFont"/>
    <w:link w:val="BodyText"/>
    <w:rsid w:val="00AE3AFB"/>
    <w:rPr>
      <w:rFonts w:ascii="Times New Roman" w:eastAsia="Times New Roman" w:hAnsi="Times New Roman" w:cs="Times New Roman"/>
      <w:sz w:val="26"/>
      <w:szCs w:val="24"/>
      <w:shd w:val="pct25" w:color="auto" w:fill="FFFFFF"/>
    </w:rPr>
  </w:style>
  <w:style w:type="paragraph" w:styleId="NormalWeb">
    <w:name w:val="Normal (Web)"/>
    <w:basedOn w:val="Normal"/>
    <w:rsid w:val="00AE3AF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ma.gov/library/viewRecord.do?id=3266" TargetMode="External"/><Relationship Id="rId5" Type="http://schemas.openxmlformats.org/officeDocument/2006/relationships/hyperlink" Target="https://portal.fema.gov/famsVuWeb/home" TargetMode="External"/><Relationship Id="rId4" Type="http://schemas.openxmlformats.org/officeDocument/2006/relationships/hyperlink" Target="http://www.fema.gov/help/forms.s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1850</Words>
  <Characters>10546</Characters>
  <Application>Microsoft Office Word</Application>
  <DocSecurity>0</DocSecurity>
  <Lines>87</Lines>
  <Paragraphs>24</Paragraphs>
  <ScaleCrop>false</ScaleCrop>
  <Company>FEMA</Company>
  <LinksUpToDate>false</LinksUpToDate>
  <CharactersWithSpaces>12372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sgreene3</dc:creator>
  <cp:keywords/>
  <dc:description/>
  <cp:lastModifiedBy>sgreene3</cp:lastModifiedBy>
  <cp:revision>5</cp:revision>
  <dcterms:created xsi:type="dcterms:W3CDTF">2010-12-22T14:34:00Z</dcterms:created>
  <dcterms:modified xsi:type="dcterms:W3CDTF">2010-12-22T16:29:00Z</dcterms:modified>
</cp:coreProperties>
</file>