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3C" w:rsidRPr="00F55C78" w:rsidRDefault="00592D3C" w:rsidP="00592D3C">
      <w:pPr>
        <w:jc w:val="center"/>
        <w:rPr>
          <w:b/>
        </w:rPr>
      </w:pPr>
      <w:r w:rsidRPr="00F55C78">
        <w:rPr>
          <w:b/>
        </w:rPr>
        <w:t>Supporting Statement – Center for Medicare and Medicaid Services</w:t>
      </w:r>
    </w:p>
    <w:p w:rsidR="00592D3C" w:rsidRPr="00F55C78" w:rsidRDefault="00592D3C" w:rsidP="00592D3C">
      <w:pPr>
        <w:jc w:val="center"/>
        <w:rPr>
          <w:b/>
        </w:rPr>
      </w:pPr>
      <w:r>
        <w:rPr>
          <w:b/>
        </w:rPr>
        <w:t xml:space="preserve">Extension of </w:t>
      </w:r>
      <w:r w:rsidRPr="00F55C78">
        <w:rPr>
          <w:b/>
        </w:rPr>
        <w:t>Physician Self-Referral Exceptions for Electronic Prescribing and</w:t>
      </w:r>
    </w:p>
    <w:p w:rsidR="00592D3C" w:rsidRPr="00F55C78" w:rsidRDefault="00592D3C" w:rsidP="00592D3C">
      <w:pPr>
        <w:jc w:val="center"/>
        <w:rPr>
          <w:b/>
        </w:rPr>
      </w:pPr>
      <w:r w:rsidRPr="00F55C78">
        <w:rPr>
          <w:b/>
        </w:rPr>
        <w:t>Electronic Health Records -- Final Rule (CMS-1303-F)</w:t>
      </w:r>
    </w:p>
    <w:p w:rsidR="00592D3C" w:rsidRPr="00F55C78" w:rsidRDefault="00592D3C" w:rsidP="00592D3C"/>
    <w:p w:rsidR="00592D3C" w:rsidRDefault="00592D3C" w:rsidP="00592D3C">
      <w:pPr>
        <w:rPr>
          <w:u w:val="single"/>
        </w:rPr>
      </w:pPr>
      <w:r>
        <w:rPr>
          <w:u w:val="single"/>
        </w:rPr>
        <w:t>Crosswalk Document</w:t>
      </w:r>
    </w:p>
    <w:p w:rsidR="00592D3C" w:rsidRPr="00592D3C" w:rsidRDefault="00592D3C" w:rsidP="00592D3C">
      <w:pPr>
        <w:rPr>
          <w:u w:val="single"/>
        </w:rPr>
      </w:pPr>
    </w:p>
    <w:p w:rsidR="00592D3C" w:rsidRDefault="00592D3C" w:rsidP="00592D3C">
      <w:r w:rsidRPr="00592D3C">
        <w:t>Need and Legal Basis</w:t>
      </w:r>
      <w:r>
        <w:t xml:space="preserve"> Section</w:t>
      </w:r>
    </w:p>
    <w:p w:rsidR="00592D3C" w:rsidRDefault="007F38AB" w:rsidP="00592D3C">
      <w:r>
        <w:t>The tenses of some verbs in this section have been changed to reflect the fact that the final regulation was published in the past.  Because this is an extension and not related to any new legislation or proposed rulemaking, we do not have any changes occurring in the future.</w:t>
      </w:r>
      <w:r w:rsidR="007B1308">
        <w:t xml:space="preserve"> </w:t>
      </w:r>
    </w:p>
    <w:p w:rsidR="00592D3C" w:rsidRDefault="00592D3C" w:rsidP="00592D3C"/>
    <w:p w:rsidR="00592D3C" w:rsidRDefault="00592D3C" w:rsidP="00592D3C"/>
    <w:p w:rsidR="00592D3C" w:rsidRPr="00924610" w:rsidRDefault="00592D3C" w:rsidP="00592D3C">
      <w:r>
        <w:t>Burden Estimate (Hours &amp; Wages)</w:t>
      </w:r>
      <w:r>
        <w:t xml:space="preserve"> Section</w:t>
      </w:r>
    </w:p>
    <w:p w:rsidR="00592D3C" w:rsidRDefault="007B1308" w:rsidP="00592D3C">
      <w:r>
        <w:t>The wage estimates have been updated to reflect more current data.</w:t>
      </w:r>
    </w:p>
    <w:p w:rsidR="007B1308" w:rsidRDefault="007B1308" w:rsidP="00592D3C"/>
    <w:p w:rsidR="007B1308" w:rsidRPr="00592D3C" w:rsidRDefault="007B1308" w:rsidP="00592D3C">
      <w:r>
        <w:t>The burden estimate has decreased because this is no longer a new disclosure and many physicians have already taken steps to adopt electronic health record technology.  However, a burden will remain in place for this disclosure because other physicians still have not adopted electronic health record technology.  An incentive program has been established by the government that will encourage more physicians to adopt this technology, so the burden remains for these physicians.  We also believe that although many draft agreements do exist, electronic health record technology is still a growing field and new organizations will offer new options to physicians that will require the initial burden related to the initial drafting of agreements.</w:t>
      </w:r>
    </w:p>
    <w:p w:rsidR="009254D6" w:rsidRDefault="009254D6"/>
    <w:sectPr w:rsidR="009254D6" w:rsidSect="00925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75F"/>
    <w:multiLevelType w:val="multilevel"/>
    <w:tmpl w:val="0409001D"/>
    <w:styleLink w:val="Style1"/>
    <w:lvl w:ilvl="0">
      <w:start w:val="1"/>
      <w:numFmt w:val="upperRoman"/>
      <w:lvlText w:val="%1)"/>
      <w:lvlJc w:val="left"/>
      <w:pPr>
        <w:ind w:left="360" w:hanging="360"/>
      </w:pPr>
      <w:rPr>
        <w:rFonts w:ascii="Times New Roman" w:hAnsi="Times New Roman"/>
        <w:sz w:val="24"/>
      </w:rPr>
    </w:lvl>
    <w:lvl w:ilvl="1">
      <w:start w:val="1"/>
      <w:numFmt w:val="upperLetter"/>
      <w:lvlText w:val="%2)"/>
      <w:lvlJc w:val="left"/>
      <w:pPr>
        <w:ind w:left="720" w:hanging="360"/>
      </w:pPr>
      <w:rPr>
        <w:rFonts w:ascii="Times New Roman" w:hAnsi="Times New Roman"/>
        <w:sz w:val="24"/>
      </w:rPr>
    </w:lvl>
    <w:lvl w:ilvl="2">
      <w:start w:val="1"/>
      <w:numFmt w:val="decimal"/>
      <w:lvlText w:val="%3)"/>
      <w:lvlJc w:val="left"/>
      <w:pPr>
        <w:ind w:left="1080" w:hanging="360"/>
      </w:pPr>
      <w:rPr>
        <w:rFonts w:ascii="Times New Roman" w:hAnsi="Times New Roman"/>
        <w:sz w:val="24"/>
      </w:rPr>
    </w:lvl>
    <w:lvl w:ilvl="3">
      <w:start w:val="1"/>
      <w:numFmt w:val="lowerLetter"/>
      <w:lvlText w:val="(%4)"/>
      <w:lvlJc w:val="left"/>
      <w:pPr>
        <w:ind w:left="1440" w:hanging="360"/>
      </w:pPr>
      <w:rPr>
        <w:rFonts w:ascii="Times New Roman" w:hAnsi="Times New Roman"/>
        <w:sz w:val="24"/>
      </w:rPr>
    </w:lvl>
    <w:lvl w:ilvl="4">
      <w:start w:val="1"/>
      <w:numFmt w:val="lowerRoman"/>
      <w:lvlText w:val="(%5)"/>
      <w:lvlJc w:val="left"/>
      <w:pPr>
        <w:ind w:left="1800" w:hanging="360"/>
      </w:pPr>
      <w:rPr>
        <w:rFonts w:ascii="Times New Roman" w:hAnsi="Times New Roman"/>
        <w:sz w:val="24"/>
      </w:rPr>
    </w:lvl>
    <w:lvl w:ilvl="5">
      <w:start w:val="1"/>
      <w:numFmt w:val="lowerLetter"/>
      <w:lvlText w:val="(%6)"/>
      <w:lvlJc w:val="left"/>
      <w:pPr>
        <w:ind w:left="2160" w:hanging="360"/>
      </w:pPr>
      <w:rPr>
        <w:rFonts w:ascii="Times New Roman" w:hAnsi="Times New Roman"/>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AE61CF8"/>
    <w:multiLevelType w:val="hybridMultilevel"/>
    <w:tmpl w:val="C5946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B640C6"/>
    <w:multiLevelType w:val="hybridMultilevel"/>
    <w:tmpl w:val="DE724E7E"/>
    <w:lvl w:ilvl="0" w:tplc="04090015">
      <w:start w:val="1"/>
      <w:numFmt w:val="upperLetter"/>
      <w:lvlText w:val="%1."/>
      <w:lvlJc w:val="left"/>
      <w:pPr>
        <w:tabs>
          <w:tab w:val="num" w:pos="720"/>
        </w:tabs>
        <w:ind w:left="720" w:hanging="360"/>
      </w:pPr>
      <w:rPr>
        <w:rFonts w:hint="default"/>
      </w:rPr>
    </w:lvl>
    <w:lvl w:ilvl="1" w:tplc="AD0AC80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92D3C"/>
    <w:rsid w:val="001E2857"/>
    <w:rsid w:val="0022268A"/>
    <w:rsid w:val="00592D3C"/>
    <w:rsid w:val="00670790"/>
    <w:rsid w:val="006D318C"/>
    <w:rsid w:val="00740545"/>
    <w:rsid w:val="007B1308"/>
    <w:rsid w:val="007F38AB"/>
    <w:rsid w:val="009254D6"/>
    <w:rsid w:val="00B41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heme="minorHAnsi" w:hAnsi="Times New (W1)"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D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D318C"/>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DTPP</dc:creator>
  <cp:keywords/>
  <dc:description/>
  <cp:lastModifiedBy>DTPP</cp:lastModifiedBy>
  <cp:revision>2</cp:revision>
  <dcterms:created xsi:type="dcterms:W3CDTF">2010-07-22T19:19:00Z</dcterms:created>
  <dcterms:modified xsi:type="dcterms:W3CDTF">2010-07-22T20:07:00Z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524815084</vt:i4>
  </property>
  <property fmtid="{D5CDD505-2E9C-101B-9397-08002B2CF9AE}" pid="3" name="_NewReviewCycle">
    <vt:lpwstr/>
  </property>
  <property fmtid="{D5CDD505-2E9C-101B-9397-08002B2CF9AE}" pid="4" name="_EmailSubject">
    <vt:lpwstr>CMS-10207 PRA package</vt:lpwstr>
  </property>
  <property fmtid="{D5CDD505-2E9C-101B-9397-08002B2CF9AE}" pid="5" name="_AuthorEmail">
    <vt:lpwstr>kristin.bohl@cms.hhs.gov</vt:lpwstr>
  </property>
  <property fmtid="{D5CDD505-2E9C-101B-9397-08002B2CF9AE}" pid="6" name="_AuthorEmailDisplayName">
    <vt:lpwstr>Bohl, Kristin M. (CMS/CMM)</vt:lpwstr>
  </property>
</Properties>
</file>