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05" w:rsidRDefault="00275E05" w:rsidP="00EA37CD">
      <w:pPr>
        <w:tabs>
          <w:tab w:val="left" w:pos="720"/>
          <w:tab w:val="left" w:pos="1440"/>
        </w:tabs>
        <w:ind w:left="1440" w:hanging="1440"/>
        <w:rPr>
          <w:szCs w:val="24"/>
        </w:rPr>
      </w:pPr>
      <w:r>
        <w:rPr>
          <w:szCs w:val="24"/>
        </w:rPr>
        <w:t>DATE:</w:t>
      </w:r>
      <w:r>
        <w:rPr>
          <w:szCs w:val="24"/>
        </w:rPr>
        <w:tab/>
      </w:r>
      <w:r>
        <w:rPr>
          <w:szCs w:val="24"/>
        </w:rPr>
        <w:tab/>
        <w:t>November 29, 2011</w:t>
      </w:r>
    </w:p>
    <w:p w:rsidR="00275E05" w:rsidRDefault="00275E05" w:rsidP="00EA37CD">
      <w:pPr>
        <w:tabs>
          <w:tab w:val="left" w:pos="720"/>
          <w:tab w:val="left" w:pos="1440"/>
        </w:tabs>
        <w:ind w:left="1440" w:hanging="1440"/>
        <w:rPr>
          <w:szCs w:val="24"/>
        </w:rPr>
      </w:pPr>
    </w:p>
    <w:p w:rsidR="00EA37CD" w:rsidRPr="00A94856" w:rsidRDefault="00EA37CD" w:rsidP="00EA37CD">
      <w:pPr>
        <w:tabs>
          <w:tab w:val="left" w:pos="720"/>
          <w:tab w:val="left" w:pos="1440"/>
        </w:tabs>
        <w:ind w:left="1440" w:hanging="1440"/>
        <w:rPr>
          <w:szCs w:val="24"/>
        </w:rPr>
      </w:pPr>
      <w:r w:rsidRPr="00A94856">
        <w:rPr>
          <w:szCs w:val="24"/>
        </w:rPr>
        <w:t>TO:</w:t>
      </w:r>
      <w:r w:rsidRPr="00A94856">
        <w:rPr>
          <w:szCs w:val="24"/>
        </w:rPr>
        <w:tab/>
      </w:r>
      <w:r w:rsidRPr="00A94856">
        <w:rPr>
          <w:szCs w:val="24"/>
        </w:rPr>
        <w:tab/>
        <w:t>Office of Management and Budget (OMB)</w:t>
      </w:r>
    </w:p>
    <w:p w:rsidR="00EA37CD" w:rsidRPr="00A94856" w:rsidRDefault="00EA37CD" w:rsidP="00EA37CD">
      <w:pPr>
        <w:rPr>
          <w:szCs w:val="24"/>
        </w:rPr>
      </w:pPr>
      <w:r w:rsidRPr="00A94856">
        <w:rPr>
          <w:szCs w:val="24"/>
        </w:rPr>
        <w:t>Through:</w:t>
      </w:r>
      <w:r w:rsidRPr="00A94856">
        <w:rPr>
          <w:szCs w:val="24"/>
        </w:rPr>
        <w:tab/>
        <w:t>Reports Clearance Officer, DHHS</w:t>
      </w:r>
    </w:p>
    <w:p w:rsidR="00EA37CD" w:rsidRPr="00A94856" w:rsidRDefault="00EA37CD" w:rsidP="00EA37CD">
      <w:pPr>
        <w:rPr>
          <w:szCs w:val="24"/>
        </w:rPr>
      </w:pPr>
      <w:r w:rsidRPr="00A94856">
        <w:rPr>
          <w:szCs w:val="24"/>
        </w:rPr>
        <w:tab/>
      </w:r>
      <w:r w:rsidRPr="00A94856">
        <w:rPr>
          <w:szCs w:val="24"/>
        </w:rPr>
        <w:tab/>
        <w:t xml:space="preserve">Project Clearance Chief, NIH </w:t>
      </w:r>
      <w:r w:rsidRPr="00A94856">
        <w:rPr>
          <w:szCs w:val="24"/>
          <w:u w:val="single"/>
        </w:rPr>
        <w:t xml:space="preserve">      </w:t>
      </w:r>
    </w:p>
    <w:p w:rsidR="00EA37CD" w:rsidRPr="00A94856" w:rsidRDefault="00EA37CD" w:rsidP="00EA37CD">
      <w:pPr>
        <w:rPr>
          <w:szCs w:val="24"/>
        </w:rPr>
      </w:pPr>
      <w:r w:rsidRPr="00A94856">
        <w:rPr>
          <w:szCs w:val="24"/>
        </w:rPr>
        <w:tab/>
      </w:r>
      <w:r w:rsidRPr="00A94856">
        <w:rPr>
          <w:szCs w:val="24"/>
        </w:rPr>
        <w:tab/>
        <w:t xml:space="preserve">Project Clearance Liaison, </w:t>
      </w:r>
      <w:r w:rsidR="00A94856">
        <w:rPr>
          <w:szCs w:val="24"/>
        </w:rPr>
        <w:t>NCCAM</w:t>
      </w:r>
    </w:p>
    <w:p w:rsidR="00EA37CD" w:rsidRPr="00A94856" w:rsidRDefault="00EA37CD" w:rsidP="00EA37CD">
      <w:pPr>
        <w:rPr>
          <w:szCs w:val="24"/>
        </w:rPr>
      </w:pPr>
    </w:p>
    <w:p w:rsidR="00EA37CD" w:rsidRPr="00A94856" w:rsidRDefault="00EA37CD" w:rsidP="00EA37CD">
      <w:pPr>
        <w:rPr>
          <w:i/>
          <w:szCs w:val="24"/>
        </w:rPr>
      </w:pPr>
      <w:r w:rsidRPr="00A94856">
        <w:rPr>
          <w:szCs w:val="24"/>
        </w:rPr>
        <w:t>FROM:</w:t>
      </w:r>
      <w:r w:rsidRPr="00A94856">
        <w:rPr>
          <w:szCs w:val="24"/>
        </w:rPr>
        <w:tab/>
      </w:r>
      <w:r w:rsidR="001E598F">
        <w:rPr>
          <w:szCs w:val="24"/>
        </w:rPr>
        <w:t>Alyssa Cotler</w:t>
      </w:r>
    </w:p>
    <w:p w:rsidR="00EA37CD" w:rsidRPr="00A94856" w:rsidRDefault="00EA37CD" w:rsidP="00EA37CD">
      <w:pPr>
        <w:rPr>
          <w:szCs w:val="24"/>
        </w:rPr>
      </w:pPr>
      <w:r w:rsidRPr="00A94856">
        <w:rPr>
          <w:i/>
          <w:szCs w:val="24"/>
        </w:rPr>
        <w:tab/>
      </w:r>
      <w:r w:rsidRPr="00A94856">
        <w:rPr>
          <w:i/>
          <w:szCs w:val="24"/>
        </w:rPr>
        <w:tab/>
      </w:r>
      <w:smartTag w:uri="urn:schemas-microsoft-com:office:smarttags" w:element="place">
        <w:smartTag w:uri="urn:schemas-microsoft-com:office:smarttags" w:element="PlaceName">
          <w:r w:rsidRPr="00A94856">
            <w:rPr>
              <w:szCs w:val="24"/>
            </w:rPr>
            <w:t>National</w:t>
          </w:r>
        </w:smartTag>
        <w:r w:rsidRPr="00A94856">
          <w:rPr>
            <w:szCs w:val="24"/>
          </w:rPr>
          <w:t xml:space="preserve"> </w:t>
        </w:r>
        <w:smartTag w:uri="urn:schemas-microsoft-com:office:smarttags" w:element="PlaceType">
          <w:r w:rsidRPr="00A94856">
            <w:rPr>
              <w:szCs w:val="24"/>
            </w:rPr>
            <w:t>Center</w:t>
          </w:r>
        </w:smartTag>
      </w:smartTag>
      <w:r w:rsidRPr="00A94856">
        <w:rPr>
          <w:szCs w:val="24"/>
        </w:rPr>
        <w:t xml:space="preserve"> for Complementary and Alternative Medicine (NCCAM)</w:t>
      </w:r>
    </w:p>
    <w:p w:rsidR="00EA37CD" w:rsidRPr="00A94856" w:rsidRDefault="00EA37CD" w:rsidP="00EA37CD">
      <w:pPr>
        <w:rPr>
          <w:szCs w:val="24"/>
        </w:rPr>
      </w:pPr>
    </w:p>
    <w:p w:rsidR="00EA37CD" w:rsidRPr="00A94856" w:rsidRDefault="00EA37CD" w:rsidP="00EA37CD">
      <w:pPr>
        <w:ind w:left="1440" w:hanging="1440"/>
        <w:rPr>
          <w:szCs w:val="24"/>
        </w:rPr>
      </w:pPr>
      <w:r w:rsidRPr="00A94856">
        <w:rPr>
          <w:szCs w:val="24"/>
        </w:rPr>
        <w:t>SUBJECT:</w:t>
      </w:r>
      <w:r w:rsidRPr="00A94856">
        <w:rPr>
          <w:szCs w:val="24"/>
        </w:rPr>
        <w:tab/>
        <w:t xml:space="preserve">National Center for Complementary and Alternative Medicine (NCCAM) Communications Program Planning and Evaluation </w:t>
      </w:r>
      <w:r w:rsidR="00C27D74">
        <w:rPr>
          <w:szCs w:val="24"/>
        </w:rPr>
        <w:t xml:space="preserve">- </w:t>
      </w:r>
      <w:r w:rsidR="00C27D74" w:rsidRPr="00A94856">
        <w:rPr>
          <w:szCs w:val="24"/>
        </w:rPr>
        <w:t xml:space="preserve">OMB Control Number 0925-0530, expiration date </w:t>
      </w:r>
      <w:r w:rsidR="00C27D74">
        <w:rPr>
          <w:szCs w:val="24"/>
        </w:rPr>
        <w:t>January 31, 2014</w:t>
      </w:r>
    </w:p>
    <w:p w:rsidR="00EA37CD" w:rsidRPr="00A94856" w:rsidRDefault="00EA37CD" w:rsidP="00EA37CD">
      <w:pPr>
        <w:ind w:left="1440" w:hanging="1440"/>
        <w:rPr>
          <w:szCs w:val="24"/>
        </w:rPr>
      </w:pPr>
    </w:p>
    <w:p w:rsidR="00575168" w:rsidRDefault="00EA37CD" w:rsidP="00575168">
      <w:r w:rsidRPr="00A94856">
        <w:rPr>
          <w:szCs w:val="24"/>
        </w:rPr>
        <w:t xml:space="preserve">The staff of the National Center for Complementary and Alternative Medicine (NCCAM) Office of Communications plans to </w:t>
      </w:r>
      <w:r w:rsidR="00575168">
        <w:rPr>
          <w:szCs w:val="24"/>
        </w:rPr>
        <w:t xml:space="preserve">a series of one-on-one telephone interviews </w:t>
      </w:r>
      <w:r w:rsidRPr="00A94856">
        <w:rPr>
          <w:szCs w:val="24"/>
        </w:rPr>
        <w:t xml:space="preserve">under OMB Control Number 0925-0530, expiration date </w:t>
      </w:r>
      <w:r w:rsidR="00575168">
        <w:rPr>
          <w:szCs w:val="24"/>
        </w:rPr>
        <w:t>January 31, 201</w:t>
      </w:r>
      <w:r w:rsidR="00C27D74">
        <w:rPr>
          <w:szCs w:val="24"/>
        </w:rPr>
        <w:t>4</w:t>
      </w:r>
      <w:r w:rsidRPr="00A94856">
        <w:rPr>
          <w:szCs w:val="24"/>
        </w:rPr>
        <w:t xml:space="preserve">. </w:t>
      </w:r>
      <w:r w:rsidR="00575168">
        <w:t>NCCAM is interested in talking with leaders from various research and provider professional associations to assess knowledge and gather opinions about research on complementary and alternative medicine and NCCAM’</w:t>
      </w:r>
      <w:r w:rsidR="00275E05">
        <w:t>s role in the research process.</w:t>
      </w:r>
      <w:r w:rsidR="009C4DC6">
        <w:t xml:space="preserve"> </w:t>
      </w:r>
      <w:r w:rsidR="00575168">
        <w:t xml:space="preserve">These interviews will help inform how we can best communicate about research opportunities and research results to these audiences. </w:t>
      </w:r>
    </w:p>
    <w:p w:rsidR="00EA37CD" w:rsidRPr="00A94856" w:rsidRDefault="00EA37CD" w:rsidP="00EA37CD">
      <w:pPr>
        <w:ind w:left="1440" w:hanging="1440"/>
        <w:rPr>
          <w:szCs w:val="24"/>
        </w:rPr>
      </w:pPr>
    </w:p>
    <w:p w:rsidR="00A94856" w:rsidRDefault="00EA37CD" w:rsidP="00EA37CD">
      <w:pPr>
        <w:rPr>
          <w:b/>
          <w:noProof/>
          <w:szCs w:val="24"/>
        </w:rPr>
      </w:pPr>
      <w:r w:rsidRPr="00A94856">
        <w:rPr>
          <w:b/>
          <w:noProof/>
          <w:szCs w:val="24"/>
        </w:rPr>
        <w:t>Circumstances Making the Collection of Information Necessary</w:t>
      </w:r>
    </w:p>
    <w:p w:rsidR="009C4DC6" w:rsidRDefault="00575168" w:rsidP="00575168">
      <w:r>
        <w:t xml:space="preserve">NCCAM recently released its third strategic plan, which outlines priorities for research.  NCCAM is reviewing elements of its communications efforts to ensure it is using appropriate opportunities to better explain its mission, research activities, and the role it plays in relevant health research.  </w:t>
      </w:r>
      <w:r w:rsidR="004B49B9">
        <w:t xml:space="preserve">It is necessary to assess information needs and better understand how </w:t>
      </w:r>
      <w:r w:rsidR="009C4DC6">
        <w:t xml:space="preserve">the vocabulary used to identify research on complementary and alternative medicine is shifting (i.e., complementary and alternative medicine versus integrative health), and to gauge what language is preferable. </w:t>
      </w:r>
    </w:p>
    <w:p w:rsidR="00575168" w:rsidRDefault="009C4DC6" w:rsidP="00575168">
      <w:r>
        <w:br/>
      </w:r>
      <w:r w:rsidR="00575168">
        <w:t>To inform th</w:t>
      </w:r>
      <w:r>
        <w:t>is process</w:t>
      </w:r>
      <w:r w:rsidR="00575168">
        <w:t>, NCCAM plans to conduct qualitative research to assess the knowledge, attitudes, and perceptions of thought leaders about NCCAM and their insights and advice on how to best reach these audiences with factual, evidence-based information about research opportunities and research results on complementary and alternative medicine.</w:t>
      </w:r>
    </w:p>
    <w:p w:rsidR="00575168" w:rsidRDefault="00575168" w:rsidP="00EA37CD">
      <w:pPr>
        <w:rPr>
          <w:szCs w:val="24"/>
        </w:rPr>
      </w:pPr>
    </w:p>
    <w:p w:rsidR="00275E05" w:rsidRDefault="00275E05">
      <w:pPr>
        <w:rPr>
          <w:b/>
          <w:noProof/>
          <w:szCs w:val="24"/>
        </w:rPr>
      </w:pPr>
      <w:r>
        <w:rPr>
          <w:b/>
          <w:noProof/>
          <w:szCs w:val="24"/>
        </w:rPr>
        <w:br w:type="page"/>
      </w:r>
    </w:p>
    <w:p w:rsidR="00A94856" w:rsidRDefault="00EA37CD" w:rsidP="00EA37CD">
      <w:pPr>
        <w:rPr>
          <w:b/>
          <w:noProof/>
          <w:szCs w:val="24"/>
        </w:rPr>
      </w:pPr>
      <w:r w:rsidRPr="00A94856">
        <w:rPr>
          <w:b/>
          <w:noProof/>
          <w:szCs w:val="24"/>
        </w:rPr>
        <w:lastRenderedPageBreak/>
        <w:t xml:space="preserve">Purpose and Use of the Information </w:t>
      </w:r>
      <w:r w:rsidR="00A94856">
        <w:rPr>
          <w:b/>
          <w:noProof/>
          <w:szCs w:val="24"/>
        </w:rPr>
        <w:t>Collection</w:t>
      </w:r>
    </w:p>
    <w:p w:rsidR="00EA37CD" w:rsidRDefault="00575168" w:rsidP="00EA37CD">
      <w:pPr>
        <w:rPr>
          <w:szCs w:val="24"/>
        </w:rPr>
      </w:pPr>
      <w:r>
        <w:rPr>
          <w:szCs w:val="24"/>
        </w:rPr>
        <w:t>These interviews will help assess current knowledge and perceptions about research on complementary and alternative medicine</w:t>
      </w:r>
      <w:r w:rsidR="009C4DC6">
        <w:rPr>
          <w:szCs w:val="24"/>
        </w:rPr>
        <w:t xml:space="preserve"> and the preferred vocabulary for doing so</w:t>
      </w:r>
      <w:r>
        <w:rPr>
          <w:szCs w:val="24"/>
        </w:rPr>
        <w:t xml:space="preserve">. </w:t>
      </w:r>
      <w:r w:rsidR="00EA37CD" w:rsidRPr="00A94856">
        <w:rPr>
          <w:szCs w:val="24"/>
        </w:rPr>
        <w:t xml:space="preserve">Using the respondents’ feedback, NCCAM will </w:t>
      </w:r>
      <w:r>
        <w:rPr>
          <w:szCs w:val="24"/>
        </w:rPr>
        <w:t xml:space="preserve">develop strategies, tactics, and materials to better respond to the information needs or gaps that may be identified. </w:t>
      </w:r>
    </w:p>
    <w:p w:rsidR="00575168" w:rsidRPr="00A94856" w:rsidRDefault="00575168" w:rsidP="00EA37CD">
      <w:pPr>
        <w:rPr>
          <w:szCs w:val="24"/>
        </w:rPr>
      </w:pPr>
    </w:p>
    <w:p w:rsidR="00EA37CD" w:rsidRPr="00A94856" w:rsidRDefault="00445F9F" w:rsidP="00EA37CD">
      <w:pPr>
        <w:rPr>
          <w:szCs w:val="24"/>
        </w:rPr>
      </w:pPr>
      <w:r w:rsidRPr="00950D29">
        <w:rPr>
          <w:szCs w:val="24"/>
        </w:rPr>
        <w:t xml:space="preserve">We will recruit up to </w:t>
      </w:r>
      <w:r w:rsidR="00575168">
        <w:rPr>
          <w:szCs w:val="24"/>
        </w:rPr>
        <w:t>3</w:t>
      </w:r>
      <w:r w:rsidR="00950D29" w:rsidRPr="00950D29">
        <w:rPr>
          <w:szCs w:val="24"/>
        </w:rPr>
        <w:t xml:space="preserve">0 respondents </w:t>
      </w:r>
      <w:r w:rsidR="00575168">
        <w:rPr>
          <w:szCs w:val="24"/>
        </w:rPr>
        <w:t>who represent leadership at targeted professional provider and researcher associations. The interviews will</w:t>
      </w:r>
      <w:r w:rsidR="00CA0407" w:rsidRPr="00445F9F">
        <w:rPr>
          <w:szCs w:val="24"/>
        </w:rPr>
        <w:t xml:space="preserve"> be administered </w:t>
      </w:r>
      <w:r w:rsidR="00575168">
        <w:rPr>
          <w:szCs w:val="24"/>
        </w:rPr>
        <w:t xml:space="preserve">via telephone, and no additional </w:t>
      </w:r>
      <w:r w:rsidR="00CA0407" w:rsidRPr="00445F9F">
        <w:rPr>
          <w:szCs w:val="24"/>
        </w:rPr>
        <w:t xml:space="preserve">technology will be used. Completion will be voluntary with no payment and individual responses will be </w:t>
      </w:r>
      <w:r w:rsidR="00B1423A">
        <w:t>secure to the extent permitted by law</w:t>
      </w:r>
      <w:r w:rsidR="00CA0407" w:rsidRPr="00445F9F">
        <w:rPr>
          <w:szCs w:val="24"/>
        </w:rPr>
        <w:t xml:space="preserve">. Findings will be used by NCCAM for program planning purposes and </w:t>
      </w:r>
      <w:r w:rsidR="00575168">
        <w:rPr>
          <w:szCs w:val="24"/>
        </w:rPr>
        <w:t xml:space="preserve">will not be </w:t>
      </w:r>
      <w:r w:rsidR="00CA0407" w:rsidRPr="00445F9F">
        <w:rPr>
          <w:szCs w:val="24"/>
        </w:rPr>
        <w:t>published.</w:t>
      </w:r>
    </w:p>
    <w:p w:rsidR="00937020" w:rsidRDefault="00937020" w:rsidP="00EA37CD">
      <w:pPr>
        <w:rPr>
          <w:szCs w:val="24"/>
        </w:rPr>
      </w:pPr>
    </w:p>
    <w:p w:rsidR="00937020" w:rsidRDefault="00937020" w:rsidP="00EA37CD">
      <w:pPr>
        <w:rPr>
          <w:b/>
          <w:szCs w:val="24"/>
        </w:rPr>
      </w:pPr>
      <w:r w:rsidRPr="00A94856">
        <w:rPr>
          <w:b/>
          <w:szCs w:val="24"/>
        </w:rPr>
        <w:t>Estimate</w:t>
      </w:r>
      <w:r w:rsidR="00D1166B">
        <w:rPr>
          <w:b/>
          <w:szCs w:val="24"/>
        </w:rPr>
        <w:t>s</w:t>
      </w:r>
      <w:r w:rsidRPr="00A94856">
        <w:rPr>
          <w:b/>
          <w:szCs w:val="24"/>
        </w:rPr>
        <w:t xml:space="preserve"> of Burden Hours and Costs</w:t>
      </w:r>
    </w:p>
    <w:p w:rsidR="003B2C27" w:rsidRDefault="003B2C27" w:rsidP="00EA37CD">
      <w:pPr>
        <w:rPr>
          <w:b/>
          <w:szCs w:val="24"/>
        </w:rPr>
      </w:pPr>
    </w:p>
    <w:p w:rsidR="003B2C27" w:rsidRPr="00A94856" w:rsidRDefault="003B2C27" w:rsidP="00EA37CD">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5"/>
        <w:gridCol w:w="1523"/>
        <w:gridCol w:w="1369"/>
        <w:gridCol w:w="1401"/>
        <w:gridCol w:w="1648"/>
        <w:gridCol w:w="1430"/>
      </w:tblGrid>
      <w:tr w:rsidR="002A3288" w:rsidTr="0045504F">
        <w:tc>
          <w:tcPr>
            <w:tcW w:w="0" w:type="auto"/>
          </w:tcPr>
          <w:p w:rsidR="002A3288" w:rsidRPr="0045504F" w:rsidRDefault="002A3288" w:rsidP="00544A4E">
            <w:pPr>
              <w:rPr>
                <w:b/>
              </w:rPr>
            </w:pPr>
            <w:r w:rsidRPr="0045504F">
              <w:rPr>
                <w:b/>
              </w:rPr>
              <w:t xml:space="preserve">Type of </w:t>
            </w:r>
          </w:p>
          <w:p w:rsidR="002A3288" w:rsidRPr="0045504F" w:rsidRDefault="002A3288" w:rsidP="00544A4E">
            <w:pPr>
              <w:rPr>
                <w:b/>
              </w:rPr>
            </w:pPr>
            <w:r w:rsidRPr="0045504F">
              <w:rPr>
                <w:b/>
              </w:rPr>
              <w:t>Respondents</w:t>
            </w:r>
          </w:p>
        </w:tc>
        <w:tc>
          <w:tcPr>
            <w:tcW w:w="0" w:type="auto"/>
          </w:tcPr>
          <w:p w:rsidR="002A3288" w:rsidRPr="0045504F" w:rsidRDefault="002A3288" w:rsidP="00544A4E">
            <w:pPr>
              <w:rPr>
                <w:b/>
              </w:rPr>
            </w:pPr>
            <w:r w:rsidRPr="0045504F">
              <w:rPr>
                <w:b/>
              </w:rPr>
              <w:t xml:space="preserve">Number of </w:t>
            </w:r>
          </w:p>
          <w:p w:rsidR="002A3288" w:rsidRPr="0045504F" w:rsidRDefault="002A3288" w:rsidP="00544A4E">
            <w:pPr>
              <w:rPr>
                <w:b/>
              </w:rPr>
            </w:pPr>
            <w:r w:rsidRPr="0045504F">
              <w:rPr>
                <w:b/>
              </w:rPr>
              <w:t>Respondents</w:t>
            </w:r>
          </w:p>
        </w:tc>
        <w:tc>
          <w:tcPr>
            <w:tcW w:w="0" w:type="auto"/>
          </w:tcPr>
          <w:p w:rsidR="002A3288" w:rsidRPr="0045504F" w:rsidRDefault="002A3288" w:rsidP="00544A4E">
            <w:pPr>
              <w:rPr>
                <w:b/>
              </w:rPr>
            </w:pPr>
            <w:r w:rsidRPr="0045504F">
              <w:rPr>
                <w:b/>
              </w:rPr>
              <w:t>Frequency</w:t>
            </w:r>
          </w:p>
          <w:p w:rsidR="002A3288" w:rsidRPr="0045504F" w:rsidRDefault="00D1166B" w:rsidP="00544A4E">
            <w:pPr>
              <w:rPr>
                <w:b/>
              </w:rPr>
            </w:pPr>
            <w:r w:rsidRPr="0045504F">
              <w:rPr>
                <w:b/>
              </w:rPr>
              <w:t>o</w:t>
            </w:r>
            <w:r w:rsidR="002A3288" w:rsidRPr="0045504F">
              <w:rPr>
                <w:b/>
              </w:rPr>
              <w:t>f Response</w:t>
            </w:r>
          </w:p>
        </w:tc>
        <w:tc>
          <w:tcPr>
            <w:tcW w:w="0" w:type="auto"/>
          </w:tcPr>
          <w:p w:rsidR="002A3288" w:rsidRPr="0045504F" w:rsidRDefault="002A3288" w:rsidP="00544A4E">
            <w:pPr>
              <w:rPr>
                <w:b/>
              </w:rPr>
            </w:pPr>
            <w:r w:rsidRPr="0045504F">
              <w:rPr>
                <w:b/>
              </w:rPr>
              <w:t>Average Time</w:t>
            </w:r>
          </w:p>
          <w:p w:rsidR="002A3288" w:rsidRPr="0045504F" w:rsidRDefault="00D1166B" w:rsidP="00544A4E">
            <w:pPr>
              <w:rPr>
                <w:b/>
              </w:rPr>
            </w:pPr>
            <w:r w:rsidRPr="0045504F">
              <w:rPr>
                <w:b/>
              </w:rPr>
              <w:t>p</w:t>
            </w:r>
            <w:r w:rsidR="002A3288" w:rsidRPr="0045504F">
              <w:rPr>
                <w:b/>
              </w:rPr>
              <w:t>er Response</w:t>
            </w:r>
          </w:p>
        </w:tc>
        <w:tc>
          <w:tcPr>
            <w:tcW w:w="0" w:type="auto"/>
          </w:tcPr>
          <w:p w:rsidR="002A3288" w:rsidRPr="0045504F" w:rsidRDefault="00D1166B" w:rsidP="00544A4E">
            <w:pPr>
              <w:rPr>
                <w:b/>
              </w:rPr>
            </w:pPr>
            <w:r w:rsidRPr="0045504F">
              <w:rPr>
                <w:b/>
              </w:rPr>
              <w:t>Annual Hour</w:t>
            </w:r>
            <w:r w:rsidR="002A3288" w:rsidRPr="0045504F">
              <w:rPr>
                <w:b/>
              </w:rPr>
              <w:t xml:space="preserve"> Burden</w:t>
            </w:r>
          </w:p>
        </w:tc>
        <w:tc>
          <w:tcPr>
            <w:tcW w:w="0" w:type="auto"/>
          </w:tcPr>
          <w:p w:rsidR="002A3288" w:rsidRPr="0045504F" w:rsidRDefault="002A3288" w:rsidP="00544A4E">
            <w:pPr>
              <w:rPr>
                <w:b/>
              </w:rPr>
            </w:pPr>
            <w:r w:rsidRPr="0045504F">
              <w:rPr>
                <w:b/>
              </w:rPr>
              <w:t xml:space="preserve">Respondent </w:t>
            </w:r>
          </w:p>
          <w:p w:rsidR="002A3288" w:rsidRPr="0045504F" w:rsidRDefault="002A3288" w:rsidP="00544A4E">
            <w:pPr>
              <w:rPr>
                <w:b/>
              </w:rPr>
            </w:pPr>
            <w:r w:rsidRPr="0045504F">
              <w:rPr>
                <w:b/>
              </w:rPr>
              <w:t>Cost</w:t>
            </w:r>
          </w:p>
        </w:tc>
      </w:tr>
      <w:tr w:rsidR="002A3288" w:rsidTr="0045504F">
        <w:tc>
          <w:tcPr>
            <w:tcW w:w="0" w:type="auto"/>
          </w:tcPr>
          <w:p w:rsidR="002A3288" w:rsidRDefault="00575168" w:rsidP="00544A4E">
            <w:r>
              <w:t>Association representatives</w:t>
            </w:r>
          </w:p>
        </w:tc>
        <w:tc>
          <w:tcPr>
            <w:tcW w:w="0" w:type="auto"/>
          </w:tcPr>
          <w:p w:rsidR="002A3288" w:rsidRDefault="00575168" w:rsidP="00544A4E">
            <w:r>
              <w:t>30</w:t>
            </w:r>
          </w:p>
        </w:tc>
        <w:tc>
          <w:tcPr>
            <w:tcW w:w="0" w:type="auto"/>
          </w:tcPr>
          <w:p w:rsidR="002A3288" w:rsidRDefault="002A3288" w:rsidP="00544A4E">
            <w:r>
              <w:t>1</w:t>
            </w:r>
          </w:p>
        </w:tc>
        <w:tc>
          <w:tcPr>
            <w:tcW w:w="0" w:type="auto"/>
          </w:tcPr>
          <w:p w:rsidR="002A3288" w:rsidRDefault="00575168" w:rsidP="00544A4E">
            <w:r>
              <w:t>0.5</w:t>
            </w:r>
          </w:p>
        </w:tc>
        <w:tc>
          <w:tcPr>
            <w:tcW w:w="0" w:type="auto"/>
          </w:tcPr>
          <w:p w:rsidR="002A3288" w:rsidRDefault="00575168" w:rsidP="00544A4E">
            <w:r>
              <w:t>15 hours</w:t>
            </w:r>
          </w:p>
        </w:tc>
        <w:tc>
          <w:tcPr>
            <w:tcW w:w="0" w:type="auto"/>
          </w:tcPr>
          <w:p w:rsidR="002A3288" w:rsidRDefault="002A3288" w:rsidP="00544A4E">
            <w:r>
              <w:t>$0</w:t>
            </w:r>
          </w:p>
        </w:tc>
      </w:tr>
    </w:tbl>
    <w:p w:rsidR="00EA37CD" w:rsidRPr="00A94856" w:rsidRDefault="00EA37CD" w:rsidP="00EA37CD">
      <w:pPr>
        <w:rPr>
          <w:szCs w:val="24"/>
        </w:rPr>
      </w:pPr>
    </w:p>
    <w:p w:rsidR="00EA37CD" w:rsidRPr="00A94856" w:rsidRDefault="00EA37CD" w:rsidP="00EA37CD">
      <w:pPr>
        <w:rPr>
          <w:szCs w:val="24"/>
        </w:rPr>
      </w:pPr>
    </w:p>
    <w:p w:rsidR="00EA37CD" w:rsidRPr="00A94856" w:rsidRDefault="00EA37CD" w:rsidP="00EA37CD">
      <w:pPr>
        <w:rPr>
          <w:szCs w:val="24"/>
        </w:rPr>
      </w:pPr>
    </w:p>
    <w:p w:rsidR="00CA0407" w:rsidRPr="00CA0407" w:rsidRDefault="00CA0407" w:rsidP="00CA0407">
      <w:pPr>
        <w:rPr>
          <w:szCs w:val="24"/>
          <w:highlight w:val="yellow"/>
        </w:rPr>
      </w:pPr>
    </w:p>
    <w:p w:rsidR="00CA0407" w:rsidRPr="00CA0407" w:rsidRDefault="00CA0407" w:rsidP="00CA0407">
      <w:pPr>
        <w:rPr>
          <w:b/>
          <w:szCs w:val="24"/>
          <w:highlight w:val="yellow"/>
        </w:rPr>
      </w:pPr>
    </w:p>
    <w:p w:rsidR="00CA0407" w:rsidRPr="00A94856" w:rsidRDefault="00CA0407" w:rsidP="00CA0407">
      <w:pPr>
        <w:rPr>
          <w:szCs w:val="24"/>
        </w:rPr>
      </w:pPr>
    </w:p>
    <w:p w:rsidR="000623AE" w:rsidRPr="00A94856" w:rsidRDefault="000623AE">
      <w:pPr>
        <w:tabs>
          <w:tab w:val="left" w:pos="1720"/>
        </w:tabs>
        <w:ind w:left="1440" w:right="1440"/>
        <w:rPr>
          <w:szCs w:val="24"/>
        </w:rPr>
      </w:pPr>
    </w:p>
    <w:sectPr w:rsidR="000623AE" w:rsidRPr="00A94856" w:rsidSect="00A94856">
      <w:headerReference w:type="first" r:id="rId6"/>
      <w:pgSz w:w="12240" w:h="15840" w:code="1"/>
      <w:pgMar w:top="1440" w:right="1440" w:bottom="1440" w:left="1440"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6F" w:rsidRDefault="0039576F">
      <w:r>
        <w:separator/>
      </w:r>
    </w:p>
  </w:endnote>
  <w:endnote w:type="continuationSeparator" w:id="0">
    <w:p w:rsidR="0039576F" w:rsidRDefault="003957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6F" w:rsidRDefault="0039576F">
      <w:r>
        <w:separator/>
      </w:r>
    </w:p>
  </w:footnote>
  <w:footnote w:type="continuationSeparator" w:id="0">
    <w:p w:rsidR="0039576F" w:rsidRDefault="00395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9A0" w:rsidRDefault="00575168" w:rsidP="00A94856">
    <w:pPr>
      <w:pStyle w:val="Header"/>
      <w:ind w:left="-810" w:hanging="450"/>
      <w:jc w:val="center"/>
    </w:pPr>
    <w:r>
      <w:rPr>
        <w:noProof/>
      </w:rPr>
      <w:drawing>
        <wp:inline distT="0" distB="0" distL="0" distR="0">
          <wp:extent cx="7315200" cy="2066925"/>
          <wp:effectExtent l="19050" t="0" r="0" b="0"/>
          <wp:docPr id="1" name="Picture 1" descr="NCC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AM2"/>
                  <pic:cNvPicPr>
                    <a:picLocks noChangeAspect="1" noChangeArrowheads="1"/>
                  </pic:cNvPicPr>
                </pic:nvPicPr>
                <pic:blipFill>
                  <a:blip r:embed="rId1"/>
                  <a:srcRect/>
                  <a:stretch>
                    <a:fillRect/>
                  </a:stretch>
                </pic:blipFill>
                <pic:spPr bwMode="auto">
                  <a:xfrm>
                    <a:off x="0" y="0"/>
                    <a:ext cx="7315200" cy="20669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A37CD"/>
    <w:rsid w:val="000623AE"/>
    <w:rsid w:val="00082A98"/>
    <w:rsid w:val="00092D74"/>
    <w:rsid w:val="000D3F50"/>
    <w:rsid w:val="00120BE9"/>
    <w:rsid w:val="00150878"/>
    <w:rsid w:val="001E21B0"/>
    <w:rsid w:val="001E598F"/>
    <w:rsid w:val="00245F6A"/>
    <w:rsid w:val="00275E05"/>
    <w:rsid w:val="002A3288"/>
    <w:rsid w:val="002A5367"/>
    <w:rsid w:val="002B2BE4"/>
    <w:rsid w:val="00302373"/>
    <w:rsid w:val="00382D6B"/>
    <w:rsid w:val="0039576F"/>
    <w:rsid w:val="003A1A5B"/>
    <w:rsid w:val="003A73A5"/>
    <w:rsid w:val="003B2C27"/>
    <w:rsid w:val="003F144B"/>
    <w:rsid w:val="003F3F1B"/>
    <w:rsid w:val="004261A1"/>
    <w:rsid w:val="00445F9F"/>
    <w:rsid w:val="0045504F"/>
    <w:rsid w:val="00493ECE"/>
    <w:rsid w:val="004B0A43"/>
    <w:rsid w:val="004B49B9"/>
    <w:rsid w:val="00530CC4"/>
    <w:rsid w:val="00544A4E"/>
    <w:rsid w:val="00575168"/>
    <w:rsid w:val="006B3E3F"/>
    <w:rsid w:val="00731256"/>
    <w:rsid w:val="007856ED"/>
    <w:rsid w:val="007B639D"/>
    <w:rsid w:val="007C5867"/>
    <w:rsid w:val="007F015B"/>
    <w:rsid w:val="007F2912"/>
    <w:rsid w:val="00866C27"/>
    <w:rsid w:val="008D0C01"/>
    <w:rsid w:val="008F0C29"/>
    <w:rsid w:val="00927C93"/>
    <w:rsid w:val="00937020"/>
    <w:rsid w:val="00950D29"/>
    <w:rsid w:val="009B7803"/>
    <w:rsid w:val="009C4DC6"/>
    <w:rsid w:val="009F067B"/>
    <w:rsid w:val="00A21542"/>
    <w:rsid w:val="00A94856"/>
    <w:rsid w:val="00AB2868"/>
    <w:rsid w:val="00AB55C7"/>
    <w:rsid w:val="00AB55FC"/>
    <w:rsid w:val="00B1189E"/>
    <w:rsid w:val="00B1423A"/>
    <w:rsid w:val="00B30451"/>
    <w:rsid w:val="00B83AB9"/>
    <w:rsid w:val="00C149A0"/>
    <w:rsid w:val="00C27D74"/>
    <w:rsid w:val="00CA0407"/>
    <w:rsid w:val="00CA7DDE"/>
    <w:rsid w:val="00CB231A"/>
    <w:rsid w:val="00CE1746"/>
    <w:rsid w:val="00CE289B"/>
    <w:rsid w:val="00D04EDB"/>
    <w:rsid w:val="00D1166B"/>
    <w:rsid w:val="00D92670"/>
    <w:rsid w:val="00DD07BD"/>
    <w:rsid w:val="00E53509"/>
    <w:rsid w:val="00EA37CD"/>
    <w:rsid w:val="00EB5290"/>
    <w:rsid w:val="00F07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BE4"/>
    <w:rPr>
      <w:sz w:val="24"/>
    </w:rPr>
  </w:style>
  <w:style w:type="paragraph" w:styleId="Heading2">
    <w:name w:val="heading 2"/>
    <w:basedOn w:val="Normal"/>
    <w:qFormat/>
    <w:rsid w:val="003B2C27"/>
    <w:pPr>
      <w:keepNext/>
      <w:spacing w:after="360" w:line="360" w:lineRule="atLeast"/>
      <w:ind w:left="432" w:hanging="432"/>
      <w:jc w:val="both"/>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2BE4"/>
    <w:pPr>
      <w:tabs>
        <w:tab w:val="center" w:pos="4320"/>
        <w:tab w:val="right" w:pos="8640"/>
      </w:tabs>
    </w:pPr>
  </w:style>
  <w:style w:type="paragraph" w:styleId="Footer">
    <w:name w:val="footer"/>
    <w:basedOn w:val="Normal"/>
    <w:rsid w:val="002B2BE4"/>
    <w:pPr>
      <w:tabs>
        <w:tab w:val="center" w:pos="4320"/>
        <w:tab w:val="right" w:pos="8640"/>
      </w:tabs>
    </w:pPr>
  </w:style>
  <w:style w:type="character" w:styleId="FootnoteReference">
    <w:name w:val="footnote reference"/>
    <w:basedOn w:val="DefaultParagraphFont"/>
    <w:semiHidden/>
    <w:rsid w:val="00EA37CD"/>
    <w:rPr>
      <w:vertAlign w:val="superscript"/>
    </w:rPr>
  </w:style>
  <w:style w:type="paragraph" w:styleId="BalloonText">
    <w:name w:val="Balloon Text"/>
    <w:basedOn w:val="Normal"/>
    <w:semiHidden/>
    <w:rsid w:val="001E598F"/>
    <w:rPr>
      <w:rFonts w:ascii="Tahoma" w:hAnsi="Tahoma" w:cs="Tahoma"/>
      <w:sz w:val="16"/>
      <w:szCs w:val="16"/>
    </w:rPr>
  </w:style>
  <w:style w:type="table" w:styleId="TableGrid">
    <w:name w:val="Table Grid"/>
    <w:basedOn w:val="TableNormal"/>
    <w:rsid w:val="00CE2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66C27"/>
    <w:rPr>
      <w:color w:val="0000FF"/>
      <w:u w:val="single"/>
    </w:rPr>
  </w:style>
</w:styles>
</file>

<file path=word/webSettings.xml><?xml version="1.0" encoding="utf-8"?>
<w:webSettings xmlns:r="http://schemas.openxmlformats.org/officeDocument/2006/relationships" xmlns:w="http://schemas.openxmlformats.org/wordprocessingml/2006/main">
  <w:divs>
    <w:div w:id="11861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Dear You</vt:lpstr>
    </vt:vector>
  </TitlesOfParts>
  <Company>OD/OIT</Company>
  <LinksUpToDate>false</LinksUpToDate>
  <CharactersWithSpaces>3094</CharactersWithSpaces>
  <SharedDoc>false</SharedDoc>
  <HLinks>
    <vt:vector size="6" baseType="variant">
      <vt:variant>
        <vt:i4>6029325</vt:i4>
      </vt:variant>
      <vt:variant>
        <vt:i4>0</vt:i4>
      </vt:variant>
      <vt:variant>
        <vt:i4>0</vt:i4>
      </vt:variant>
      <vt:variant>
        <vt:i4>5</vt:i4>
      </vt:variant>
      <vt:variant>
        <vt:lpwstr>http://nccam.nih.gov/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You</dc:title>
  <dc:subject/>
  <dc:creator>Default User</dc:creator>
  <cp:keywords/>
  <cp:lastModifiedBy>curriem</cp:lastModifiedBy>
  <cp:revision>2</cp:revision>
  <cp:lastPrinted>2002-05-15T16:25:00Z</cp:lastPrinted>
  <dcterms:created xsi:type="dcterms:W3CDTF">2011-12-16T13:59:00Z</dcterms:created>
  <dcterms:modified xsi:type="dcterms:W3CDTF">2011-12-16T13:59:00Z</dcterms:modified>
</cp:coreProperties>
</file>