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8E9" w:rsidRPr="00D736BA" w:rsidRDefault="006768E9" w:rsidP="00F47DC1">
      <w:pPr>
        <w:rPr>
          <w:b/>
          <w:color w:val="000000"/>
        </w:rPr>
      </w:pPr>
    </w:p>
    <w:p w:rsidR="00F47DC1" w:rsidRPr="00D736BA" w:rsidRDefault="00F47DC1" w:rsidP="00F47DC1">
      <w:pPr>
        <w:rPr>
          <w:b/>
          <w:color w:val="000000"/>
        </w:rPr>
      </w:pPr>
      <w:r w:rsidRPr="00D736BA">
        <w:rPr>
          <w:b/>
          <w:color w:val="000000"/>
        </w:rPr>
        <w:t>Attachment A</w:t>
      </w:r>
    </w:p>
    <w:p w:rsidR="00F47DC1" w:rsidRPr="00D736BA" w:rsidRDefault="00F47DC1" w:rsidP="00F47DC1">
      <w:pPr>
        <w:rPr>
          <w:b/>
          <w:color w:val="000000"/>
        </w:rPr>
      </w:pPr>
    </w:p>
    <w:p w:rsidR="00F47DC1" w:rsidRPr="00D736BA" w:rsidRDefault="00F47DC1" w:rsidP="001C700D">
      <w:pPr>
        <w:jc w:val="center"/>
        <w:rPr>
          <w:color w:val="000000"/>
        </w:rPr>
      </w:pPr>
      <w:r w:rsidRPr="00D736BA">
        <w:rPr>
          <w:b/>
          <w:color w:val="000000"/>
        </w:rPr>
        <w:t xml:space="preserve">New Measures </w:t>
      </w:r>
      <w:r w:rsidR="001C700D" w:rsidRPr="00D736BA">
        <w:rPr>
          <w:b/>
          <w:color w:val="000000"/>
        </w:rPr>
        <w:t>for the</w:t>
      </w:r>
      <w:r w:rsidRPr="00D736BA">
        <w:rPr>
          <w:b/>
          <w:bCs/>
        </w:rPr>
        <w:t xml:space="preserve"> HRSA </w:t>
      </w:r>
      <w:r w:rsidR="00952D20">
        <w:rPr>
          <w:b/>
        </w:rPr>
        <w:t>Uniform Progress Reports (UPR)</w:t>
      </w:r>
      <w:r w:rsidRPr="00D736BA">
        <w:rPr>
          <w:b/>
        </w:rPr>
        <w:t xml:space="preserve"> for Grants and Cooperative Agreements </w:t>
      </w:r>
      <w:r w:rsidRPr="00D736BA">
        <w:rPr>
          <w:b/>
          <w:color w:val="000000"/>
        </w:rPr>
        <w:t>OMB No. 0915-0061</w:t>
      </w:r>
    </w:p>
    <w:p w:rsidR="00F47DC1" w:rsidRPr="00D736BA" w:rsidRDefault="00F47DC1" w:rsidP="00F47DC1">
      <w:pPr>
        <w:rPr>
          <w:u w:val="single"/>
        </w:rPr>
      </w:pPr>
    </w:p>
    <w:p w:rsidR="00F47DC1" w:rsidRPr="00D736BA" w:rsidRDefault="00F47DC1" w:rsidP="00F47DC1">
      <w:pPr>
        <w:rPr>
          <w:u w:val="single"/>
        </w:rPr>
      </w:pPr>
    </w:p>
    <w:p w:rsidR="00F47DC1" w:rsidRPr="00D736BA" w:rsidRDefault="00F47DC1" w:rsidP="00F47DC1">
      <w:pPr>
        <w:rPr>
          <w:u w:val="single"/>
        </w:rPr>
      </w:pPr>
      <w:r w:rsidRPr="00D736BA">
        <w:rPr>
          <w:u w:val="single"/>
        </w:rPr>
        <w:t>Program-specific Measures</w:t>
      </w:r>
    </w:p>
    <w:p w:rsidR="00F47DC1" w:rsidRPr="00D736BA" w:rsidRDefault="00F47DC1" w:rsidP="00F47DC1">
      <w:pPr>
        <w:rPr>
          <w:u w:val="single"/>
        </w:rPr>
      </w:pPr>
    </w:p>
    <w:p w:rsidR="00F47DC1" w:rsidRPr="00D736BA" w:rsidRDefault="00F47DC1" w:rsidP="00F47DC1">
      <w:pPr>
        <w:rPr>
          <w:u w:val="single"/>
        </w:rPr>
      </w:pPr>
    </w:p>
    <w:p w:rsidR="00F47DC1" w:rsidRPr="00D736BA" w:rsidRDefault="00F47DC1" w:rsidP="00F47DC1">
      <w:pPr>
        <w:rPr>
          <w:b/>
        </w:rPr>
      </w:pPr>
      <w:r w:rsidRPr="00D736BA">
        <w:rPr>
          <w:b/>
        </w:rPr>
        <w:t>State Primary Care Offices Performance Measures</w:t>
      </w:r>
    </w:p>
    <w:p w:rsidR="00F47DC1" w:rsidRPr="00D736BA" w:rsidRDefault="00F47DC1" w:rsidP="00F47DC1">
      <w:pPr>
        <w:rPr>
          <w:b/>
          <w:u w:val="single"/>
        </w:rPr>
      </w:pPr>
    </w:p>
    <w:p w:rsidR="00F47DC1" w:rsidRPr="00D736BA" w:rsidRDefault="00F47DC1" w:rsidP="00F47DC1">
      <w:pPr>
        <w:pStyle w:val="ListParagraph"/>
        <w:numPr>
          <w:ilvl w:val="0"/>
          <w:numId w:val="25"/>
        </w:numPr>
        <w:rPr>
          <w:rFonts w:ascii="Times New Roman" w:hAnsi="Times New Roman"/>
          <w:sz w:val="24"/>
          <w:szCs w:val="24"/>
        </w:rPr>
      </w:pPr>
      <w:r w:rsidRPr="00D736BA">
        <w:rPr>
          <w:rFonts w:ascii="Times New Roman" w:hAnsi="Times New Roman"/>
          <w:sz w:val="24"/>
          <w:szCs w:val="24"/>
        </w:rPr>
        <w:t>Number of National Health Service Corps’ (NHSC) Recruitment &amp; Retention (R&amp;R) Assistance Application State Recommendation Forms submitted by the State Primary Care Office to the NHSC.</w:t>
      </w:r>
    </w:p>
    <w:p w:rsidR="00F47DC1" w:rsidRDefault="00F47DC1" w:rsidP="00F47DC1">
      <w:pPr>
        <w:pStyle w:val="ListParagraph"/>
        <w:numPr>
          <w:ilvl w:val="0"/>
          <w:numId w:val="25"/>
        </w:numPr>
        <w:rPr>
          <w:rFonts w:ascii="Times New Roman" w:hAnsi="Times New Roman"/>
          <w:sz w:val="24"/>
          <w:szCs w:val="24"/>
        </w:rPr>
      </w:pPr>
      <w:r w:rsidRPr="00D736BA">
        <w:rPr>
          <w:rFonts w:ascii="Times New Roman" w:hAnsi="Times New Roman"/>
          <w:sz w:val="24"/>
          <w:szCs w:val="24"/>
        </w:rPr>
        <w:t>Number of Service Areas provided technical assistance in the development or expansion of safety net services by the State Primary Care Office.</w:t>
      </w:r>
    </w:p>
    <w:p w:rsidR="00994272" w:rsidRDefault="00994272" w:rsidP="00994272">
      <w:pPr>
        <w:ind w:left="360"/>
      </w:pPr>
    </w:p>
    <w:p w:rsidR="00994272" w:rsidRPr="00994272" w:rsidRDefault="00994272" w:rsidP="00994272">
      <w:pPr>
        <w:ind w:left="360"/>
      </w:pPr>
      <w:r>
        <w:t xml:space="preserve">The table below outlines the information that will be requested from the Primary Care Offices (in each state that participate in </w:t>
      </w:r>
      <w:proofErr w:type="spellStart"/>
      <w:r>
        <w:t>BHPr’s</w:t>
      </w:r>
      <w:proofErr w:type="spellEnd"/>
      <w:r>
        <w:t xml:space="preserve"> Primary Care Office program).</w:t>
      </w:r>
    </w:p>
    <w:p w:rsidR="00AB51AE" w:rsidRPr="00D736BA" w:rsidRDefault="00AB51AE" w:rsidP="00AB51AE">
      <w:pPr>
        <w:pStyle w:val="ListParagraph"/>
        <w:rPr>
          <w:rFonts w:ascii="Times New Roman" w:hAnsi="Times New Roman"/>
          <w:sz w:val="24"/>
          <w:szCs w:val="24"/>
        </w:rPr>
      </w:pPr>
    </w:p>
    <w:p w:rsidR="006768E9" w:rsidRPr="00D736BA" w:rsidRDefault="006768E9" w:rsidP="006768E9"/>
    <w:p w:rsidR="006768E9" w:rsidRPr="00D736BA" w:rsidRDefault="006768E9" w:rsidP="006768E9"/>
    <w:p w:rsidR="00AB51AE" w:rsidRPr="00D736BA" w:rsidRDefault="00AB51AE">
      <w:r w:rsidRPr="00D736BA">
        <w:br w:type="page"/>
      </w:r>
    </w:p>
    <w:p w:rsidR="00AB51AE" w:rsidRPr="00D736BA" w:rsidRDefault="00AB51AE" w:rsidP="00AB51AE">
      <w:pPr>
        <w:pStyle w:val="ListParagraph"/>
        <w:numPr>
          <w:ilvl w:val="0"/>
          <w:numId w:val="25"/>
        </w:numPr>
        <w:rPr>
          <w:rFonts w:ascii="Times New Roman" w:hAnsi="Times New Roman"/>
          <w:sz w:val="24"/>
          <w:szCs w:val="24"/>
        </w:rPr>
        <w:sectPr w:rsidR="00AB51AE" w:rsidRPr="00D736BA" w:rsidSect="00E57299">
          <w:footerReference w:type="default" r:id="rId7"/>
          <w:pgSz w:w="12240" w:h="15840"/>
          <w:pgMar w:top="1440" w:right="1440" w:bottom="630" w:left="1440" w:header="720" w:footer="720" w:gutter="0"/>
          <w:cols w:space="720"/>
          <w:docGrid w:linePitch="360"/>
        </w:sectPr>
      </w:pPr>
    </w:p>
    <w:p w:rsidR="00AB51AE" w:rsidRPr="00D736BA" w:rsidRDefault="00AB51AE" w:rsidP="00AB51AE">
      <w:pPr>
        <w:pStyle w:val="ListParagraph"/>
        <w:numPr>
          <w:ilvl w:val="0"/>
          <w:numId w:val="25"/>
        </w:numPr>
        <w:rPr>
          <w:rFonts w:ascii="Times New Roman" w:hAnsi="Times New Roman"/>
          <w:sz w:val="24"/>
          <w:szCs w:val="24"/>
        </w:rPr>
      </w:pPr>
      <w:r w:rsidRPr="00D736BA">
        <w:rPr>
          <w:rFonts w:ascii="Times New Roman" w:hAnsi="Times New Roman"/>
          <w:sz w:val="24"/>
          <w:szCs w:val="24"/>
        </w:rPr>
        <w:lastRenderedPageBreak/>
        <w:t>Number of Obligated Health Professionals (OHP) currently serving in primary care, dental, or mental health disciplines. (table)</w:t>
      </w:r>
    </w:p>
    <w:p w:rsidR="00AB51AE" w:rsidRPr="00D736BA" w:rsidRDefault="00AB51AE" w:rsidP="00F47DC1"/>
    <w:p w:rsidR="00AB51AE" w:rsidRPr="00D736BA" w:rsidRDefault="00AB51AE" w:rsidP="00F47D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2"/>
        <w:gridCol w:w="1272"/>
        <w:gridCol w:w="1272"/>
        <w:gridCol w:w="1272"/>
        <w:gridCol w:w="1272"/>
        <w:gridCol w:w="1272"/>
        <w:gridCol w:w="1272"/>
        <w:gridCol w:w="1272"/>
        <w:gridCol w:w="1272"/>
        <w:gridCol w:w="1272"/>
        <w:gridCol w:w="1272"/>
      </w:tblGrid>
      <w:tr w:rsidR="00AB51AE" w:rsidRPr="00D736BA" w:rsidTr="00AB51AE">
        <w:tc>
          <w:tcPr>
            <w:tcW w:w="451" w:type="pct"/>
            <w:vAlign w:val="bottom"/>
          </w:tcPr>
          <w:p w:rsidR="00AB51AE" w:rsidRPr="00D736BA" w:rsidRDefault="00AB51AE" w:rsidP="008D46B9">
            <w:pPr>
              <w:rPr>
                <w:b/>
              </w:rPr>
            </w:pPr>
            <w:r w:rsidRPr="00D736BA">
              <w:rPr>
                <w:b/>
              </w:rPr>
              <w:t>Columns</w:t>
            </w:r>
          </w:p>
        </w:tc>
        <w:tc>
          <w:tcPr>
            <w:tcW w:w="455" w:type="pct"/>
          </w:tcPr>
          <w:p w:rsidR="00AB51AE" w:rsidRPr="00D736BA" w:rsidRDefault="00AB51AE" w:rsidP="008D46B9">
            <w:pPr>
              <w:jc w:val="center"/>
              <w:rPr>
                <w:b/>
              </w:rPr>
            </w:pPr>
            <w:r w:rsidRPr="00D736BA">
              <w:rPr>
                <w:b/>
              </w:rPr>
              <w:t>A</w:t>
            </w:r>
          </w:p>
        </w:tc>
        <w:tc>
          <w:tcPr>
            <w:tcW w:w="455" w:type="pct"/>
          </w:tcPr>
          <w:p w:rsidR="00AB51AE" w:rsidRPr="00D736BA" w:rsidRDefault="00AB51AE" w:rsidP="008D46B9">
            <w:pPr>
              <w:jc w:val="center"/>
              <w:rPr>
                <w:b/>
              </w:rPr>
            </w:pPr>
            <w:r w:rsidRPr="00D736BA">
              <w:rPr>
                <w:b/>
              </w:rPr>
              <w:t>B</w:t>
            </w:r>
          </w:p>
        </w:tc>
        <w:tc>
          <w:tcPr>
            <w:tcW w:w="455" w:type="pct"/>
          </w:tcPr>
          <w:p w:rsidR="00AB51AE" w:rsidRPr="00D736BA" w:rsidRDefault="00AB51AE" w:rsidP="008D46B9">
            <w:pPr>
              <w:jc w:val="center"/>
              <w:rPr>
                <w:b/>
              </w:rPr>
            </w:pPr>
            <w:r w:rsidRPr="00D736BA">
              <w:rPr>
                <w:b/>
              </w:rPr>
              <w:t>C</w:t>
            </w:r>
          </w:p>
        </w:tc>
        <w:tc>
          <w:tcPr>
            <w:tcW w:w="455" w:type="pct"/>
          </w:tcPr>
          <w:p w:rsidR="00AB51AE" w:rsidRPr="00D736BA" w:rsidRDefault="00AB51AE" w:rsidP="008D46B9">
            <w:pPr>
              <w:jc w:val="center"/>
              <w:rPr>
                <w:b/>
              </w:rPr>
            </w:pPr>
            <w:r w:rsidRPr="00D736BA">
              <w:rPr>
                <w:b/>
              </w:rPr>
              <w:t>D</w:t>
            </w:r>
          </w:p>
        </w:tc>
        <w:tc>
          <w:tcPr>
            <w:tcW w:w="455" w:type="pct"/>
          </w:tcPr>
          <w:p w:rsidR="00AB51AE" w:rsidRPr="00D736BA" w:rsidRDefault="00AB51AE" w:rsidP="008D46B9">
            <w:pPr>
              <w:jc w:val="center"/>
              <w:rPr>
                <w:b/>
              </w:rPr>
            </w:pPr>
            <w:r w:rsidRPr="00D736BA">
              <w:rPr>
                <w:b/>
              </w:rPr>
              <w:t>E</w:t>
            </w:r>
          </w:p>
        </w:tc>
        <w:tc>
          <w:tcPr>
            <w:tcW w:w="455" w:type="pct"/>
            <w:tcBorders>
              <w:right w:val="thinThickThinMediumGap" w:sz="24" w:space="0" w:color="auto"/>
            </w:tcBorders>
          </w:tcPr>
          <w:p w:rsidR="00AB51AE" w:rsidRPr="00D736BA" w:rsidRDefault="00AB51AE" w:rsidP="008D46B9">
            <w:pPr>
              <w:jc w:val="center"/>
              <w:rPr>
                <w:b/>
              </w:rPr>
            </w:pPr>
            <w:r w:rsidRPr="00D736BA">
              <w:rPr>
                <w:b/>
              </w:rPr>
              <w:t>F</w:t>
            </w:r>
          </w:p>
        </w:tc>
        <w:tc>
          <w:tcPr>
            <w:tcW w:w="455" w:type="pct"/>
            <w:tcBorders>
              <w:left w:val="thinThickThinMediumGap" w:sz="24" w:space="0" w:color="auto"/>
            </w:tcBorders>
          </w:tcPr>
          <w:p w:rsidR="00AB51AE" w:rsidRPr="00D736BA" w:rsidRDefault="00AB51AE" w:rsidP="008D46B9">
            <w:pPr>
              <w:jc w:val="center"/>
              <w:rPr>
                <w:b/>
              </w:rPr>
            </w:pPr>
            <w:r w:rsidRPr="00D736BA">
              <w:rPr>
                <w:b/>
              </w:rPr>
              <w:t>G</w:t>
            </w:r>
          </w:p>
        </w:tc>
        <w:tc>
          <w:tcPr>
            <w:tcW w:w="455" w:type="pct"/>
          </w:tcPr>
          <w:p w:rsidR="00AB51AE" w:rsidRPr="00D736BA" w:rsidRDefault="00AB51AE" w:rsidP="008D46B9">
            <w:pPr>
              <w:jc w:val="center"/>
              <w:rPr>
                <w:b/>
              </w:rPr>
            </w:pPr>
            <w:r w:rsidRPr="00D736BA">
              <w:rPr>
                <w:b/>
              </w:rPr>
              <w:t>H</w:t>
            </w:r>
          </w:p>
        </w:tc>
        <w:tc>
          <w:tcPr>
            <w:tcW w:w="455" w:type="pct"/>
          </w:tcPr>
          <w:p w:rsidR="00AB51AE" w:rsidRPr="00D736BA" w:rsidRDefault="00AB51AE" w:rsidP="008D46B9">
            <w:pPr>
              <w:jc w:val="center"/>
              <w:rPr>
                <w:b/>
              </w:rPr>
            </w:pPr>
            <w:r w:rsidRPr="00D736BA">
              <w:rPr>
                <w:b/>
              </w:rPr>
              <w:t>I</w:t>
            </w:r>
          </w:p>
        </w:tc>
        <w:tc>
          <w:tcPr>
            <w:tcW w:w="455" w:type="pct"/>
          </w:tcPr>
          <w:p w:rsidR="00AB51AE" w:rsidRPr="00D736BA" w:rsidRDefault="00AB51AE" w:rsidP="008D46B9">
            <w:pPr>
              <w:jc w:val="center"/>
              <w:rPr>
                <w:b/>
              </w:rPr>
            </w:pPr>
            <w:r w:rsidRPr="00D736BA">
              <w:rPr>
                <w:b/>
              </w:rPr>
              <w:t>J</w:t>
            </w:r>
          </w:p>
        </w:tc>
      </w:tr>
      <w:tr w:rsidR="00AB51AE" w:rsidRPr="00D736BA" w:rsidTr="00AB51AE">
        <w:tc>
          <w:tcPr>
            <w:tcW w:w="451" w:type="pct"/>
            <w:vAlign w:val="bottom"/>
          </w:tcPr>
          <w:p w:rsidR="00AB51AE" w:rsidRPr="00D736BA" w:rsidRDefault="00AB51AE" w:rsidP="008D46B9">
            <w:pPr>
              <w:rPr>
                <w:b/>
              </w:rPr>
            </w:pPr>
            <w:r w:rsidRPr="00D736BA">
              <w:rPr>
                <w:b/>
              </w:rPr>
              <w:t>Discipline</w:t>
            </w:r>
          </w:p>
        </w:tc>
        <w:tc>
          <w:tcPr>
            <w:tcW w:w="455" w:type="pct"/>
          </w:tcPr>
          <w:p w:rsidR="00AB51AE" w:rsidRPr="00D736BA" w:rsidRDefault="00AB51AE" w:rsidP="008D46B9">
            <w:pPr>
              <w:jc w:val="both"/>
            </w:pPr>
            <w:r w:rsidRPr="00D736BA">
              <w:t xml:space="preserve"># </w:t>
            </w:r>
          </w:p>
          <w:p w:rsidR="00AB51AE" w:rsidRPr="00D736BA" w:rsidRDefault="00AB51AE" w:rsidP="008D46B9">
            <w:r w:rsidRPr="00D736BA">
              <w:t>of  Obligated Health Professionals currently providing care</w:t>
            </w:r>
          </w:p>
        </w:tc>
        <w:tc>
          <w:tcPr>
            <w:tcW w:w="455" w:type="pct"/>
          </w:tcPr>
          <w:p w:rsidR="00AB51AE" w:rsidRPr="00D736BA" w:rsidRDefault="00AB51AE" w:rsidP="008D46B9">
            <w:r w:rsidRPr="00D736BA">
              <w:t>#  of Obligated Health Professionals</w:t>
            </w:r>
          </w:p>
          <w:p w:rsidR="00AB51AE" w:rsidRPr="00D736BA" w:rsidRDefault="00AB51AE" w:rsidP="008D46B9">
            <w:r w:rsidRPr="00D736BA">
              <w:t>working in National Health Service Corps’ (NHSC) Sites</w:t>
            </w:r>
          </w:p>
        </w:tc>
        <w:tc>
          <w:tcPr>
            <w:tcW w:w="455" w:type="pct"/>
          </w:tcPr>
          <w:p w:rsidR="00AB51AE" w:rsidRPr="00D736BA" w:rsidRDefault="00AB51AE" w:rsidP="008D46B9">
            <w:r w:rsidRPr="00D736BA">
              <w:t>#  of Obligated Health Professionals</w:t>
            </w:r>
          </w:p>
          <w:p w:rsidR="00AB51AE" w:rsidRPr="00D736BA" w:rsidRDefault="00AB51AE" w:rsidP="008D46B9">
            <w:r w:rsidRPr="00D736BA">
              <w:t>Participating in  State Loan Repayment Program (SLRP)</w:t>
            </w:r>
          </w:p>
        </w:tc>
        <w:tc>
          <w:tcPr>
            <w:tcW w:w="455" w:type="pct"/>
          </w:tcPr>
          <w:p w:rsidR="00AB51AE" w:rsidRPr="00D736BA" w:rsidRDefault="00AB51AE" w:rsidP="008D46B9">
            <w:r w:rsidRPr="00D736BA">
              <w:t>#  of Obligated Health Professionals</w:t>
            </w:r>
          </w:p>
          <w:p w:rsidR="00AB51AE" w:rsidRPr="00D736BA" w:rsidRDefault="00AB51AE" w:rsidP="008D46B9">
            <w:r w:rsidRPr="00D736BA">
              <w:t>Participating  in Non-SLRP State Loan Repayment Program</w:t>
            </w:r>
          </w:p>
        </w:tc>
        <w:tc>
          <w:tcPr>
            <w:tcW w:w="455" w:type="pct"/>
          </w:tcPr>
          <w:p w:rsidR="00AB51AE" w:rsidRPr="00D736BA" w:rsidRDefault="00AB51AE" w:rsidP="008D46B9">
            <w:r w:rsidRPr="00D736BA">
              <w:t># of Obligated Health Professionals practicing on a J-1 Waiver</w:t>
            </w:r>
          </w:p>
        </w:tc>
        <w:tc>
          <w:tcPr>
            <w:tcW w:w="455" w:type="pct"/>
            <w:tcBorders>
              <w:right w:val="thinThickThinMediumGap" w:sz="24" w:space="0" w:color="auto"/>
            </w:tcBorders>
          </w:tcPr>
          <w:p w:rsidR="00AB51AE" w:rsidRPr="00D736BA" w:rsidRDefault="00AB51AE" w:rsidP="008D46B9">
            <w:r w:rsidRPr="00D736BA">
              <w:t># of Obligated Health Professionals receiving other incentives or benefits</w:t>
            </w:r>
          </w:p>
        </w:tc>
        <w:tc>
          <w:tcPr>
            <w:tcW w:w="455" w:type="pct"/>
            <w:tcBorders>
              <w:left w:val="thinThickThinMediumGap" w:sz="24" w:space="0" w:color="auto"/>
            </w:tcBorders>
          </w:tcPr>
          <w:p w:rsidR="00AB51AE" w:rsidRPr="00D736BA" w:rsidRDefault="00AB51AE" w:rsidP="008D46B9">
            <w:r w:rsidRPr="00D736BA">
              <w:t>#  of Obligated Health Professionals</w:t>
            </w:r>
          </w:p>
          <w:p w:rsidR="00AB51AE" w:rsidRPr="00D736BA" w:rsidRDefault="00AB51AE" w:rsidP="008D46B9">
            <w:r w:rsidRPr="00D736BA">
              <w:t>working in Community Health Centers</w:t>
            </w:r>
          </w:p>
        </w:tc>
        <w:tc>
          <w:tcPr>
            <w:tcW w:w="455" w:type="pct"/>
          </w:tcPr>
          <w:p w:rsidR="00AB51AE" w:rsidRPr="00D736BA" w:rsidRDefault="00AB51AE" w:rsidP="008D46B9">
            <w:r w:rsidRPr="00D736BA">
              <w:t>#  of Obligated Health Professionals</w:t>
            </w:r>
          </w:p>
          <w:p w:rsidR="00AB51AE" w:rsidRPr="00D736BA" w:rsidRDefault="00AB51AE" w:rsidP="008D46B9">
            <w:r w:rsidRPr="00D736BA">
              <w:t xml:space="preserve">working in Medically Underserved Areas (MUAs) </w:t>
            </w:r>
          </w:p>
        </w:tc>
        <w:tc>
          <w:tcPr>
            <w:tcW w:w="455" w:type="pct"/>
          </w:tcPr>
          <w:p w:rsidR="00AB51AE" w:rsidRPr="00D736BA" w:rsidRDefault="00AB51AE" w:rsidP="008D46B9">
            <w:r w:rsidRPr="00D736BA">
              <w:t>#  of Obligated Health Professionals</w:t>
            </w:r>
          </w:p>
          <w:p w:rsidR="00AB51AE" w:rsidRPr="00D736BA" w:rsidRDefault="00AB51AE" w:rsidP="008D46B9">
            <w:r w:rsidRPr="00D736BA">
              <w:t>working in Health Professional Shortage Areas (HPSAs)</w:t>
            </w:r>
          </w:p>
        </w:tc>
        <w:tc>
          <w:tcPr>
            <w:tcW w:w="455" w:type="pct"/>
          </w:tcPr>
          <w:p w:rsidR="00AB51AE" w:rsidRPr="00D736BA" w:rsidRDefault="00AB51AE" w:rsidP="008D46B9">
            <w:r w:rsidRPr="00D736BA">
              <w:t>#  of Obligated Health Professionals</w:t>
            </w:r>
          </w:p>
          <w:p w:rsidR="00AB51AE" w:rsidRPr="00D736BA" w:rsidRDefault="00AB51AE" w:rsidP="008D46B9">
            <w:r w:rsidRPr="00D736BA">
              <w:t>Working in other settings</w:t>
            </w:r>
          </w:p>
        </w:tc>
      </w:tr>
      <w:tr w:rsidR="00AB51AE" w:rsidRPr="00D736BA" w:rsidTr="00AB51AE">
        <w:tc>
          <w:tcPr>
            <w:tcW w:w="451" w:type="pct"/>
            <w:vAlign w:val="bottom"/>
          </w:tcPr>
          <w:p w:rsidR="00AB51AE" w:rsidRPr="00D736BA" w:rsidRDefault="00AB51AE" w:rsidP="008D46B9">
            <w:r w:rsidRPr="00D736BA">
              <w:t>Allopathic Physician (MD)</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Osteopathic Physician (DO)</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Dentist (DDS/DMD)</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Nurse Practitioner (NP)</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lastRenderedPageBreak/>
              <w:t>Nurse Midwife (NM)</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Physician Assistant (PA)</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Dental Hygienist (DH)</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Psychiatrist (MD&amp;DO)</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Clinical Psychologist (CP)</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Licensed Clinical Social Worker (LCSW)</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Psychiatric Nurse Specialist (PNS)</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Mental Health Clinician</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 xml:space="preserve">Licensed </w:t>
            </w:r>
            <w:r w:rsidRPr="00D736BA">
              <w:lastRenderedPageBreak/>
              <w:t>Professional Counselor (LPC)</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lastRenderedPageBreak/>
              <w:t>Marriage and Family Therapist (MFT)</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vAlign w:val="bottom"/>
          </w:tcPr>
          <w:p w:rsidR="00AB51AE" w:rsidRPr="00D736BA" w:rsidRDefault="00AB51AE" w:rsidP="008D46B9">
            <w:r w:rsidRPr="00D736BA">
              <w:t>Other (Specify)</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tcPr>
          <w:p w:rsidR="00AB51AE" w:rsidRPr="00D736BA" w:rsidRDefault="00AB51AE" w:rsidP="008D46B9">
            <w:r w:rsidRPr="00D736BA">
              <w:t>Total</w:t>
            </w:r>
          </w:p>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r w:rsidR="00AB51AE" w:rsidRPr="00D736BA" w:rsidTr="00AB51AE">
        <w:tc>
          <w:tcPr>
            <w:tcW w:w="451"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Borders>
              <w:right w:val="thinThickThinMediumGap" w:sz="24" w:space="0" w:color="auto"/>
            </w:tcBorders>
          </w:tcPr>
          <w:p w:rsidR="00AB51AE" w:rsidRPr="00D736BA" w:rsidRDefault="00AB51AE" w:rsidP="008D46B9"/>
        </w:tc>
        <w:tc>
          <w:tcPr>
            <w:tcW w:w="455" w:type="pct"/>
            <w:tcBorders>
              <w:left w:val="thinThickThinMediumGap" w:sz="24" w:space="0" w:color="auto"/>
            </w:tcBorders>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c>
          <w:tcPr>
            <w:tcW w:w="455" w:type="pct"/>
          </w:tcPr>
          <w:p w:rsidR="00AB51AE" w:rsidRPr="00D736BA" w:rsidRDefault="00AB51AE" w:rsidP="008D46B9"/>
        </w:tc>
      </w:tr>
    </w:tbl>
    <w:p w:rsidR="00EF67A6" w:rsidRPr="00D736BA" w:rsidRDefault="00EF67A6">
      <w:pPr>
        <w:rPr>
          <w:b/>
        </w:rPr>
      </w:pPr>
    </w:p>
    <w:p w:rsidR="00AB51AE" w:rsidRPr="00D736BA" w:rsidRDefault="00AB51AE">
      <w:pPr>
        <w:rPr>
          <w:b/>
        </w:rPr>
        <w:sectPr w:rsidR="00AB51AE" w:rsidRPr="00D736BA" w:rsidSect="00AB51AE">
          <w:pgSz w:w="15840" w:h="12240" w:orient="landscape"/>
          <w:pgMar w:top="1440" w:right="1440" w:bottom="1440" w:left="634" w:header="720" w:footer="720" w:gutter="0"/>
          <w:cols w:space="720"/>
          <w:docGrid w:linePitch="360"/>
        </w:sectPr>
      </w:pPr>
    </w:p>
    <w:p w:rsidR="00EF67A6" w:rsidRPr="00D736BA" w:rsidRDefault="00EF67A6">
      <w:pPr>
        <w:rPr>
          <w:b/>
        </w:rPr>
      </w:pPr>
      <w:r w:rsidRPr="00D736BA">
        <w:rPr>
          <w:b/>
        </w:rPr>
        <w:lastRenderedPageBreak/>
        <w:t>STATE HEALTH CARE WORKFORCE GRANTS</w:t>
      </w:r>
      <w:r w:rsidR="00994272">
        <w:rPr>
          <w:b/>
        </w:rPr>
        <w:t xml:space="preserve"> (NEW PROGRAM)</w:t>
      </w:r>
    </w:p>
    <w:p w:rsidR="001C700D" w:rsidRPr="00D736BA" w:rsidRDefault="001C700D">
      <w:pPr>
        <w:rPr>
          <w:b/>
        </w:rPr>
      </w:pPr>
    </w:p>
    <w:p w:rsidR="001C700D" w:rsidRPr="00D736BA" w:rsidRDefault="001C700D" w:rsidP="001C700D">
      <w:pPr>
        <w:jc w:val="center"/>
        <w:rPr>
          <w:b/>
          <w:u w:val="single"/>
        </w:rPr>
      </w:pPr>
      <w:r w:rsidRPr="00D736BA">
        <w:rPr>
          <w:b/>
          <w:u w:val="single"/>
        </w:rPr>
        <w:t xml:space="preserve">PLANNING GRANT PERFORMANCE BENCHMARKS                                                                                                  </w:t>
      </w:r>
    </w:p>
    <w:tbl>
      <w:tblPr>
        <w:tblStyle w:val="TableGrid"/>
        <w:tblW w:w="0" w:type="auto"/>
        <w:tblLook w:val="04A0"/>
      </w:tblPr>
      <w:tblGrid>
        <w:gridCol w:w="4788"/>
        <w:gridCol w:w="1980"/>
        <w:gridCol w:w="1980"/>
      </w:tblGrid>
      <w:tr w:rsidR="001C700D" w:rsidRPr="00D736BA" w:rsidTr="00C362EC">
        <w:tc>
          <w:tcPr>
            <w:tcW w:w="8748" w:type="dxa"/>
            <w:gridSpan w:val="3"/>
          </w:tcPr>
          <w:p w:rsidR="001C700D" w:rsidRPr="00D736BA" w:rsidRDefault="001C700D" w:rsidP="00C362EC">
            <w:pPr>
              <w:rPr>
                <w:rFonts w:ascii="Times New Roman" w:hAnsi="Times New Roman" w:cs="Times New Roman"/>
                <w:b/>
                <w:sz w:val="24"/>
                <w:szCs w:val="24"/>
              </w:rPr>
            </w:pPr>
            <w:r w:rsidRPr="00D736BA">
              <w:rPr>
                <w:rFonts w:ascii="Times New Roman" w:hAnsi="Times New Roman" w:cs="Times New Roman"/>
                <w:b/>
                <w:sz w:val="24"/>
                <w:szCs w:val="24"/>
              </w:rPr>
              <w:t xml:space="preserve">STATE: </w:t>
            </w:r>
            <w:r w:rsidRPr="00D736BA">
              <w:rPr>
                <w:rFonts w:ascii="Times New Roman" w:hAnsi="Times New Roman" w:cs="Times New Roman"/>
                <w:b/>
                <w:color w:val="FF0000"/>
                <w:sz w:val="24"/>
                <w:szCs w:val="24"/>
              </w:rPr>
              <w:t>{INSERT NAME OF STATE}</w:t>
            </w:r>
          </w:p>
        </w:tc>
      </w:tr>
      <w:tr w:rsidR="001C700D" w:rsidRPr="00D736BA" w:rsidTr="00C362EC">
        <w:tc>
          <w:tcPr>
            <w:tcW w:w="4788" w:type="dxa"/>
          </w:tcPr>
          <w:p w:rsidR="001C700D" w:rsidRPr="00D736BA" w:rsidRDefault="001C700D" w:rsidP="00C362EC">
            <w:pPr>
              <w:jc w:val="center"/>
              <w:rPr>
                <w:rFonts w:ascii="Times New Roman" w:hAnsi="Times New Roman" w:cs="Times New Roman"/>
                <w:b/>
                <w:sz w:val="24"/>
                <w:szCs w:val="24"/>
              </w:rPr>
            </w:pPr>
            <w:r w:rsidRPr="00D736BA">
              <w:rPr>
                <w:rFonts w:ascii="Times New Roman" w:hAnsi="Times New Roman" w:cs="Times New Roman"/>
                <w:b/>
                <w:sz w:val="24"/>
                <w:szCs w:val="24"/>
              </w:rPr>
              <w:t>Performance Benchmark</w:t>
            </w:r>
          </w:p>
        </w:tc>
        <w:tc>
          <w:tcPr>
            <w:tcW w:w="1980" w:type="dxa"/>
          </w:tcPr>
          <w:p w:rsidR="001C700D" w:rsidRPr="00D736BA" w:rsidRDefault="001C700D" w:rsidP="00C362EC">
            <w:pPr>
              <w:jc w:val="center"/>
              <w:rPr>
                <w:rFonts w:ascii="Times New Roman" w:hAnsi="Times New Roman" w:cs="Times New Roman"/>
                <w:b/>
                <w:sz w:val="24"/>
                <w:szCs w:val="24"/>
              </w:rPr>
            </w:pPr>
            <w:r w:rsidRPr="00D736BA">
              <w:rPr>
                <w:rFonts w:ascii="Times New Roman" w:hAnsi="Times New Roman" w:cs="Times New Roman"/>
                <w:b/>
                <w:sz w:val="24"/>
                <w:szCs w:val="24"/>
              </w:rPr>
              <w:t>Target</w:t>
            </w:r>
          </w:p>
        </w:tc>
        <w:tc>
          <w:tcPr>
            <w:tcW w:w="1980" w:type="dxa"/>
          </w:tcPr>
          <w:p w:rsidR="001C700D" w:rsidRPr="00D736BA" w:rsidRDefault="001C700D" w:rsidP="00C362EC">
            <w:pPr>
              <w:jc w:val="center"/>
              <w:rPr>
                <w:rFonts w:ascii="Times New Roman" w:hAnsi="Times New Roman" w:cs="Times New Roman"/>
                <w:b/>
                <w:sz w:val="24"/>
                <w:szCs w:val="24"/>
              </w:rPr>
            </w:pPr>
            <w:r w:rsidRPr="00D736BA">
              <w:rPr>
                <w:rFonts w:ascii="Times New Roman" w:hAnsi="Times New Roman" w:cs="Times New Roman"/>
                <w:b/>
                <w:sz w:val="24"/>
                <w:szCs w:val="24"/>
              </w:rPr>
              <w:t>Actual</w:t>
            </w:r>
          </w:p>
        </w:tc>
      </w:tr>
      <w:tr w:rsidR="001C700D" w:rsidRPr="00D736BA" w:rsidTr="00C362EC">
        <w:tc>
          <w:tcPr>
            <w:tcW w:w="4788" w:type="dxa"/>
          </w:tcPr>
          <w:p w:rsidR="001C700D" w:rsidRPr="00D736BA" w:rsidRDefault="001C700D" w:rsidP="00C362EC">
            <w:pPr>
              <w:rPr>
                <w:rFonts w:ascii="Times New Roman" w:hAnsi="Times New Roman" w:cs="Times New Roman"/>
                <w:sz w:val="24"/>
                <w:szCs w:val="24"/>
              </w:rPr>
            </w:pPr>
            <w:r w:rsidRPr="00D736BA">
              <w:rPr>
                <w:rFonts w:ascii="Times New Roman" w:hAnsi="Times New Roman" w:cs="Times New Roman"/>
                <w:sz w:val="24"/>
                <w:szCs w:val="24"/>
              </w:rPr>
              <w:t>1. Completion of an analysis of (STATE) health care labor market information.</w:t>
            </w:r>
          </w:p>
          <w:p w:rsidR="001C700D" w:rsidRPr="00D736BA" w:rsidRDefault="001C700D" w:rsidP="00C362EC">
            <w:pPr>
              <w:rPr>
                <w:rFonts w:ascii="Times New Roman" w:hAnsi="Times New Roman" w:cs="Times New Roman"/>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rPr>
                <w:rFonts w:ascii="Times New Roman" w:hAnsi="Times New Roman" w:cs="Times New Roman"/>
                <w:sz w:val="24"/>
                <w:szCs w:val="24"/>
              </w:rPr>
            </w:pPr>
            <w:r w:rsidRPr="00D736BA">
              <w:rPr>
                <w:rFonts w:ascii="Times New Roman" w:hAnsi="Times New Roman" w:cs="Times New Roman"/>
                <w:sz w:val="24"/>
                <w:szCs w:val="24"/>
              </w:rPr>
              <w:t>2. Identification of current and projected high demand health care occupations within (STATE).</w:t>
            </w:r>
          </w:p>
          <w:p w:rsidR="001C700D" w:rsidRPr="00D736BA" w:rsidRDefault="001C700D" w:rsidP="00C362EC">
            <w:pPr>
              <w:rPr>
                <w:rFonts w:ascii="Times New Roman" w:hAnsi="Times New Roman" w:cs="Times New Roman"/>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3. Identification of existing Federal, State, and private resources to recruit, educate or train, and retain a skilled health care workforce and strengthen partnerships</w:t>
            </w:r>
          </w:p>
          <w:p w:rsidR="001C700D" w:rsidRPr="00D736BA" w:rsidRDefault="001C700D" w:rsidP="00C362EC">
            <w:pPr>
              <w:rPr>
                <w:rFonts w:ascii="Times New Roman" w:hAnsi="Times New Roman" w:cs="Times New Roman"/>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4. Completion of a description the academic and health care industry skill standards for high school graduation, for entry into postsecondary education, and for various credentials and licensure;</w:t>
            </w:r>
          </w:p>
          <w:p w:rsidR="001C700D" w:rsidRPr="00D736BA" w:rsidRDefault="001C700D" w:rsidP="00C362EC">
            <w:pPr>
              <w:rPr>
                <w:rFonts w:ascii="Times New Roman" w:hAnsi="Times New Roman" w:cs="Times New Roman"/>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5. Completion of a description of the State secondary and postsecondary education and training policies, models, or practices for the health care sector, including career information and guidance counseling;</w:t>
            </w:r>
          </w:p>
          <w:p w:rsidR="001C700D" w:rsidRPr="00D736BA" w:rsidRDefault="001C700D" w:rsidP="00C362EC">
            <w:pPr>
              <w:rPr>
                <w:rFonts w:ascii="Times New Roman" w:hAnsi="Times New Roman" w:cs="Times New Roman"/>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6. Identification of Federal or State policies or rules to developing a coherent and comprehensive health care workforce development strategy</w:t>
            </w:r>
          </w:p>
          <w:p w:rsidR="001C700D" w:rsidRPr="00D736BA" w:rsidRDefault="001C700D" w:rsidP="00C362EC">
            <w:pPr>
              <w:rPr>
                <w:rFonts w:ascii="Times New Roman" w:hAnsi="Times New Roman" w:cs="Times New Roman"/>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7. Identification of barriers to developing a coherent and comprehensive health care workforce development strategy and a plan to resolve these barriers</w:t>
            </w:r>
          </w:p>
          <w:p w:rsidR="001C700D" w:rsidRPr="00D736BA" w:rsidRDefault="001C700D" w:rsidP="00C362EC">
            <w:pPr>
              <w:autoSpaceDE w:val="0"/>
              <w:autoSpaceDN w:val="0"/>
              <w:adjustRightInd w:val="0"/>
              <w:rPr>
                <w:rFonts w:ascii="Times New Roman" w:hAnsi="Times New Roman" w:cs="Times New Roman"/>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bl>
    <w:p w:rsidR="001C700D" w:rsidRPr="00D736BA" w:rsidRDefault="001C700D" w:rsidP="001C700D">
      <w:pPr>
        <w:rPr>
          <w:b/>
        </w:rPr>
      </w:pPr>
    </w:p>
    <w:p w:rsidR="001C700D" w:rsidRPr="00D736BA" w:rsidRDefault="001C700D">
      <w:pPr>
        <w:rPr>
          <w:b/>
          <w:u w:val="single"/>
        </w:rPr>
      </w:pPr>
      <w:r w:rsidRPr="00D736BA">
        <w:rPr>
          <w:b/>
          <w:u w:val="single"/>
        </w:rPr>
        <w:br w:type="page"/>
      </w:r>
    </w:p>
    <w:p w:rsidR="001C700D" w:rsidRPr="00D736BA" w:rsidRDefault="001C700D" w:rsidP="001C700D">
      <w:pPr>
        <w:rPr>
          <w:b/>
          <w:u w:val="single"/>
        </w:rPr>
      </w:pPr>
      <w:r w:rsidRPr="00D736BA">
        <w:rPr>
          <w:b/>
        </w:rPr>
        <w:lastRenderedPageBreak/>
        <w:t>STATE HEALTH CARE WORKFORCE GRANTS</w:t>
      </w:r>
    </w:p>
    <w:p w:rsidR="001C700D" w:rsidRPr="00D736BA" w:rsidRDefault="001C700D" w:rsidP="001C700D">
      <w:pPr>
        <w:jc w:val="center"/>
        <w:rPr>
          <w:b/>
          <w:u w:val="single"/>
        </w:rPr>
      </w:pPr>
    </w:p>
    <w:p w:rsidR="001C700D" w:rsidRPr="00D736BA" w:rsidRDefault="001C700D" w:rsidP="001C700D">
      <w:pPr>
        <w:jc w:val="center"/>
        <w:rPr>
          <w:b/>
          <w:u w:val="single"/>
        </w:rPr>
      </w:pPr>
      <w:r w:rsidRPr="00D736BA">
        <w:rPr>
          <w:b/>
          <w:u w:val="single"/>
        </w:rPr>
        <w:t xml:space="preserve">IMPLEMENTATION GRANT PERFORMANCE BENCHMARKS  </w:t>
      </w:r>
    </w:p>
    <w:p w:rsidR="001C700D" w:rsidRPr="00D736BA" w:rsidRDefault="001C700D" w:rsidP="001C700D">
      <w:pPr>
        <w:jc w:val="center"/>
        <w:rPr>
          <w:b/>
          <w:u w:val="single"/>
        </w:rPr>
      </w:pPr>
      <w:r w:rsidRPr="00D736BA">
        <w:rPr>
          <w:b/>
          <w:u w:val="single"/>
        </w:rPr>
        <w:t xml:space="preserve">                                                                                                </w:t>
      </w:r>
    </w:p>
    <w:tbl>
      <w:tblPr>
        <w:tblStyle w:val="TableGrid"/>
        <w:tblW w:w="0" w:type="auto"/>
        <w:tblLook w:val="04A0"/>
      </w:tblPr>
      <w:tblGrid>
        <w:gridCol w:w="4788"/>
        <w:gridCol w:w="1980"/>
        <w:gridCol w:w="1980"/>
      </w:tblGrid>
      <w:tr w:rsidR="001C700D" w:rsidRPr="00D736BA" w:rsidTr="00C362EC">
        <w:tc>
          <w:tcPr>
            <w:tcW w:w="4788" w:type="dxa"/>
          </w:tcPr>
          <w:p w:rsidR="001C700D" w:rsidRPr="00D736BA" w:rsidRDefault="001C700D" w:rsidP="00C362EC">
            <w:pPr>
              <w:jc w:val="center"/>
              <w:rPr>
                <w:rFonts w:ascii="Times New Roman" w:hAnsi="Times New Roman" w:cs="Times New Roman"/>
                <w:b/>
                <w:sz w:val="24"/>
                <w:szCs w:val="24"/>
              </w:rPr>
            </w:pPr>
            <w:r w:rsidRPr="00D736BA">
              <w:rPr>
                <w:rFonts w:ascii="Times New Roman" w:hAnsi="Times New Roman" w:cs="Times New Roman"/>
                <w:b/>
                <w:sz w:val="24"/>
                <w:szCs w:val="24"/>
              </w:rPr>
              <w:t>Performance Benchmark</w:t>
            </w:r>
          </w:p>
        </w:tc>
        <w:tc>
          <w:tcPr>
            <w:tcW w:w="1980" w:type="dxa"/>
          </w:tcPr>
          <w:p w:rsidR="001C700D" w:rsidRPr="00D736BA" w:rsidRDefault="001C700D" w:rsidP="00C362EC">
            <w:pPr>
              <w:jc w:val="center"/>
              <w:rPr>
                <w:rFonts w:ascii="Times New Roman" w:hAnsi="Times New Roman" w:cs="Times New Roman"/>
                <w:b/>
                <w:sz w:val="24"/>
                <w:szCs w:val="24"/>
              </w:rPr>
            </w:pPr>
            <w:r w:rsidRPr="00D736BA">
              <w:rPr>
                <w:rFonts w:ascii="Times New Roman" w:hAnsi="Times New Roman" w:cs="Times New Roman"/>
                <w:b/>
                <w:sz w:val="24"/>
                <w:szCs w:val="24"/>
              </w:rPr>
              <w:t>Target</w:t>
            </w:r>
          </w:p>
        </w:tc>
        <w:tc>
          <w:tcPr>
            <w:tcW w:w="1980" w:type="dxa"/>
          </w:tcPr>
          <w:p w:rsidR="001C700D" w:rsidRPr="00D736BA" w:rsidRDefault="001C700D" w:rsidP="00C362EC">
            <w:pPr>
              <w:jc w:val="center"/>
              <w:rPr>
                <w:rFonts w:ascii="Times New Roman" w:hAnsi="Times New Roman" w:cs="Times New Roman"/>
                <w:b/>
                <w:sz w:val="24"/>
                <w:szCs w:val="24"/>
              </w:rPr>
            </w:pPr>
            <w:r w:rsidRPr="00D736BA">
              <w:rPr>
                <w:rFonts w:ascii="Times New Roman" w:hAnsi="Times New Roman" w:cs="Times New Roman"/>
                <w:b/>
                <w:sz w:val="24"/>
                <w:szCs w:val="24"/>
              </w:rPr>
              <w:t>Actual</w:t>
            </w: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1. Completion of facilitated State partnership meetings on a regular basis, and at least on a semiannual basis.</w:t>
            </w: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 of meetings</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 xml:space="preserve">2. Identification of regional leadership, to discuss opportunities to engage in statewide health care workforce development planning </w:t>
            </w:r>
          </w:p>
          <w:p w:rsidR="001C700D" w:rsidRPr="00D736BA" w:rsidRDefault="001C700D" w:rsidP="00C362EC">
            <w:pPr>
              <w:rPr>
                <w:rFonts w:ascii="Times New Roman" w:hAnsi="Times New Roman" w:cs="Times New Roman"/>
                <w:b/>
                <w:i/>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3. Completion of facilitated meetings with regional leadership to discuss opportunities to engage in statewide health care workforce development planning</w:t>
            </w: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 of meetings</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 xml:space="preserve">Completion of distribution of regional competitive grants. </w:t>
            </w:r>
          </w:p>
          <w:p w:rsidR="001C700D" w:rsidRPr="00D736BA" w:rsidRDefault="001C700D" w:rsidP="00C362EC">
            <w:pPr>
              <w:autoSpaceDE w:val="0"/>
              <w:autoSpaceDN w:val="0"/>
              <w:adjustRightInd w:val="0"/>
              <w:rPr>
                <w:rFonts w:ascii="Times New Roman" w:hAnsi="Times New Roman" w:cs="Times New Roman"/>
                <w:sz w:val="24"/>
                <w:szCs w:val="24"/>
              </w:rPr>
            </w:pP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Estimated dollar amount to be awarded through regional competitions (must be equal to or greater than 60% of total award)</w:t>
            </w:r>
          </w:p>
        </w:tc>
        <w:tc>
          <w:tcPr>
            <w:tcW w:w="1980" w:type="dxa"/>
          </w:tcPr>
          <w:p w:rsidR="001C700D" w:rsidRPr="00D736BA" w:rsidRDefault="001C700D" w:rsidP="00C362EC">
            <w:pPr>
              <w:rPr>
                <w:rFonts w:ascii="Times New Roman" w:hAnsi="Times New Roman" w:cs="Times New Roman"/>
                <w:b/>
                <w:i/>
                <w:color w:val="FF0000"/>
                <w:sz w:val="24"/>
                <w:szCs w:val="24"/>
              </w:rPr>
            </w:pPr>
          </w:p>
        </w:tc>
      </w:tr>
      <w:tr w:rsidR="001C700D" w:rsidRPr="00D736BA" w:rsidTr="00C362EC">
        <w:tc>
          <w:tcPr>
            <w:tcW w:w="4788" w:type="dxa"/>
          </w:tcPr>
          <w:p w:rsidR="001C700D" w:rsidRPr="00D736BA" w:rsidRDefault="001C700D" w:rsidP="00C362EC">
            <w:pPr>
              <w:autoSpaceDE w:val="0"/>
              <w:autoSpaceDN w:val="0"/>
              <w:adjustRightInd w:val="0"/>
              <w:rPr>
                <w:rFonts w:ascii="Times New Roman" w:hAnsi="Times New Roman" w:cs="Times New Roman"/>
                <w:sz w:val="24"/>
                <w:szCs w:val="24"/>
              </w:rPr>
            </w:pPr>
            <w:r w:rsidRPr="00D736BA">
              <w:rPr>
                <w:rFonts w:ascii="Times New Roman" w:hAnsi="Times New Roman" w:cs="Times New Roman"/>
                <w:sz w:val="24"/>
                <w:szCs w:val="24"/>
              </w:rPr>
              <w:t>Develop, complete and disseminate a preliminary statewide strategy (plan) that addresses short- and long-term health care workforce development supply versus demand, including FTE baselines for Primary Care and Non-Primary Care Health Professions</w:t>
            </w:r>
          </w:p>
        </w:tc>
        <w:tc>
          <w:tcPr>
            <w:tcW w:w="1980" w:type="dxa"/>
          </w:tcPr>
          <w:p w:rsidR="001C700D" w:rsidRPr="00D736BA" w:rsidRDefault="001C700D" w:rsidP="00C362EC">
            <w:pPr>
              <w:jc w:val="center"/>
              <w:rPr>
                <w:rFonts w:ascii="Times New Roman" w:hAnsi="Times New Roman" w:cs="Times New Roman"/>
                <w:b/>
                <w:i/>
                <w:color w:val="FF0000"/>
                <w:sz w:val="24"/>
                <w:szCs w:val="24"/>
              </w:rPr>
            </w:pPr>
            <w:r w:rsidRPr="00D736BA">
              <w:rPr>
                <w:rFonts w:ascii="Times New Roman" w:hAnsi="Times New Roman" w:cs="Times New Roman"/>
                <w:b/>
                <w:i/>
                <w:color w:val="FF0000"/>
                <w:sz w:val="24"/>
                <w:szCs w:val="24"/>
              </w:rPr>
              <w:t>Date</w:t>
            </w:r>
          </w:p>
        </w:tc>
        <w:tc>
          <w:tcPr>
            <w:tcW w:w="1980" w:type="dxa"/>
          </w:tcPr>
          <w:p w:rsidR="001C700D" w:rsidRPr="00D736BA" w:rsidRDefault="001C700D" w:rsidP="00C362EC">
            <w:pPr>
              <w:rPr>
                <w:rFonts w:ascii="Times New Roman" w:hAnsi="Times New Roman" w:cs="Times New Roman"/>
                <w:b/>
                <w:i/>
                <w:color w:val="FF0000"/>
                <w:sz w:val="24"/>
                <w:szCs w:val="24"/>
              </w:rPr>
            </w:pPr>
          </w:p>
        </w:tc>
      </w:tr>
    </w:tbl>
    <w:p w:rsidR="00D736BA" w:rsidRPr="00D736BA" w:rsidRDefault="00D736BA">
      <w:pPr>
        <w:rPr>
          <w:b/>
          <w:color w:val="0070C0"/>
        </w:rPr>
      </w:pPr>
    </w:p>
    <w:p w:rsidR="00D736BA" w:rsidRPr="00D736BA" w:rsidRDefault="00D736BA">
      <w:pPr>
        <w:rPr>
          <w:b/>
          <w:color w:val="0070C0"/>
        </w:rPr>
      </w:pPr>
      <w:r w:rsidRPr="00D736BA">
        <w:rPr>
          <w:b/>
          <w:color w:val="0070C0"/>
        </w:rPr>
        <w:br w:type="page"/>
      </w:r>
    </w:p>
    <w:p w:rsidR="00D736BA" w:rsidRPr="00D736BA" w:rsidRDefault="00D736BA" w:rsidP="00D736BA">
      <w:pPr>
        <w:rPr>
          <w:b/>
          <w:color w:val="000000"/>
        </w:rPr>
      </w:pPr>
      <w:r w:rsidRPr="00D736BA">
        <w:rPr>
          <w:b/>
          <w:color w:val="000000"/>
        </w:rPr>
        <w:lastRenderedPageBreak/>
        <w:t>Attachment B</w:t>
      </w:r>
    </w:p>
    <w:p w:rsidR="00D736BA" w:rsidRPr="00D736BA" w:rsidRDefault="00D736BA" w:rsidP="00D736BA">
      <w:pPr>
        <w:rPr>
          <w:b/>
          <w:bCs/>
        </w:rPr>
      </w:pPr>
      <w:r w:rsidRPr="00D736BA">
        <w:rPr>
          <w:b/>
          <w:color w:val="000000"/>
        </w:rPr>
        <w:t xml:space="preserve">HRSA Active </w:t>
      </w:r>
      <w:r w:rsidR="00994272">
        <w:rPr>
          <w:b/>
          <w:color w:val="000000"/>
        </w:rPr>
        <w:t xml:space="preserve">and New </w:t>
      </w:r>
      <w:r w:rsidRPr="00D736BA">
        <w:rPr>
          <w:b/>
          <w:color w:val="000000"/>
        </w:rPr>
        <w:t xml:space="preserve">Grant Programs Using </w:t>
      </w:r>
      <w:r w:rsidRPr="00D736BA">
        <w:rPr>
          <w:b/>
          <w:bCs/>
        </w:rPr>
        <w:t xml:space="preserve">the </w:t>
      </w:r>
      <w:r w:rsidRPr="00D736BA">
        <w:rPr>
          <w:b/>
        </w:rPr>
        <w:t xml:space="preserve">Performance Reports for Grants and Cooperative Agreements </w:t>
      </w:r>
      <w:r w:rsidRPr="00D736BA">
        <w:rPr>
          <w:b/>
          <w:bCs/>
        </w:rPr>
        <w:t>(PRGCA)</w:t>
      </w:r>
    </w:p>
    <w:p w:rsidR="00D736BA" w:rsidRDefault="00D736BA" w:rsidP="00D736BA">
      <w:pPr>
        <w:rPr>
          <w:b/>
          <w:color w:val="000000"/>
        </w:rPr>
      </w:pPr>
      <w:r w:rsidRPr="00D736BA">
        <w:rPr>
          <w:b/>
          <w:color w:val="000000"/>
        </w:rPr>
        <w:t>OMB No. 0915-0061</w:t>
      </w:r>
    </w:p>
    <w:p w:rsidR="00994272" w:rsidRDefault="00994272" w:rsidP="00D736BA">
      <w:pPr>
        <w:rPr>
          <w:b/>
          <w:color w:val="000000"/>
        </w:rPr>
      </w:pPr>
    </w:p>
    <w:p w:rsidR="00994272" w:rsidRPr="00D736BA" w:rsidRDefault="00994272" w:rsidP="00D736BA">
      <w:pPr>
        <w:rPr>
          <w:color w:val="000000"/>
        </w:rPr>
      </w:pPr>
      <w:r>
        <w:rPr>
          <w:b/>
          <w:color w:val="000000"/>
        </w:rPr>
        <w:t>Active Programs</w:t>
      </w:r>
    </w:p>
    <w:p w:rsidR="00D736BA" w:rsidRPr="00D736BA" w:rsidRDefault="00D736BA" w:rsidP="00D736BA"/>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Academic Administrative Units in Primary Care</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Advanced Nursing Education Grants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Area Health Education Centers Infrastructure Development</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Area Health Education Centers Point of Service Maintenance and Enhancement</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Centers of Excellence</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Chiropractic Demonstration Projects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Comprehensive Geriatric Education Program</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Dental Public Health Residency Training Grants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Faculty Development in Primary Care</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Faculty Development: Integrated Technology into Nursing Education and Practice Initiative</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Geriatric Education Centers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Geriatric Education Centers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Geriatric Training Program for Physicians, Dentists, And Behavioral And Mental Health Professions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Graduate Psychology Education Programs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Grants to States to Support Oral Health Workforce Activities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Grow Your Own FQHC Nurse</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Health Careers Opportunity Program</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Minority Faculty Fellowships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Nurse Education Practice, Quality and Retention</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Nurse Education, Practice and Retention: Enhancing Patient Care Delivery Systems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Nursing Workforce Diversity</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Physician Assistant Training in Primary Care</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Pre-Doctoral Training in Primary Care</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Preventive Medicine Residencies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Public Health Traineeship</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Public Health Training Centers</w:t>
      </w:r>
    </w:p>
    <w:p w:rsidR="00D736BA" w:rsidRP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Residency Training in General, Pediatric, and Public Health Dentistry</w:t>
      </w:r>
    </w:p>
    <w:p w:rsidR="00D736BA" w:rsidRDefault="00D736BA" w:rsidP="00D736BA">
      <w:pPr>
        <w:pStyle w:val="ListParagraph"/>
        <w:numPr>
          <w:ilvl w:val="0"/>
          <w:numId w:val="26"/>
        </w:numPr>
        <w:spacing w:after="200" w:line="276" w:lineRule="auto"/>
        <w:contextualSpacing/>
        <w:rPr>
          <w:rFonts w:ascii="Times New Roman" w:hAnsi="Times New Roman"/>
          <w:sz w:val="24"/>
          <w:szCs w:val="24"/>
        </w:rPr>
      </w:pPr>
      <w:r w:rsidRPr="00D736BA">
        <w:rPr>
          <w:rFonts w:ascii="Times New Roman" w:hAnsi="Times New Roman"/>
          <w:sz w:val="24"/>
          <w:szCs w:val="24"/>
        </w:rPr>
        <w:t>Residency Training in Primary Care</w:t>
      </w:r>
    </w:p>
    <w:p w:rsidR="00994272" w:rsidRDefault="00994272" w:rsidP="00994272">
      <w:pPr>
        <w:spacing w:after="200" w:line="276" w:lineRule="auto"/>
        <w:ind w:left="360"/>
        <w:contextualSpacing/>
      </w:pPr>
    </w:p>
    <w:p w:rsidR="00994272" w:rsidRPr="00994272" w:rsidRDefault="00994272" w:rsidP="00994272">
      <w:pPr>
        <w:spacing w:after="200" w:line="276" w:lineRule="auto"/>
        <w:ind w:left="360"/>
        <w:contextualSpacing/>
        <w:rPr>
          <w:b/>
        </w:rPr>
      </w:pPr>
      <w:r w:rsidRPr="00994272">
        <w:rPr>
          <w:b/>
        </w:rPr>
        <w:t>NEW Programs</w:t>
      </w:r>
    </w:p>
    <w:p w:rsidR="00D736BA" w:rsidRPr="00994272" w:rsidRDefault="00D736BA" w:rsidP="00994272">
      <w:pPr>
        <w:pStyle w:val="ListParagraph"/>
        <w:numPr>
          <w:ilvl w:val="0"/>
          <w:numId w:val="27"/>
        </w:numPr>
        <w:spacing w:after="200" w:line="276" w:lineRule="auto"/>
        <w:contextualSpacing/>
        <w:rPr>
          <w:rFonts w:ascii="Times New Roman" w:hAnsi="Times New Roman"/>
          <w:sz w:val="24"/>
          <w:szCs w:val="24"/>
        </w:rPr>
      </w:pPr>
      <w:r w:rsidRPr="00994272">
        <w:rPr>
          <w:rFonts w:ascii="Times New Roman" w:hAnsi="Times New Roman"/>
          <w:sz w:val="24"/>
          <w:szCs w:val="24"/>
        </w:rPr>
        <w:t>State Primary Care Offices</w:t>
      </w:r>
      <w:r w:rsidR="00994272" w:rsidRPr="00994272">
        <w:rPr>
          <w:rFonts w:ascii="Times New Roman" w:hAnsi="Times New Roman"/>
          <w:sz w:val="24"/>
          <w:szCs w:val="24"/>
        </w:rPr>
        <w:t xml:space="preserve"> </w:t>
      </w:r>
    </w:p>
    <w:p w:rsidR="00994272" w:rsidRPr="00994272" w:rsidRDefault="00994272" w:rsidP="00994272">
      <w:pPr>
        <w:pStyle w:val="ListParagraph"/>
        <w:numPr>
          <w:ilvl w:val="0"/>
          <w:numId w:val="27"/>
        </w:numPr>
        <w:spacing w:after="200" w:line="276" w:lineRule="auto"/>
        <w:contextualSpacing/>
        <w:rPr>
          <w:rFonts w:ascii="Times New Roman" w:hAnsi="Times New Roman"/>
          <w:sz w:val="24"/>
          <w:szCs w:val="24"/>
        </w:rPr>
      </w:pPr>
      <w:r w:rsidRPr="00994272">
        <w:rPr>
          <w:rFonts w:ascii="Times New Roman" w:hAnsi="Times New Roman"/>
          <w:sz w:val="24"/>
          <w:szCs w:val="24"/>
        </w:rPr>
        <w:t>State Health Workforce Development Grants</w:t>
      </w:r>
    </w:p>
    <w:p w:rsidR="00EF67A6" w:rsidRPr="00D736BA" w:rsidRDefault="00EF67A6">
      <w:pPr>
        <w:rPr>
          <w:b/>
          <w:color w:val="0070C0"/>
        </w:rPr>
      </w:pPr>
    </w:p>
    <w:sectPr w:rsidR="00EF67A6" w:rsidRPr="00D736BA" w:rsidSect="00E57299">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8E9" w:rsidRDefault="006768E9" w:rsidP="00396B59">
      <w:r>
        <w:separator/>
      </w:r>
    </w:p>
  </w:endnote>
  <w:endnote w:type="continuationSeparator" w:id="1">
    <w:p w:rsidR="006768E9" w:rsidRDefault="006768E9" w:rsidP="00396B5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E9" w:rsidRDefault="003830CF" w:rsidP="001C700D">
    <w:pPr>
      <w:pStyle w:val="Footer"/>
      <w:tabs>
        <w:tab w:val="left" w:pos="7110"/>
      </w:tabs>
      <w:jc w:val="both"/>
    </w:pPr>
    <w:sdt>
      <w:sdtPr>
        <w:id w:val="5878620"/>
        <w:docPartObj>
          <w:docPartGallery w:val="Page Numbers (Bottom of Page)"/>
          <w:docPartUnique/>
        </w:docPartObj>
      </w:sdtPr>
      <w:sdtContent>
        <w:sdt>
          <w:sdtPr>
            <w:id w:val="5878621"/>
            <w:docPartObj>
              <w:docPartGallery w:val="Page Numbers (Top of Page)"/>
              <w:docPartUnique/>
            </w:docPartObj>
          </w:sdtPr>
          <w:sdtContent>
            <w:r w:rsidR="006768E9">
              <w:tab/>
              <w:t xml:space="preserve">Page </w:t>
            </w:r>
            <w:r>
              <w:rPr>
                <w:b/>
              </w:rPr>
              <w:fldChar w:fldCharType="begin"/>
            </w:r>
            <w:r w:rsidR="006768E9">
              <w:rPr>
                <w:b/>
              </w:rPr>
              <w:instrText xml:space="preserve"> PAGE </w:instrText>
            </w:r>
            <w:r>
              <w:rPr>
                <w:b/>
              </w:rPr>
              <w:fldChar w:fldCharType="separate"/>
            </w:r>
            <w:r w:rsidR="00952D20">
              <w:rPr>
                <w:b/>
                <w:noProof/>
              </w:rPr>
              <w:t>1</w:t>
            </w:r>
            <w:r>
              <w:rPr>
                <w:b/>
              </w:rPr>
              <w:fldChar w:fldCharType="end"/>
            </w:r>
            <w:r w:rsidR="006768E9">
              <w:t xml:space="preserve"> of </w:t>
            </w:r>
            <w:r>
              <w:rPr>
                <w:b/>
              </w:rPr>
              <w:fldChar w:fldCharType="begin"/>
            </w:r>
            <w:r w:rsidR="006768E9">
              <w:rPr>
                <w:b/>
              </w:rPr>
              <w:instrText xml:space="preserve"> NUMPAGES  </w:instrText>
            </w:r>
            <w:r>
              <w:rPr>
                <w:b/>
              </w:rPr>
              <w:fldChar w:fldCharType="separate"/>
            </w:r>
            <w:r w:rsidR="00952D20">
              <w:rPr>
                <w:b/>
                <w:noProof/>
              </w:rPr>
              <w:t>8</w:t>
            </w:r>
            <w:r>
              <w:rPr>
                <w:b/>
              </w:rPr>
              <w:fldChar w:fldCharType="end"/>
            </w:r>
            <w:r w:rsidR="006768E9" w:rsidRPr="001C700D">
              <w:t xml:space="preserve"> </w:t>
            </w:r>
          </w:sdtContent>
        </w:sdt>
      </w:sdtContent>
    </w:sdt>
    <w:r w:rsidR="006768E9">
      <w:t xml:space="preserve">   </w:t>
    </w:r>
    <w:r w:rsidR="006768E9">
      <w:tab/>
      <w:t>OMB No. 0915-0061</w:t>
    </w:r>
  </w:p>
  <w:p w:rsidR="00994272" w:rsidRDefault="00994272" w:rsidP="001C700D">
    <w:pPr>
      <w:pStyle w:val="Footer"/>
      <w:tabs>
        <w:tab w:val="left" w:pos="7110"/>
      </w:tabs>
      <w:jc w:val="both"/>
    </w:pPr>
    <w:r>
      <w:tab/>
    </w:r>
    <w:r>
      <w:tab/>
      <w:t>Expires 12/31/2010</w:t>
    </w:r>
  </w:p>
  <w:p w:rsidR="00994272" w:rsidRPr="00994272" w:rsidRDefault="00994272" w:rsidP="00994272">
    <w:pPr>
      <w:rPr>
        <w:sz w:val="16"/>
        <w:szCs w:val="16"/>
      </w:rPr>
    </w:pPr>
    <w:r w:rsidRPr="00994272">
      <w:rPr>
        <w:sz w:val="16"/>
        <w:szCs w:val="16"/>
      </w:rPr>
      <w:t>Public Burden Statement:  An agency may not conduct or sponsor, and a person is not required to respond to, a collection of information unless it displays a currently valid OMB control number.  The OMB control number for this project is 0915-</w:t>
    </w:r>
    <w:r>
      <w:rPr>
        <w:sz w:val="16"/>
        <w:szCs w:val="16"/>
      </w:rPr>
      <w:t>0061</w:t>
    </w:r>
    <w:r w:rsidRPr="00994272">
      <w:rPr>
        <w:sz w:val="16"/>
        <w:szCs w:val="16"/>
      </w:rPr>
      <w:t xml:space="preserve">.  Public reporting burden for this collection of information is estimated to average </w:t>
    </w:r>
    <w:r>
      <w:rPr>
        <w:sz w:val="16"/>
        <w:szCs w:val="16"/>
      </w:rPr>
      <w:t>8.5</w:t>
    </w:r>
    <w:r w:rsidRPr="00994272">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994272" w:rsidRDefault="00994272" w:rsidP="001C700D">
    <w:pPr>
      <w:pStyle w:val="Footer"/>
      <w:tabs>
        <w:tab w:val="left" w:pos="7110"/>
      </w:tabs>
      <w:jc w:val="both"/>
    </w:pPr>
  </w:p>
  <w:p w:rsidR="006768E9" w:rsidRDefault="00676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8E9" w:rsidRDefault="006768E9" w:rsidP="00396B59">
      <w:r>
        <w:separator/>
      </w:r>
    </w:p>
  </w:footnote>
  <w:footnote w:type="continuationSeparator" w:id="1">
    <w:p w:rsidR="006768E9" w:rsidRDefault="006768E9" w:rsidP="00396B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0AC"/>
    <w:multiLevelType w:val="hybridMultilevel"/>
    <w:tmpl w:val="BD308D7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AD629F"/>
    <w:multiLevelType w:val="hybridMultilevel"/>
    <w:tmpl w:val="7E6C8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A0D79"/>
    <w:multiLevelType w:val="hybridMultilevel"/>
    <w:tmpl w:val="000C0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F46886"/>
    <w:multiLevelType w:val="hybridMultilevel"/>
    <w:tmpl w:val="62167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D3B14"/>
    <w:multiLevelType w:val="hybridMultilevel"/>
    <w:tmpl w:val="453092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607DF2"/>
    <w:multiLevelType w:val="hybridMultilevel"/>
    <w:tmpl w:val="E6CCB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3006166"/>
    <w:multiLevelType w:val="hybridMultilevel"/>
    <w:tmpl w:val="7E1EA19C"/>
    <w:lvl w:ilvl="0" w:tplc="E3D88A48">
      <w:start w:val="1"/>
      <w:numFmt w:val="bullet"/>
      <w:lvlText w:val=""/>
      <w:lvlJc w:val="left"/>
      <w:pPr>
        <w:ind w:left="720" w:hanging="360"/>
      </w:pPr>
      <w:rPr>
        <w:rFonts w:ascii="Symbol" w:hAnsi="Symbol" w:hint="default"/>
      </w:rPr>
    </w:lvl>
    <w:lvl w:ilvl="1" w:tplc="B5EEF764">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03193"/>
    <w:multiLevelType w:val="hybridMultilevel"/>
    <w:tmpl w:val="37BEEAFC"/>
    <w:lvl w:ilvl="0" w:tplc="97040F32">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743D5"/>
    <w:multiLevelType w:val="hybridMultilevel"/>
    <w:tmpl w:val="0F74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893F03"/>
    <w:multiLevelType w:val="hybridMultilevel"/>
    <w:tmpl w:val="CBCCC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351EE"/>
    <w:multiLevelType w:val="hybridMultilevel"/>
    <w:tmpl w:val="8FFE846A"/>
    <w:lvl w:ilvl="0" w:tplc="785E277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9D4D19"/>
    <w:multiLevelType w:val="hybridMultilevel"/>
    <w:tmpl w:val="3F12DEDA"/>
    <w:lvl w:ilvl="0" w:tplc="B3CC4792">
      <w:start w:val="1"/>
      <w:numFmt w:val="bullet"/>
      <w:lvlText w:val=""/>
      <w:lvlJc w:val="left"/>
      <w:pPr>
        <w:ind w:left="720" w:hanging="360"/>
      </w:pPr>
      <w:rPr>
        <w:rFonts w:ascii="Symbol" w:hAnsi="Symbol" w:hint="default"/>
      </w:rPr>
    </w:lvl>
    <w:lvl w:ilvl="1" w:tplc="F02A193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967757"/>
    <w:multiLevelType w:val="hybridMultilevel"/>
    <w:tmpl w:val="BD308D7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32742C"/>
    <w:multiLevelType w:val="hybridMultilevel"/>
    <w:tmpl w:val="F8F6B7D8"/>
    <w:lvl w:ilvl="0" w:tplc="7C4264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05017"/>
    <w:multiLevelType w:val="hybridMultilevel"/>
    <w:tmpl w:val="9EA6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1257E"/>
    <w:multiLevelType w:val="hybridMultilevel"/>
    <w:tmpl w:val="BD308D7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366993"/>
    <w:multiLevelType w:val="hybridMultilevel"/>
    <w:tmpl w:val="1A22D1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AE62F6"/>
    <w:multiLevelType w:val="hybridMultilevel"/>
    <w:tmpl w:val="7F4E5332"/>
    <w:lvl w:ilvl="0" w:tplc="3EB866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E4E76"/>
    <w:multiLevelType w:val="hybridMultilevel"/>
    <w:tmpl w:val="81005416"/>
    <w:lvl w:ilvl="0" w:tplc="4AA2BE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A20073"/>
    <w:multiLevelType w:val="hybridMultilevel"/>
    <w:tmpl w:val="F3324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2077E"/>
    <w:multiLevelType w:val="hybridMultilevel"/>
    <w:tmpl w:val="3B1887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A370F1"/>
    <w:multiLevelType w:val="hybridMultilevel"/>
    <w:tmpl w:val="B0E4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551F1C"/>
    <w:multiLevelType w:val="hybridMultilevel"/>
    <w:tmpl w:val="107A5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7382C"/>
    <w:multiLevelType w:val="hybridMultilevel"/>
    <w:tmpl w:val="9B50E18C"/>
    <w:lvl w:ilvl="0" w:tplc="7E96AF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715F36"/>
    <w:multiLevelType w:val="hybridMultilevel"/>
    <w:tmpl w:val="B5F4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4327F6"/>
    <w:multiLevelType w:val="hybridMultilevel"/>
    <w:tmpl w:val="6B400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num>
  <w:num w:numId="4">
    <w:abstractNumId w:val="10"/>
  </w:num>
  <w:num w:numId="5">
    <w:abstractNumId w:val="12"/>
  </w:num>
  <w:num w:numId="6">
    <w:abstractNumId w:val="15"/>
  </w:num>
  <w:num w:numId="7">
    <w:abstractNumId w:val="0"/>
  </w:num>
  <w:num w:numId="8">
    <w:abstractNumId w:val="2"/>
  </w:num>
  <w:num w:numId="9">
    <w:abstractNumId w:val="4"/>
  </w:num>
  <w:num w:numId="10">
    <w:abstractNumId w:val="20"/>
  </w:num>
  <w:num w:numId="11">
    <w:abstractNumId w:val="16"/>
  </w:num>
  <w:num w:numId="12">
    <w:abstractNumId w:val="18"/>
  </w:num>
  <w:num w:numId="13">
    <w:abstractNumId w:val="3"/>
  </w:num>
  <w:num w:numId="14">
    <w:abstractNumId w:val="6"/>
  </w:num>
  <w:num w:numId="15">
    <w:abstractNumId w:val="25"/>
  </w:num>
  <w:num w:numId="16">
    <w:abstractNumId w:val="11"/>
  </w:num>
  <w:num w:numId="17">
    <w:abstractNumId w:val="23"/>
  </w:num>
  <w:num w:numId="18">
    <w:abstractNumId w:val="13"/>
  </w:num>
  <w:num w:numId="19">
    <w:abstractNumId w:val="9"/>
  </w:num>
  <w:num w:numId="20">
    <w:abstractNumId w:val="21"/>
  </w:num>
  <w:num w:numId="21">
    <w:abstractNumId w:val="17"/>
  </w:num>
  <w:num w:numId="22">
    <w:abstractNumId w:val="7"/>
  </w:num>
  <w:num w:numId="23">
    <w:abstractNumId w:val="14"/>
  </w:num>
  <w:num w:numId="24">
    <w:abstractNumId w:val="24"/>
  </w:num>
  <w:num w:numId="25">
    <w:abstractNumId w:val="8"/>
  </w:num>
  <w:num w:numId="26">
    <w:abstractNumId w:val="1"/>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D7C62"/>
    <w:rsid w:val="00017499"/>
    <w:rsid w:val="000560D0"/>
    <w:rsid w:val="000957E1"/>
    <w:rsid w:val="00110E14"/>
    <w:rsid w:val="001170D3"/>
    <w:rsid w:val="0015784B"/>
    <w:rsid w:val="00184E09"/>
    <w:rsid w:val="001A0091"/>
    <w:rsid w:val="001A3C64"/>
    <w:rsid w:val="001C700D"/>
    <w:rsid w:val="0026376C"/>
    <w:rsid w:val="00274598"/>
    <w:rsid w:val="002B5029"/>
    <w:rsid w:val="002F2A3C"/>
    <w:rsid w:val="003830CF"/>
    <w:rsid w:val="0038523B"/>
    <w:rsid w:val="00396B59"/>
    <w:rsid w:val="003D0B7E"/>
    <w:rsid w:val="003E36AF"/>
    <w:rsid w:val="00412170"/>
    <w:rsid w:val="00414238"/>
    <w:rsid w:val="0043501F"/>
    <w:rsid w:val="00470141"/>
    <w:rsid w:val="00494BC7"/>
    <w:rsid w:val="00496916"/>
    <w:rsid w:val="005647DD"/>
    <w:rsid w:val="00575886"/>
    <w:rsid w:val="005E669E"/>
    <w:rsid w:val="005F71EB"/>
    <w:rsid w:val="00650D8C"/>
    <w:rsid w:val="006768E9"/>
    <w:rsid w:val="006D48F7"/>
    <w:rsid w:val="0074766D"/>
    <w:rsid w:val="007629D4"/>
    <w:rsid w:val="00766B1A"/>
    <w:rsid w:val="007A1263"/>
    <w:rsid w:val="007D7C62"/>
    <w:rsid w:val="007E149D"/>
    <w:rsid w:val="00811370"/>
    <w:rsid w:val="0089121F"/>
    <w:rsid w:val="008B5D19"/>
    <w:rsid w:val="00910650"/>
    <w:rsid w:val="00922E69"/>
    <w:rsid w:val="00952D20"/>
    <w:rsid w:val="009847B5"/>
    <w:rsid w:val="00994272"/>
    <w:rsid w:val="009F568D"/>
    <w:rsid w:val="00A76B79"/>
    <w:rsid w:val="00AB51AE"/>
    <w:rsid w:val="00BB330E"/>
    <w:rsid w:val="00C362EC"/>
    <w:rsid w:val="00D05BCF"/>
    <w:rsid w:val="00D31FFA"/>
    <w:rsid w:val="00D4650C"/>
    <w:rsid w:val="00D55B03"/>
    <w:rsid w:val="00D736BA"/>
    <w:rsid w:val="00D7444B"/>
    <w:rsid w:val="00DA5158"/>
    <w:rsid w:val="00DF1435"/>
    <w:rsid w:val="00DF3F7B"/>
    <w:rsid w:val="00E175AC"/>
    <w:rsid w:val="00E25303"/>
    <w:rsid w:val="00E44E2F"/>
    <w:rsid w:val="00E57299"/>
    <w:rsid w:val="00EF67A6"/>
    <w:rsid w:val="00F104E7"/>
    <w:rsid w:val="00F47DC1"/>
    <w:rsid w:val="00F97030"/>
    <w:rsid w:val="00F97BE1"/>
    <w:rsid w:val="00FE3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F568D"/>
    <w:pPr>
      <w:spacing w:after="120"/>
    </w:pPr>
  </w:style>
  <w:style w:type="character" w:customStyle="1" w:styleId="BodyTextChar">
    <w:name w:val="Body Text Char"/>
    <w:basedOn w:val="DefaultParagraphFont"/>
    <w:link w:val="BodyText"/>
    <w:rsid w:val="009F568D"/>
    <w:rPr>
      <w:sz w:val="24"/>
      <w:szCs w:val="24"/>
      <w:lang w:val="en-US" w:eastAsia="en-US" w:bidi="ar-SA"/>
    </w:rPr>
  </w:style>
  <w:style w:type="paragraph" w:customStyle="1" w:styleId="SubsectionHeading">
    <w:name w:val="Subsection Heading"/>
    <w:basedOn w:val="BodyText"/>
    <w:qFormat/>
    <w:rsid w:val="009F568D"/>
    <w:rPr>
      <w:b/>
      <w:color w:val="000000"/>
    </w:rPr>
  </w:style>
  <w:style w:type="paragraph" w:styleId="ListParagraph">
    <w:name w:val="List Paragraph"/>
    <w:basedOn w:val="Normal"/>
    <w:uiPriority w:val="34"/>
    <w:qFormat/>
    <w:rsid w:val="007D7C62"/>
    <w:pPr>
      <w:ind w:left="720"/>
    </w:pPr>
    <w:rPr>
      <w:rFonts w:ascii="Calibri" w:eastAsiaTheme="minorHAnsi" w:hAnsi="Calibri"/>
      <w:sz w:val="22"/>
      <w:szCs w:val="22"/>
    </w:rPr>
  </w:style>
  <w:style w:type="character" w:styleId="FootnoteReference">
    <w:name w:val="footnote reference"/>
    <w:basedOn w:val="DefaultParagraphFont"/>
    <w:uiPriority w:val="99"/>
    <w:semiHidden/>
    <w:unhideWhenUsed/>
    <w:rsid w:val="00396B59"/>
    <w:rPr>
      <w:vertAlign w:val="superscript"/>
    </w:rPr>
  </w:style>
  <w:style w:type="paragraph" w:styleId="CommentText">
    <w:name w:val="annotation text"/>
    <w:basedOn w:val="Normal"/>
    <w:link w:val="CommentTextChar"/>
    <w:uiPriority w:val="99"/>
    <w:unhideWhenUsed/>
    <w:rsid w:val="00396B59"/>
    <w:rPr>
      <w:sz w:val="20"/>
      <w:szCs w:val="20"/>
    </w:rPr>
  </w:style>
  <w:style w:type="character" w:customStyle="1" w:styleId="CommentTextChar">
    <w:name w:val="Comment Text Char"/>
    <w:basedOn w:val="DefaultParagraphFont"/>
    <w:link w:val="CommentText"/>
    <w:uiPriority w:val="99"/>
    <w:rsid w:val="00396B59"/>
  </w:style>
  <w:style w:type="character" w:styleId="CommentReference">
    <w:name w:val="annotation reference"/>
    <w:basedOn w:val="DefaultParagraphFont"/>
    <w:uiPriority w:val="99"/>
    <w:semiHidden/>
    <w:unhideWhenUsed/>
    <w:rsid w:val="00396B59"/>
    <w:rPr>
      <w:sz w:val="16"/>
      <w:szCs w:val="16"/>
    </w:rPr>
  </w:style>
  <w:style w:type="table" w:styleId="TableGrid">
    <w:name w:val="Table Grid"/>
    <w:basedOn w:val="TableNormal"/>
    <w:uiPriority w:val="59"/>
    <w:rsid w:val="001C700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700D"/>
    <w:pPr>
      <w:tabs>
        <w:tab w:val="center" w:pos="4680"/>
        <w:tab w:val="right" w:pos="9360"/>
      </w:tabs>
    </w:pPr>
  </w:style>
  <w:style w:type="character" w:customStyle="1" w:styleId="HeaderChar">
    <w:name w:val="Header Char"/>
    <w:basedOn w:val="DefaultParagraphFont"/>
    <w:link w:val="Header"/>
    <w:uiPriority w:val="99"/>
    <w:semiHidden/>
    <w:rsid w:val="001C700D"/>
    <w:rPr>
      <w:sz w:val="24"/>
      <w:szCs w:val="24"/>
    </w:rPr>
  </w:style>
  <w:style w:type="paragraph" w:styleId="Footer">
    <w:name w:val="footer"/>
    <w:basedOn w:val="Normal"/>
    <w:link w:val="FooterChar"/>
    <w:uiPriority w:val="99"/>
    <w:unhideWhenUsed/>
    <w:rsid w:val="001C700D"/>
    <w:pPr>
      <w:tabs>
        <w:tab w:val="center" w:pos="4680"/>
        <w:tab w:val="right" w:pos="9360"/>
      </w:tabs>
    </w:pPr>
  </w:style>
  <w:style w:type="character" w:customStyle="1" w:styleId="FooterChar">
    <w:name w:val="Footer Char"/>
    <w:basedOn w:val="DefaultParagraphFont"/>
    <w:link w:val="Footer"/>
    <w:uiPriority w:val="99"/>
    <w:rsid w:val="001C700D"/>
    <w:rPr>
      <w:sz w:val="24"/>
      <w:szCs w:val="24"/>
    </w:rPr>
  </w:style>
</w:styles>
</file>

<file path=word/webSettings.xml><?xml version="1.0" encoding="utf-8"?>
<w:webSettings xmlns:r="http://schemas.openxmlformats.org/officeDocument/2006/relationships" xmlns:w="http://schemas.openxmlformats.org/wordprocessingml/2006/main">
  <w:divs>
    <w:div w:id="10420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srogers</dc:creator>
  <cp:keywords/>
  <dc:description/>
  <cp:lastModifiedBy>Hrsa</cp:lastModifiedBy>
  <cp:revision>3</cp:revision>
  <cp:lastPrinted>2010-11-22T14:27:00Z</cp:lastPrinted>
  <dcterms:created xsi:type="dcterms:W3CDTF">2010-11-30T19:34:00Z</dcterms:created>
  <dcterms:modified xsi:type="dcterms:W3CDTF">2011-02-14T21:43:00Z</dcterms:modified>
</cp:coreProperties>
</file>