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80F" w:rsidRDefault="008D780F" w:rsidP="008D780F">
      <w:pPr>
        <w:jc w:val="center"/>
        <w:rPr>
          <w:b/>
          <w:bCs/>
        </w:rPr>
      </w:pPr>
      <w:r w:rsidRPr="00BA2E74">
        <w:rPr>
          <w:b/>
          <w:bCs/>
          <w:color w:val="000000"/>
        </w:rPr>
        <w:t xml:space="preserve">Supporting Statement for </w:t>
      </w:r>
      <w:r w:rsidRPr="00BA2E74">
        <w:rPr>
          <w:b/>
          <w:bCs/>
        </w:rPr>
        <w:t>the</w:t>
      </w:r>
    </w:p>
    <w:p w:rsidR="008D780F" w:rsidRDefault="008D780F" w:rsidP="008D780F">
      <w:pPr>
        <w:jc w:val="center"/>
        <w:rPr>
          <w:rFonts w:ascii="Times" w:hAnsi="Times"/>
          <w:b/>
          <w:color w:val="000000"/>
          <w:szCs w:val="24"/>
        </w:rPr>
      </w:pPr>
      <w:r w:rsidRPr="00723614">
        <w:rPr>
          <w:rFonts w:ascii="Times" w:hAnsi="Times"/>
          <w:b/>
          <w:color w:val="000000"/>
          <w:szCs w:val="24"/>
        </w:rPr>
        <w:t xml:space="preserve">Recordkeeping Requirements Associated with the </w:t>
      </w:r>
    </w:p>
    <w:p w:rsidR="008D780F" w:rsidRPr="00723614" w:rsidRDefault="008D780F" w:rsidP="008D780F">
      <w:pPr>
        <w:jc w:val="center"/>
        <w:rPr>
          <w:rFonts w:ascii="Times" w:hAnsi="Times"/>
          <w:b/>
          <w:color w:val="000000"/>
          <w:szCs w:val="24"/>
        </w:rPr>
      </w:pPr>
      <w:r w:rsidRPr="00723614">
        <w:rPr>
          <w:rFonts w:ascii="Times" w:hAnsi="Times"/>
          <w:b/>
          <w:color w:val="000000"/>
          <w:szCs w:val="24"/>
        </w:rPr>
        <w:t xml:space="preserve">Real Estate Lending Standards Regulation for State Member Banks </w:t>
      </w:r>
    </w:p>
    <w:p w:rsidR="008D780F" w:rsidRDefault="008D780F" w:rsidP="008D780F">
      <w:pPr>
        <w:jc w:val="center"/>
        <w:rPr>
          <w:rFonts w:ascii="Times" w:hAnsi="Times" w:cs="Times"/>
          <w:b/>
          <w:color w:val="000000"/>
          <w:szCs w:val="24"/>
        </w:rPr>
      </w:pPr>
      <w:r w:rsidRPr="00723614">
        <w:rPr>
          <w:rFonts w:ascii="Times" w:hAnsi="Times"/>
          <w:b/>
          <w:color w:val="000000"/>
          <w:szCs w:val="24"/>
        </w:rPr>
        <w:t>(Reg H-5; OMB No. 7100-0261)</w:t>
      </w:r>
    </w:p>
    <w:p w:rsidR="008D780F" w:rsidRDefault="008D780F" w:rsidP="008D780F">
      <w:pPr>
        <w:jc w:val="center"/>
        <w:rPr>
          <w:rFonts w:ascii="Times" w:hAnsi="Times" w:cs="Times"/>
          <w:b/>
          <w:color w:val="000000"/>
          <w:szCs w:val="24"/>
        </w:rPr>
      </w:pPr>
    </w:p>
    <w:p w:rsidR="007925A7" w:rsidRDefault="008D780F" w:rsidP="008D780F">
      <w:pPr>
        <w:rPr>
          <w:rFonts w:ascii="Times" w:hAnsi="Times" w:cs="Times"/>
          <w:b/>
          <w:color w:val="000000"/>
          <w:szCs w:val="24"/>
        </w:rPr>
      </w:pPr>
      <w:r>
        <w:rPr>
          <w:rFonts w:ascii="Times" w:hAnsi="Times"/>
          <w:b/>
          <w:bCs/>
          <w:color w:val="000000"/>
          <w:szCs w:val="24"/>
        </w:rPr>
        <w:t>Summary</w:t>
      </w:r>
    </w:p>
    <w:p w:rsidR="007925A7" w:rsidRDefault="007925A7" w:rsidP="008D780F">
      <w:pPr>
        <w:rPr>
          <w:rFonts w:ascii="Times" w:hAnsi="Times" w:cs="Times"/>
          <w:b/>
          <w:color w:val="000000"/>
          <w:szCs w:val="24"/>
        </w:rPr>
      </w:pPr>
    </w:p>
    <w:p w:rsidR="00AE55C7" w:rsidRPr="007925A7" w:rsidRDefault="007925A7" w:rsidP="008D780F">
      <w:pPr>
        <w:rPr>
          <w:rFonts w:ascii="Times" w:hAnsi="Times" w:cs="Times"/>
          <w:b/>
          <w:color w:val="000000"/>
          <w:szCs w:val="24"/>
        </w:rPr>
      </w:pPr>
      <w:r>
        <w:rPr>
          <w:rFonts w:ascii="Times" w:hAnsi="Times" w:cs="Times"/>
          <w:b/>
          <w:color w:val="000000"/>
          <w:szCs w:val="24"/>
        </w:rPr>
        <w:tab/>
      </w:r>
      <w:r w:rsidR="008D780F" w:rsidRPr="00BA2E74">
        <w:t xml:space="preserve">The Board of Governors of the Federal Reserve System, under delegated authority from the Office of Management and Budget (OMB), proposes </w:t>
      </w:r>
      <w:r w:rsidR="008D780F">
        <w:t>to extend for three years, without revision</w:t>
      </w:r>
      <w:r w:rsidR="008D780F">
        <w:rPr>
          <w:rFonts w:ascii="Times" w:hAnsi="Times"/>
          <w:color w:val="000000"/>
          <w:szCs w:val="24"/>
        </w:rPr>
        <w:t xml:space="preserve">, the Recordkeeping Requirements Associated with the Real Estate Lending Standards Regulation for State Member Banks (Reg H-5; OMB No. 7100-0261).  This information collection is a mandatory recordkeeping requirement contained in the Board’s Regulation H (12 CFR 208.51) that implements section 304 of the Federal Deposit Insurance Corporation Improvement Act of 1991 (FDICIA).  State member banks must adopt and maintain a written real estate lending policy.  Also, banks must identify their loans in excess of the supervisory loan-to-value limits and report (at least quarterly) the aggregate amount of the loans to the bank’s board of directors.  </w:t>
      </w:r>
      <w:r w:rsidR="00AE55C7">
        <w:rPr>
          <w:rFonts w:ascii="Times" w:hAnsi="Times"/>
          <w:color w:val="000000"/>
          <w:szCs w:val="24"/>
        </w:rPr>
        <w:t>There is no formal reporting form and the information is not submitted to the Federal Reserve.  The</w:t>
      </w:r>
      <w:r w:rsidR="002C0933">
        <w:rPr>
          <w:rFonts w:ascii="Times" w:hAnsi="Times"/>
          <w:color w:val="000000"/>
          <w:szCs w:val="24"/>
        </w:rPr>
        <w:t xml:space="preserve"> total</w:t>
      </w:r>
      <w:r w:rsidR="00AE55C7">
        <w:rPr>
          <w:rFonts w:ascii="Times" w:hAnsi="Times"/>
          <w:color w:val="000000"/>
          <w:szCs w:val="24"/>
        </w:rPr>
        <w:t xml:space="preserve"> </w:t>
      </w:r>
      <w:r w:rsidR="00A70241">
        <w:rPr>
          <w:rFonts w:ascii="Times" w:hAnsi="Times"/>
          <w:color w:val="000000"/>
          <w:szCs w:val="24"/>
        </w:rPr>
        <w:t>annual burden is</w:t>
      </w:r>
      <w:r w:rsidR="002C0933">
        <w:rPr>
          <w:rFonts w:ascii="Times" w:hAnsi="Times"/>
          <w:color w:val="000000"/>
          <w:szCs w:val="24"/>
        </w:rPr>
        <w:t xml:space="preserve"> estimated to be</w:t>
      </w:r>
      <w:r w:rsidR="008266A6">
        <w:rPr>
          <w:rFonts w:ascii="Times" w:hAnsi="Times"/>
          <w:color w:val="000000"/>
          <w:szCs w:val="24"/>
        </w:rPr>
        <w:t xml:space="preserve"> </w:t>
      </w:r>
      <w:r w:rsidR="00F532E8">
        <w:rPr>
          <w:rFonts w:ascii="Times" w:hAnsi="Times"/>
          <w:color w:val="000000"/>
          <w:szCs w:val="24"/>
        </w:rPr>
        <w:t>16,860</w:t>
      </w:r>
      <w:r w:rsidR="0002657F">
        <w:rPr>
          <w:rFonts w:ascii="Times" w:hAnsi="Times"/>
          <w:color w:val="000000"/>
          <w:szCs w:val="24"/>
        </w:rPr>
        <w:t xml:space="preserve"> </w:t>
      </w:r>
      <w:r w:rsidR="00AE55C7">
        <w:rPr>
          <w:rFonts w:ascii="Times" w:hAnsi="Times"/>
          <w:color w:val="000000"/>
          <w:szCs w:val="24"/>
        </w:rPr>
        <w:t xml:space="preserve">hours. </w:t>
      </w:r>
    </w:p>
    <w:p w:rsidR="00AE55C7" w:rsidRDefault="00AE55C7" w:rsidP="00703E02">
      <w:pPr>
        <w:rPr>
          <w:rFonts w:ascii="Times" w:hAnsi="Times"/>
          <w:color w:val="000000"/>
          <w:szCs w:val="24"/>
        </w:rPr>
      </w:pPr>
    </w:p>
    <w:p w:rsidR="00AE55C7" w:rsidRDefault="00AE55C7" w:rsidP="00703E02">
      <w:pPr>
        <w:rPr>
          <w:rFonts w:ascii="Times" w:hAnsi="Times"/>
          <w:color w:val="000000"/>
          <w:szCs w:val="24"/>
        </w:rPr>
      </w:pPr>
      <w:r>
        <w:rPr>
          <w:rFonts w:ascii="Times" w:hAnsi="Times"/>
          <w:b/>
          <w:bCs/>
          <w:color w:val="000000"/>
          <w:szCs w:val="24"/>
        </w:rPr>
        <w:t>Background and Justification</w:t>
      </w:r>
    </w:p>
    <w:p w:rsidR="00AE55C7" w:rsidRDefault="00AE55C7" w:rsidP="00703E02">
      <w:pPr>
        <w:rPr>
          <w:rFonts w:ascii="Times" w:hAnsi="Times"/>
          <w:color w:val="000000"/>
          <w:szCs w:val="24"/>
        </w:rPr>
      </w:pPr>
    </w:p>
    <w:p w:rsidR="00AE55C7" w:rsidRPr="0087333A" w:rsidRDefault="00AE55C7" w:rsidP="00703E02">
      <w:pPr>
        <w:rPr>
          <w:rFonts w:ascii="Times" w:hAnsi="Times"/>
          <w:color w:val="000000"/>
          <w:szCs w:val="24"/>
        </w:rPr>
      </w:pPr>
      <w:r>
        <w:rPr>
          <w:rFonts w:ascii="Times" w:hAnsi="Times"/>
          <w:color w:val="000000"/>
          <w:szCs w:val="24"/>
        </w:rPr>
        <w:tab/>
        <w:t>Section 304 of FDICIA requires each of the federal banking agencies</w:t>
      </w:r>
      <w:r w:rsidR="00523E5C">
        <w:rPr>
          <w:rStyle w:val="FootnoteReference"/>
          <w:rFonts w:ascii="Times" w:hAnsi="Times"/>
          <w:color w:val="000000"/>
          <w:szCs w:val="24"/>
        </w:rPr>
        <w:footnoteReference w:id="1"/>
      </w:r>
      <w:r>
        <w:rPr>
          <w:rFonts w:ascii="Times" w:hAnsi="Times"/>
          <w:color w:val="000000"/>
          <w:szCs w:val="24"/>
        </w:rPr>
        <w:t xml:space="preserve"> to adopt uniform regulations prescribing standards for extensions of credit secured by liens on or interest in real estate or made for the purpose of financing the construction of a building or other improvements in real estate, regardless of whether a lien has been taken on the property.  In establishing these standard</w:t>
      </w:r>
      <w:r w:rsidR="00CB4991">
        <w:rPr>
          <w:rFonts w:ascii="Times" w:hAnsi="Times"/>
          <w:color w:val="000000"/>
          <w:szCs w:val="24"/>
        </w:rPr>
        <w:t xml:space="preserve">s, the agencies considered </w:t>
      </w:r>
      <w:r>
        <w:rPr>
          <w:rFonts w:ascii="Times" w:hAnsi="Times"/>
          <w:color w:val="000000"/>
          <w:szCs w:val="24"/>
        </w:rPr>
        <w:t xml:space="preserve">the risk posed to </w:t>
      </w:r>
      <w:r w:rsidRPr="0087333A">
        <w:rPr>
          <w:rFonts w:ascii="Times" w:hAnsi="Times"/>
          <w:color w:val="000000"/>
          <w:szCs w:val="24"/>
        </w:rPr>
        <w:t>the deposit insurance funds b</w:t>
      </w:r>
      <w:r w:rsidR="00CB4991">
        <w:rPr>
          <w:rFonts w:ascii="Times" w:hAnsi="Times"/>
          <w:color w:val="000000"/>
          <w:szCs w:val="24"/>
        </w:rPr>
        <w:t xml:space="preserve">y such extensions of credit, </w:t>
      </w:r>
      <w:r w:rsidRPr="0087333A">
        <w:rPr>
          <w:rFonts w:ascii="Times" w:hAnsi="Times"/>
          <w:color w:val="000000"/>
          <w:szCs w:val="24"/>
        </w:rPr>
        <w:t>the need for safe and sound operation of i</w:t>
      </w:r>
      <w:r w:rsidR="00CB4991">
        <w:rPr>
          <w:rFonts w:ascii="Times" w:hAnsi="Times"/>
          <w:color w:val="000000"/>
          <w:szCs w:val="24"/>
        </w:rPr>
        <w:t>nsured depository institutions, and</w:t>
      </w:r>
      <w:r w:rsidRPr="0087333A">
        <w:rPr>
          <w:rFonts w:ascii="Times" w:hAnsi="Times"/>
          <w:color w:val="000000"/>
          <w:szCs w:val="24"/>
        </w:rPr>
        <w:t> the availability of credit.</w:t>
      </w:r>
    </w:p>
    <w:p w:rsidR="00AE55C7" w:rsidRPr="0087333A" w:rsidRDefault="00AE55C7" w:rsidP="00703E02">
      <w:pPr>
        <w:rPr>
          <w:rFonts w:ascii="Times" w:hAnsi="Times"/>
          <w:color w:val="000000"/>
          <w:szCs w:val="24"/>
        </w:rPr>
      </w:pPr>
    </w:p>
    <w:p w:rsidR="00764372" w:rsidRPr="0087333A" w:rsidRDefault="00AE55C7" w:rsidP="00764372">
      <w:pPr>
        <w:rPr>
          <w:rFonts w:ascii="Times" w:hAnsi="Times"/>
          <w:color w:val="000000"/>
          <w:szCs w:val="24"/>
        </w:rPr>
      </w:pPr>
      <w:r w:rsidRPr="0087333A">
        <w:rPr>
          <w:rFonts w:ascii="Times" w:hAnsi="Times"/>
          <w:color w:val="000000"/>
          <w:szCs w:val="24"/>
        </w:rPr>
        <w:tab/>
      </w:r>
      <w:r w:rsidR="00764372" w:rsidRPr="0087333A">
        <w:rPr>
          <w:rFonts w:ascii="Times" w:hAnsi="Times"/>
          <w:color w:val="000000"/>
          <w:szCs w:val="24"/>
        </w:rPr>
        <w:t xml:space="preserve">On December 2, 1992, the agencies adopted uniform real estate lending standards regulations.  These regulations require depository institutions to adopt and maintain written real estate lending policies that are consistent with safe and sound banking practices.  The institution’s lending policies must establish: loan portfolio diversification standards; prudent underwriting standards, including loan-to-value limits; loan administration procedures; and loan documentation, approval and reporting requirements.  The policies must be appropriate to the size of the institution and the nature and scope of its operations.  The lending policies should also reflect consideration of the </w:t>
      </w:r>
      <w:r w:rsidR="00764372" w:rsidRPr="0087333A">
        <w:rPr>
          <w:rFonts w:ascii="Times" w:hAnsi="Times"/>
          <w:i/>
          <w:color w:val="000000"/>
          <w:szCs w:val="24"/>
        </w:rPr>
        <w:t>Interagency Guidelines for Real Estate Lending Policies</w:t>
      </w:r>
      <w:r w:rsidR="00764372" w:rsidRPr="0087333A">
        <w:rPr>
          <w:rFonts w:ascii="Times" w:hAnsi="Times"/>
          <w:color w:val="000000"/>
          <w:szCs w:val="24"/>
        </w:rPr>
        <w:t xml:space="preserve"> (Guidelines) that the agencies established as an appendix to the regulation.  These regulatory requirements became effective on March 19, 1993.  The institution's board of directors must review, at least annually, the real estate lending policies.</w:t>
      </w:r>
    </w:p>
    <w:p w:rsidR="00810998" w:rsidRPr="0087333A" w:rsidRDefault="00810998" w:rsidP="00703E02">
      <w:pPr>
        <w:rPr>
          <w:rFonts w:ascii="Times" w:hAnsi="Times"/>
          <w:color w:val="000000"/>
          <w:szCs w:val="24"/>
        </w:rPr>
      </w:pPr>
    </w:p>
    <w:p w:rsidR="00810998" w:rsidRPr="0087333A" w:rsidRDefault="00810998" w:rsidP="008109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rPr>
      </w:pPr>
      <w:r w:rsidRPr="0087333A">
        <w:rPr>
          <w:rFonts w:ascii="Times" w:hAnsi="Times"/>
          <w:b/>
        </w:rPr>
        <w:lastRenderedPageBreak/>
        <w:tab/>
      </w:r>
      <w:r w:rsidRPr="0087333A">
        <w:rPr>
          <w:rFonts w:ascii="Times" w:hAnsi="Times"/>
        </w:rPr>
        <w:t xml:space="preserve">While the Board has not </w:t>
      </w:r>
      <w:r w:rsidR="00B40BD6">
        <w:rPr>
          <w:rFonts w:ascii="Times" w:hAnsi="Times"/>
        </w:rPr>
        <w:t>amended its regulation s</w:t>
      </w:r>
      <w:r w:rsidRPr="0087333A">
        <w:rPr>
          <w:rFonts w:ascii="Times" w:hAnsi="Times"/>
        </w:rPr>
        <w:t xml:space="preserve">ince its adoption, the agencies have issued guidance on real estate lending standards, including:  </w:t>
      </w:r>
    </w:p>
    <w:p w:rsidR="00810998" w:rsidRPr="0087333A" w:rsidRDefault="00810998" w:rsidP="00810998">
      <w:pPr>
        <w:numPr>
          <w:ilvl w:val="0"/>
          <w:numId w:val="1"/>
        </w:numPr>
        <w:rPr>
          <w:rFonts w:ascii="Times" w:hAnsi="Times"/>
          <w:color w:val="000000"/>
          <w:szCs w:val="24"/>
        </w:rPr>
      </w:pPr>
      <w:r w:rsidRPr="0087333A">
        <w:rPr>
          <w:rFonts w:ascii="Times" w:hAnsi="Times"/>
        </w:rPr>
        <w:t>October 1999</w:t>
      </w:r>
      <w:r w:rsidR="008266A6" w:rsidRPr="0087333A">
        <w:rPr>
          <w:rFonts w:ascii="Times" w:hAnsi="Times"/>
        </w:rPr>
        <w:t xml:space="preserve"> - </w:t>
      </w:r>
      <w:r w:rsidRPr="0087333A">
        <w:rPr>
          <w:rFonts w:ascii="Times" w:hAnsi="Times"/>
          <w:i/>
        </w:rPr>
        <w:t>Interagency Guidance on</w:t>
      </w:r>
      <w:r w:rsidRPr="0087333A">
        <w:rPr>
          <w:rFonts w:ascii="Times" w:hAnsi="Times"/>
        </w:rPr>
        <w:t xml:space="preserve"> </w:t>
      </w:r>
      <w:r w:rsidRPr="0087333A">
        <w:rPr>
          <w:rFonts w:ascii="Times" w:hAnsi="Times"/>
          <w:i/>
        </w:rPr>
        <w:t>High Loan-to-Value Residential Real Estate Lending</w:t>
      </w:r>
      <w:r w:rsidRPr="0087333A">
        <w:rPr>
          <w:rFonts w:ascii="Times" w:hAnsi="Times"/>
        </w:rPr>
        <w:t xml:space="preserve"> (SR letter 99-26) reminds banks of the risk posed by high </w:t>
      </w:r>
      <w:r w:rsidR="00B40BD6">
        <w:rPr>
          <w:rFonts w:ascii="Times" w:hAnsi="Times"/>
        </w:rPr>
        <w:t>loan-to-value (</w:t>
      </w:r>
      <w:r w:rsidRPr="0087333A">
        <w:rPr>
          <w:rFonts w:ascii="Times" w:hAnsi="Times"/>
        </w:rPr>
        <w:t>LTV</w:t>
      </w:r>
      <w:r w:rsidR="00B40BD6">
        <w:rPr>
          <w:rFonts w:ascii="Times" w:hAnsi="Times"/>
        </w:rPr>
        <w:t>)</w:t>
      </w:r>
      <w:r w:rsidRPr="0087333A">
        <w:rPr>
          <w:rFonts w:ascii="Times" w:hAnsi="Times"/>
        </w:rPr>
        <w:t xml:space="preserve"> residential loans and clarifies the supervisory LTV limits in the Guidelines.</w:t>
      </w:r>
    </w:p>
    <w:p w:rsidR="00810998" w:rsidRPr="0087333A" w:rsidRDefault="00810998" w:rsidP="00810998">
      <w:pPr>
        <w:numPr>
          <w:ilvl w:val="0"/>
          <w:numId w:val="1"/>
        </w:numPr>
        <w:rPr>
          <w:rFonts w:ascii="Times" w:hAnsi="Times"/>
          <w:color w:val="000000"/>
          <w:szCs w:val="24"/>
        </w:rPr>
      </w:pPr>
      <w:r w:rsidRPr="0087333A">
        <w:rPr>
          <w:rFonts w:ascii="Times" w:hAnsi="Times"/>
        </w:rPr>
        <w:t>May 2005</w:t>
      </w:r>
      <w:r w:rsidR="008266A6" w:rsidRPr="0087333A">
        <w:rPr>
          <w:rFonts w:ascii="Times" w:hAnsi="Times"/>
        </w:rPr>
        <w:t xml:space="preserve"> - </w:t>
      </w:r>
      <w:r w:rsidRPr="0087333A">
        <w:rPr>
          <w:rFonts w:ascii="Times" w:hAnsi="Times"/>
          <w:i/>
        </w:rPr>
        <w:t>Interagency Credit Risk Mitigation Guidance for Home Equity Lending</w:t>
      </w:r>
      <w:r w:rsidRPr="0087333A">
        <w:rPr>
          <w:rFonts w:ascii="Times" w:hAnsi="Times"/>
        </w:rPr>
        <w:t xml:space="preserve"> (SR letter 05-11) promotes sound risk management practices for banks’ home equity lending programs.  </w:t>
      </w:r>
    </w:p>
    <w:p w:rsidR="00810998" w:rsidRPr="0087333A" w:rsidRDefault="00810998" w:rsidP="00810998">
      <w:pPr>
        <w:numPr>
          <w:ilvl w:val="0"/>
          <w:numId w:val="1"/>
        </w:numPr>
        <w:rPr>
          <w:rFonts w:ascii="Times" w:hAnsi="Times"/>
          <w:color w:val="000000"/>
          <w:szCs w:val="24"/>
        </w:rPr>
      </w:pPr>
      <w:r w:rsidRPr="0087333A">
        <w:rPr>
          <w:rFonts w:ascii="Times" w:hAnsi="Times"/>
        </w:rPr>
        <w:t>September 2006</w:t>
      </w:r>
      <w:r w:rsidR="008266A6" w:rsidRPr="0087333A">
        <w:rPr>
          <w:rFonts w:ascii="Times" w:hAnsi="Times"/>
        </w:rPr>
        <w:t xml:space="preserve"> - </w:t>
      </w:r>
      <w:r w:rsidRPr="0087333A">
        <w:rPr>
          <w:rFonts w:ascii="Times" w:hAnsi="Times"/>
          <w:i/>
        </w:rPr>
        <w:t>Interagency Guidance on Nontraditional Mortgage Product Risks</w:t>
      </w:r>
      <w:r w:rsidRPr="0087333A">
        <w:rPr>
          <w:rFonts w:ascii="Times" w:hAnsi="Times"/>
        </w:rPr>
        <w:t xml:space="preserve"> (SR letter 06-15) reminds banks that such lending activity should comply with the underwriting standards in the agencies’ Guidelines.  </w:t>
      </w:r>
    </w:p>
    <w:p w:rsidR="00810998" w:rsidRPr="0087333A" w:rsidRDefault="00810998" w:rsidP="00810998">
      <w:pPr>
        <w:numPr>
          <w:ilvl w:val="0"/>
          <w:numId w:val="1"/>
        </w:numPr>
        <w:rPr>
          <w:rFonts w:ascii="Times" w:hAnsi="Times"/>
          <w:color w:val="000000"/>
          <w:szCs w:val="24"/>
        </w:rPr>
      </w:pPr>
      <w:r w:rsidRPr="0087333A">
        <w:rPr>
          <w:rFonts w:ascii="Times" w:hAnsi="Times"/>
        </w:rPr>
        <w:t>December 2006</w:t>
      </w:r>
      <w:r w:rsidR="008266A6" w:rsidRPr="0087333A">
        <w:rPr>
          <w:rFonts w:ascii="Times" w:hAnsi="Times"/>
        </w:rPr>
        <w:t xml:space="preserve"> - </w:t>
      </w:r>
      <w:r w:rsidRPr="0087333A">
        <w:rPr>
          <w:rFonts w:ascii="Times" w:hAnsi="Times"/>
          <w:i/>
        </w:rPr>
        <w:t>Interagency Guidance on Concentrations in Commercial Real Estate Lending</w:t>
      </w:r>
      <w:r w:rsidR="00764372">
        <w:rPr>
          <w:rFonts w:ascii="Times" w:hAnsi="Times"/>
        </w:rPr>
        <w:t xml:space="preserve"> (SR letter 07-</w:t>
      </w:r>
      <w:r w:rsidRPr="0087333A">
        <w:rPr>
          <w:rFonts w:ascii="Times" w:hAnsi="Times"/>
        </w:rPr>
        <w:t>1) reminds banks with high CRE loan concentrations of the importance of sound risk management practices.</w:t>
      </w:r>
    </w:p>
    <w:p w:rsidR="00810998" w:rsidRPr="00767A5B" w:rsidRDefault="00810998" w:rsidP="00810998">
      <w:pPr>
        <w:numPr>
          <w:ilvl w:val="0"/>
          <w:numId w:val="1"/>
        </w:numPr>
        <w:rPr>
          <w:rFonts w:ascii="Times" w:hAnsi="Times"/>
          <w:color w:val="000000"/>
          <w:szCs w:val="24"/>
        </w:rPr>
      </w:pPr>
      <w:r w:rsidRPr="0087333A">
        <w:rPr>
          <w:rFonts w:ascii="Times" w:hAnsi="Times"/>
        </w:rPr>
        <w:t>July 2007</w:t>
      </w:r>
      <w:r w:rsidR="008266A6" w:rsidRPr="0087333A">
        <w:rPr>
          <w:rFonts w:ascii="Times" w:hAnsi="Times"/>
        </w:rPr>
        <w:t xml:space="preserve"> - </w:t>
      </w:r>
      <w:r w:rsidRPr="0087333A">
        <w:rPr>
          <w:rFonts w:ascii="Times" w:hAnsi="Times"/>
          <w:i/>
        </w:rPr>
        <w:t>Interagency Statement on Subprime Mortgage Lending</w:t>
      </w:r>
      <w:r w:rsidRPr="0087333A">
        <w:rPr>
          <w:rFonts w:ascii="Times" w:hAnsi="Times"/>
        </w:rPr>
        <w:t xml:space="preserve"> (SR letter 07-12) reinforces the underwriting standards of the agencies’ Guidelines.</w:t>
      </w:r>
    </w:p>
    <w:p w:rsidR="00767A5B" w:rsidRPr="00A4257D" w:rsidRDefault="00767A5B" w:rsidP="00767A5B">
      <w:pPr>
        <w:numPr>
          <w:ilvl w:val="0"/>
          <w:numId w:val="1"/>
        </w:numPr>
        <w:rPr>
          <w:rFonts w:ascii="Times" w:hAnsi="Times"/>
        </w:rPr>
      </w:pPr>
      <w:r w:rsidRPr="00A4257D">
        <w:rPr>
          <w:rFonts w:ascii="Times" w:hAnsi="Times"/>
        </w:rPr>
        <w:t xml:space="preserve">October 2009 </w:t>
      </w:r>
      <w:r>
        <w:rPr>
          <w:rFonts w:ascii="Times" w:hAnsi="Times"/>
        </w:rPr>
        <w:t>–</w:t>
      </w:r>
      <w:r w:rsidRPr="00A4257D">
        <w:rPr>
          <w:rFonts w:ascii="Times" w:hAnsi="Times"/>
        </w:rPr>
        <w:t xml:space="preserve"> </w:t>
      </w:r>
      <w:r w:rsidRPr="00A4257D">
        <w:rPr>
          <w:rFonts w:ascii="Times" w:hAnsi="Times"/>
          <w:i/>
        </w:rPr>
        <w:t>Interagency Statement on Prudent Commercial Real Estate Loan Workouts</w:t>
      </w:r>
      <w:r>
        <w:rPr>
          <w:rFonts w:ascii="Times" w:hAnsi="Times"/>
          <w:i/>
        </w:rPr>
        <w:t xml:space="preserve"> </w:t>
      </w:r>
      <w:r>
        <w:rPr>
          <w:rFonts w:ascii="Times" w:hAnsi="Times"/>
        </w:rPr>
        <w:t xml:space="preserve">(SR letter 09-7) </w:t>
      </w:r>
      <w:r>
        <w:rPr>
          <w:szCs w:val="24"/>
        </w:rPr>
        <w:t>promotes supervisory consistency and</w:t>
      </w:r>
      <w:r w:rsidRPr="007467EF">
        <w:rPr>
          <w:szCs w:val="24"/>
        </w:rPr>
        <w:t xml:space="preserve"> enhance</w:t>
      </w:r>
      <w:r>
        <w:rPr>
          <w:szCs w:val="24"/>
        </w:rPr>
        <w:t>s</w:t>
      </w:r>
      <w:r w:rsidRPr="007467EF">
        <w:rPr>
          <w:szCs w:val="24"/>
        </w:rPr>
        <w:t xml:space="preserve"> the transparency of CRE workout transactions</w:t>
      </w:r>
      <w:r>
        <w:rPr>
          <w:szCs w:val="24"/>
        </w:rPr>
        <w:t xml:space="preserve"> so</w:t>
      </w:r>
      <w:r w:rsidRPr="007467EF">
        <w:rPr>
          <w:szCs w:val="24"/>
        </w:rPr>
        <w:t xml:space="preserve"> that supervisory policies and actions do not inadvertently curtail the availability of credit to sound </w:t>
      </w:r>
      <w:r>
        <w:rPr>
          <w:szCs w:val="24"/>
        </w:rPr>
        <w:t xml:space="preserve">CRE </w:t>
      </w:r>
      <w:r w:rsidRPr="007467EF">
        <w:rPr>
          <w:szCs w:val="24"/>
        </w:rPr>
        <w:t>borrowers</w:t>
      </w:r>
      <w:r>
        <w:rPr>
          <w:szCs w:val="24"/>
        </w:rPr>
        <w:t>.</w:t>
      </w:r>
    </w:p>
    <w:p w:rsidR="00AE55C7" w:rsidRPr="0087333A" w:rsidRDefault="00AE55C7" w:rsidP="00703E02">
      <w:pPr>
        <w:rPr>
          <w:rFonts w:ascii="Times" w:hAnsi="Times"/>
          <w:color w:val="000000"/>
          <w:szCs w:val="24"/>
        </w:rPr>
      </w:pPr>
    </w:p>
    <w:p w:rsidR="00AE55C7" w:rsidRPr="0087333A" w:rsidRDefault="00AE55C7" w:rsidP="00703E02">
      <w:pPr>
        <w:rPr>
          <w:rFonts w:ascii="Times" w:hAnsi="Times"/>
          <w:color w:val="000000"/>
          <w:szCs w:val="24"/>
        </w:rPr>
      </w:pPr>
      <w:r w:rsidRPr="0087333A">
        <w:rPr>
          <w:rFonts w:ascii="Times" w:hAnsi="Times"/>
          <w:b/>
          <w:bCs/>
          <w:color w:val="000000"/>
          <w:szCs w:val="24"/>
        </w:rPr>
        <w:t>Description of Information Collection</w:t>
      </w:r>
    </w:p>
    <w:p w:rsidR="00AE55C7" w:rsidRPr="0087333A" w:rsidRDefault="00AE55C7" w:rsidP="00703E02">
      <w:pPr>
        <w:rPr>
          <w:rFonts w:ascii="Times" w:hAnsi="Times"/>
          <w:color w:val="000000"/>
          <w:szCs w:val="24"/>
        </w:rPr>
      </w:pPr>
    </w:p>
    <w:p w:rsidR="00AE55C7" w:rsidRPr="0087333A" w:rsidRDefault="00AE55C7" w:rsidP="00703E02">
      <w:pPr>
        <w:rPr>
          <w:rFonts w:ascii="Times" w:hAnsi="Times"/>
          <w:color w:val="000000"/>
          <w:szCs w:val="24"/>
        </w:rPr>
      </w:pPr>
      <w:r w:rsidRPr="0087333A">
        <w:rPr>
          <w:rFonts w:ascii="Times" w:hAnsi="Times"/>
          <w:color w:val="000000"/>
          <w:szCs w:val="24"/>
        </w:rPr>
        <w:tab/>
        <w:t>Each state member bank must maintain written internal real estate lending policies.  These policies may be incorporated into the bank's overall lending policies and must address the requirement of the Board</w:t>
      </w:r>
      <w:r w:rsidR="00703E02" w:rsidRPr="0087333A">
        <w:rPr>
          <w:rFonts w:ascii="Times" w:hAnsi="Times"/>
          <w:color w:val="000000"/>
          <w:szCs w:val="24"/>
        </w:rPr>
        <w:t>’</w:t>
      </w:r>
      <w:r w:rsidRPr="0087333A">
        <w:rPr>
          <w:rFonts w:ascii="Times" w:hAnsi="Times"/>
          <w:color w:val="000000"/>
          <w:szCs w:val="24"/>
        </w:rPr>
        <w:t>s regulation and guidelines as described above.  Further, the bank</w:t>
      </w:r>
      <w:r w:rsidR="00703E02" w:rsidRPr="0087333A">
        <w:rPr>
          <w:rFonts w:ascii="Times" w:hAnsi="Times"/>
          <w:color w:val="000000"/>
          <w:szCs w:val="24"/>
        </w:rPr>
        <w:t>’</w:t>
      </w:r>
      <w:r w:rsidRPr="0087333A">
        <w:rPr>
          <w:rFonts w:ascii="Times" w:hAnsi="Times"/>
          <w:color w:val="000000"/>
          <w:szCs w:val="24"/>
        </w:rPr>
        <w:t>s own internal LTV limits may not exceed the supervisory LTV limits as set forth in the Board's guidelines.  The guidelines permit a bank to originate or purchase loans with LTV ratios in excess of the supervisory limits, based on the support provided by other credit factors.  For such loans, the bank must identify the loan in its records as being in excess of the supervisory LTV limits</w:t>
      </w:r>
      <w:r w:rsidR="004450B6" w:rsidRPr="0087333A">
        <w:rPr>
          <w:rFonts w:ascii="Times" w:hAnsi="Times"/>
          <w:color w:val="000000"/>
          <w:szCs w:val="24"/>
        </w:rPr>
        <w:t xml:space="preserve"> (referred</w:t>
      </w:r>
      <w:r w:rsidR="004450B6">
        <w:rPr>
          <w:rFonts w:ascii="Times" w:hAnsi="Times"/>
          <w:color w:val="000000"/>
          <w:szCs w:val="24"/>
        </w:rPr>
        <w:t xml:space="preserve"> </w:t>
      </w:r>
      <w:r w:rsidR="004450B6" w:rsidRPr="0087333A">
        <w:rPr>
          <w:rFonts w:ascii="Times" w:hAnsi="Times"/>
          <w:color w:val="000000"/>
          <w:szCs w:val="24"/>
        </w:rPr>
        <w:t>to as high LTV loans)</w:t>
      </w:r>
      <w:r w:rsidRPr="0087333A">
        <w:rPr>
          <w:rFonts w:ascii="Times" w:hAnsi="Times"/>
          <w:color w:val="000000"/>
          <w:szCs w:val="24"/>
        </w:rPr>
        <w:t xml:space="preserve">.  The aggregate amount of </w:t>
      </w:r>
      <w:r w:rsidR="004450B6" w:rsidRPr="0087333A">
        <w:rPr>
          <w:rFonts w:ascii="Times" w:hAnsi="Times"/>
          <w:color w:val="000000"/>
          <w:szCs w:val="24"/>
        </w:rPr>
        <w:t>high LTV</w:t>
      </w:r>
      <w:r w:rsidRPr="0087333A">
        <w:rPr>
          <w:rFonts w:ascii="Times" w:hAnsi="Times"/>
          <w:color w:val="000000"/>
          <w:szCs w:val="24"/>
        </w:rPr>
        <w:t xml:space="preserve"> loans is to be reported</w:t>
      </w:r>
      <w:r w:rsidR="00DB376C" w:rsidRPr="0087333A">
        <w:rPr>
          <w:rFonts w:ascii="Times" w:hAnsi="Times"/>
          <w:color w:val="000000"/>
          <w:szCs w:val="24"/>
        </w:rPr>
        <w:t xml:space="preserve"> (aggregate report)</w:t>
      </w:r>
      <w:r w:rsidRPr="0087333A">
        <w:rPr>
          <w:rFonts w:ascii="Times" w:hAnsi="Times"/>
          <w:color w:val="000000"/>
          <w:szCs w:val="24"/>
        </w:rPr>
        <w:t xml:space="preserve"> at least quarterly to the bank's board of directors</w:t>
      </w:r>
      <w:r w:rsidR="004450B6" w:rsidRPr="0087333A">
        <w:rPr>
          <w:rFonts w:ascii="Times" w:hAnsi="Times"/>
          <w:color w:val="000000"/>
          <w:szCs w:val="24"/>
        </w:rPr>
        <w:t xml:space="preserve"> and may not exceed 100 percent of the bank’s total capital</w:t>
      </w:r>
      <w:r w:rsidRPr="0087333A">
        <w:rPr>
          <w:rFonts w:ascii="Times" w:hAnsi="Times"/>
          <w:color w:val="000000"/>
          <w:szCs w:val="24"/>
        </w:rPr>
        <w:t>.</w:t>
      </w:r>
    </w:p>
    <w:p w:rsidR="00AE55C7" w:rsidRPr="0087333A" w:rsidRDefault="00AE55C7" w:rsidP="00703E02">
      <w:pPr>
        <w:rPr>
          <w:rFonts w:ascii="Times" w:hAnsi="Times"/>
          <w:color w:val="000000"/>
          <w:szCs w:val="24"/>
        </w:rPr>
      </w:pPr>
    </w:p>
    <w:p w:rsidR="00AE55C7" w:rsidRPr="0087333A" w:rsidRDefault="00AE55C7" w:rsidP="00703E02">
      <w:pPr>
        <w:rPr>
          <w:rFonts w:ascii="Times" w:hAnsi="Times"/>
          <w:color w:val="000000"/>
          <w:szCs w:val="24"/>
        </w:rPr>
      </w:pPr>
      <w:r w:rsidRPr="0087333A">
        <w:rPr>
          <w:rFonts w:ascii="Times" w:hAnsi="Times"/>
          <w:b/>
          <w:bCs/>
          <w:color w:val="000000"/>
          <w:szCs w:val="24"/>
        </w:rPr>
        <w:t>Time Schedule for Information Collection</w:t>
      </w:r>
    </w:p>
    <w:p w:rsidR="00AE55C7" w:rsidRPr="0087333A" w:rsidRDefault="00AE55C7" w:rsidP="00703E02">
      <w:pPr>
        <w:rPr>
          <w:rFonts w:ascii="Times" w:hAnsi="Times"/>
          <w:color w:val="000000"/>
          <w:szCs w:val="24"/>
        </w:rPr>
      </w:pPr>
    </w:p>
    <w:p w:rsidR="00AE55C7" w:rsidRPr="0087333A" w:rsidRDefault="00AE55C7" w:rsidP="00703E02">
      <w:pPr>
        <w:rPr>
          <w:rFonts w:ascii="Times" w:hAnsi="Times"/>
          <w:color w:val="000000"/>
          <w:szCs w:val="24"/>
        </w:rPr>
      </w:pPr>
      <w:r w:rsidRPr="0087333A">
        <w:rPr>
          <w:rFonts w:ascii="Times" w:hAnsi="Times"/>
          <w:color w:val="000000"/>
          <w:szCs w:val="24"/>
        </w:rPr>
        <w:tab/>
        <w:t>The Federal Reserve System neither collects nor publishes the information.  Bank examiners verify compliance with the real estate lending standards regulation and guidelines during examinations of state member banks.</w:t>
      </w:r>
    </w:p>
    <w:p w:rsidR="007B7C20" w:rsidRPr="0087333A" w:rsidRDefault="007B7C20" w:rsidP="00703E02">
      <w:pPr>
        <w:rPr>
          <w:rFonts w:ascii="Times" w:hAnsi="Times"/>
          <w:color w:val="000000"/>
          <w:szCs w:val="24"/>
        </w:rPr>
      </w:pPr>
    </w:p>
    <w:p w:rsidR="00AE55C7" w:rsidRPr="0087333A" w:rsidRDefault="00767A5B" w:rsidP="00703E02">
      <w:pPr>
        <w:rPr>
          <w:rFonts w:ascii="Times" w:hAnsi="Times"/>
          <w:color w:val="000000"/>
          <w:szCs w:val="24"/>
        </w:rPr>
      </w:pPr>
      <w:r>
        <w:rPr>
          <w:rFonts w:ascii="Times" w:hAnsi="Times"/>
          <w:b/>
          <w:bCs/>
          <w:color w:val="000000"/>
          <w:szCs w:val="24"/>
        </w:rPr>
        <w:br w:type="page"/>
      </w:r>
      <w:r w:rsidR="00AE55C7" w:rsidRPr="0087333A">
        <w:rPr>
          <w:rFonts w:ascii="Times" w:hAnsi="Times"/>
          <w:b/>
          <w:bCs/>
          <w:color w:val="000000"/>
          <w:szCs w:val="24"/>
        </w:rPr>
        <w:lastRenderedPageBreak/>
        <w:t xml:space="preserve">Legal Status </w:t>
      </w:r>
    </w:p>
    <w:p w:rsidR="00AE55C7" w:rsidRPr="0087333A" w:rsidRDefault="00AE55C7" w:rsidP="00703E02">
      <w:pPr>
        <w:rPr>
          <w:rFonts w:ascii="Times" w:hAnsi="Times"/>
          <w:color w:val="000000"/>
          <w:szCs w:val="24"/>
        </w:rPr>
      </w:pPr>
    </w:p>
    <w:p w:rsidR="00CA2074" w:rsidRDefault="00AE55C7" w:rsidP="00CA2074">
      <w:pPr>
        <w:tabs>
          <w:tab w:val="left" w:pos="360"/>
        </w:tabs>
        <w:ind w:right="-90" w:firstLine="360"/>
        <w:rPr>
          <w:rFonts w:ascii="Times" w:hAnsi="Times"/>
          <w:color w:val="000000"/>
          <w:szCs w:val="24"/>
        </w:rPr>
      </w:pPr>
      <w:r w:rsidRPr="0087333A">
        <w:rPr>
          <w:rFonts w:ascii="Times" w:hAnsi="Times"/>
          <w:color w:val="000000"/>
          <w:szCs w:val="24"/>
        </w:rPr>
        <w:tab/>
      </w:r>
      <w:r w:rsidR="00CA2074" w:rsidRPr="0087333A">
        <w:rPr>
          <w:rFonts w:ascii="Times" w:hAnsi="Times"/>
          <w:color w:val="000000"/>
          <w:szCs w:val="24"/>
        </w:rPr>
        <w:t xml:space="preserve">The Board’s Legal Division has determined that </w:t>
      </w:r>
      <w:r w:rsidR="00CA2074">
        <w:rPr>
          <w:rFonts w:ascii="Times" w:hAnsi="Times"/>
          <w:color w:val="000000"/>
          <w:szCs w:val="24"/>
        </w:rPr>
        <w:t xml:space="preserve">section 304 of FDICIA </w:t>
      </w:r>
    </w:p>
    <w:p w:rsidR="00CA2074" w:rsidRDefault="00CA2074" w:rsidP="00CA2074">
      <w:pPr>
        <w:tabs>
          <w:tab w:val="left" w:pos="360"/>
        </w:tabs>
        <w:ind w:right="-90"/>
        <w:rPr>
          <w:rFonts w:ascii="Times" w:hAnsi="Times"/>
          <w:color w:val="000000"/>
          <w:szCs w:val="24"/>
        </w:rPr>
      </w:pPr>
      <w:r w:rsidRPr="0087333A">
        <w:rPr>
          <w:rFonts w:ascii="Times" w:hAnsi="Times"/>
          <w:color w:val="000000"/>
          <w:szCs w:val="24"/>
        </w:rPr>
        <w:t xml:space="preserve">(12 U.S.C. </w:t>
      </w:r>
      <w:r>
        <w:rPr>
          <w:rFonts w:ascii="Times" w:hAnsi="Times"/>
          <w:color w:val="000000"/>
          <w:szCs w:val="24"/>
        </w:rPr>
        <w:t xml:space="preserve">§ </w:t>
      </w:r>
      <w:r w:rsidRPr="0087333A">
        <w:rPr>
          <w:rFonts w:ascii="Times" w:hAnsi="Times"/>
          <w:color w:val="000000"/>
          <w:szCs w:val="24"/>
        </w:rPr>
        <w:t>1828 (o))</w:t>
      </w:r>
      <w:r>
        <w:rPr>
          <w:rFonts w:ascii="Times" w:hAnsi="Times"/>
          <w:color w:val="000000"/>
          <w:szCs w:val="24"/>
        </w:rPr>
        <w:t xml:space="preserve"> authorizes the Federal Reserve to require </w:t>
      </w:r>
      <w:r w:rsidRPr="0087333A">
        <w:rPr>
          <w:rFonts w:ascii="Times" w:hAnsi="Times"/>
          <w:color w:val="000000"/>
          <w:szCs w:val="24"/>
        </w:rPr>
        <w:t xml:space="preserve">the recordkeeping requirements </w:t>
      </w:r>
      <w:r>
        <w:rPr>
          <w:rFonts w:ascii="Times" w:hAnsi="Times"/>
          <w:color w:val="000000"/>
          <w:szCs w:val="24"/>
        </w:rPr>
        <w:t>associated with the Board’s Regulation H (12 CFR 208.51).</w:t>
      </w:r>
      <w:r w:rsidRPr="0087333A">
        <w:rPr>
          <w:rFonts w:ascii="Times" w:hAnsi="Times"/>
          <w:color w:val="000000"/>
          <w:szCs w:val="24"/>
        </w:rPr>
        <w:t xml:space="preserve">  Since the information is not collected by the Federal Reserve, no issue of confidentiality under the Freedom of Information Act arises.  </w:t>
      </w:r>
      <w:r>
        <w:rPr>
          <w:rFonts w:ascii="Times" w:hAnsi="Times"/>
          <w:color w:val="000000"/>
          <w:szCs w:val="24"/>
        </w:rPr>
        <w:t>However, information gathered by the Federal Reserve during examinations of state member banks would be deemed exempt from Freedom of Information Act (FOIA) disclosure by exemption 8 of FOIA. (5 U.S.C. § 552(b</w:t>
      </w:r>
      <w:proofErr w:type="gramStart"/>
      <w:r>
        <w:rPr>
          <w:rFonts w:ascii="Times" w:hAnsi="Times"/>
          <w:color w:val="000000"/>
          <w:szCs w:val="24"/>
        </w:rPr>
        <w:t>)(</w:t>
      </w:r>
      <w:proofErr w:type="gramEnd"/>
      <w:r>
        <w:rPr>
          <w:rFonts w:ascii="Times" w:hAnsi="Times"/>
          <w:color w:val="000000"/>
          <w:szCs w:val="24"/>
        </w:rPr>
        <w:t>8)). In addition, exemptions 4 and 6 of FOIA, (5 U.S.C. § 552(b</w:t>
      </w:r>
      <w:proofErr w:type="gramStart"/>
      <w:r>
        <w:rPr>
          <w:rFonts w:ascii="Times" w:hAnsi="Times"/>
          <w:color w:val="000000"/>
          <w:szCs w:val="24"/>
        </w:rPr>
        <w:t>)(</w:t>
      </w:r>
      <w:proofErr w:type="gramEnd"/>
      <w:r>
        <w:rPr>
          <w:rFonts w:ascii="Times" w:hAnsi="Times"/>
          <w:color w:val="000000"/>
          <w:szCs w:val="24"/>
        </w:rPr>
        <w:t xml:space="preserve">4) and (b)(6)) also may exempt from disclosure certain data (specifically, individual loans indentified as in excess of supervisory loan-to-value limits) collected in response to these requirements if gathered by the Federal Reserve, depending on the particular circumstances.  These additional exemptions relate to confidential commercial and financial information, and personal information, respectively.  Applicability of these exemptions would have to be determined on a case-by-case basis.  </w:t>
      </w:r>
    </w:p>
    <w:p w:rsidR="007B7C20" w:rsidRPr="0087333A" w:rsidRDefault="007B7C20" w:rsidP="00703E02">
      <w:pPr>
        <w:rPr>
          <w:rFonts w:ascii="Times" w:hAnsi="Times"/>
          <w:color w:val="000000"/>
          <w:szCs w:val="24"/>
        </w:rPr>
      </w:pPr>
    </w:p>
    <w:p w:rsidR="00AE55C7" w:rsidRPr="0087333A" w:rsidRDefault="00AE55C7" w:rsidP="00703E02">
      <w:pPr>
        <w:rPr>
          <w:rFonts w:ascii="Times" w:hAnsi="Times"/>
          <w:color w:val="000000"/>
          <w:szCs w:val="24"/>
        </w:rPr>
      </w:pPr>
      <w:r w:rsidRPr="0087333A">
        <w:rPr>
          <w:rFonts w:ascii="Times" w:hAnsi="Times"/>
          <w:b/>
          <w:bCs/>
          <w:color w:val="000000"/>
          <w:szCs w:val="24"/>
        </w:rPr>
        <w:t xml:space="preserve">Consultation </w:t>
      </w:r>
      <w:proofErr w:type="gramStart"/>
      <w:r w:rsidRPr="0087333A">
        <w:rPr>
          <w:rFonts w:ascii="Times" w:hAnsi="Times"/>
          <w:b/>
          <w:bCs/>
          <w:color w:val="000000"/>
          <w:szCs w:val="24"/>
        </w:rPr>
        <w:t>Outside</w:t>
      </w:r>
      <w:proofErr w:type="gramEnd"/>
      <w:r w:rsidRPr="0087333A">
        <w:rPr>
          <w:rFonts w:ascii="Times" w:hAnsi="Times"/>
          <w:b/>
          <w:bCs/>
          <w:color w:val="000000"/>
          <w:szCs w:val="24"/>
        </w:rPr>
        <w:t xml:space="preserve"> the Agency </w:t>
      </w:r>
    </w:p>
    <w:p w:rsidR="00AE55C7" w:rsidRPr="0087333A" w:rsidRDefault="00AE55C7" w:rsidP="00703E02">
      <w:pPr>
        <w:rPr>
          <w:rFonts w:ascii="Times" w:hAnsi="Times"/>
          <w:color w:val="000000"/>
          <w:szCs w:val="24"/>
        </w:rPr>
      </w:pPr>
    </w:p>
    <w:p w:rsidR="00A95F7D" w:rsidRDefault="00A95F7D" w:rsidP="00A95F7D">
      <w:pPr>
        <w:tabs>
          <w:tab w:val="left" w:pos="-1440"/>
          <w:tab w:val="left" w:pos="-720"/>
        </w:tabs>
      </w:pPr>
      <w:r>
        <w:tab/>
      </w:r>
      <w:r w:rsidRPr="00F22615">
        <w:t xml:space="preserve">On </w:t>
      </w:r>
      <w:r w:rsidR="00DC64AA">
        <w:t>November</w:t>
      </w:r>
      <w:r>
        <w:t xml:space="preserve"> </w:t>
      </w:r>
      <w:r w:rsidR="00764372">
        <w:t>19</w:t>
      </w:r>
      <w:r w:rsidRPr="003C7B9B">
        <w:t>, 20</w:t>
      </w:r>
      <w:r w:rsidR="00DC64AA">
        <w:t>10</w:t>
      </w:r>
      <w:r w:rsidRPr="00F22615">
        <w:t xml:space="preserve">, the Federal Reserve published a notice in the </w:t>
      </w:r>
      <w:r w:rsidRPr="00F22615">
        <w:rPr>
          <w:i/>
          <w:iCs/>
        </w:rPr>
        <w:t>Federal Register</w:t>
      </w:r>
      <w:r w:rsidRPr="00F22615">
        <w:t xml:space="preserve"> </w:t>
      </w:r>
      <w:r w:rsidRPr="00930F77">
        <w:t>(</w:t>
      </w:r>
      <w:r w:rsidR="000B170F">
        <w:t>75</w:t>
      </w:r>
      <w:r w:rsidRPr="00930F77">
        <w:t xml:space="preserve"> FR </w:t>
      </w:r>
      <w:r w:rsidR="000B170F">
        <w:t>70919</w:t>
      </w:r>
      <w:r w:rsidRPr="00930F77">
        <w:t>)</w:t>
      </w:r>
      <w:r w:rsidRPr="00F22615">
        <w:t xml:space="preserve"> requesting public comment for 60 days on the </w:t>
      </w:r>
      <w:r>
        <w:t xml:space="preserve">Reg H-5 information collection.  </w:t>
      </w:r>
      <w:r w:rsidRPr="00F22615">
        <w:t>The comme</w:t>
      </w:r>
      <w:r w:rsidR="00B63101">
        <w:t>n</w:t>
      </w:r>
      <w:r w:rsidR="00221AC9">
        <w:t>t period for this notice expired</w:t>
      </w:r>
      <w:r w:rsidRPr="00F22615">
        <w:t xml:space="preserve"> on </w:t>
      </w:r>
      <w:r w:rsidR="00DC64AA">
        <w:t>Jan</w:t>
      </w:r>
      <w:r w:rsidR="000B170F">
        <w:t>uary 18</w:t>
      </w:r>
      <w:r w:rsidR="00B63101">
        <w:t>, 2011</w:t>
      </w:r>
      <w:r w:rsidR="00221AC9">
        <w:t>.  The Federal Reserve did not receive any comments.</w:t>
      </w:r>
      <w:r w:rsidR="00CC323D">
        <w:t xml:space="preserve"> </w:t>
      </w:r>
      <w:r w:rsidR="00467DCB" w:rsidRPr="008D5BB0">
        <w:t xml:space="preserve">On </w:t>
      </w:r>
      <w:r w:rsidR="00467DCB">
        <w:t>February 1, 2011</w:t>
      </w:r>
      <w:r w:rsidR="00467DCB" w:rsidRPr="008D5BB0">
        <w:t xml:space="preserve">, the </w:t>
      </w:r>
      <w:r w:rsidR="00467DCB">
        <w:t>Federal Reserve</w:t>
      </w:r>
      <w:r w:rsidR="00467DCB" w:rsidRPr="008D5BB0">
        <w:t xml:space="preserve"> published a</w:t>
      </w:r>
      <w:r w:rsidR="00467DCB">
        <w:t xml:space="preserve"> final</w:t>
      </w:r>
      <w:r w:rsidR="00467DCB" w:rsidRPr="008D5BB0">
        <w:t xml:space="preserve"> notice in the </w:t>
      </w:r>
      <w:r w:rsidR="00467DCB" w:rsidRPr="008D5BB0">
        <w:rPr>
          <w:i/>
        </w:rPr>
        <w:t>Federal Register</w:t>
      </w:r>
      <w:r w:rsidR="00467DCB" w:rsidRPr="008D5BB0">
        <w:t xml:space="preserve"> (7</w:t>
      </w:r>
      <w:r w:rsidR="00467DCB" w:rsidRPr="00C8107B">
        <w:rPr>
          <w:i/>
        </w:rPr>
        <w:t>6</w:t>
      </w:r>
      <w:r w:rsidR="00467DCB" w:rsidRPr="008D5BB0">
        <w:t> FR </w:t>
      </w:r>
      <w:r w:rsidR="00467DCB">
        <w:t>5590</w:t>
      </w:r>
      <w:r w:rsidR="00467DCB" w:rsidRPr="008D5BB0">
        <w:t>)</w:t>
      </w:r>
      <w:r w:rsidR="00467DCB">
        <w:t>.</w:t>
      </w:r>
    </w:p>
    <w:p w:rsidR="00DC64AA" w:rsidRPr="00A95F7D" w:rsidRDefault="00DC64AA" w:rsidP="00A95F7D">
      <w:pPr>
        <w:tabs>
          <w:tab w:val="left" w:pos="-1440"/>
          <w:tab w:val="left" w:pos="-720"/>
        </w:tabs>
      </w:pPr>
    </w:p>
    <w:p w:rsidR="00AE55C7" w:rsidRPr="0087333A" w:rsidRDefault="00AE55C7" w:rsidP="00703E02">
      <w:pPr>
        <w:tabs>
          <w:tab w:val="left" w:pos="-1440"/>
          <w:tab w:val="left" w:pos="-720"/>
          <w:tab w:val="left" w:pos="604"/>
          <w:tab w:val="center" w:pos="1864"/>
          <w:tab w:val="center" w:pos="4024"/>
          <w:tab w:val="center" w:pos="6004"/>
          <w:tab w:val="center" w:pos="798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color w:val="000000"/>
          <w:szCs w:val="24"/>
        </w:rPr>
      </w:pPr>
      <w:r w:rsidRPr="0087333A">
        <w:rPr>
          <w:rFonts w:ascii="Times" w:hAnsi="Times"/>
          <w:b/>
          <w:bCs/>
          <w:color w:val="000000"/>
          <w:szCs w:val="24"/>
        </w:rPr>
        <w:t>Sensitive Questions</w:t>
      </w:r>
    </w:p>
    <w:p w:rsidR="00AE55C7" w:rsidRPr="0087333A" w:rsidRDefault="00AE55C7" w:rsidP="00703E02">
      <w:pPr>
        <w:tabs>
          <w:tab w:val="left" w:pos="-1440"/>
          <w:tab w:val="left" w:pos="-720"/>
          <w:tab w:val="left" w:pos="604"/>
          <w:tab w:val="center" w:pos="1864"/>
          <w:tab w:val="center" w:pos="4024"/>
          <w:tab w:val="center" w:pos="6004"/>
          <w:tab w:val="center" w:pos="798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color w:val="000000"/>
          <w:szCs w:val="24"/>
        </w:rPr>
      </w:pPr>
    </w:p>
    <w:p w:rsidR="00AE55C7" w:rsidRPr="0087333A" w:rsidRDefault="00AE55C7" w:rsidP="00703E02">
      <w:pPr>
        <w:tabs>
          <w:tab w:val="left" w:pos="-1440"/>
          <w:tab w:val="left" w:pos="-720"/>
          <w:tab w:val="left" w:pos="604"/>
          <w:tab w:val="center" w:pos="1864"/>
          <w:tab w:val="center" w:pos="4024"/>
          <w:tab w:val="center" w:pos="6004"/>
          <w:tab w:val="center" w:pos="798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color w:val="000000"/>
          <w:szCs w:val="24"/>
        </w:rPr>
      </w:pPr>
      <w:r w:rsidRPr="0087333A">
        <w:rPr>
          <w:rFonts w:ascii="Times" w:hAnsi="Times"/>
          <w:color w:val="000000"/>
          <w:szCs w:val="24"/>
        </w:rPr>
        <w:tab/>
        <w:t>This collection of information contains no questions of a sensitive nature, as defined by OMB guidelines.</w:t>
      </w:r>
    </w:p>
    <w:p w:rsidR="007B7C20" w:rsidRPr="0087333A" w:rsidRDefault="007B7C20" w:rsidP="00703E02">
      <w:pPr>
        <w:rPr>
          <w:rFonts w:ascii="Times" w:hAnsi="Times"/>
          <w:color w:val="000000"/>
          <w:szCs w:val="24"/>
        </w:rPr>
      </w:pPr>
    </w:p>
    <w:p w:rsidR="00AE55C7" w:rsidRPr="0087333A" w:rsidRDefault="00AE55C7" w:rsidP="00703E02">
      <w:pPr>
        <w:rPr>
          <w:rFonts w:ascii="Times" w:hAnsi="Times"/>
          <w:color w:val="000000"/>
          <w:szCs w:val="24"/>
        </w:rPr>
      </w:pPr>
      <w:r w:rsidRPr="0087333A">
        <w:rPr>
          <w:rFonts w:ascii="Times" w:hAnsi="Times"/>
          <w:b/>
          <w:bCs/>
          <w:color w:val="000000"/>
          <w:szCs w:val="24"/>
        </w:rPr>
        <w:t>Estimate of Respondent Burden</w:t>
      </w:r>
    </w:p>
    <w:p w:rsidR="00AE55C7" w:rsidRPr="0087333A" w:rsidRDefault="00AE55C7" w:rsidP="00703E02">
      <w:pPr>
        <w:rPr>
          <w:rFonts w:ascii="Times" w:hAnsi="Times"/>
          <w:color w:val="000000"/>
          <w:szCs w:val="24"/>
        </w:rPr>
      </w:pPr>
    </w:p>
    <w:p w:rsidR="00663210" w:rsidRDefault="00AE55C7" w:rsidP="00764372">
      <w:pPr>
        <w:rPr>
          <w:rFonts w:ascii="Times" w:hAnsi="Times"/>
          <w:color w:val="000000"/>
          <w:szCs w:val="24"/>
        </w:rPr>
      </w:pPr>
      <w:r w:rsidRPr="0087333A">
        <w:rPr>
          <w:rFonts w:ascii="Times" w:hAnsi="Times"/>
          <w:color w:val="000000"/>
          <w:szCs w:val="24"/>
        </w:rPr>
        <w:tab/>
      </w:r>
      <w:r w:rsidR="00764372" w:rsidRPr="0087333A">
        <w:rPr>
          <w:rFonts w:ascii="Times" w:hAnsi="Times"/>
          <w:color w:val="000000"/>
          <w:szCs w:val="24"/>
        </w:rPr>
        <w:t xml:space="preserve">As of </w:t>
      </w:r>
      <w:r w:rsidR="00764372">
        <w:rPr>
          <w:rFonts w:ascii="Times" w:hAnsi="Times"/>
          <w:color w:val="000000"/>
          <w:szCs w:val="24"/>
        </w:rPr>
        <w:t>June 2010</w:t>
      </w:r>
      <w:r w:rsidR="00764372" w:rsidRPr="0087333A">
        <w:rPr>
          <w:rFonts w:ascii="Times" w:hAnsi="Times"/>
          <w:color w:val="000000"/>
          <w:szCs w:val="24"/>
        </w:rPr>
        <w:t xml:space="preserve">, </w:t>
      </w:r>
      <w:r w:rsidR="00764372">
        <w:rPr>
          <w:rFonts w:ascii="Times" w:hAnsi="Times"/>
          <w:color w:val="000000"/>
          <w:szCs w:val="24"/>
        </w:rPr>
        <w:t>836</w:t>
      </w:r>
      <w:r w:rsidR="00764372" w:rsidRPr="0087333A">
        <w:rPr>
          <w:rFonts w:ascii="Times" w:hAnsi="Times"/>
          <w:color w:val="000000"/>
          <w:szCs w:val="24"/>
        </w:rPr>
        <w:t xml:space="preserve"> state member banks </w:t>
      </w:r>
      <w:r w:rsidR="00764372">
        <w:rPr>
          <w:rFonts w:ascii="Times" w:hAnsi="Times"/>
          <w:color w:val="000000"/>
          <w:szCs w:val="24"/>
        </w:rPr>
        <w:t xml:space="preserve">were </w:t>
      </w:r>
      <w:r w:rsidR="00764372" w:rsidRPr="0087333A">
        <w:rPr>
          <w:rFonts w:ascii="Times" w:hAnsi="Times"/>
          <w:color w:val="000000"/>
          <w:szCs w:val="24"/>
        </w:rPr>
        <w:t xml:space="preserve">required to provide an aggregate report to the bank’s board of directors.  On average, </w:t>
      </w:r>
      <w:r w:rsidR="00764372">
        <w:rPr>
          <w:rFonts w:ascii="Times" w:hAnsi="Times"/>
          <w:color w:val="000000"/>
          <w:szCs w:val="24"/>
        </w:rPr>
        <w:t>seven</w:t>
      </w:r>
      <w:r w:rsidR="00764372" w:rsidRPr="0087333A">
        <w:rPr>
          <w:rFonts w:ascii="Times" w:hAnsi="Times"/>
          <w:color w:val="000000"/>
          <w:szCs w:val="24"/>
        </w:rPr>
        <w:t xml:space="preserve"> </w:t>
      </w:r>
      <w:r w:rsidR="00764372" w:rsidRPr="0087333A">
        <w:rPr>
          <w:rFonts w:ascii="Times" w:hAnsi="Times"/>
          <w:i/>
          <w:color w:val="000000"/>
          <w:szCs w:val="24"/>
        </w:rPr>
        <w:t>de novo</w:t>
      </w:r>
      <w:r w:rsidR="00764372" w:rsidRPr="0087333A">
        <w:rPr>
          <w:rFonts w:ascii="Times" w:hAnsi="Times"/>
          <w:color w:val="000000"/>
          <w:szCs w:val="24"/>
        </w:rPr>
        <w:t xml:space="preserve"> state member banks each year must create a real estate lending policy statement.  The annual recordkeeping burden for real estate lending standards is estimated to be </w:t>
      </w:r>
      <w:r w:rsidR="00764372">
        <w:rPr>
          <w:rFonts w:ascii="Times" w:hAnsi="Times"/>
          <w:color w:val="000000"/>
          <w:szCs w:val="24"/>
        </w:rPr>
        <w:t>16,860</w:t>
      </w:r>
      <w:r w:rsidR="00764372" w:rsidRPr="0087333A">
        <w:rPr>
          <w:rFonts w:ascii="Times" w:hAnsi="Times"/>
          <w:color w:val="000000"/>
          <w:szCs w:val="24"/>
        </w:rPr>
        <w:t xml:space="preserve"> hours.</w:t>
      </w:r>
      <w:r w:rsidR="00764372">
        <w:rPr>
          <w:rFonts w:ascii="Times" w:hAnsi="Times"/>
          <w:color w:val="000000"/>
          <w:szCs w:val="24"/>
        </w:rPr>
        <w:t xml:space="preserve">  </w:t>
      </w:r>
      <w:r w:rsidR="00764372">
        <w:rPr>
          <w:szCs w:val="24"/>
        </w:rPr>
        <w:t xml:space="preserve">These recordkeeping requirements represent less than1 percent of the total Federal Reserve System paperwork burden. </w:t>
      </w:r>
      <w:r w:rsidR="00764372" w:rsidRPr="0087333A">
        <w:rPr>
          <w:rFonts w:ascii="Times" w:hAnsi="Times"/>
          <w:color w:val="000000"/>
          <w:szCs w:val="24"/>
        </w:rPr>
        <w:t xml:space="preserve">  </w:t>
      </w:r>
    </w:p>
    <w:p w:rsidR="00764372" w:rsidRPr="0087333A" w:rsidRDefault="00663210" w:rsidP="00764372">
      <w:pPr>
        <w:rPr>
          <w:rFonts w:ascii="Times" w:hAnsi="Times"/>
          <w:color w:val="000000"/>
          <w:szCs w:val="24"/>
        </w:rPr>
      </w:pPr>
      <w:r>
        <w:rPr>
          <w:rFonts w:ascii="Times" w:hAnsi="Times"/>
          <w:color w:val="000000"/>
          <w:szCs w:val="24"/>
        </w:rPr>
        <w:br w:type="page"/>
      </w:r>
    </w:p>
    <w:p w:rsidR="00AE55C7" w:rsidRPr="0087333A" w:rsidRDefault="00AE55C7" w:rsidP="00703E02">
      <w:pPr>
        <w:rPr>
          <w:rFonts w:ascii="Times" w:hAnsi="Times"/>
          <w:color w:val="000000"/>
          <w:szCs w:val="24"/>
        </w:rPr>
      </w:pPr>
      <w:r w:rsidRPr="0087333A">
        <w:rPr>
          <w:rFonts w:ascii="Times" w:hAnsi="Times"/>
          <w:color w:val="000000"/>
          <w:szCs w:val="24"/>
        </w:rPr>
        <w:t xml:space="preserve"> </w:t>
      </w:r>
    </w:p>
    <w:tbl>
      <w:tblPr>
        <w:tblW w:w="8640" w:type="dxa"/>
        <w:tblInd w:w="129" w:type="dxa"/>
        <w:tblLayout w:type="fixed"/>
        <w:tblCellMar>
          <w:left w:w="129" w:type="dxa"/>
          <w:right w:w="129" w:type="dxa"/>
        </w:tblCellMar>
        <w:tblLook w:val="0000"/>
      </w:tblPr>
      <w:tblGrid>
        <w:gridCol w:w="2044"/>
        <w:gridCol w:w="1556"/>
        <w:gridCol w:w="1620"/>
        <w:gridCol w:w="1620"/>
        <w:gridCol w:w="1800"/>
      </w:tblGrid>
      <w:tr w:rsidR="00AE55C7" w:rsidRPr="0087333A">
        <w:tblPrEx>
          <w:tblCellMar>
            <w:top w:w="0" w:type="dxa"/>
            <w:bottom w:w="0" w:type="dxa"/>
          </w:tblCellMar>
        </w:tblPrEx>
        <w:trPr>
          <w:cantSplit/>
        </w:trPr>
        <w:tc>
          <w:tcPr>
            <w:tcW w:w="2044" w:type="dxa"/>
            <w:tcBorders>
              <w:top w:val="single" w:sz="6" w:space="0" w:color="000000"/>
            </w:tcBorders>
            <w:vAlign w:val="center"/>
          </w:tcPr>
          <w:p w:rsidR="00AE55C7" w:rsidRPr="0087333A" w:rsidRDefault="00AE55C7" w:rsidP="00810998">
            <w:pPr>
              <w:spacing w:before="134" w:after="72"/>
              <w:jc w:val="center"/>
              <w:rPr>
                <w:rFonts w:ascii="Times" w:hAnsi="Times"/>
                <w:szCs w:val="24"/>
              </w:rPr>
            </w:pPr>
          </w:p>
        </w:tc>
        <w:tc>
          <w:tcPr>
            <w:tcW w:w="1556" w:type="dxa"/>
            <w:tcBorders>
              <w:top w:val="single" w:sz="6" w:space="0" w:color="000000"/>
            </w:tcBorders>
            <w:vAlign w:val="center"/>
          </w:tcPr>
          <w:p w:rsidR="00704E97" w:rsidRPr="0087333A" w:rsidRDefault="00AE55C7" w:rsidP="00810998">
            <w:pPr>
              <w:spacing w:after="72"/>
              <w:jc w:val="center"/>
              <w:rPr>
                <w:rFonts w:ascii="Times" w:hAnsi="Times"/>
                <w:i/>
                <w:iCs/>
                <w:color w:val="000000"/>
                <w:szCs w:val="24"/>
              </w:rPr>
            </w:pPr>
            <w:r w:rsidRPr="0087333A">
              <w:rPr>
                <w:rFonts w:ascii="Times" w:hAnsi="Times"/>
                <w:i/>
                <w:iCs/>
                <w:color w:val="000000"/>
                <w:szCs w:val="24"/>
              </w:rPr>
              <w:t xml:space="preserve">Number </w:t>
            </w:r>
          </w:p>
          <w:p w:rsidR="00AE55C7" w:rsidRPr="0087333A" w:rsidRDefault="00AE55C7" w:rsidP="00810998">
            <w:pPr>
              <w:spacing w:after="72"/>
              <w:jc w:val="center"/>
              <w:rPr>
                <w:rFonts w:ascii="Times" w:hAnsi="Times"/>
                <w:szCs w:val="24"/>
              </w:rPr>
            </w:pPr>
            <w:r w:rsidRPr="0087333A">
              <w:rPr>
                <w:rFonts w:ascii="Times" w:hAnsi="Times"/>
                <w:i/>
                <w:iCs/>
                <w:color w:val="000000"/>
                <w:szCs w:val="24"/>
              </w:rPr>
              <w:t>of</w:t>
            </w:r>
            <w:r w:rsidRPr="0087333A">
              <w:rPr>
                <w:rFonts w:ascii="Times" w:hAnsi="Times"/>
                <w:color w:val="000000"/>
                <w:szCs w:val="24"/>
              </w:rPr>
              <w:t xml:space="preserve"> </w:t>
            </w:r>
            <w:r w:rsidRPr="0087333A">
              <w:rPr>
                <w:rFonts w:ascii="Times" w:hAnsi="Times"/>
                <w:i/>
                <w:iCs/>
                <w:color w:val="000000"/>
                <w:szCs w:val="24"/>
              </w:rPr>
              <w:t>respondents</w:t>
            </w:r>
            <w:r w:rsidR="00F532E8">
              <w:rPr>
                <w:rStyle w:val="FootnoteReference"/>
                <w:rFonts w:ascii="Times" w:hAnsi="Times"/>
                <w:i/>
                <w:iCs/>
                <w:color w:val="000000"/>
                <w:szCs w:val="24"/>
              </w:rPr>
              <w:footnoteReference w:id="2"/>
            </w:r>
          </w:p>
        </w:tc>
        <w:tc>
          <w:tcPr>
            <w:tcW w:w="1620" w:type="dxa"/>
            <w:tcBorders>
              <w:top w:val="single" w:sz="6" w:space="0" w:color="000000"/>
            </w:tcBorders>
            <w:vAlign w:val="center"/>
          </w:tcPr>
          <w:p w:rsidR="00AE55C7" w:rsidRPr="0087333A" w:rsidRDefault="00AE55C7" w:rsidP="00810998">
            <w:pPr>
              <w:jc w:val="center"/>
              <w:rPr>
                <w:rFonts w:ascii="Times" w:hAnsi="Times"/>
                <w:color w:val="000000"/>
                <w:szCs w:val="24"/>
              </w:rPr>
            </w:pPr>
            <w:r w:rsidRPr="0087333A">
              <w:rPr>
                <w:rFonts w:ascii="Times" w:hAnsi="Times"/>
                <w:i/>
                <w:iCs/>
                <w:color w:val="000000"/>
                <w:szCs w:val="24"/>
              </w:rPr>
              <w:t>Annual</w:t>
            </w:r>
          </w:p>
          <w:p w:rsidR="00AE55C7" w:rsidRPr="0087333A" w:rsidRDefault="00AE55C7" w:rsidP="00810998">
            <w:pPr>
              <w:spacing w:after="72"/>
              <w:jc w:val="center"/>
              <w:rPr>
                <w:rFonts w:ascii="Times" w:hAnsi="Times"/>
                <w:szCs w:val="24"/>
              </w:rPr>
            </w:pPr>
            <w:r w:rsidRPr="0087333A">
              <w:rPr>
                <w:rFonts w:ascii="Times" w:hAnsi="Times"/>
                <w:i/>
                <w:iCs/>
                <w:color w:val="000000"/>
                <w:szCs w:val="24"/>
              </w:rPr>
              <w:t>frequency</w:t>
            </w:r>
          </w:p>
        </w:tc>
        <w:tc>
          <w:tcPr>
            <w:tcW w:w="1620" w:type="dxa"/>
            <w:tcBorders>
              <w:top w:val="single" w:sz="6" w:space="0" w:color="000000"/>
            </w:tcBorders>
            <w:vAlign w:val="center"/>
          </w:tcPr>
          <w:p w:rsidR="00AE55C7" w:rsidRPr="0087333A" w:rsidRDefault="00AE55C7" w:rsidP="00810998">
            <w:pPr>
              <w:spacing w:before="134" w:after="72"/>
              <w:jc w:val="center"/>
              <w:rPr>
                <w:rFonts w:ascii="Times" w:hAnsi="Times"/>
                <w:szCs w:val="24"/>
              </w:rPr>
            </w:pPr>
            <w:r w:rsidRPr="0087333A">
              <w:rPr>
                <w:rFonts w:ascii="Times" w:hAnsi="Times"/>
                <w:i/>
                <w:iCs/>
                <w:color w:val="000000"/>
                <w:szCs w:val="24"/>
              </w:rPr>
              <w:t>Estimated</w:t>
            </w:r>
            <w:r w:rsidRPr="0087333A">
              <w:rPr>
                <w:rFonts w:ascii="Times" w:hAnsi="Times"/>
                <w:color w:val="000000"/>
                <w:szCs w:val="24"/>
              </w:rPr>
              <w:t xml:space="preserve"> </w:t>
            </w:r>
            <w:r w:rsidRPr="0087333A">
              <w:rPr>
                <w:rFonts w:ascii="Times" w:hAnsi="Times"/>
                <w:i/>
                <w:iCs/>
                <w:color w:val="000000"/>
                <w:szCs w:val="24"/>
              </w:rPr>
              <w:t>average hours</w:t>
            </w:r>
            <w:r w:rsidRPr="0087333A">
              <w:rPr>
                <w:rFonts w:ascii="Times" w:hAnsi="Times"/>
                <w:color w:val="000000"/>
                <w:szCs w:val="24"/>
              </w:rPr>
              <w:t xml:space="preserve"> </w:t>
            </w:r>
            <w:r w:rsidRPr="0087333A">
              <w:rPr>
                <w:rFonts w:ascii="Times" w:hAnsi="Times"/>
                <w:i/>
                <w:iCs/>
                <w:color w:val="000000"/>
                <w:szCs w:val="24"/>
              </w:rPr>
              <w:t>per response</w:t>
            </w:r>
          </w:p>
        </w:tc>
        <w:tc>
          <w:tcPr>
            <w:tcW w:w="1800" w:type="dxa"/>
            <w:tcBorders>
              <w:top w:val="single" w:sz="6" w:space="0" w:color="000000"/>
            </w:tcBorders>
            <w:vAlign w:val="center"/>
          </w:tcPr>
          <w:p w:rsidR="00810998" w:rsidRPr="0087333A" w:rsidRDefault="00AE55C7" w:rsidP="00810998">
            <w:pPr>
              <w:jc w:val="center"/>
              <w:rPr>
                <w:rFonts w:ascii="Times" w:hAnsi="Times"/>
                <w:i/>
              </w:rPr>
            </w:pPr>
            <w:r w:rsidRPr="0087333A">
              <w:rPr>
                <w:rFonts w:ascii="Times" w:hAnsi="Times"/>
                <w:i/>
              </w:rPr>
              <w:t>Estimated annual</w:t>
            </w:r>
          </w:p>
          <w:p w:rsidR="00810998" w:rsidRPr="0087333A" w:rsidRDefault="00F436D5" w:rsidP="00810998">
            <w:pPr>
              <w:jc w:val="center"/>
              <w:rPr>
                <w:rFonts w:ascii="Times" w:hAnsi="Times"/>
                <w:i/>
              </w:rPr>
            </w:pPr>
            <w:r>
              <w:rPr>
                <w:rFonts w:ascii="Times" w:hAnsi="Times"/>
                <w:i/>
              </w:rPr>
              <w:t>b</w:t>
            </w:r>
            <w:r w:rsidR="00AE55C7" w:rsidRPr="0087333A">
              <w:rPr>
                <w:rFonts w:ascii="Times" w:hAnsi="Times"/>
                <w:i/>
              </w:rPr>
              <w:t>urden</w:t>
            </w:r>
          </w:p>
          <w:p w:rsidR="00AE55C7" w:rsidRPr="0087333A" w:rsidRDefault="00AE55C7" w:rsidP="00810998">
            <w:pPr>
              <w:jc w:val="center"/>
              <w:rPr>
                <w:rFonts w:ascii="Times" w:hAnsi="Times"/>
                <w:i/>
              </w:rPr>
            </w:pPr>
            <w:r w:rsidRPr="0087333A">
              <w:rPr>
                <w:rFonts w:ascii="Times" w:hAnsi="Times"/>
                <w:i/>
              </w:rPr>
              <w:t>hours</w:t>
            </w:r>
          </w:p>
        </w:tc>
      </w:tr>
      <w:tr w:rsidR="00AE55C7" w:rsidRPr="0087333A">
        <w:tblPrEx>
          <w:tblCellMar>
            <w:top w:w="0" w:type="dxa"/>
            <w:bottom w:w="0" w:type="dxa"/>
          </w:tblCellMar>
        </w:tblPrEx>
        <w:trPr>
          <w:cantSplit/>
        </w:trPr>
        <w:tc>
          <w:tcPr>
            <w:tcW w:w="2044" w:type="dxa"/>
          </w:tcPr>
          <w:p w:rsidR="00AE55C7" w:rsidRPr="0087333A" w:rsidRDefault="00AE55C7">
            <w:pPr>
              <w:spacing w:before="134" w:after="72"/>
              <w:rPr>
                <w:rFonts w:ascii="Times" w:hAnsi="Times"/>
                <w:szCs w:val="24"/>
              </w:rPr>
            </w:pPr>
            <w:r w:rsidRPr="0087333A">
              <w:rPr>
                <w:rFonts w:ascii="Times" w:hAnsi="Times"/>
                <w:color w:val="000000"/>
                <w:szCs w:val="24"/>
              </w:rPr>
              <w:t xml:space="preserve">Aggregate </w:t>
            </w:r>
            <w:r w:rsidR="000C65A4" w:rsidRPr="0087333A">
              <w:rPr>
                <w:rFonts w:ascii="Times" w:hAnsi="Times"/>
                <w:color w:val="000000"/>
                <w:szCs w:val="24"/>
              </w:rPr>
              <w:t>R</w:t>
            </w:r>
            <w:r w:rsidRPr="0087333A">
              <w:rPr>
                <w:rFonts w:ascii="Times" w:hAnsi="Times"/>
                <w:color w:val="000000"/>
                <w:szCs w:val="24"/>
              </w:rPr>
              <w:t>eport</w:t>
            </w:r>
            <w:r w:rsidR="00D13631" w:rsidRPr="0087333A">
              <w:rPr>
                <w:rFonts w:ascii="Times" w:hAnsi="Times"/>
                <w:color w:val="000000"/>
                <w:szCs w:val="24"/>
              </w:rPr>
              <w:t xml:space="preserve"> </w:t>
            </w:r>
          </w:p>
        </w:tc>
        <w:tc>
          <w:tcPr>
            <w:tcW w:w="1556" w:type="dxa"/>
          </w:tcPr>
          <w:p w:rsidR="00AE55C7" w:rsidRPr="0087333A" w:rsidRDefault="00F532E8">
            <w:pPr>
              <w:spacing w:before="134" w:after="72"/>
              <w:jc w:val="center"/>
              <w:rPr>
                <w:rFonts w:ascii="Times" w:hAnsi="Times"/>
                <w:szCs w:val="24"/>
              </w:rPr>
            </w:pPr>
            <w:r>
              <w:rPr>
                <w:rFonts w:ascii="Times" w:hAnsi="Times"/>
                <w:color w:val="000000"/>
                <w:szCs w:val="24"/>
              </w:rPr>
              <w:t>836</w:t>
            </w:r>
          </w:p>
        </w:tc>
        <w:tc>
          <w:tcPr>
            <w:tcW w:w="1620" w:type="dxa"/>
          </w:tcPr>
          <w:p w:rsidR="00AE55C7" w:rsidRPr="0087333A" w:rsidRDefault="00AE55C7">
            <w:pPr>
              <w:spacing w:before="134" w:after="72"/>
              <w:jc w:val="center"/>
              <w:rPr>
                <w:rFonts w:ascii="Times" w:hAnsi="Times"/>
                <w:szCs w:val="24"/>
              </w:rPr>
            </w:pPr>
            <w:r w:rsidRPr="0087333A">
              <w:rPr>
                <w:rFonts w:ascii="Times" w:hAnsi="Times"/>
                <w:color w:val="000000"/>
                <w:szCs w:val="24"/>
              </w:rPr>
              <w:t>4</w:t>
            </w:r>
          </w:p>
        </w:tc>
        <w:tc>
          <w:tcPr>
            <w:tcW w:w="1620" w:type="dxa"/>
          </w:tcPr>
          <w:p w:rsidR="00AE55C7" w:rsidRPr="0087333A" w:rsidRDefault="00AE55C7">
            <w:pPr>
              <w:spacing w:before="134" w:after="72"/>
              <w:jc w:val="center"/>
              <w:rPr>
                <w:rFonts w:ascii="Times" w:hAnsi="Times"/>
                <w:szCs w:val="24"/>
              </w:rPr>
            </w:pPr>
            <w:r w:rsidRPr="0087333A">
              <w:rPr>
                <w:rFonts w:ascii="Times" w:hAnsi="Times"/>
                <w:color w:val="000000"/>
                <w:szCs w:val="24"/>
              </w:rPr>
              <w:t>5</w:t>
            </w:r>
          </w:p>
        </w:tc>
        <w:tc>
          <w:tcPr>
            <w:tcW w:w="1800" w:type="dxa"/>
          </w:tcPr>
          <w:p w:rsidR="00AE55C7" w:rsidRPr="0087333A" w:rsidRDefault="00F532E8">
            <w:pPr>
              <w:spacing w:before="134" w:after="72"/>
              <w:jc w:val="center"/>
              <w:rPr>
                <w:rFonts w:ascii="Times" w:hAnsi="Times"/>
                <w:szCs w:val="24"/>
              </w:rPr>
            </w:pPr>
            <w:r>
              <w:rPr>
                <w:rFonts w:ascii="Times" w:hAnsi="Times"/>
                <w:color w:val="000000"/>
                <w:szCs w:val="24"/>
              </w:rPr>
              <w:t>16,720</w:t>
            </w:r>
          </w:p>
        </w:tc>
      </w:tr>
      <w:tr w:rsidR="00AE55C7" w:rsidRPr="0087333A">
        <w:tblPrEx>
          <w:tblCellMar>
            <w:top w:w="0" w:type="dxa"/>
            <w:bottom w:w="0" w:type="dxa"/>
          </w:tblCellMar>
        </w:tblPrEx>
        <w:trPr>
          <w:cantSplit/>
        </w:trPr>
        <w:tc>
          <w:tcPr>
            <w:tcW w:w="2044" w:type="dxa"/>
          </w:tcPr>
          <w:p w:rsidR="00AE55C7" w:rsidRPr="0087333A" w:rsidRDefault="00AE55C7">
            <w:pPr>
              <w:spacing w:before="134" w:after="72"/>
              <w:rPr>
                <w:rFonts w:ascii="Times" w:hAnsi="Times"/>
                <w:szCs w:val="24"/>
              </w:rPr>
            </w:pPr>
            <w:r w:rsidRPr="0087333A">
              <w:rPr>
                <w:rFonts w:ascii="Times" w:hAnsi="Times"/>
                <w:color w:val="000000"/>
                <w:szCs w:val="24"/>
              </w:rPr>
              <w:t xml:space="preserve">Policy </w:t>
            </w:r>
            <w:r w:rsidR="000C65A4" w:rsidRPr="0087333A">
              <w:rPr>
                <w:rFonts w:ascii="Times" w:hAnsi="Times"/>
                <w:color w:val="000000"/>
                <w:szCs w:val="24"/>
              </w:rPr>
              <w:t>S</w:t>
            </w:r>
            <w:r w:rsidRPr="0087333A">
              <w:rPr>
                <w:rFonts w:ascii="Times" w:hAnsi="Times"/>
                <w:color w:val="000000"/>
                <w:szCs w:val="24"/>
              </w:rPr>
              <w:t>tatement</w:t>
            </w:r>
          </w:p>
        </w:tc>
        <w:tc>
          <w:tcPr>
            <w:tcW w:w="1556" w:type="dxa"/>
          </w:tcPr>
          <w:p w:rsidR="00AE55C7" w:rsidRPr="0087333A" w:rsidRDefault="00F532E8">
            <w:pPr>
              <w:spacing w:before="134" w:after="72"/>
              <w:jc w:val="center"/>
              <w:rPr>
                <w:rFonts w:ascii="Times" w:hAnsi="Times"/>
                <w:szCs w:val="24"/>
              </w:rPr>
            </w:pPr>
            <w:r>
              <w:rPr>
                <w:rFonts w:ascii="Times" w:hAnsi="Times"/>
                <w:color w:val="000000"/>
                <w:szCs w:val="24"/>
              </w:rPr>
              <w:t>7</w:t>
            </w:r>
          </w:p>
        </w:tc>
        <w:tc>
          <w:tcPr>
            <w:tcW w:w="1620" w:type="dxa"/>
          </w:tcPr>
          <w:p w:rsidR="00AE55C7" w:rsidRPr="0087333A" w:rsidRDefault="00AE55C7">
            <w:pPr>
              <w:spacing w:before="134" w:after="72"/>
              <w:jc w:val="center"/>
              <w:rPr>
                <w:rFonts w:ascii="Times" w:hAnsi="Times"/>
                <w:szCs w:val="24"/>
              </w:rPr>
            </w:pPr>
            <w:r w:rsidRPr="0087333A">
              <w:rPr>
                <w:rFonts w:ascii="Times" w:hAnsi="Times"/>
                <w:color w:val="000000"/>
                <w:szCs w:val="24"/>
              </w:rPr>
              <w:t>1</w:t>
            </w:r>
          </w:p>
        </w:tc>
        <w:tc>
          <w:tcPr>
            <w:tcW w:w="1620" w:type="dxa"/>
          </w:tcPr>
          <w:p w:rsidR="00AE55C7" w:rsidRPr="0087333A" w:rsidRDefault="00AE55C7">
            <w:pPr>
              <w:spacing w:before="134" w:after="72"/>
              <w:jc w:val="center"/>
              <w:rPr>
                <w:rFonts w:ascii="Times" w:hAnsi="Times"/>
                <w:szCs w:val="24"/>
              </w:rPr>
            </w:pPr>
            <w:r w:rsidRPr="0087333A">
              <w:rPr>
                <w:rFonts w:ascii="Times" w:hAnsi="Times"/>
                <w:color w:val="000000"/>
                <w:szCs w:val="24"/>
              </w:rPr>
              <w:t>20</w:t>
            </w:r>
          </w:p>
        </w:tc>
        <w:tc>
          <w:tcPr>
            <w:tcW w:w="1800" w:type="dxa"/>
            <w:vAlign w:val="center"/>
          </w:tcPr>
          <w:p w:rsidR="00AE55C7" w:rsidRPr="0087333A" w:rsidRDefault="00A70241" w:rsidP="00F532E8">
            <w:pPr>
              <w:spacing w:before="134" w:after="72"/>
              <w:jc w:val="center"/>
              <w:rPr>
                <w:rFonts w:ascii="Times" w:hAnsi="Times"/>
                <w:szCs w:val="24"/>
              </w:rPr>
            </w:pPr>
            <w:r w:rsidRPr="0087333A">
              <w:rPr>
                <w:rFonts w:ascii="Times" w:hAnsi="Times"/>
                <w:color w:val="000000"/>
                <w:szCs w:val="24"/>
                <w:u w:val="single"/>
              </w:rPr>
              <w:t xml:space="preserve">      </w:t>
            </w:r>
            <w:r w:rsidR="00F532E8">
              <w:rPr>
                <w:rFonts w:ascii="Times" w:hAnsi="Times"/>
                <w:color w:val="000000"/>
                <w:szCs w:val="24"/>
                <w:u w:val="single"/>
              </w:rPr>
              <w:t>140</w:t>
            </w:r>
          </w:p>
        </w:tc>
      </w:tr>
      <w:tr w:rsidR="00AE55C7" w:rsidRPr="0087333A">
        <w:tblPrEx>
          <w:tblCellMar>
            <w:top w:w="0" w:type="dxa"/>
            <w:bottom w:w="0" w:type="dxa"/>
          </w:tblCellMar>
        </w:tblPrEx>
        <w:trPr>
          <w:cantSplit/>
        </w:trPr>
        <w:tc>
          <w:tcPr>
            <w:tcW w:w="2044" w:type="dxa"/>
            <w:tcBorders>
              <w:bottom w:val="single" w:sz="6" w:space="0" w:color="000000"/>
            </w:tcBorders>
          </w:tcPr>
          <w:p w:rsidR="00AE55C7" w:rsidRPr="0087333A" w:rsidRDefault="00A70241">
            <w:pPr>
              <w:tabs>
                <w:tab w:val="right" w:pos="1915"/>
              </w:tabs>
              <w:spacing w:before="134" w:after="72"/>
              <w:rPr>
                <w:rFonts w:ascii="Times" w:hAnsi="Times"/>
                <w:color w:val="000000"/>
                <w:szCs w:val="24"/>
              </w:rPr>
            </w:pPr>
            <w:r w:rsidRPr="0087333A">
              <w:rPr>
                <w:rFonts w:ascii="Times" w:hAnsi="Times"/>
                <w:color w:val="000000"/>
                <w:szCs w:val="24"/>
              </w:rPr>
              <w:t xml:space="preserve">                  </w:t>
            </w:r>
            <w:r w:rsidR="00AE55C7" w:rsidRPr="0087333A">
              <w:rPr>
                <w:rFonts w:ascii="Times" w:hAnsi="Times"/>
                <w:color w:val="000000"/>
                <w:szCs w:val="24"/>
              </w:rPr>
              <w:t>Total</w:t>
            </w:r>
          </w:p>
        </w:tc>
        <w:tc>
          <w:tcPr>
            <w:tcW w:w="1556" w:type="dxa"/>
            <w:tcBorders>
              <w:bottom w:val="single" w:sz="6" w:space="0" w:color="000000"/>
            </w:tcBorders>
          </w:tcPr>
          <w:p w:rsidR="00AE55C7" w:rsidRPr="0087333A" w:rsidRDefault="00AE55C7">
            <w:pPr>
              <w:spacing w:before="134" w:after="72"/>
              <w:rPr>
                <w:rFonts w:ascii="Times" w:hAnsi="Times"/>
                <w:szCs w:val="24"/>
              </w:rPr>
            </w:pPr>
          </w:p>
        </w:tc>
        <w:tc>
          <w:tcPr>
            <w:tcW w:w="1620" w:type="dxa"/>
            <w:tcBorders>
              <w:bottom w:val="single" w:sz="6" w:space="0" w:color="000000"/>
            </w:tcBorders>
          </w:tcPr>
          <w:p w:rsidR="00AE55C7" w:rsidRPr="0087333A" w:rsidRDefault="00AE55C7">
            <w:pPr>
              <w:spacing w:before="134" w:after="72"/>
              <w:rPr>
                <w:rFonts w:ascii="Times" w:hAnsi="Times"/>
                <w:szCs w:val="24"/>
              </w:rPr>
            </w:pPr>
          </w:p>
        </w:tc>
        <w:tc>
          <w:tcPr>
            <w:tcW w:w="1620" w:type="dxa"/>
            <w:tcBorders>
              <w:bottom w:val="single" w:sz="6" w:space="0" w:color="000000"/>
            </w:tcBorders>
          </w:tcPr>
          <w:p w:rsidR="00AE55C7" w:rsidRPr="0087333A" w:rsidRDefault="00AE55C7">
            <w:pPr>
              <w:spacing w:before="134" w:after="72"/>
              <w:rPr>
                <w:rFonts w:ascii="Times" w:hAnsi="Times"/>
                <w:szCs w:val="24"/>
              </w:rPr>
            </w:pPr>
          </w:p>
        </w:tc>
        <w:tc>
          <w:tcPr>
            <w:tcW w:w="1800" w:type="dxa"/>
            <w:tcBorders>
              <w:bottom w:val="single" w:sz="6" w:space="0" w:color="000000"/>
            </w:tcBorders>
          </w:tcPr>
          <w:p w:rsidR="00AE55C7" w:rsidRPr="0087333A" w:rsidRDefault="00F532E8">
            <w:pPr>
              <w:spacing w:before="134" w:after="72"/>
              <w:jc w:val="center"/>
              <w:rPr>
                <w:rFonts w:ascii="Times" w:hAnsi="Times"/>
                <w:szCs w:val="24"/>
              </w:rPr>
            </w:pPr>
            <w:r>
              <w:rPr>
                <w:rFonts w:ascii="Times" w:hAnsi="Times"/>
                <w:szCs w:val="24"/>
              </w:rPr>
              <w:t>16,860</w:t>
            </w:r>
          </w:p>
        </w:tc>
      </w:tr>
    </w:tbl>
    <w:p w:rsidR="00AE55C7" w:rsidRDefault="00AE55C7">
      <w:pPr>
        <w:tabs>
          <w:tab w:val="left" w:pos="-1440"/>
          <w:tab w:val="left" w:pos="-720"/>
          <w:tab w:val="left" w:pos="0"/>
          <w:tab w:val="center" w:pos="1864"/>
          <w:tab w:val="center" w:pos="4024"/>
          <w:tab w:val="center" w:pos="6004"/>
          <w:tab w:val="center" w:pos="798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w:hAnsi="Times"/>
          <w:color w:val="000000"/>
          <w:szCs w:val="24"/>
        </w:rPr>
      </w:pPr>
    </w:p>
    <w:p w:rsidR="00AE55C7" w:rsidRDefault="003B460A">
      <w:pPr>
        <w:tabs>
          <w:tab w:val="left" w:pos="-1440"/>
          <w:tab w:val="left" w:pos="-720"/>
          <w:tab w:val="left" w:pos="604"/>
          <w:tab w:val="center" w:pos="1864"/>
          <w:tab w:val="center" w:pos="4024"/>
          <w:tab w:val="center" w:pos="6004"/>
          <w:tab w:val="center" w:pos="798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color w:val="000000"/>
          <w:szCs w:val="24"/>
        </w:rPr>
      </w:pPr>
      <w:r>
        <w:rPr>
          <w:rFonts w:ascii="Times" w:hAnsi="Times"/>
          <w:color w:val="000000"/>
          <w:szCs w:val="24"/>
        </w:rPr>
        <w:t>T</w:t>
      </w:r>
      <w:r w:rsidR="00AE55C7">
        <w:rPr>
          <w:rFonts w:ascii="Times" w:hAnsi="Times"/>
          <w:color w:val="000000"/>
          <w:szCs w:val="24"/>
        </w:rPr>
        <w:t>he annual cost to state member banks is est</w:t>
      </w:r>
      <w:r w:rsidR="00A70241">
        <w:rPr>
          <w:rFonts w:ascii="Times" w:hAnsi="Times"/>
          <w:color w:val="000000"/>
          <w:szCs w:val="24"/>
        </w:rPr>
        <w:t>imated to be $</w:t>
      </w:r>
      <w:r w:rsidR="00F532E8">
        <w:rPr>
          <w:rFonts w:ascii="Times" w:hAnsi="Times"/>
          <w:color w:val="000000"/>
          <w:szCs w:val="24"/>
        </w:rPr>
        <w:t>532,776</w:t>
      </w:r>
      <w:r w:rsidR="00AE55C7">
        <w:rPr>
          <w:rFonts w:ascii="Times" w:hAnsi="Times"/>
          <w:color w:val="000000"/>
          <w:szCs w:val="24"/>
        </w:rPr>
        <w:t>.</w:t>
      </w:r>
      <w:r w:rsidR="008266A6">
        <w:rPr>
          <w:rStyle w:val="FootnoteReference"/>
          <w:rFonts w:ascii="Times" w:hAnsi="Times"/>
          <w:color w:val="000000"/>
          <w:szCs w:val="24"/>
        </w:rPr>
        <w:footnoteReference w:id="3"/>
      </w:r>
    </w:p>
    <w:p w:rsidR="00AE55C7" w:rsidRDefault="00AE55C7">
      <w:pPr>
        <w:tabs>
          <w:tab w:val="left" w:pos="-1440"/>
          <w:tab w:val="left" w:pos="-720"/>
          <w:tab w:val="left" w:pos="604"/>
          <w:tab w:val="center" w:pos="1864"/>
          <w:tab w:val="center" w:pos="4024"/>
          <w:tab w:val="center" w:pos="6004"/>
          <w:tab w:val="center" w:pos="798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color w:val="000000"/>
          <w:szCs w:val="24"/>
        </w:rPr>
      </w:pPr>
    </w:p>
    <w:p w:rsidR="00C01E72" w:rsidRPr="0087333A" w:rsidRDefault="00C01E72" w:rsidP="00C01E72">
      <w:pPr>
        <w:tabs>
          <w:tab w:val="left" w:pos="-1440"/>
          <w:tab w:val="left" w:pos="-720"/>
          <w:tab w:val="left" w:pos="604"/>
          <w:tab w:val="center" w:pos="1864"/>
          <w:tab w:val="center" w:pos="4024"/>
          <w:tab w:val="center" w:pos="6004"/>
          <w:tab w:val="center" w:pos="798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color w:val="000000"/>
          <w:szCs w:val="24"/>
        </w:rPr>
      </w:pPr>
      <w:r w:rsidRPr="0087333A">
        <w:rPr>
          <w:rFonts w:ascii="Times" w:hAnsi="Times"/>
          <w:b/>
          <w:bCs/>
          <w:color w:val="000000"/>
          <w:szCs w:val="24"/>
        </w:rPr>
        <w:t>Estimate of Cost to the Federal Reserve System</w:t>
      </w:r>
    </w:p>
    <w:p w:rsidR="00C01E72" w:rsidRPr="0087333A" w:rsidRDefault="00C01E72" w:rsidP="00C01E72">
      <w:pPr>
        <w:tabs>
          <w:tab w:val="left" w:pos="-1440"/>
          <w:tab w:val="left" w:pos="-720"/>
          <w:tab w:val="left" w:pos="604"/>
          <w:tab w:val="center" w:pos="1864"/>
          <w:tab w:val="center" w:pos="4024"/>
          <w:tab w:val="center" w:pos="6004"/>
          <w:tab w:val="center" w:pos="7984"/>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color w:val="000000"/>
          <w:szCs w:val="24"/>
        </w:rPr>
      </w:pPr>
    </w:p>
    <w:p w:rsidR="00C01E72" w:rsidRPr="0087333A" w:rsidRDefault="00F532E8" w:rsidP="00C01E72">
      <w:pPr>
        <w:rPr>
          <w:rFonts w:ascii="Times" w:hAnsi="Times"/>
        </w:rPr>
      </w:pPr>
      <w:r>
        <w:rPr>
          <w:rFonts w:ascii="Times" w:hAnsi="Times"/>
          <w:color w:val="000000"/>
          <w:szCs w:val="24"/>
        </w:rPr>
        <w:tab/>
        <w:t xml:space="preserve">The cost </w:t>
      </w:r>
      <w:r w:rsidR="00C01E72" w:rsidRPr="0087333A">
        <w:rPr>
          <w:rFonts w:ascii="Times" w:hAnsi="Times"/>
          <w:color w:val="000000"/>
          <w:szCs w:val="24"/>
        </w:rPr>
        <w:t xml:space="preserve">to the Federal Reserve System associated with this recordkeeping requirement </w:t>
      </w:r>
      <w:r>
        <w:rPr>
          <w:rFonts w:ascii="Times" w:hAnsi="Times"/>
          <w:color w:val="000000"/>
          <w:szCs w:val="24"/>
        </w:rPr>
        <w:t>is</w:t>
      </w:r>
      <w:r w:rsidR="00C01E72" w:rsidRPr="0087333A">
        <w:rPr>
          <w:rFonts w:ascii="Times" w:hAnsi="Times"/>
          <w:color w:val="000000"/>
          <w:szCs w:val="24"/>
        </w:rPr>
        <w:t xml:space="preserve"> minimal because there are no reporting forms and the information is not submitted to the Federal Reserve.   </w:t>
      </w:r>
    </w:p>
    <w:p w:rsidR="00AE55C7" w:rsidRDefault="00AE55C7"/>
    <w:sectPr w:rsidR="00AE55C7" w:rsidSect="00DD5A8B">
      <w:footerReference w:type="even" r:id="rId8"/>
      <w:footerReference w:type="default" r:id="rId9"/>
      <w:pgSz w:w="12240" w:h="15840"/>
      <w:pgMar w:top="1440" w:right="1800" w:bottom="1267"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CC8" w:rsidRDefault="002C7CC8">
      <w:r>
        <w:separator/>
      </w:r>
    </w:p>
  </w:endnote>
  <w:endnote w:type="continuationSeparator" w:id="0">
    <w:p w:rsidR="002C7CC8" w:rsidRDefault="002C7C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05A" w:rsidRDefault="009F305A" w:rsidP="00B17E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305A" w:rsidRDefault="009F305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05A" w:rsidRDefault="009F305A" w:rsidP="00B17E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3ACF">
      <w:rPr>
        <w:rStyle w:val="PageNumber"/>
        <w:noProof/>
      </w:rPr>
      <w:t>4</w:t>
    </w:r>
    <w:r>
      <w:rPr>
        <w:rStyle w:val="PageNumber"/>
      </w:rPr>
      <w:fldChar w:fldCharType="end"/>
    </w:r>
  </w:p>
  <w:p w:rsidR="009F305A" w:rsidRDefault="009F305A" w:rsidP="00A70241">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CC8" w:rsidRDefault="002C7CC8">
      <w:r>
        <w:separator/>
      </w:r>
    </w:p>
  </w:footnote>
  <w:footnote w:type="continuationSeparator" w:id="0">
    <w:p w:rsidR="002C7CC8" w:rsidRDefault="002C7CC8">
      <w:r>
        <w:continuationSeparator/>
      </w:r>
    </w:p>
  </w:footnote>
  <w:footnote w:id="1">
    <w:p w:rsidR="009F305A" w:rsidRPr="00B17E24" w:rsidRDefault="009F305A">
      <w:pPr>
        <w:pStyle w:val="FootnoteText"/>
        <w:rPr>
          <w:rFonts w:ascii="Times" w:hAnsi="Times"/>
          <w:sz w:val="18"/>
          <w:szCs w:val="18"/>
        </w:rPr>
      </w:pPr>
      <w:r w:rsidRPr="00B17E24">
        <w:rPr>
          <w:rStyle w:val="FootnoteReference"/>
          <w:rFonts w:ascii="Times" w:hAnsi="Times"/>
          <w:sz w:val="18"/>
          <w:szCs w:val="18"/>
        </w:rPr>
        <w:footnoteRef/>
      </w:r>
      <w:r w:rsidRPr="00B17E24">
        <w:rPr>
          <w:rFonts w:ascii="Times" w:hAnsi="Times"/>
          <w:sz w:val="18"/>
          <w:szCs w:val="18"/>
        </w:rPr>
        <w:t xml:space="preserve"> </w:t>
      </w:r>
      <w:r w:rsidRPr="00B17E24">
        <w:rPr>
          <w:rFonts w:ascii="Times" w:hAnsi="Times"/>
          <w:color w:val="000000"/>
          <w:sz w:val="18"/>
          <w:szCs w:val="18"/>
        </w:rPr>
        <w:t>Board of Governors of the Federal Reserve System (Board); Office of the Comptroller of the Currency (OCC), Treasury; the Federal Deposit Insurance Corporation (FDIC); and Office of Thrift Supervision (OTS), Treasury; (collectively, the agencies)</w:t>
      </w:r>
    </w:p>
  </w:footnote>
  <w:footnote w:id="2">
    <w:p w:rsidR="009F305A" w:rsidRPr="0020244E" w:rsidRDefault="009F305A" w:rsidP="00F532E8">
      <w:pPr>
        <w:pStyle w:val="FootnoteText"/>
      </w:pPr>
      <w:r>
        <w:rPr>
          <w:rStyle w:val="FootnoteReference"/>
        </w:rPr>
        <w:footnoteRef/>
      </w:r>
      <w:r w:rsidRPr="0020244E">
        <w:t xml:space="preserve">  Of these respondents, seven institutions are small entities as defined by the Small Business Administration (i.e., entities with less than $175 million in total assets) </w:t>
      </w:r>
      <w:hyperlink r:id="rId1" w:history="1">
        <w:r w:rsidRPr="0020244E">
          <w:rPr>
            <w:rStyle w:val="Hyperlink"/>
            <w:b/>
          </w:rPr>
          <w:t>www.sba.gov/contractingopportunities/officials/size/table/index.html</w:t>
        </w:r>
      </w:hyperlink>
      <w:r w:rsidRPr="0020244E">
        <w:rPr>
          <w:b/>
        </w:rPr>
        <w:t>.</w:t>
      </w:r>
    </w:p>
    <w:p w:rsidR="009F305A" w:rsidRDefault="009F305A">
      <w:pPr>
        <w:pStyle w:val="FootnoteText"/>
      </w:pPr>
    </w:p>
  </w:footnote>
  <w:footnote w:id="3">
    <w:p w:rsidR="009F305A" w:rsidRDefault="009F305A" w:rsidP="00F532E8">
      <w:pPr>
        <w:pStyle w:val="FootnoteText"/>
      </w:pPr>
      <w:r w:rsidRPr="00A95F7D">
        <w:rPr>
          <w:rStyle w:val="FootnoteReference"/>
          <w:sz w:val="18"/>
          <w:szCs w:val="18"/>
        </w:rPr>
        <w:footnoteRef/>
      </w:r>
      <w:r w:rsidRPr="00A95F7D">
        <w:rPr>
          <w:sz w:val="18"/>
          <w:szCs w:val="18"/>
        </w:rPr>
        <w:t xml:space="preserve"> </w:t>
      </w:r>
      <w:r w:rsidRPr="0020244E">
        <w:t>Total cost to the public was estimated using the following formula: percent of staff time, multiplied by annual burden hours, multiplied by hourly rate (60% Office &amp; Administrative Support @ $16, 30% Financial Managers @ $48, 0% Legal Counsel @ $54, and 10% Chief Executives @ $76).  Hourly rate for each occupational group are the median hourly wages (rounded up) from the Bureau of Labor and Statistics (BLS), Occupational Employment and Wages 2008. www.bls.gov/news.release/ocwage.nr0.htm Occupations are defined using the BLS Occupational Classification System.  www.bls.gov/soc/</w:t>
      </w:r>
      <w:r w:rsidRPr="00F51629">
        <w:t xml:space="preserve">  </w:t>
      </w:r>
    </w:p>
    <w:p w:rsidR="009F305A" w:rsidRPr="00A95F7D" w:rsidRDefault="009F305A">
      <w:pPr>
        <w:pStyle w:val="FootnoteText"/>
        <w:rPr>
          <w:sz w:val="18"/>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30321"/>
    <w:multiLevelType w:val="hybridMultilevel"/>
    <w:tmpl w:val="77822C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337300AA"/>
    <w:multiLevelType w:val="hybridMultilevel"/>
    <w:tmpl w:val="6B1CA458"/>
    <w:lvl w:ilvl="0" w:tplc="76C28BE0">
      <w:start w:val="1"/>
      <w:numFmt w:val="bullet"/>
      <w:lvlText w:val=""/>
      <w:lvlJc w:val="left"/>
      <w:pPr>
        <w:tabs>
          <w:tab w:val="num" w:pos="720"/>
        </w:tabs>
        <w:ind w:left="720" w:hanging="360"/>
      </w:pPr>
      <w:rPr>
        <w:rFonts w:ascii="Wingdings" w:hAnsi="Wingdings" w:hint="default"/>
      </w:rPr>
    </w:lvl>
    <w:lvl w:ilvl="1" w:tplc="A272586E" w:tentative="1">
      <w:start w:val="1"/>
      <w:numFmt w:val="bullet"/>
      <w:lvlText w:val=""/>
      <w:lvlJc w:val="left"/>
      <w:pPr>
        <w:tabs>
          <w:tab w:val="num" w:pos="1440"/>
        </w:tabs>
        <w:ind w:left="1440" w:hanging="360"/>
      </w:pPr>
      <w:rPr>
        <w:rFonts w:ascii="Wingdings" w:hAnsi="Wingdings" w:hint="default"/>
      </w:rPr>
    </w:lvl>
    <w:lvl w:ilvl="2" w:tplc="D44C0EF6" w:tentative="1">
      <w:start w:val="1"/>
      <w:numFmt w:val="bullet"/>
      <w:lvlText w:val=""/>
      <w:lvlJc w:val="left"/>
      <w:pPr>
        <w:tabs>
          <w:tab w:val="num" w:pos="2160"/>
        </w:tabs>
        <w:ind w:left="2160" w:hanging="360"/>
      </w:pPr>
      <w:rPr>
        <w:rFonts w:ascii="Wingdings" w:hAnsi="Wingdings" w:hint="default"/>
      </w:rPr>
    </w:lvl>
    <w:lvl w:ilvl="3" w:tplc="565093C2" w:tentative="1">
      <w:start w:val="1"/>
      <w:numFmt w:val="bullet"/>
      <w:lvlText w:val=""/>
      <w:lvlJc w:val="left"/>
      <w:pPr>
        <w:tabs>
          <w:tab w:val="num" w:pos="2880"/>
        </w:tabs>
        <w:ind w:left="2880" w:hanging="360"/>
      </w:pPr>
      <w:rPr>
        <w:rFonts w:ascii="Wingdings" w:hAnsi="Wingdings" w:hint="default"/>
      </w:rPr>
    </w:lvl>
    <w:lvl w:ilvl="4" w:tplc="DF404036" w:tentative="1">
      <w:start w:val="1"/>
      <w:numFmt w:val="bullet"/>
      <w:lvlText w:val=""/>
      <w:lvlJc w:val="left"/>
      <w:pPr>
        <w:tabs>
          <w:tab w:val="num" w:pos="3600"/>
        </w:tabs>
        <w:ind w:left="3600" w:hanging="360"/>
      </w:pPr>
      <w:rPr>
        <w:rFonts w:ascii="Wingdings" w:hAnsi="Wingdings" w:hint="default"/>
      </w:rPr>
    </w:lvl>
    <w:lvl w:ilvl="5" w:tplc="CCDA84D2" w:tentative="1">
      <w:start w:val="1"/>
      <w:numFmt w:val="bullet"/>
      <w:lvlText w:val=""/>
      <w:lvlJc w:val="left"/>
      <w:pPr>
        <w:tabs>
          <w:tab w:val="num" w:pos="4320"/>
        </w:tabs>
        <w:ind w:left="4320" w:hanging="360"/>
      </w:pPr>
      <w:rPr>
        <w:rFonts w:ascii="Wingdings" w:hAnsi="Wingdings" w:hint="default"/>
      </w:rPr>
    </w:lvl>
    <w:lvl w:ilvl="6" w:tplc="05D06556" w:tentative="1">
      <w:start w:val="1"/>
      <w:numFmt w:val="bullet"/>
      <w:lvlText w:val=""/>
      <w:lvlJc w:val="left"/>
      <w:pPr>
        <w:tabs>
          <w:tab w:val="num" w:pos="5040"/>
        </w:tabs>
        <w:ind w:left="5040" w:hanging="360"/>
      </w:pPr>
      <w:rPr>
        <w:rFonts w:ascii="Wingdings" w:hAnsi="Wingdings" w:hint="default"/>
      </w:rPr>
    </w:lvl>
    <w:lvl w:ilvl="7" w:tplc="008C5478" w:tentative="1">
      <w:start w:val="1"/>
      <w:numFmt w:val="bullet"/>
      <w:lvlText w:val=""/>
      <w:lvlJc w:val="left"/>
      <w:pPr>
        <w:tabs>
          <w:tab w:val="num" w:pos="5760"/>
        </w:tabs>
        <w:ind w:left="5760" w:hanging="360"/>
      </w:pPr>
      <w:rPr>
        <w:rFonts w:ascii="Wingdings" w:hAnsi="Wingdings" w:hint="default"/>
      </w:rPr>
    </w:lvl>
    <w:lvl w:ilvl="8" w:tplc="FE720A8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footnotePr>
    <w:footnote w:id="-1"/>
    <w:footnote w:id="0"/>
  </w:footnotePr>
  <w:endnotePr>
    <w:endnote w:id="-1"/>
    <w:endnote w:id="0"/>
  </w:endnotePr>
  <w:compat/>
  <w:rsids>
    <w:rsidRoot w:val="003F47DE"/>
    <w:rsid w:val="0002657F"/>
    <w:rsid w:val="00073ACF"/>
    <w:rsid w:val="00085190"/>
    <w:rsid w:val="000B170F"/>
    <w:rsid w:val="000C4335"/>
    <w:rsid w:val="000C65A4"/>
    <w:rsid w:val="00105EDD"/>
    <w:rsid w:val="001266B5"/>
    <w:rsid w:val="00180744"/>
    <w:rsid w:val="00185B37"/>
    <w:rsid w:val="00221AC9"/>
    <w:rsid w:val="0025695F"/>
    <w:rsid w:val="002C0933"/>
    <w:rsid w:val="002C7CC8"/>
    <w:rsid w:val="002D18C7"/>
    <w:rsid w:val="002D369C"/>
    <w:rsid w:val="00312A18"/>
    <w:rsid w:val="00372803"/>
    <w:rsid w:val="0039043F"/>
    <w:rsid w:val="00393191"/>
    <w:rsid w:val="003A0282"/>
    <w:rsid w:val="003A38F6"/>
    <w:rsid w:val="003A43B1"/>
    <w:rsid w:val="003B460A"/>
    <w:rsid w:val="003F47DE"/>
    <w:rsid w:val="004010C7"/>
    <w:rsid w:val="00401F15"/>
    <w:rsid w:val="0040285F"/>
    <w:rsid w:val="004113BB"/>
    <w:rsid w:val="00423358"/>
    <w:rsid w:val="004450B6"/>
    <w:rsid w:val="00467DCB"/>
    <w:rsid w:val="00480A5B"/>
    <w:rsid w:val="004A3FDB"/>
    <w:rsid w:val="004E4066"/>
    <w:rsid w:val="004F13B6"/>
    <w:rsid w:val="0050631A"/>
    <w:rsid w:val="00523E5C"/>
    <w:rsid w:val="00526F67"/>
    <w:rsid w:val="005D54D8"/>
    <w:rsid w:val="006200EF"/>
    <w:rsid w:val="00642252"/>
    <w:rsid w:val="00663210"/>
    <w:rsid w:val="006871A7"/>
    <w:rsid w:val="0069027C"/>
    <w:rsid w:val="006B36C9"/>
    <w:rsid w:val="006D3027"/>
    <w:rsid w:val="00703E02"/>
    <w:rsid w:val="00704E97"/>
    <w:rsid w:val="00747BF3"/>
    <w:rsid w:val="00764372"/>
    <w:rsid w:val="00765041"/>
    <w:rsid w:val="00767A5B"/>
    <w:rsid w:val="007925A7"/>
    <w:rsid w:val="007B7C20"/>
    <w:rsid w:val="007D62FA"/>
    <w:rsid w:val="007F6CB7"/>
    <w:rsid w:val="008077C2"/>
    <w:rsid w:val="00810998"/>
    <w:rsid w:val="008176CD"/>
    <w:rsid w:val="0082235C"/>
    <w:rsid w:val="008266A6"/>
    <w:rsid w:val="00826B18"/>
    <w:rsid w:val="008713A0"/>
    <w:rsid w:val="0087333A"/>
    <w:rsid w:val="008A69D6"/>
    <w:rsid w:val="008C340D"/>
    <w:rsid w:val="008D780F"/>
    <w:rsid w:val="0092317D"/>
    <w:rsid w:val="00953A9A"/>
    <w:rsid w:val="009C459B"/>
    <w:rsid w:val="009F11E1"/>
    <w:rsid w:val="009F305A"/>
    <w:rsid w:val="00A43B52"/>
    <w:rsid w:val="00A45A66"/>
    <w:rsid w:val="00A70241"/>
    <w:rsid w:val="00A75F63"/>
    <w:rsid w:val="00A849A0"/>
    <w:rsid w:val="00A95F7D"/>
    <w:rsid w:val="00AA7194"/>
    <w:rsid w:val="00AE55C7"/>
    <w:rsid w:val="00B17E24"/>
    <w:rsid w:val="00B212E0"/>
    <w:rsid w:val="00B4000D"/>
    <w:rsid w:val="00B40BD6"/>
    <w:rsid w:val="00B63101"/>
    <w:rsid w:val="00B63CFA"/>
    <w:rsid w:val="00B8035B"/>
    <w:rsid w:val="00B87A0F"/>
    <w:rsid w:val="00BE469F"/>
    <w:rsid w:val="00BF1E9C"/>
    <w:rsid w:val="00C01E72"/>
    <w:rsid w:val="00C1274F"/>
    <w:rsid w:val="00C55741"/>
    <w:rsid w:val="00C636D4"/>
    <w:rsid w:val="00C9184F"/>
    <w:rsid w:val="00C961E3"/>
    <w:rsid w:val="00CA2074"/>
    <w:rsid w:val="00CA2652"/>
    <w:rsid w:val="00CA68C5"/>
    <w:rsid w:val="00CA6951"/>
    <w:rsid w:val="00CB4991"/>
    <w:rsid w:val="00CC323D"/>
    <w:rsid w:val="00CC7070"/>
    <w:rsid w:val="00CD578A"/>
    <w:rsid w:val="00CD6413"/>
    <w:rsid w:val="00D03DAC"/>
    <w:rsid w:val="00D13631"/>
    <w:rsid w:val="00D16236"/>
    <w:rsid w:val="00D70C73"/>
    <w:rsid w:val="00DB2999"/>
    <w:rsid w:val="00DB376C"/>
    <w:rsid w:val="00DC5E5C"/>
    <w:rsid w:val="00DC64AA"/>
    <w:rsid w:val="00DD5A8B"/>
    <w:rsid w:val="00DE1E9A"/>
    <w:rsid w:val="00E12465"/>
    <w:rsid w:val="00E24914"/>
    <w:rsid w:val="00E431F3"/>
    <w:rsid w:val="00E626BC"/>
    <w:rsid w:val="00ED7497"/>
    <w:rsid w:val="00EE18C6"/>
    <w:rsid w:val="00F436D5"/>
    <w:rsid w:val="00F507E6"/>
    <w:rsid w:val="00F532E8"/>
    <w:rsid w:val="00FD6A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A70241"/>
    <w:pPr>
      <w:tabs>
        <w:tab w:val="center" w:pos="4320"/>
        <w:tab w:val="right" w:pos="8640"/>
      </w:tabs>
    </w:pPr>
  </w:style>
  <w:style w:type="paragraph" w:styleId="BalloonText">
    <w:name w:val="Balloon Text"/>
    <w:basedOn w:val="Normal"/>
    <w:semiHidden/>
    <w:rsid w:val="004113BB"/>
    <w:rPr>
      <w:rFonts w:ascii="Tahoma" w:hAnsi="Tahoma" w:cs="Tahoma"/>
      <w:sz w:val="16"/>
      <w:szCs w:val="16"/>
    </w:rPr>
  </w:style>
  <w:style w:type="paragraph" w:styleId="FootnoteText">
    <w:name w:val="footnote text"/>
    <w:basedOn w:val="Normal"/>
    <w:semiHidden/>
    <w:rsid w:val="0040285F"/>
    <w:rPr>
      <w:sz w:val="20"/>
    </w:rPr>
  </w:style>
  <w:style w:type="character" w:styleId="FootnoteReference">
    <w:name w:val="footnote reference"/>
    <w:basedOn w:val="DefaultParagraphFont"/>
    <w:semiHidden/>
    <w:rsid w:val="0040285F"/>
    <w:rPr>
      <w:vertAlign w:val="superscript"/>
    </w:rPr>
  </w:style>
  <w:style w:type="character" w:styleId="FollowedHyperlink">
    <w:name w:val="FollowedHyperlink"/>
    <w:basedOn w:val="DefaultParagraphFont"/>
    <w:rsid w:val="002D369C"/>
    <w:rPr>
      <w:color w:val="800080"/>
      <w:u w:val="single"/>
    </w:rPr>
  </w:style>
  <w:style w:type="character" w:styleId="Hyperlink">
    <w:name w:val="Hyperlink"/>
    <w:basedOn w:val="DefaultParagraphFont"/>
    <w:uiPriority w:val="99"/>
    <w:unhideWhenUsed/>
    <w:rsid w:val="00F532E8"/>
    <w:rPr>
      <w:color w:val="0000FF"/>
      <w:u w:val="single"/>
    </w:rPr>
  </w:style>
</w:styles>
</file>

<file path=word/webSettings.xml><?xml version="1.0" encoding="utf-8"?>
<w:webSettings xmlns:r="http://schemas.openxmlformats.org/officeDocument/2006/relationships" xmlns:w="http://schemas.openxmlformats.org/wordprocessingml/2006/main">
  <w:divs>
    <w:div w:id="1863938678">
      <w:bodyDiv w:val="1"/>
      <w:marLeft w:val="0"/>
      <w:marRight w:val="0"/>
      <w:marTop w:val="0"/>
      <w:marBottom w:val="0"/>
      <w:divBdr>
        <w:top w:val="none" w:sz="0" w:space="0" w:color="auto"/>
        <w:left w:val="none" w:sz="0" w:space="0" w:color="auto"/>
        <w:bottom w:val="none" w:sz="0" w:space="0" w:color="auto"/>
        <w:right w:val="none" w:sz="0" w:space="0" w:color="auto"/>
      </w:divBdr>
      <w:divsChild>
        <w:div w:id="333727552">
          <w:marLeft w:val="0"/>
          <w:marRight w:val="0"/>
          <w:marTop w:val="0"/>
          <w:marBottom w:val="0"/>
          <w:divBdr>
            <w:top w:val="none" w:sz="0" w:space="0" w:color="auto"/>
            <w:left w:val="none" w:sz="0" w:space="0" w:color="auto"/>
            <w:bottom w:val="none" w:sz="0" w:space="0" w:color="auto"/>
            <w:right w:val="none" w:sz="0" w:space="0" w:color="auto"/>
          </w:divBdr>
          <w:divsChild>
            <w:div w:id="66612978">
              <w:marLeft w:val="0"/>
              <w:marRight w:val="0"/>
              <w:marTop w:val="0"/>
              <w:marBottom w:val="0"/>
              <w:divBdr>
                <w:top w:val="none" w:sz="0" w:space="0" w:color="auto"/>
                <w:left w:val="none" w:sz="0" w:space="0" w:color="auto"/>
                <w:bottom w:val="none" w:sz="0" w:space="0" w:color="auto"/>
                <w:right w:val="none" w:sz="0" w:space="0" w:color="auto"/>
              </w:divBdr>
            </w:div>
            <w:div w:id="819466626">
              <w:marLeft w:val="0"/>
              <w:marRight w:val="0"/>
              <w:marTop w:val="0"/>
              <w:marBottom w:val="0"/>
              <w:divBdr>
                <w:top w:val="none" w:sz="0" w:space="0" w:color="auto"/>
                <w:left w:val="none" w:sz="0" w:space="0" w:color="auto"/>
                <w:bottom w:val="none" w:sz="0" w:space="0" w:color="auto"/>
                <w:right w:val="none" w:sz="0" w:space="0" w:color="auto"/>
              </w:divBdr>
            </w:div>
            <w:div w:id="905994787">
              <w:marLeft w:val="0"/>
              <w:marRight w:val="0"/>
              <w:marTop w:val="0"/>
              <w:marBottom w:val="0"/>
              <w:divBdr>
                <w:top w:val="none" w:sz="0" w:space="0" w:color="auto"/>
                <w:left w:val="none" w:sz="0" w:space="0" w:color="auto"/>
                <w:bottom w:val="none" w:sz="0" w:space="0" w:color="auto"/>
                <w:right w:val="none" w:sz="0" w:space="0" w:color="auto"/>
              </w:divBdr>
            </w:div>
            <w:div w:id="1353268279">
              <w:marLeft w:val="0"/>
              <w:marRight w:val="0"/>
              <w:marTop w:val="0"/>
              <w:marBottom w:val="0"/>
              <w:divBdr>
                <w:top w:val="none" w:sz="0" w:space="0" w:color="auto"/>
                <w:left w:val="none" w:sz="0" w:space="0" w:color="auto"/>
                <w:bottom w:val="none" w:sz="0" w:space="0" w:color="auto"/>
                <w:right w:val="none" w:sz="0" w:space="0" w:color="auto"/>
              </w:divBdr>
            </w:div>
            <w:div w:id="148231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file:///\\drslx1\fr-misc\fr_documents\proposals\Legal\FR%204025%20(Reg%20R)\www.sba.gov\contractingopportunities\officials\size\tabl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C61D2-1E31-482B-8B8B-A8C2B5BFF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BOARD OF GOVERNORS OF THE FEDERAL RESERVE SYSTEM</vt:lpstr>
    </vt:vector>
  </TitlesOfParts>
  <Company>FRB</Company>
  <LinksUpToDate>false</LinksUpToDate>
  <CharactersWithSpaces>8152</CharactersWithSpaces>
  <SharedDoc>false</SharedDoc>
  <HLinks>
    <vt:vector size="6" baseType="variant">
      <vt:variant>
        <vt:i4>4587608</vt:i4>
      </vt:variant>
      <vt:variant>
        <vt:i4>0</vt:i4>
      </vt:variant>
      <vt:variant>
        <vt:i4>0</vt:i4>
      </vt:variant>
      <vt:variant>
        <vt:i4>5</vt:i4>
      </vt:variant>
      <vt:variant>
        <vt:lpwstr>\\drslx1\fr-misc\fr_documents\proposals\Legal\FR 4025 (Reg R)\www.sba.gov\contractingopportunities\officials\size\table\index.html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OF THE FEDERAL RESERVE SYSTEM</dc:title>
  <dc:subject/>
  <dc:creator>m1mel00</dc:creator>
  <cp:keywords/>
  <dc:description/>
  <cp:lastModifiedBy>m1ldl00</cp:lastModifiedBy>
  <cp:revision>2</cp:revision>
  <cp:lastPrinted>2007-11-21T16:22:00Z</cp:lastPrinted>
  <dcterms:created xsi:type="dcterms:W3CDTF">2011-02-04T21:50:00Z</dcterms:created>
  <dcterms:modified xsi:type="dcterms:W3CDTF">2011-02-04T21:50:00Z</dcterms:modified>
</cp:coreProperties>
</file>